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157480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226060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6"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2625725</wp:posOffset>
            </wp:positionH>
            <wp:positionV relativeFrom="paragraph">
              <wp:posOffset>49530</wp:posOffset>
            </wp:positionV>
            <wp:extent cx="925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141" w:lineRule="exact"/>
        <w:rPr>
          <w:sz w:val="24"/>
          <w:szCs w:val="24"/>
          <w:color w:val="auto"/>
        </w:rPr>
      </w:pPr>
    </w:p>
    <w:p>
      <w:pPr>
        <w:jc w:val="center"/>
        <w:ind w:right="-340"/>
        <w:spacing w:after="0"/>
        <w:rPr>
          <w:sz w:val="20"/>
          <w:szCs w:val="20"/>
          <w:color w:val="auto"/>
        </w:rPr>
      </w:pPr>
      <w:r>
        <w:rPr>
          <w:rFonts w:ascii="Arial" w:cs="Arial" w:eastAsia="Arial" w:hAnsi="Arial"/>
          <w:sz w:val="36"/>
          <w:szCs w:val="36"/>
          <w:b w:val="1"/>
          <w:bCs w:val="1"/>
          <w:color w:val="auto"/>
        </w:rPr>
        <w:t>SCHEDULE 14A</w:t>
      </w:r>
    </w:p>
    <w:p>
      <w:pPr>
        <w:spacing w:after="0" w:line="221" w:lineRule="exact"/>
        <w:rPr>
          <w:sz w:val="24"/>
          <w:szCs w:val="24"/>
          <w:color w:val="auto"/>
        </w:rPr>
      </w:pPr>
    </w:p>
    <w:p>
      <w:pPr>
        <w:jc w:val="center"/>
        <w:ind w:right="-340"/>
        <w:spacing w:after="0"/>
        <w:rPr>
          <w:sz w:val="20"/>
          <w:szCs w:val="20"/>
          <w:color w:val="auto"/>
        </w:rPr>
      </w:pPr>
      <w:r>
        <w:rPr>
          <w:rFonts w:ascii="Arial" w:cs="Arial" w:eastAsia="Arial" w:hAnsi="Arial"/>
          <w:sz w:val="20"/>
          <w:szCs w:val="20"/>
          <w:b w:val="1"/>
          <w:bCs w:val="1"/>
          <w:color w:val="auto"/>
        </w:rPr>
        <w:t>(RULE 14a-101)</w:t>
      </w:r>
    </w:p>
    <w:p>
      <w:pPr>
        <w:spacing w:after="0" w:line="6" w:lineRule="exact"/>
        <w:rPr>
          <w:sz w:val="24"/>
          <w:szCs w:val="24"/>
          <w:color w:val="auto"/>
        </w:rPr>
      </w:pPr>
    </w:p>
    <w:p>
      <w:pPr>
        <w:jc w:val="center"/>
        <w:ind w:right="-340"/>
        <w:spacing w:after="0"/>
        <w:rPr>
          <w:sz w:val="20"/>
          <w:szCs w:val="20"/>
          <w:color w:val="auto"/>
        </w:rPr>
      </w:pPr>
      <w:r>
        <w:rPr>
          <w:rFonts w:ascii="Arial" w:cs="Arial" w:eastAsia="Arial" w:hAnsi="Arial"/>
          <w:sz w:val="20"/>
          <w:szCs w:val="20"/>
          <w:b w:val="1"/>
          <w:bCs w:val="1"/>
          <w:color w:val="auto"/>
        </w:rPr>
        <w:t>SCHEDULE 14A INFORMATION</w:t>
      </w:r>
    </w:p>
    <w:p>
      <w:pPr>
        <w:spacing w:after="0" w:line="115" w:lineRule="exact"/>
        <w:rPr>
          <w:sz w:val="24"/>
          <w:szCs w:val="24"/>
          <w:color w:val="auto"/>
        </w:rPr>
      </w:pPr>
    </w:p>
    <w:p>
      <w:pPr>
        <w:jc w:val="center"/>
        <w:ind w:right="-360"/>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6" w:lineRule="exact"/>
        <w:rPr>
          <w:sz w:val="24"/>
          <w:szCs w:val="24"/>
          <w:color w:val="auto"/>
        </w:rPr>
      </w:pPr>
    </w:p>
    <w:p>
      <w:pPr>
        <w:jc w:val="center"/>
        <w:ind w:right="-360"/>
        <w:spacing w:after="0"/>
        <w:rPr>
          <w:sz w:val="20"/>
          <w:szCs w:val="20"/>
          <w:color w:val="auto"/>
        </w:rPr>
      </w:pPr>
      <w:r>
        <w:rPr>
          <w:rFonts w:ascii="Arial" w:cs="Arial" w:eastAsia="Arial" w:hAnsi="Arial"/>
          <w:sz w:val="20"/>
          <w:szCs w:val="20"/>
          <w:b w:val="1"/>
          <w:bCs w:val="1"/>
          <w:color w:val="auto"/>
        </w:rPr>
        <w:t>Securities Exchange Act of 1934</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the Registrant  </w:t>
      </w:r>
      <w:r>
        <w:rPr>
          <w:rFonts w:ascii="Wingdings" w:cs="Wingdings" w:eastAsia="Wingdings" w:hAnsi="Wingdings"/>
          <w:sz w:val="21"/>
          <w:szCs w:val="21"/>
          <w:b w:val="1"/>
          <w:bCs w:val="1"/>
          <w:color w:val="auto"/>
        </w:rPr>
        <w:t>x</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a Party other than the Registrant   </w:t>
      </w:r>
      <w:r>
        <w:rPr>
          <w:rFonts w:ascii="Wingdings" w:cs="Wingdings" w:eastAsia="Wingdings" w:hAnsi="Wingdings"/>
          <w:sz w:val="21"/>
          <w:szCs w:val="21"/>
          <w:b w:val="1"/>
          <w:bCs w:val="1"/>
          <w:color w:val="auto"/>
        </w:rPr>
        <w:t>o</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500" w:hanging="496"/>
        <w:spacing w:after="0"/>
        <w:tabs>
          <w:tab w:leader="none" w:pos="50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Preliminary Proxy Statement</w:t>
      </w:r>
    </w:p>
    <w:p>
      <w:pPr>
        <w:spacing w:after="0" w:line="130" w:lineRule="exact"/>
        <w:rPr>
          <w:rFonts w:ascii="Wingdings" w:cs="Wingdings" w:eastAsia="Wingdings" w:hAnsi="Wingdings"/>
          <w:sz w:val="18"/>
          <w:szCs w:val="18"/>
          <w:b w:val="1"/>
          <w:bCs w:val="1"/>
          <w:color w:val="auto"/>
        </w:rPr>
      </w:pPr>
    </w:p>
    <w:p>
      <w:pPr>
        <w:ind w:left="500" w:hanging="496"/>
        <w:spacing w:after="0"/>
        <w:tabs>
          <w:tab w:leader="none" w:pos="50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Confidential, for Use of the Commission Only (as permitted by Rule 14a-6(e)(2))</w:t>
      </w:r>
    </w:p>
    <w:p>
      <w:pPr>
        <w:spacing w:after="0" w:line="131" w:lineRule="exact"/>
        <w:rPr>
          <w:sz w:val="24"/>
          <w:szCs w:val="24"/>
          <w:color w:val="auto"/>
        </w:rPr>
      </w:pPr>
    </w:p>
    <w:p>
      <w:pPr>
        <w:ind w:left="500" w:hanging="496"/>
        <w:spacing w:after="0"/>
        <w:tabs>
          <w:tab w:leader="none" w:pos="500" w:val="left"/>
        </w:tabs>
        <w:numPr>
          <w:ilvl w:val="0"/>
          <w:numId w:val="2"/>
        </w:numPr>
        <w:rPr>
          <w:rFonts w:ascii="Wingdings" w:cs="Wingdings" w:eastAsia="Wingdings" w:hAnsi="Wingdings"/>
          <w:sz w:val="18"/>
          <w:szCs w:val="18"/>
          <w:b w:val="1"/>
          <w:bCs w:val="1"/>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500" w:hanging="496"/>
        <w:spacing w:after="0"/>
        <w:tabs>
          <w:tab w:leader="none" w:pos="500" w:val="left"/>
        </w:tabs>
        <w:numPr>
          <w:ilvl w:val="0"/>
          <w:numId w:val="3"/>
        </w:numPr>
        <w:rPr>
          <w:rFonts w:ascii="Wingdings" w:cs="Wingdings" w:eastAsia="Wingdings" w:hAnsi="Wingdings"/>
          <w:sz w:val="18"/>
          <w:szCs w:val="18"/>
          <w:b w:val="1"/>
          <w:bCs w:val="1"/>
          <w:color w:val="auto"/>
        </w:rPr>
      </w:pPr>
      <w:r>
        <w:rPr>
          <w:rFonts w:ascii="Arial" w:cs="Arial" w:eastAsia="Arial" w:hAnsi="Arial"/>
          <w:sz w:val="18"/>
          <w:szCs w:val="18"/>
          <w:color w:val="auto"/>
        </w:rPr>
        <w:t>Definitive Additional Materials</w:t>
      </w:r>
    </w:p>
    <w:p>
      <w:pPr>
        <w:spacing w:after="0" w:line="130" w:lineRule="exact"/>
        <w:rPr>
          <w:rFonts w:ascii="Wingdings" w:cs="Wingdings" w:eastAsia="Wingdings" w:hAnsi="Wingdings"/>
          <w:sz w:val="18"/>
          <w:szCs w:val="18"/>
          <w:b w:val="1"/>
          <w:bCs w:val="1"/>
          <w:color w:val="auto"/>
        </w:rPr>
      </w:pPr>
    </w:p>
    <w:p>
      <w:pPr>
        <w:ind w:left="500" w:hanging="496"/>
        <w:spacing w:after="0"/>
        <w:tabs>
          <w:tab w:leader="none" w:pos="500" w:val="left"/>
        </w:tabs>
        <w:numPr>
          <w:ilvl w:val="0"/>
          <w:numId w:val="3"/>
        </w:numPr>
        <w:rPr>
          <w:rFonts w:ascii="Wingdings" w:cs="Wingdings" w:eastAsia="Wingdings" w:hAnsi="Wingdings"/>
          <w:sz w:val="18"/>
          <w:szCs w:val="18"/>
          <w:b w:val="1"/>
          <w:bCs w:val="1"/>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2625725</wp:posOffset>
            </wp:positionH>
            <wp:positionV relativeFrom="paragraph">
              <wp:posOffset>111760</wp:posOffset>
            </wp:positionV>
            <wp:extent cx="925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84" w:lineRule="exact"/>
        <w:rPr>
          <w:sz w:val="24"/>
          <w:szCs w:val="24"/>
          <w:color w:val="auto"/>
        </w:rPr>
      </w:pPr>
    </w:p>
    <w:p>
      <w:pPr>
        <w:jc w:val="center"/>
        <w:ind w:right="-360"/>
        <w:spacing w:after="0"/>
        <w:rPr>
          <w:sz w:val="20"/>
          <w:szCs w:val="20"/>
          <w:color w:val="auto"/>
        </w:rPr>
      </w:pPr>
      <w:r>
        <w:rPr>
          <w:rFonts w:ascii="Arial" w:cs="Arial" w:eastAsia="Arial" w:hAnsi="Arial"/>
          <w:sz w:val="45"/>
          <w:szCs w:val="45"/>
          <w:b w:val="1"/>
          <w:bCs w:val="1"/>
          <w:color w:val="auto"/>
        </w:rPr>
        <w:t>UFP INDUSTRIES, INC.</w:t>
      </w:r>
    </w:p>
    <w:p>
      <w:pPr>
        <w:spacing w:after="0" w:line="200"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2625725</wp:posOffset>
            </wp:positionH>
            <wp:positionV relativeFrom="paragraph">
              <wp:posOffset>86360</wp:posOffset>
            </wp:positionV>
            <wp:extent cx="925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1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500" w:hanging="496"/>
        <w:spacing w:after="0"/>
        <w:tabs>
          <w:tab w:leader="none" w:pos="500" w:val="left"/>
        </w:tabs>
        <w:numPr>
          <w:ilvl w:val="0"/>
          <w:numId w:val="4"/>
        </w:numPr>
        <w:rPr>
          <w:rFonts w:ascii="Wingdings" w:cs="Wingdings" w:eastAsia="Wingdings" w:hAnsi="Wingdings"/>
          <w:sz w:val="18"/>
          <w:szCs w:val="18"/>
          <w:b w:val="1"/>
          <w:bCs w:val="1"/>
          <w:color w:val="auto"/>
        </w:rPr>
      </w:pPr>
      <w:r>
        <w:rPr>
          <w:rFonts w:ascii="Arial" w:cs="Arial" w:eastAsia="Arial" w:hAnsi="Arial"/>
          <w:sz w:val="18"/>
          <w:szCs w:val="18"/>
          <w:color w:val="auto"/>
        </w:rPr>
        <w:t>No fee required.</w:t>
      </w:r>
    </w:p>
    <w:p>
      <w:pPr>
        <w:spacing w:after="0" w:line="130" w:lineRule="exact"/>
        <w:rPr>
          <w:rFonts w:ascii="Wingdings" w:cs="Wingdings" w:eastAsia="Wingdings" w:hAnsi="Wingdings"/>
          <w:sz w:val="18"/>
          <w:szCs w:val="18"/>
          <w:b w:val="1"/>
          <w:bCs w:val="1"/>
          <w:color w:val="auto"/>
        </w:rPr>
      </w:pPr>
    </w:p>
    <w:p>
      <w:pPr>
        <w:ind w:left="500" w:hanging="496"/>
        <w:spacing w:after="0"/>
        <w:tabs>
          <w:tab w:leader="none" w:pos="500" w:val="left"/>
        </w:tabs>
        <w:numPr>
          <w:ilvl w:val="0"/>
          <w:numId w:val="4"/>
        </w:numPr>
        <w:rPr>
          <w:rFonts w:ascii="Wingdings" w:cs="Wingdings" w:eastAsia="Wingdings" w:hAnsi="Wingdings"/>
          <w:sz w:val="18"/>
          <w:szCs w:val="18"/>
          <w:b w:val="1"/>
          <w:bCs w:val="1"/>
          <w:color w:val="auto"/>
        </w:rPr>
      </w:pPr>
      <w:r>
        <w:rPr>
          <w:rFonts w:ascii="Arial" w:cs="Arial" w:eastAsia="Arial" w:hAnsi="Arial"/>
          <w:sz w:val="18"/>
          <w:szCs w:val="18"/>
          <w:color w:val="auto"/>
        </w:rPr>
        <w:t>Fee paid previously with preliminary materials.</w:t>
      </w:r>
    </w:p>
    <w:p>
      <w:pPr>
        <w:spacing w:after="0" w:line="130" w:lineRule="exact"/>
        <w:rPr>
          <w:rFonts w:ascii="Wingdings" w:cs="Wingdings" w:eastAsia="Wingdings" w:hAnsi="Wingdings"/>
          <w:sz w:val="18"/>
          <w:szCs w:val="18"/>
          <w:b w:val="1"/>
          <w:bCs w:val="1"/>
          <w:color w:val="auto"/>
        </w:rPr>
      </w:pPr>
    </w:p>
    <w:p>
      <w:pPr>
        <w:ind w:left="500" w:hanging="496"/>
        <w:spacing w:after="0"/>
        <w:tabs>
          <w:tab w:leader="none" w:pos="500" w:val="left"/>
        </w:tabs>
        <w:numPr>
          <w:ilvl w:val="0"/>
          <w:numId w:val="4"/>
        </w:numPr>
        <w:rPr>
          <w:rFonts w:ascii="Wingdings" w:cs="Wingdings" w:eastAsia="Wingdings" w:hAnsi="Wingdings"/>
          <w:sz w:val="17"/>
          <w:szCs w:val="17"/>
          <w:b w:val="1"/>
          <w:bCs w:val="1"/>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153670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213360</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599440</wp:posOffset>
            </wp:positionV>
            <wp:extent cx="6172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379"/>
          </w:cols>
          <w:pgMar w:left="1080" w:top="43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2801 East Beltline 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-95885</wp:posOffset>
            </wp:positionV>
            <wp:extent cx="1714500"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3175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Grand Rapids, MI 49525</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238760</wp:posOffset>
            </wp:positionV>
            <wp:extent cx="3086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Annual Meeting of Shareholders of UFP Industries, Inc. (the “Company”) will be held in the Company’s Technology and Training Building, 2880 East Beltline Lane NE, Grand Rapids, MI 49525, on Wednesday, April 26, 2023, at 8:30 a.m. EDT (registration begins at 8:00 a.m. EDT)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83185</wp:posOffset>
            </wp:positionV>
            <wp:extent cx="300355" cy="30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92075</wp:posOffset>
            </wp:positionV>
            <wp:extent cx="30035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355" cy="30861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83185</wp:posOffset>
            </wp:positionV>
            <wp:extent cx="300355"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tcPr>
          <w:p>
            <w:pPr>
              <w:spacing w:after="0"/>
              <w:rPr>
                <w:sz w:val="20"/>
                <w:szCs w:val="20"/>
                <w:color w:val="auto"/>
              </w:rPr>
            </w:pPr>
            <w:r>
              <w:rPr>
                <w:rFonts w:ascii="Arial" w:cs="Arial" w:eastAsia="Arial" w:hAnsi="Arial"/>
                <w:sz w:val="13"/>
                <w:szCs w:val="13"/>
                <w:b w:val="1"/>
                <w:bCs w:val="1"/>
                <w:color w:val="017B52"/>
              </w:rPr>
              <w:t>DATE &amp; TIME</w:t>
            </w:r>
          </w:p>
        </w:tc>
        <w:tc>
          <w:tcPr>
            <w:tcW w:w="3280" w:type="dxa"/>
            <w:vAlign w:val="bottom"/>
          </w:tcPr>
          <w:p>
            <w:pPr>
              <w:ind w:left="380"/>
              <w:spacing w:after="0"/>
              <w:rPr>
                <w:sz w:val="20"/>
                <w:szCs w:val="20"/>
                <w:color w:val="auto"/>
              </w:rPr>
            </w:pPr>
            <w:r>
              <w:rPr>
                <w:rFonts w:ascii="Arial" w:cs="Arial" w:eastAsia="Arial" w:hAnsi="Arial"/>
                <w:sz w:val="13"/>
                <w:szCs w:val="13"/>
                <w:b w:val="1"/>
                <w:bCs w:val="1"/>
                <w:color w:val="017B52"/>
              </w:rPr>
              <w:t>PLACE</w:t>
            </w:r>
          </w:p>
        </w:tc>
        <w:tc>
          <w:tcPr>
            <w:tcW w:w="3300" w:type="dxa"/>
            <w:vAlign w:val="bottom"/>
          </w:tcPr>
          <w:p>
            <w:pPr>
              <w:ind w:left="500"/>
              <w:spacing w:after="0"/>
              <w:rPr>
                <w:sz w:val="20"/>
                <w:szCs w:val="20"/>
                <w:color w:val="auto"/>
              </w:rPr>
            </w:pPr>
            <w:r>
              <w:rPr>
                <w:rFonts w:ascii="Arial" w:cs="Arial" w:eastAsia="Arial" w:hAnsi="Arial"/>
                <w:sz w:val="13"/>
                <w:szCs w:val="13"/>
                <w:b w:val="1"/>
                <w:bCs w:val="1"/>
                <w:color w:val="017B52"/>
              </w:rPr>
              <w:t>RECORD DATE</w:t>
            </w:r>
          </w:p>
        </w:tc>
      </w:tr>
      <w:tr>
        <w:trPr>
          <w:trHeight w:val="316"/>
        </w:trPr>
        <w:tc>
          <w:tcPr>
            <w:tcW w:w="3020" w:type="dxa"/>
            <w:vAlign w:val="bottom"/>
          </w:tcPr>
          <w:p>
            <w:pPr>
              <w:spacing w:after="0"/>
              <w:rPr>
                <w:sz w:val="20"/>
                <w:szCs w:val="20"/>
                <w:color w:val="auto"/>
              </w:rPr>
            </w:pPr>
            <w:r>
              <w:rPr>
                <w:rFonts w:ascii="Arial" w:cs="Arial" w:eastAsia="Arial" w:hAnsi="Arial"/>
                <w:sz w:val="16"/>
                <w:szCs w:val="16"/>
                <w:color w:val="auto"/>
              </w:rPr>
              <w:t>Wednesday, April 26, 2023</w:t>
            </w:r>
          </w:p>
        </w:tc>
        <w:tc>
          <w:tcPr>
            <w:tcW w:w="3280" w:type="dxa"/>
            <w:vAlign w:val="bottom"/>
          </w:tcPr>
          <w:p>
            <w:pPr>
              <w:ind w:left="380"/>
              <w:spacing w:after="0"/>
              <w:rPr>
                <w:sz w:val="20"/>
                <w:szCs w:val="20"/>
                <w:color w:val="auto"/>
              </w:rPr>
            </w:pPr>
            <w:r>
              <w:rPr>
                <w:rFonts w:ascii="Arial" w:cs="Arial" w:eastAsia="Arial" w:hAnsi="Arial"/>
                <w:sz w:val="16"/>
                <w:szCs w:val="16"/>
                <w:color w:val="auto"/>
              </w:rPr>
              <w:t>Technology and Training Building</w:t>
            </w:r>
          </w:p>
        </w:tc>
        <w:tc>
          <w:tcPr>
            <w:tcW w:w="3300" w:type="dxa"/>
            <w:vAlign w:val="bottom"/>
          </w:tcPr>
          <w:p>
            <w:pPr>
              <w:ind w:left="500"/>
              <w:spacing w:after="0"/>
              <w:rPr>
                <w:sz w:val="20"/>
                <w:szCs w:val="20"/>
                <w:color w:val="auto"/>
              </w:rPr>
            </w:pPr>
            <w:r>
              <w:rPr>
                <w:rFonts w:ascii="Arial" w:cs="Arial" w:eastAsia="Arial" w:hAnsi="Arial"/>
                <w:sz w:val="16"/>
                <w:szCs w:val="16"/>
                <w:color w:val="auto"/>
              </w:rPr>
              <w:t>March 1, 2023</w:t>
            </w:r>
          </w:p>
        </w:tc>
      </w:tr>
      <w:tr>
        <w:trPr>
          <w:trHeight w:val="298"/>
        </w:trPr>
        <w:tc>
          <w:tcPr>
            <w:tcW w:w="3020" w:type="dxa"/>
            <w:vAlign w:val="bottom"/>
          </w:tcPr>
          <w:p>
            <w:pPr>
              <w:spacing w:after="0"/>
              <w:rPr>
                <w:sz w:val="20"/>
                <w:szCs w:val="20"/>
                <w:color w:val="auto"/>
              </w:rPr>
            </w:pPr>
            <w:r>
              <w:rPr>
                <w:rFonts w:ascii="Arial" w:cs="Arial" w:eastAsia="Arial" w:hAnsi="Arial"/>
                <w:sz w:val="16"/>
                <w:szCs w:val="16"/>
                <w:color w:val="auto"/>
              </w:rPr>
              <w:t>8:30 a.m. EDT (registration begins at</w:t>
            </w:r>
          </w:p>
        </w:tc>
        <w:tc>
          <w:tcPr>
            <w:tcW w:w="3280" w:type="dxa"/>
            <w:vAlign w:val="bottom"/>
          </w:tcPr>
          <w:p>
            <w:pPr>
              <w:ind w:left="380"/>
              <w:spacing w:after="0"/>
              <w:rPr>
                <w:sz w:val="20"/>
                <w:szCs w:val="20"/>
                <w:color w:val="auto"/>
              </w:rPr>
            </w:pPr>
            <w:r>
              <w:rPr>
                <w:rFonts w:ascii="Arial" w:cs="Arial" w:eastAsia="Arial" w:hAnsi="Arial"/>
                <w:sz w:val="16"/>
                <w:szCs w:val="16"/>
                <w:color w:val="auto"/>
              </w:rPr>
              <w:t>2880 East Beltline Lane NE</w:t>
            </w:r>
          </w:p>
        </w:tc>
        <w:tc>
          <w:tcPr>
            <w:tcW w:w="3300" w:type="dxa"/>
            <w:vAlign w:val="bottom"/>
          </w:tcPr>
          <w:p>
            <w:pPr>
              <w:ind w:left="500"/>
              <w:spacing w:after="0"/>
              <w:rPr>
                <w:sz w:val="20"/>
                <w:szCs w:val="20"/>
                <w:color w:val="auto"/>
              </w:rPr>
            </w:pPr>
            <w:r>
              <w:rPr>
                <w:rFonts w:ascii="Arial" w:cs="Arial" w:eastAsia="Arial" w:hAnsi="Arial"/>
                <w:sz w:val="16"/>
                <w:szCs w:val="16"/>
                <w:color w:val="auto"/>
              </w:rPr>
              <w:t>You can vote if you were a shareholder</w:t>
            </w:r>
          </w:p>
        </w:tc>
      </w:tr>
      <w:tr>
        <w:trPr>
          <w:trHeight w:val="215"/>
        </w:trPr>
        <w:tc>
          <w:tcPr>
            <w:tcW w:w="3020" w:type="dxa"/>
            <w:vAlign w:val="bottom"/>
          </w:tcPr>
          <w:p>
            <w:pPr>
              <w:spacing w:after="0"/>
              <w:rPr>
                <w:sz w:val="20"/>
                <w:szCs w:val="20"/>
                <w:color w:val="auto"/>
              </w:rPr>
            </w:pPr>
            <w:r>
              <w:rPr>
                <w:rFonts w:ascii="Arial" w:cs="Arial" w:eastAsia="Arial" w:hAnsi="Arial"/>
                <w:sz w:val="16"/>
                <w:szCs w:val="16"/>
                <w:color w:val="auto"/>
              </w:rPr>
              <w:t>8:00 a.m. EDT)</w:t>
            </w:r>
          </w:p>
        </w:tc>
        <w:tc>
          <w:tcPr>
            <w:tcW w:w="3280" w:type="dxa"/>
            <w:vAlign w:val="bottom"/>
          </w:tcPr>
          <w:p>
            <w:pPr>
              <w:ind w:left="380"/>
              <w:spacing w:after="0"/>
              <w:rPr>
                <w:sz w:val="20"/>
                <w:szCs w:val="20"/>
                <w:color w:val="auto"/>
              </w:rPr>
            </w:pPr>
            <w:r>
              <w:rPr>
                <w:rFonts w:ascii="Arial" w:cs="Arial" w:eastAsia="Arial" w:hAnsi="Arial"/>
                <w:sz w:val="16"/>
                <w:szCs w:val="16"/>
                <w:color w:val="auto"/>
              </w:rPr>
              <w:t>Grand Rapids, MI 49525</w:t>
            </w:r>
          </w:p>
        </w:tc>
        <w:tc>
          <w:tcPr>
            <w:tcW w:w="3300" w:type="dxa"/>
            <w:vAlign w:val="bottom"/>
          </w:tcPr>
          <w:p>
            <w:pPr>
              <w:ind w:left="500"/>
              <w:spacing w:after="0"/>
              <w:rPr>
                <w:sz w:val="20"/>
                <w:szCs w:val="20"/>
                <w:color w:val="auto"/>
              </w:rPr>
            </w:pPr>
            <w:r>
              <w:rPr>
                <w:rFonts w:ascii="Arial" w:cs="Arial" w:eastAsia="Arial" w:hAnsi="Arial"/>
                <w:sz w:val="16"/>
                <w:szCs w:val="16"/>
                <w:color w:val="auto"/>
              </w:rPr>
              <w:t>of record on March 1, 2023</w:t>
            </w:r>
          </w:p>
        </w:tc>
      </w:tr>
    </w:tbl>
    <w:p>
      <w:pPr>
        <w:spacing w:after="0" w:line="109" w:lineRule="exact"/>
        <w:rPr>
          <w:sz w:val="20"/>
          <w:szCs w:val="20"/>
          <w:color w:val="auto"/>
        </w:rPr>
      </w:pPr>
    </w:p>
    <w:p>
      <w:pPr>
        <w:ind w:left="580" w:hanging="293"/>
        <w:spacing w:after="0"/>
        <w:tabs>
          <w:tab w:leader="none" w:pos="580" w:val="left"/>
        </w:tabs>
        <w:numPr>
          <w:ilvl w:val="0"/>
          <w:numId w:val="5"/>
        </w:numPr>
        <w:rPr>
          <w:rFonts w:ascii="Arial" w:cs="Arial" w:eastAsia="Arial" w:hAnsi="Arial"/>
          <w:sz w:val="16"/>
          <w:szCs w:val="16"/>
          <w:color w:val="017B52"/>
        </w:rPr>
      </w:pPr>
      <w:r>
        <w:rPr>
          <w:rFonts w:ascii="Arial" w:cs="Arial" w:eastAsia="Arial" w:hAnsi="Arial"/>
          <w:sz w:val="16"/>
          <w:szCs w:val="16"/>
          <w:color w:val="auto"/>
        </w:rPr>
        <w:t>To elect three directors for three-year terms expiring in 2026.</w:t>
      </w:r>
    </w:p>
    <w:p>
      <w:pPr>
        <w:spacing w:after="0" w:line="126" w:lineRule="exact"/>
        <w:rPr>
          <w:rFonts w:ascii="Arial" w:cs="Arial" w:eastAsia="Arial" w:hAnsi="Arial"/>
          <w:sz w:val="16"/>
          <w:szCs w:val="16"/>
          <w:color w:val="017B52"/>
        </w:rPr>
      </w:pPr>
    </w:p>
    <w:p>
      <w:pPr>
        <w:ind w:left="580" w:hanging="293"/>
        <w:spacing w:after="0"/>
        <w:tabs>
          <w:tab w:leader="none" w:pos="580" w:val="left"/>
        </w:tabs>
        <w:numPr>
          <w:ilvl w:val="0"/>
          <w:numId w:val="5"/>
        </w:numPr>
        <w:rPr>
          <w:rFonts w:ascii="Arial" w:cs="Arial" w:eastAsia="Arial" w:hAnsi="Arial"/>
          <w:sz w:val="16"/>
          <w:szCs w:val="16"/>
          <w:color w:val="017B52"/>
        </w:rPr>
      </w:pPr>
      <w:r>
        <w:rPr>
          <w:rFonts w:ascii="Arial" w:cs="Arial" w:eastAsia="Arial" w:hAnsi="Arial"/>
          <w:sz w:val="16"/>
          <w:szCs w:val="16"/>
          <w:color w:val="auto"/>
        </w:rPr>
        <w:t>To ratify the appointment of Deloitte &amp; Touche LLP as our independent registered public accounting firm for fiscal 2023.</w:t>
      </w:r>
    </w:p>
    <w:p>
      <w:pPr>
        <w:spacing w:after="0" w:line="126" w:lineRule="exact"/>
        <w:rPr>
          <w:rFonts w:ascii="Arial" w:cs="Arial" w:eastAsia="Arial" w:hAnsi="Arial"/>
          <w:sz w:val="16"/>
          <w:szCs w:val="16"/>
          <w:color w:val="017B52"/>
        </w:rPr>
      </w:pPr>
    </w:p>
    <w:p>
      <w:pPr>
        <w:ind w:left="580" w:hanging="293"/>
        <w:spacing w:after="0"/>
        <w:tabs>
          <w:tab w:leader="none" w:pos="580" w:val="left"/>
        </w:tabs>
        <w:numPr>
          <w:ilvl w:val="0"/>
          <w:numId w:val="5"/>
        </w:numPr>
        <w:rPr>
          <w:rFonts w:ascii="Arial" w:cs="Arial" w:eastAsia="Arial" w:hAnsi="Arial"/>
          <w:sz w:val="16"/>
          <w:szCs w:val="16"/>
          <w:color w:val="017B52"/>
        </w:rPr>
      </w:pPr>
      <w:r>
        <w:rPr>
          <w:rFonts w:ascii="Arial" w:cs="Arial" w:eastAsia="Arial" w:hAnsi="Arial"/>
          <w:sz w:val="16"/>
          <w:szCs w:val="16"/>
          <w:color w:val="auto"/>
        </w:rPr>
        <w:t>To participate in an advisory vote to approve the compensation paid to our Named Executives.</w:t>
      </w:r>
    </w:p>
    <w:p>
      <w:pPr>
        <w:spacing w:after="0" w:line="126" w:lineRule="exact"/>
        <w:rPr>
          <w:rFonts w:ascii="Arial" w:cs="Arial" w:eastAsia="Arial" w:hAnsi="Arial"/>
          <w:sz w:val="16"/>
          <w:szCs w:val="16"/>
          <w:color w:val="017B52"/>
        </w:rPr>
      </w:pPr>
    </w:p>
    <w:p>
      <w:pPr>
        <w:ind w:left="580" w:hanging="293"/>
        <w:spacing w:after="0"/>
        <w:tabs>
          <w:tab w:leader="none" w:pos="580" w:val="left"/>
        </w:tabs>
        <w:numPr>
          <w:ilvl w:val="0"/>
          <w:numId w:val="5"/>
        </w:numPr>
        <w:rPr>
          <w:rFonts w:ascii="Arial" w:cs="Arial" w:eastAsia="Arial" w:hAnsi="Arial"/>
          <w:sz w:val="16"/>
          <w:szCs w:val="16"/>
          <w:color w:val="017B52"/>
        </w:rPr>
      </w:pPr>
      <w:r>
        <w:rPr>
          <w:rFonts w:ascii="Arial" w:cs="Arial" w:eastAsia="Arial" w:hAnsi="Arial"/>
          <w:sz w:val="16"/>
          <w:szCs w:val="16"/>
          <w:color w:val="auto"/>
        </w:rPr>
        <w:t>To consider an advisory vote on the frequency of a shareholder advisory vote on executive compensation.</w:t>
      </w:r>
    </w:p>
    <w:p>
      <w:pPr>
        <w:spacing w:after="0" w:line="126" w:lineRule="exact"/>
        <w:rPr>
          <w:rFonts w:ascii="Arial" w:cs="Arial" w:eastAsia="Arial" w:hAnsi="Arial"/>
          <w:sz w:val="16"/>
          <w:szCs w:val="16"/>
          <w:color w:val="017B52"/>
        </w:rPr>
      </w:pPr>
    </w:p>
    <w:p>
      <w:pPr>
        <w:ind w:left="580" w:hanging="293"/>
        <w:spacing w:after="0"/>
        <w:tabs>
          <w:tab w:leader="none" w:pos="580" w:val="left"/>
        </w:tabs>
        <w:numPr>
          <w:ilvl w:val="0"/>
          <w:numId w:val="5"/>
        </w:numPr>
        <w:rPr>
          <w:rFonts w:ascii="Arial" w:cs="Arial" w:eastAsia="Arial" w:hAnsi="Arial"/>
          <w:sz w:val="16"/>
          <w:szCs w:val="16"/>
          <w:color w:val="017B52"/>
        </w:rPr>
      </w:pPr>
      <w:r>
        <w:rPr>
          <w:rFonts w:ascii="Arial" w:cs="Arial" w:eastAsia="Arial" w:hAnsi="Arial"/>
          <w:sz w:val="16"/>
          <w:szCs w:val="16"/>
          <w:color w:val="auto"/>
        </w:rPr>
        <w:t>To transact such other business as may properly come before the meeting or any adjournment thereof.</w:t>
      </w:r>
    </w:p>
    <w:p>
      <w:pPr>
        <w:spacing w:after="0" w:line="167"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Shareholders of record at the close of business on March 1, 2023, are entitled to notice of and to vote at the meeting. To vote by telephone, shareholders of record may call toll-free on a touch-tone telephone, 1-800-690-6903, enter the control number located on their proxy card or Notice of Internet Availability of Proxy Materials, and follow the recorded instructions. To vote via the Internet, shareholders of record may go to www.proxyvote.com, enter the control number located on their proxy card or Notice, and follow the instructions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88900</wp:posOffset>
            </wp:positionV>
            <wp:extent cx="617220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342900"/>
                    </a:xfrm>
                    <a:prstGeom prst="rect">
                      <a:avLst/>
                    </a:prstGeom>
                    <a:noFill/>
                  </pic:spPr>
                </pic:pic>
              </a:graphicData>
            </a:graphic>
          </wp:anchor>
        </w:drawing>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17B52"/>
        </w:rPr>
        <w:t>Your vote is important. Even if you plan to attend the meeting, PLEASE VOTE YOUR PROXY PROMPTLY.</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143510</wp:posOffset>
            </wp:positionV>
            <wp:extent cx="1714500" cy="52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333333"/>
        </w:rPr>
        <w:t>David A. Tutas,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General Counsel and Secretary</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333333"/>
        </w:rPr>
        <w:t>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469265</wp:posOffset>
            </wp:positionV>
            <wp:extent cx="61722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368935</wp:posOffset>
            </wp:positionV>
            <wp:extent cx="1714500"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144145</wp:posOffset>
            </wp:positionV>
            <wp:extent cx="3086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60" w:type="dxa"/>
            <w:vAlign w:val="bottom"/>
          </w:tcPr>
          <w:p>
            <w:pPr>
              <w:spacing w:after="0"/>
              <w:rPr>
                <w:sz w:val="20"/>
                <w:szCs w:val="20"/>
                <w:color w:val="auto"/>
              </w:rPr>
            </w:pPr>
            <w:r>
              <w:rPr>
                <w:rFonts w:ascii="Arial" w:cs="Arial" w:eastAsia="Arial" w:hAnsi="Arial"/>
                <w:sz w:val="16"/>
                <w:szCs w:val="16"/>
                <w:color w:val="auto"/>
              </w:rPr>
              <w:t>Notice of 2023 Annual Meeting of Shareholders</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24"/>
        </w:trPr>
        <w:tc>
          <w:tcPr>
            <w:tcW w:w="8760" w:type="dxa"/>
            <w:vAlign w:val="bottom"/>
          </w:tcPr>
          <w:p>
            <w:pPr>
              <w:spacing w:after="0"/>
              <w:rPr>
                <w:sz w:val="20"/>
                <w:szCs w:val="20"/>
                <w:color w:val="auto"/>
              </w:rPr>
            </w:pPr>
            <w:r>
              <w:rPr>
                <w:rFonts w:ascii="Arial" w:cs="Arial" w:eastAsia="Arial" w:hAnsi="Arial"/>
                <w:sz w:val="16"/>
                <w:szCs w:val="16"/>
                <w:color w:val="auto"/>
              </w:rPr>
              <w:t>2023 Proxy Statement</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24"/>
        </w:trPr>
        <w:tc>
          <w:tcPr>
            <w:tcW w:w="8760" w:type="dxa"/>
            <w:vAlign w:val="bottom"/>
          </w:tcPr>
          <w:p>
            <w:pPr>
              <w:spacing w:after="0"/>
              <w:rPr>
                <w:sz w:val="20"/>
                <w:szCs w:val="20"/>
                <w:color w:val="auto"/>
              </w:rPr>
            </w:pPr>
            <w:r>
              <w:rPr>
                <w:rFonts w:ascii="Arial" w:cs="Arial" w:eastAsia="Arial" w:hAnsi="Arial"/>
                <w:sz w:val="16"/>
                <w:szCs w:val="16"/>
                <w:color w:val="auto"/>
              </w:rPr>
              <w:t>Voting Securities and Record Date</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2"/>
        </w:trPr>
        <w:tc>
          <w:tcPr>
            <w:tcW w:w="8760" w:type="dxa"/>
            <w:vAlign w:val="bottom"/>
          </w:tcPr>
          <w:p>
            <w:pPr>
              <w:spacing w:after="0"/>
              <w:rPr>
                <w:sz w:val="20"/>
                <w:szCs w:val="20"/>
                <w:color w:val="auto"/>
              </w:rPr>
            </w:pPr>
            <w:r>
              <w:rPr>
                <w:rFonts w:ascii="Arial" w:cs="Arial" w:eastAsia="Arial" w:hAnsi="Arial"/>
                <w:sz w:val="16"/>
                <w:szCs w:val="16"/>
                <w:b w:val="1"/>
                <w:bCs w:val="1"/>
                <w:color w:val="017B52"/>
              </w:rPr>
              <w:t>Election Of Directors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17B52"/>
              </w:rPr>
              <w:t>9</w:t>
            </w:r>
          </w:p>
        </w:tc>
      </w:tr>
      <w:tr>
        <w:trPr>
          <w:trHeight w:val="316"/>
        </w:trPr>
        <w:tc>
          <w:tcPr>
            <w:tcW w:w="8760" w:type="dxa"/>
            <w:vAlign w:val="bottom"/>
          </w:tcPr>
          <w:p>
            <w:pPr>
              <w:spacing w:after="0"/>
              <w:rPr>
                <w:sz w:val="20"/>
                <w:szCs w:val="20"/>
                <w:color w:val="auto"/>
              </w:rPr>
            </w:pPr>
            <w:r>
              <w:rPr>
                <w:rFonts w:ascii="Arial" w:cs="Arial" w:eastAsia="Arial" w:hAnsi="Arial"/>
                <w:sz w:val="16"/>
                <w:szCs w:val="16"/>
                <w:color w:val="auto"/>
              </w:rPr>
              <w:t>Incumbent Directors – Term Expiring in 2024</w:t>
            </w: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24"/>
        </w:trPr>
        <w:tc>
          <w:tcPr>
            <w:tcW w:w="8760" w:type="dxa"/>
            <w:vAlign w:val="bottom"/>
          </w:tcPr>
          <w:p>
            <w:pPr>
              <w:spacing w:after="0"/>
              <w:rPr>
                <w:sz w:val="20"/>
                <w:szCs w:val="20"/>
                <w:color w:val="auto"/>
              </w:rPr>
            </w:pPr>
            <w:r>
              <w:rPr>
                <w:rFonts w:ascii="Arial" w:cs="Arial" w:eastAsia="Arial" w:hAnsi="Arial"/>
                <w:sz w:val="16"/>
                <w:szCs w:val="16"/>
                <w:color w:val="auto"/>
              </w:rPr>
              <w:t>Incumbent Directors – Term Expiring in 2025</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24"/>
        </w:trPr>
        <w:tc>
          <w:tcPr>
            <w:tcW w:w="8760" w:type="dxa"/>
            <w:vAlign w:val="bottom"/>
          </w:tcPr>
          <w:p>
            <w:pPr>
              <w:spacing w:after="0"/>
              <w:rPr>
                <w:sz w:val="20"/>
                <w:szCs w:val="20"/>
                <w:color w:val="auto"/>
              </w:rPr>
            </w:pPr>
            <w:r>
              <w:rPr>
                <w:rFonts w:ascii="Arial" w:cs="Arial" w:eastAsia="Arial" w:hAnsi="Arial"/>
                <w:sz w:val="16"/>
                <w:szCs w:val="16"/>
                <w:color w:val="auto"/>
              </w:rPr>
              <w:t>Board Diversity Matrix (As of March 1, 2023)</w:t>
            </w: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2"/>
        </w:trPr>
        <w:tc>
          <w:tcPr>
            <w:tcW w:w="8760" w:type="dxa"/>
            <w:vAlign w:val="bottom"/>
          </w:tcPr>
          <w:p>
            <w:pPr>
              <w:spacing w:after="0"/>
              <w:rPr>
                <w:sz w:val="20"/>
                <w:szCs w:val="20"/>
                <w:color w:val="auto"/>
              </w:rPr>
            </w:pPr>
            <w:r>
              <w:rPr>
                <w:rFonts w:ascii="Arial" w:cs="Arial" w:eastAsia="Arial" w:hAnsi="Arial"/>
                <w:sz w:val="16"/>
                <w:szCs w:val="16"/>
                <w:b w:val="1"/>
                <w:bCs w:val="1"/>
                <w:color w:val="017B52"/>
              </w:rPr>
              <w:t>Ratification of Deloitte &amp; Touche LLP as Independent Registered Public Accounting Firm for Fiscal 2023</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17B52"/>
              </w:rPr>
              <w:t>21</w:t>
            </w:r>
          </w:p>
        </w:tc>
      </w:tr>
      <w:tr>
        <w:trPr>
          <w:trHeight w:val="316"/>
        </w:trPr>
        <w:tc>
          <w:tcPr>
            <w:tcW w:w="8760" w:type="dxa"/>
            <w:vAlign w:val="bottom"/>
          </w:tcPr>
          <w:p>
            <w:pPr>
              <w:spacing w:after="0"/>
              <w:rPr>
                <w:sz w:val="20"/>
                <w:szCs w:val="20"/>
                <w:color w:val="auto"/>
              </w:rPr>
            </w:pPr>
            <w:r>
              <w:rPr>
                <w:rFonts w:ascii="Arial" w:cs="Arial" w:eastAsia="Arial" w:hAnsi="Arial"/>
                <w:sz w:val="16"/>
                <w:szCs w:val="16"/>
                <w:color w:val="auto"/>
              </w:rPr>
              <w:t>Audit Committee Report</w:t>
            </w: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24"/>
        </w:trPr>
        <w:tc>
          <w:tcPr>
            <w:tcW w:w="8760" w:type="dxa"/>
            <w:vAlign w:val="bottom"/>
          </w:tcPr>
          <w:p>
            <w:pPr>
              <w:spacing w:after="0"/>
              <w:rPr>
                <w:sz w:val="20"/>
                <w:szCs w:val="20"/>
                <w:color w:val="auto"/>
              </w:rPr>
            </w:pPr>
            <w:r>
              <w:rPr>
                <w:rFonts w:ascii="Arial" w:cs="Arial" w:eastAsia="Arial" w:hAnsi="Arial"/>
                <w:sz w:val="16"/>
                <w:szCs w:val="16"/>
                <w:color w:val="auto"/>
              </w:rPr>
              <w:t>Advisory (Non-Binding) Vote on Executive Compensation</w:t>
            </w: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24"/>
        </w:trPr>
        <w:tc>
          <w:tcPr>
            <w:tcW w:w="8760" w:type="dxa"/>
            <w:vAlign w:val="bottom"/>
          </w:tcPr>
          <w:p>
            <w:pPr>
              <w:spacing w:after="0"/>
              <w:rPr>
                <w:sz w:val="20"/>
                <w:szCs w:val="20"/>
                <w:color w:val="auto"/>
              </w:rPr>
            </w:pPr>
            <w:r>
              <w:rPr>
                <w:rFonts w:ascii="Arial" w:cs="Arial" w:eastAsia="Arial" w:hAnsi="Arial"/>
                <w:sz w:val="16"/>
                <w:szCs w:val="16"/>
                <w:color w:val="auto"/>
              </w:rPr>
              <w:t>Advisory Vote on the Frequency of Shareholder Votes on Executive Compensation</w:t>
            </w: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24"/>
        </w:trPr>
        <w:tc>
          <w:tcPr>
            <w:tcW w:w="8760" w:type="dxa"/>
            <w:vAlign w:val="bottom"/>
          </w:tcPr>
          <w:p>
            <w:pPr>
              <w:spacing w:after="0"/>
              <w:rPr>
                <w:sz w:val="20"/>
                <w:szCs w:val="20"/>
                <w:color w:val="auto"/>
              </w:rPr>
            </w:pPr>
            <w:r>
              <w:rPr>
                <w:rFonts w:ascii="Arial" w:cs="Arial" w:eastAsia="Arial" w:hAnsi="Arial"/>
                <w:sz w:val="16"/>
                <w:szCs w:val="16"/>
                <w:color w:val="auto"/>
              </w:rPr>
              <w:t>Securities Ownership of Management and Directors</w:t>
            </w: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2"/>
        </w:trPr>
        <w:tc>
          <w:tcPr>
            <w:tcW w:w="8760" w:type="dxa"/>
            <w:vAlign w:val="bottom"/>
          </w:tcPr>
          <w:p>
            <w:pPr>
              <w:spacing w:after="0"/>
              <w:rPr>
                <w:sz w:val="20"/>
                <w:szCs w:val="20"/>
                <w:color w:val="auto"/>
              </w:rPr>
            </w:pPr>
            <w:r>
              <w:rPr>
                <w:rFonts w:ascii="Arial" w:cs="Arial" w:eastAsia="Arial" w:hAnsi="Arial"/>
                <w:sz w:val="16"/>
                <w:szCs w:val="16"/>
                <w:b w:val="1"/>
                <w:bCs w:val="1"/>
                <w:color w:val="017B52"/>
              </w:rPr>
              <w:t>Executive Compensation</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17B52"/>
              </w:rPr>
              <w:t>26</w:t>
            </w:r>
          </w:p>
        </w:tc>
      </w:tr>
      <w:tr>
        <w:trPr>
          <w:trHeight w:val="316"/>
        </w:trPr>
        <w:tc>
          <w:tcPr>
            <w:tcW w:w="8760" w:type="dxa"/>
            <w:vAlign w:val="bottom"/>
          </w:tcPr>
          <w:p>
            <w:pPr>
              <w:spacing w:after="0"/>
              <w:rPr>
                <w:sz w:val="20"/>
                <w:szCs w:val="20"/>
                <w:color w:val="auto"/>
              </w:rPr>
            </w:pPr>
            <w:r>
              <w:rPr>
                <w:rFonts w:ascii="Arial" w:cs="Arial" w:eastAsia="Arial" w:hAnsi="Arial"/>
                <w:sz w:val="16"/>
                <w:szCs w:val="16"/>
                <w:color w:val="auto"/>
              </w:rPr>
              <w:t>Compensation Discussion and Analysis</w:t>
            </w:r>
          </w:p>
        </w:tc>
        <w:tc>
          <w:tcPr>
            <w:tcW w:w="9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24"/>
        </w:trPr>
        <w:tc>
          <w:tcPr>
            <w:tcW w:w="8760" w:type="dxa"/>
            <w:vAlign w:val="bottom"/>
          </w:tcPr>
          <w:p>
            <w:pPr>
              <w:spacing w:after="0"/>
              <w:rPr>
                <w:sz w:val="20"/>
                <w:szCs w:val="20"/>
                <w:color w:val="auto"/>
              </w:rPr>
            </w:pPr>
            <w:r>
              <w:rPr>
                <w:rFonts w:ascii="Arial" w:cs="Arial" w:eastAsia="Arial" w:hAnsi="Arial"/>
                <w:sz w:val="16"/>
                <w:szCs w:val="16"/>
                <w:color w:val="auto"/>
              </w:rPr>
              <w:t>Personnel and Compensation Committee Report</w:t>
            </w: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24"/>
        </w:trPr>
        <w:tc>
          <w:tcPr>
            <w:tcW w:w="8760" w:type="dxa"/>
            <w:vAlign w:val="bottom"/>
          </w:tcPr>
          <w:p>
            <w:pPr>
              <w:spacing w:after="0"/>
              <w:rPr>
                <w:sz w:val="20"/>
                <w:szCs w:val="20"/>
                <w:color w:val="auto"/>
              </w:rPr>
            </w:pPr>
            <w:r>
              <w:rPr>
                <w:rFonts w:ascii="Arial" w:cs="Arial" w:eastAsia="Arial" w:hAnsi="Arial"/>
                <w:sz w:val="16"/>
                <w:szCs w:val="16"/>
                <w:color w:val="auto"/>
              </w:rPr>
              <w:t>Other Post-Employment Compensation</w:t>
            </w:r>
          </w:p>
        </w:tc>
        <w:tc>
          <w:tcPr>
            <w:tcW w:w="9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24"/>
        </w:trPr>
        <w:tc>
          <w:tcPr>
            <w:tcW w:w="8760" w:type="dxa"/>
            <w:vAlign w:val="bottom"/>
          </w:tcPr>
          <w:p>
            <w:pPr>
              <w:spacing w:after="0"/>
              <w:rPr>
                <w:sz w:val="20"/>
                <w:szCs w:val="20"/>
                <w:color w:val="auto"/>
              </w:rPr>
            </w:pPr>
            <w:r>
              <w:rPr>
                <w:rFonts w:ascii="Arial" w:cs="Arial" w:eastAsia="Arial" w:hAnsi="Arial"/>
                <w:sz w:val="16"/>
                <w:szCs w:val="16"/>
                <w:color w:val="auto"/>
              </w:rPr>
              <w:t>Delinquent Section 16(A) Reports</w:t>
            </w:r>
          </w:p>
        </w:tc>
        <w:tc>
          <w:tcPr>
            <w:tcW w:w="9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555"/>
        </w:trPr>
        <w:tc>
          <w:tcPr>
            <w:tcW w:w="8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720"/>
          </w:cols>
          <w:pgMar w:left="1080" w:top="229" w:right="10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UFP Industries, Inc.</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2801 East Beltline NE</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Grand Rapids, MI 49525</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Annual Meeting of Shareholders</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26, 2023</w:t>
      </w: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135890</wp:posOffset>
            </wp:positionV>
            <wp:extent cx="3086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General Questions and Answers about the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144145</wp:posOffset>
            </wp:positionV>
            <wp:extent cx="3086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information regarding the meeting and the voting process, presented in a question and answer format.</w:t>
      </w:r>
    </w:p>
    <w:p>
      <w:pPr>
        <w:spacing w:after="0" w:line="261" w:lineRule="exact"/>
        <w:rPr>
          <w:sz w:val="20"/>
          <w:szCs w:val="20"/>
          <w:color w:val="auto"/>
        </w:rPr>
      </w:pPr>
    </w:p>
    <w:p>
      <w:pPr>
        <w:ind w:left="680" w:hanging="676"/>
        <w:spacing w:after="0"/>
        <w:tabs>
          <w:tab w:leader="none" w:pos="680" w:val="left"/>
        </w:tabs>
        <w:numPr>
          <w:ilvl w:val="0"/>
          <w:numId w:val="6"/>
        </w:numPr>
        <w:rPr>
          <w:rFonts w:ascii="Arial" w:cs="Arial" w:eastAsia="Arial" w:hAnsi="Arial"/>
          <w:sz w:val="22"/>
          <w:szCs w:val="22"/>
          <w:b w:val="1"/>
          <w:bCs w:val="1"/>
          <w:color w:val="58595B"/>
        </w:rPr>
      </w:pPr>
      <w:r>
        <w:rPr>
          <w:rFonts w:ascii="Arial" w:cs="Arial" w:eastAsia="Arial" w:hAnsi="Arial"/>
          <w:sz w:val="22"/>
          <w:szCs w:val="22"/>
          <w:b w:val="1"/>
          <w:bCs w:val="1"/>
          <w:color w:val="58595B"/>
        </w:rPr>
        <w:t>What is a proxy?</w:t>
      </w:r>
    </w:p>
    <w:p>
      <w:pPr>
        <w:spacing w:after="0" w:line="220" w:lineRule="exact"/>
        <w:rPr>
          <w:sz w:val="20"/>
          <w:szCs w:val="20"/>
          <w:color w:val="auto"/>
        </w:rPr>
      </w:pPr>
    </w:p>
    <w:p>
      <w:pPr>
        <w:ind w:left="680" w:right="220" w:hanging="676"/>
        <w:spacing w:after="0" w:line="189" w:lineRule="auto"/>
        <w:tabs>
          <w:tab w:leader="none" w:pos="680" w:val="left"/>
        </w:tabs>
        <w:numPr>
          <w:ilvl w:val="0"/>
          <w:numId w:val="7"/>
        </w:numPr>
        <w:rPr>
          <w:rFonts w:ascii="Arial" w:cs="Arial" w:eastAsia="Arial" w:hAnsi="Arial"/>
          <w:sz w:val="43"/>
          <w:szCs w:val="43"/>
          <w:b w:val="1"/>
          <w:bCs w:val="1"/>
          <w:color w:val="333333"/>
          <w:vertAlign w:val="subscript"/>
        </w:rPr>
      </w:pPr>
      <w:r>
        <w:rPr>
          <w:rFonts w:ascii="Arial" w:cs="Arial" w:eastAsia="Arial" w:hAnsi="Arial"/>
          <w:sz w:val="16"/>
          <w:szCs w:val="16"/>
          <w:color w:val="auto"/>
        </w:rPr>
        <w:t>A proxy is your authorization for someone else to vote for you in the way that you want to vote and allows you to be represented at our Annual Meeting of Shareholders (“Annual Meeting”) if you are unable to attend. When you complete and submit a proxy card, use the automated telephone voting system, or use the Internet voting system, you are submitting a proxy. The Board of Directors of the Company is soliciting this proxy. As used in this proxy statement, the terms “the Company,” “we,” “our” and “us” all refer to UFP Industries, Inc. and its subsidiaries.</w:t>
      </w:r>
    </w:p>
    <w:p>
      <w:pPr>
        <w:spacing w:after="0" w:line="178" w:lineRule="exact"/>
        <w:rPr>
          <w:sz w:val="20"/>
          <w:szCs w:val="20"/>
          <w:color w:val="auto"/>
        </w:rPr>
      </w:pPr>
    </w:p>
    <w:p>
      <w:pPr>
        <w:ind w:left="680" w:hanging="676"/>
        <w:spacing w:after="0"/>
        <w:tabs>
          <w:tab w:leader="none" w:pos="680" w:val="left"/>
        </w:tabs>
        <w:numPr>
          <w:ilvl w:val="0"/>
          <w:numId w:val="8"/>
        </w:numPr>
        <w:rPr>
          <w:rFonts w:ascii="Arial" w:cs="Arial" w:eastAsia="Arial" w:hAnsi="Arial"/>
          <w:sz w:val="22"/>
          <w:szCs w:val="22"/>
          <w:b w:val="1"/>
          <w:bCs w:val="1"/>
          <w:color w:val="58595B"/>
        </w:rPr>
      </w:pPr>
      <w:r>
        <w:rPr>
          <w:rFonts w:ascii="Arial" w:cs="Arial" w:eastAsia="Arial" w:hAnsi="Arial"/>
          <w:sz w:val="22"/>
          <w:szCs w:val="22"/>
          <w:b w:val="1"/>
          <w:bCs w:val="1"/>
          <w:color w:val="58595B"/>
        </w:rPr>
        <w:t>What is a proxy statement?</w:t>
      </w:r>
    </w:p>
    <w:p>
      <w:pPr>
        <w:spacing w:after="0" w:line="220" w:lineRule="exact"/>
        <w:rPr>
          <w:sz w:val="20"/>
          <w:szCs w:val="20"/>
          <w:color w:val="auto"/>
        </w:rPr>
      </w:pPr>
    </w:p>
    <w:p>
      <w:pPr>
        <w:jc w:val="both"/>
        <w:ind w:left="680" w:right="160" w:hanging="676"/>
        <w:spacing w:after="0" w:line="181" w:lineRule="auto"/>
        <w:tabs>
          <w:tab w:leader="none" w:pos="680" w:val="left"/>
        </w:tabs>
        <w:numPr>
          <w:ilvl w:val="0"/>
          <w:numId w:val="9"/>
        </w:numPr>
        <w:rPr>
          <w:rFonts w:ascii="Arial" w:cs="Arial" w:eastAsia="Arial" w:hAnsi="Arial"/>
          <w:sz w:val="38"/>
          <w:szCs w:val="38"/>
          <w:b w:val="1"/>
          <w:bCs w:val="1"/>
          <w:color w:val="58595B"/>
          <w:vertAlign w:val="subscript"/>
        </w:rPr>
      </w:pPr>
      <w:r>
        <w:rPr>
          <w:rFonts w:ascii="Arial" w:cs="Arial" w:eastAsia="Arial" w:hAnsi="Arial"/>
          <w:sz w:val="15"/>
          <w:szCs w:val="15"/>
          <w:color w:val="auto"/>
        </w:rPr>
        <w:t>A proxy statement is a document required by the United States Securities and Exchange Commission (“SEC”) to explain the matters on which you are being asked to vote by proxy and to disclose certain related information. This proxy statement was first made available to our shareholders on or about March 17, 2023.</w:t>
      </w:r>
    </w:p>
    <w:p>
      <w:pPr>
        <w:spacing w:after="0" w:line="179" w:lineRule="exact"/>
        <w:rPr>
          <w:sz w:val="20"/>
          <w:szCs w:val="20"/>
          <w:color w:val="auto"/>
        </w:rPr>
      </w:pPr>
    </w:p>
    <w:p>
      <w:pPr>
        <w:ind w:left="680" w:right="140" w:hanging="676"/>
        <w:spacing w:after="0" w:line="256" w:lineRule="auto"/>
        <w:tabs>
          <w:tab w:leader="none" w:pos="680" w:val="left"/>
        </w:tabs>
        <w:numPr>
          <w:ilvl w:val="0"/>
          <w:numId w:val="10"/>
        </w:numPr>
        <w:rPr>
          <w:rFonts w:ascii="Arial" w:cs="Arial" w:eastAsia="Arial" w:hAnsi="Arial"/>
          <w:sz w:val="22"/>
          <w:szCs w:val="22"/>
          <w:b w:val="1"/>
          <w:bCs w:val="1"/>
          <w:color w:val="58595B"/>
        </w:rPr>
      </w:pPr>
      <w:r>
        <w:rPr>
          <w:rFonts w:ascii="Arial" w:cs="Arial" w:eastAsia="Arial" w:hAnsi="Arial"/>
          <w:sz w:val="22"/>
          <w:szCs w:val="22"/>
          <w:b w:val="1"/>
          <w:bCs w:val="1"/>
          <w:color w:val="58595B"/>
        </w:rPr>
        <w:t>Why am I receiving my proxy materials electronically instead of receiving paper copies through the mail?</w:t>
      </w:r>
    </w:p>
    <w:p>
      <w:pPr>
        <w:spacing w:after="0" w:line="177" w:lineRule="exact"/>
        <w:rPr>
          <w:sz w:val="20"/>
          <w:szCs w:val="20"/>
          <w:color w:val="auto"/>
        </w:rPr>
      </w:pPr>
    </w:p>
    <w:p>
      <w:pPr>
        <w:ind w:left="680" w:hanging="676"/>
        <w:spacing w:after="0" w:line="181" w:lineRule="auto"/>
        <w:tabs>
          <w:tab w:leader="none" w:pos="680" w:val="left"/>
        </w:tabs>
        <w:numPr>
          <w:ilvl w:val="0"/>
          <w:numId w:val="11"/>
        </w:numPr>
        <w:rPr>
          <w:rFonts w:ascii="Arial" w:cs="Arial" w:eastAsia="Arial" w:hAnsi="Arial"/>
          <w:sz w:val="38"/>
          <w:szCs w:val="38"/>
          <w:b w:val="1"/>
          <w:bCs w:val="1"/>
          <w:color w:val="58595B"/>
          <w:vertAlign w:val="subscript"/>
        </w:rPr>
      </w:pPr>
      <w:r>
        <w:rPr>
          <w:rFonts w:ascii="Arial" w:cs="Arial" w:eastAsia="Arial" w:hAnsi="Arial"/>
          <w:sz w:val="15"/>
          <w:szCs w:val="15"/>
          <w:color w:val="auto"/>
        </w:rPr>
        <w:t>Under rules adopted by the SEC, we are furnishing proxy materials to our shareholders primarily via the Internet, instead of mailing printed copies of the proxy statement and annual report. In addition to reducing the amount of paper used in producing these materials, this method lowers the costs associated with mailing the proxy materials to shareholders.</w:t>
      </w:r>
    </w:p>
    <w:p>
      <w:pPr>
        <w:spacing w:after="0" w:line="193" w:lineRule="exact"/>
        <w:rPr>
          <w:rFonts w:ascii="Arial" w:cs="Arial" w:eastAsia="Arial" w:hAnsi="Arial"/>
          <w:sz w:val="38"/>
          <w:szCs w:val="38"/>
          <w:b w:val="1"/>
          <w:bCs w:val="1"/>
          <w:color w:val="58595B"/>
          <w:vertAlign w:val="subscript"/>
        </w:rPr>
      </w:pPr>
    </w:p>
    <w:p>
      <w:pPr>
        <w:ind w:left="680" w:right="100"/>
        <w:spacing w:after="0" w:line="256" w:lineRule="auto"/>
        <w:rPr>
          <w:rFonts w:ascii="Arial" w:cs="Arial" w:eastAsia="Arial" w:hAnsi="Arial"/>
          <w:sz w:val="38"/>
          <w:szCs w:val="38"/>
          <w:b w:val="1"/>
          <w:bCs w:val="1"/>
          <w:color w:val="58595B"/>
          <w:vertAlign w:val="subscript"/>
        </w:rPr>
      </w:pPr>
      <w:r>
        <w:rPr>
          <w:rFonts w:ascii="Arial" w:cs="Arial" w:eastAsia="Arial" w:hAnsi="Arial"/>
          <w:sz w:val="16"/>
          <w:szCs w:val="16"/>
          <w:color w:val="auto"/>
        </w:rPr>
        <w:t>On or about March 17, 2023, we mailed to our shareholders of record (other than those who previously requested electronic delivery) a Notice of Internet Availability of Proxy Materials (“Notice”) containing instructions on how to access this proxy statement and our annual report online. If you received a Notice by mail, you will not receive a printed copy of the proxy materials in the mail unless you specifically request it. The Notice instructs you on how to electronically access and review all the information contained in this proxy statement and the annual report, and it provides you with information on voting.</w:t>
      </w:r>
    </w:p>
    <w:p>
      <w:pPr>
        <w:spacing w:after="0" w:line="179" w:lineRule="exact"/>
        <w:rPr>
          <w:rFonts w:ascii="Arial" w:cs="Arial" w:eastAsia="Arial" w:hAnsi="Arial"/>
          <w:sz w:val="38"/>
          <w:szCs w:val="38"/>
          <w:b w:val="1"/>
          <w:bCs w:val="1"/>
          <w:color w:val="58595B"/>
          <w:vertAlign w:val="subscript"/>
        </w:rPr>
      </w:pPr>
    </w:p>
    <w:p>
      <w:pPr>
        <w:ind w:left="680"/>
        <w:spacing w:after="0" w:line="286" w:lineRule="auto"/>
        <w:rPr>
          <w:rFonts w:ascii="Arial" w:cs="Arial" w:eastAsia="Arial" w:hAnsi="Arial"/>
          <w:sz w:val="38"/>
          <w:szCs w:val="38"/>
          <w:b w:val="1"/>
          <w:bCs w:val="1"/>
          <w:color w:val="58595B"/>
          <w:vertAlign w:val="subscript"/>
        </w:rPr>
      </w:pPr>
      <w:r>
        <w:rPr>
          <w:rFonts w:ascii="Arial" w:cs="Arial" w:eastAsia="Arial" w:hAnsi="Arial"/>
          <w:sz w:val="16"/>
          <w:szCs w:val="16"/>
          <w:color w:val="auto"/>
        </w:rPr>
        <w:t>If you received a Notice by mail and would like to receive a paper copy of our proxy materials, follow the instructions contained in the Notice about how you may request to receive your materials in printed form on a one-time or ongoing basis.</w:t>
      </w:r>
    </w:p>
    <w:p>
      <w:pPr>
        <w:spacing w:after="0" w:line="287" w:lineRule="exact"/>
        <w:rPr>
          <w:sz w:val="20"/>
          <w:szCs w:val="20"/>
          <w:color w:val="auto"/>
        </w:rPr>
      </w:pPr>
    </w:p>
    <w:p>
      <w:pPr>
        <w:ind w:left="3600"/>
        <w:spacing w:after="0"/>
        <w:tabs>
          <w:tab w:leader="none" w:pos="482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4</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337" w:lineRule="exact"/>
        <w:rPr>
          <w:sz w:val="20"/>
          <w:szCs w:val="20"/>
          <w:color w:val="auto"/>
        </w:rPr>
      </w:pPr>
    </w:p>
    <w:p>
      <w:pPr>
        <w:ind w:left="680" w:hanging="676"/>
        <w:spacing w:after="0"/>
        <w:tabs>
          <w:tab w:leader="none" w:pos="680" w:val="left"/>
        </w:tabs>
        <w:numPr>
          <w:ilvl w:val="0"/>
          <w:numId w:val="12"/>
        </w:numPr>
        <w:rPr>
          <w:rFonts w:ascii="Arial" w:cs="Arial" w:eastAsia="Arial" w:hAnsi="Arial"/>
          <w:sz w:val="22"/>
          <w:szCs w:val="22"/>
          <w:b w:val="1"/>
          <w:bCs w:val="1"/>
          <w:color w:val="58595B"/>
        </w:rPr>
      </w:pPr>
      <w:r>
        <w:rPr>
          <w:rFonts w:ascii="Arial" w:cs="Arial" w:eastAsia="Arial" w:hAnsi="Arial"/>
          <w:sz w:val="22"/>
          <w:szCs w:val="22"/>
          <w:b w:val="1"/>
          <w:bCs w:val="1"/>
          <w:color w:val="58595B"/>
        </w:rPr>
        <w:t>Where is this year’s proxy statement available electronically?</w:t>
      </w:r>
    </w:p>
    <w:p>
      <w:pPr>
        <w:ind w:left="680" w:hanging="676"/>
        <w:spacing w:after="0" w:line="211" w:lineRule="auto"/>
        <w:tabs>
          <w:tab w:leader="none" w:pos="680" w:val="left"/>
        </w:tabs>
        <w:numPr>
          <w:ilvl w:val="0"/>
          <w:numId w:val="13"/>
        </w:numPr>
        <w:rPr>
          <w:rFonts w:ascii="Arial" w:cs="Arial" w:eastAsia="Arial" w:hAnsi="Arial"/>
          <w:sz w:val="43"/>
          <w:szCs w:val="43"/>
          <w:b w:val="1"/>
          <w:bCs w:val="1"/>
          <w:color w:val="333333"/>
          <w:vertAlign w:val="subscript"/>
        </w:rPr>
      </w:pPr>
      <w:r>
        <w:rPr>
          <w:rFonts w:ascii="Arial" w:cs="Arial" w:eastAsia="Arial" w:hAnsi="Arial"/>
          <w:sz w:val="16"/>
          <w:szCs w:val="16"/>
          <w:color w:val="auto"/>
        </w:rPr>
        <w:t xml:space="preserve">You may view this proxy statement and our 2022 Report to Shareholders electronically by going to </w:t>
      </w:r>
      <w:r>
        <w:rPr>
          <w:rFonts w:ascii="Arial" w:cs="Arial" w:eastAsia="Arial" w:hAnsi="Arial"/>
          <w:sz w:val="16"/>
          <w:szCs w:val="16"/>
          <w:u w:val="single" w:color="auto"/>
          <w:color w:val="215E9E"/>
        </w:rPr>
        <w:t>www.proxyvote.com.</w:t>
      </w:r>
    </w:p>
    <w:p>
      <w:pPr>
        <w:spacing w:after="0" w:line="230" w:lineRule="exact"/>
        <w:rPr>
          <w:sz w:val="20"/>
          <w:szCs w:val="20"/>
          <w:color w:val="auto"/>
        </w:rPr>
      </w:pPr>
    </w:p>
    <w:p>
      <w:pPr>
        <w:ind w:left="680" w:hanging="676"/>
        <w:spacing w:after="0"/>
        <w:tabs>
          <w:tab w:leader="none" w:pos="680" w:val="left"/>
        </w:tabs>
        <w:numPr>
          <w:ilvl w:val="0"/>
          <w:numId w:val="14"/>
        </w:numPr>
        <w:rPr>
          <w:rFonts w:ascii="Arial" w:cs="Arial" w:eastAsia="Arial" w:hAnsi="Arial"/>
          <w:sz w:val="22"/>
          <w:szCs w:val="22"/>
          <w:b w:val="1"/>
          <w:bCs w:val="1"/>
          <w:color w:val="58595B"/>
        </w:rPr>
      </w:pPr>
      <w:r>
        <w:rPr>
          <w:rFonts w:ascii="Arial" w:cs="Arial" w:eastAsia="Arial" w:hAnsi="Arial"/>
          <w:sz w:val="22"/>
          <w:szCs w:val="22"/>
          <w:b w:val="1"/>
          <w:bCs w:val="1"/>
          <w:color w:val="58595B"/>
        </w:rPr>
        <w:t>Who can vote?</w:t>
      </w:r>
    </w:p>
    <w:p>
      <w:pPr>
        <w:spacing w:after="0" w:line="220" w:lineRule="exact"/>
        <w:rPr>
          <w:sz w:val="20"/>
          <w:szCs w:val="20"/>
          <w:color w:val="auto"/>
        </w:rPr>
      </w:pPr>
    </w:p>
    <w:p>
      <w:pPr>
        <w:ind w:left="680" w:right="60" w:hanging="676"/>
        <w:spacing w:after="0" w:line="181" w:lineRule="auto"/>
        <w:tabs>
          <w:tab w:leader="none" w:pos="680" w:val="left"/>
        </w:tabs>
        <w:numPr>
          <w:ilvl w:val="0"/>
          <w:numId w:val="15"/>
        </w:numPr>
        <w:rPr>
          <w:rFonts w:ascii="Arial" w:cs="Arial" w:eastAsia="Arial" w:hAnsi="Arial"/>
          <w:sz w:val="38"/>
          <w:szCs w:val="38"/>
          <w:b w:val="1"/>
          <w:bCs w:val="1"/>
          <w:color w:val="333333"/>
          <w:vertAlign w:val="subscript"/>
        </w:rPr>
      </w:pPr>
      <w:r>
        <w:rPr>
          <w:rFonts w:ascii="Arial" w:cs="Arial" w:eastAsia="Arial" w:hAnsi="Arial"/>
          <w:sz w:val="15"/>
          <w:szCs w:val="15"/>
          <w:color w:val="auto"/>
        </w:rPr>
        <w:t>Only record holders of the Company's common stock at the close of business on March 1, 2023 (the “Record Date”), can vote at the Annual Meeting. Each shareholder of record has one vote, for each share of common stock owned, on each matter presented for a vote at the Annual Meeting.</w:t>
      </w:r>
    </w:p>
    <w:p>
      <w:pPr>
        <w:spacing w:after="0" w:line="179" w:lineRule="exact"/>
        <w:rPr>
          <w:sz w:val="20"/>
          <w:szCs w:val="20"/>
          <w:color w:val="auto"/>
        </w:rPr>
      </w:pPr>
    </w:p>
    <w:p>
      <w:pPr>
        <w:ind w:left="680" w:hanging="676"/>
        <w:spacing w:after="0"/>
        <w:tabs>
          <w:tab w:leader="none" w:pos="680" w:val="left"/>
        </w:tabs>
        <w:numPr>
          <w:ilvl w:val="0"/>
          <w:numId w:val="16"/>
        </w:numPr>
        <w:rPr>
          <w:rFonts w:ascii="Arial" w:cs="Arial" w:eastAsia="Arial" w:hAnsi="Arial"/>
          <w:sz w:val="22"/>
          <w:szCs w:val="22"/>
          <w:b w:val="1"/>
          <w:bCs w:val="1"/>
          <w:color w:val="58595B"/>
        </w:rPr>
      </w:pPr>
      <w:r>
        <w:rPr>
          <w:rFonts w:ascii="Arial" w:cs="Arial" w:eastAsia="Arial" w:hAnsi="Arial"/>
          <w:sz w:val="22"/>
          <w:szCs w:val="22"/>
          <w:b w:val="1"/>
          <w:bCs w:val="1"/>
          <w:color w:val="58595B"/>
        </w:rPr>
        <w:t>What is the difference between a shareholder of record and a “street name” holder?</w:t>
      </w:r>
    </w:p>
    <w:p>
      <w:pPr>
        <w:spacing w:after="0" w:line="220" w:lineRule="exact"/>
        <w:rPr>
          <w:sz w:val="20"/>
          <w:szCs w:val="20"/>
          <w:color w:val="auto"/>
        </w:rPr>
      </w:pPr>
    </w:p>
    <w:p>
      <w:pPr>
        <w:ind w:left="680" w:hanging="676"/>
        <w:spacing w:after="0" w:line="205" w:lineRule="auto"/>
        <w:tabs>
          <w:tab w:leader="none" w:pos="680" w:val="left"/>
        </w:tabs>
        <w:numPr>
          <w:ilvl w:val="0"/>
          <w:numId w:val="17"/>
        </w:numPr>
        <w:rPr>
          <w:rFonts w:ascii="Arial" w:cs="Arial" w:eastAsia="Arial" w:hAnsi="Arial"/>
          <w:sz w:val="43"/>
          <w:szCs w:val="43"/>
          <w:b w:val="1"/>
          <w:bCs w:val="1"/>
          <w:color w:val="333333"/>
          <w:vertAlign w:val="subscript"/>
        </w:rPr>
      </w:pPr>
      <w:r>
        <w:rPr>
          <w:rFonts w:ascii="Arial" w:cs="Arial" w:eastAsia="Arial" w:hAnsi="Arial"/>
          <w:sz w:val="16"/>
          <w:szCs w:val="16"/>
          <w:color w:val="auto"/>
        </w:rPr>
        <w:t>If your shares are registered directly in your name, you are considered the shareholder of record with respect to those shares. If your shares are held in a stock brokerage account or by a bank or other nominee, then the brokerage firm, bank or other nominee is considered to be the shareholder of record with respect to those shares. However, you still are considered the beneficial owner of those shares, and your shares are said to be held in “street name.” Street name holders generally cannot vote their shares directly and must instead instruct the brokerage firm, bank or other nominee on how to vote their shares. See “How can I vote?” below.</w:t>
      </w:r>
    </w:p>
    <w:p>
      <w:pPr>
        <w:spacing w:after="0" w:line="182" w:lineRule="exact"/>
        <w:rPr>
          <w:sz w:val="20"/>
          <w:szCs w:val="20"/>
          <w:color w:val="auto"/>
        </w:rPr>
      </w:pPr>
    </w:p>
    <w:p>
      <w:pPr>
        <w:ind w:left="680" w:hanging="676"/>
        <w:spacing w:after="0"/>
        <w:tabs>
          <w:tab w:leader="none" w:pos="680" w:val="left"/>
        </w:tabs>
        <w:numPr>
          <w:ilvl w:val="0"/>
          <w:numId w:val="18"/>
        </w:numPr>
        <w:rPr>
          <w:rFonts w:ascii="Arial" w:cs="Arial" w:eastAsia="Arial" w:hAnsi="Arial"/>
          <w:sz w:val="22"/>
          <w:szCs w:val="22"/>
          <w:b w:val="1"/>
          <w:bCs w:val="1"/>
          <w:color w:val="58595B"/>
        </w:rPr>
      </w:pPr>
      <w:r>
        <w:rPr>
          <w:rFonts w:ascii="Arial" w:cs="Arial" w:eastAsia="Arial" w:hAnsi="Arial"/>
          <w:sz w:val="22"/>
          <w:szCs w:val="22"/>
          <w:b w:val="1"/>
          <w:bCs w:val="1"/>
          <w:color w:val="58595B"/>
        </w:rPr>
        <w:t>How can I vote?</w:t>
      </w:r>
    </w:p>
    <w:p>
      <w:pPr>
        <w:spacing w:after="0" w:line="20" w:lineRule="exact"/>
        <w:rPr>
          <w:sz w:val="20"/>
          <w:szCs w:val="20"/>
          <w:color w:val="auto"/>
        </w:rPr>
      </w:pPr>
    </w:p>
    <w:p>
      <w:pPr>
        <w:ind w:left="680" w:right="80"/>
        <w:spacing w:after="0" w:line="265" w:lineRule="auto"/>
        <w:rPr>
          <w:sz w:val="20"/>
          <w:szCs w:val="20"/>
          <w:color w:val="auto"/>
        </w:rPr>
      </w:pPr>
      <w:r>
        <w:rPr>
          <w:rFonts w:ascii="Arial" w:cs="Arial" w:eastAsia="Arial" w:hAnsi="Arial"/>
          <w:sz w:val="16"/>
          <w:szCs w:val="16"/>
          <w:color w:val="auto"/>
        </w:rPr>
        <w:t>If your shares are held in “street name,” follow the instructions provided by your bank, broker or other nominee. If your shares are held in your name, you may vote in one of four ways: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 w:type="dxa"/>
            <w:vAlign w:val="bottom"/>
            <w:vMerge w:val="restart"/>
          </w:tcPr>
          <w:p>
            <w:pPr>
              <w:spacing w:after="0"/>
              <w:rPr>
                <w:sz w:val="20"/>
                <w:szCs w:val="20"/>
                <w:color w:val="auto"/>
              </w:rPr>
            </w:pPr>
            <w:r>
              <w:rPr>
                <w:rFonts w:ascii="Arial" w:cs="Arial" w:eastAsia="Arial" w:hAnsi="Arial"/>
                <w:sz w:val="29"/>
                <w:szCs w:val="29"/>
                <w:b w:val="1"/>
                <w:bCs w:val="1"/>
                <w:color w:val="017B52"/>
              </w:rPr>
              <w:t>A:</w:t>
            </w:r>
          </w:p>
        </w:tc>
        <w:tc>
          <w:tcPr>
            <w:tcW w:w="2160" w:type="dxa"/>
            <w:vAlign w:val="bottom"/>
          </w:tcPr>
          <w:p>
            <w:pPr>
              <w:ind w:left="180"/>
              <w:spacing w:after="0"/>
              <w:rPr>
                <w:sz w:val="20"/>
                <w:szCs w:val="20"/>
                <w:color w:val="auto"/>
              </w:rPr>
            </w:pPr>
            <w:r>
              <w:rPr>
                <w:rFonts w:ascii="Arial" w:cs="Arial" w:eastAsia="Arial" w:hAnsi="Arial"/>
                <w:sz w:val="13"/>
                <w:szCs w:val="13"/>
                <w:b w:val="1"/>
                <w:bCs w:val="1"/>
                <w:color w:val="017B52"/>
              </w:rPr>
              <w:t>VIA INTERNET:</w:t>
            </w:r>
          </w:p>
        </w:tc>
        <w:tc>
          <w:tcPr>
            <w:tcW w:w="2100" w:type="dxa"/>
            <w:vAlign w:val="bottom"/>
          </w:tcPr>
          <w:p>
            <w:pPr>
              <w:ind w:left="1080"/>
              <w:spacing w:after="0"/>
              <w:rPr>
                <w:sz w:val="20"/>
                <w:szCs w:val="20"/>
                <w:color w:val="auto"/>
              </w:rPr>
            </w:pPr>
            <w:r>
              <w:rPr>
                <w:rFonts w:ascii="Arial" w:cs="Arial" w:eastAsia="Arial" w:hAnsi="Arial"/>
                <w:sz w:val="13"/>
                <w:szCs w:val="13"/>
                <w:b w:val="1"/>
                <w:bCs w:val="1"/>
                <w:color w:val="017B52"/>
                <w:w w:val="94"/>
              </w:rPr>
              <w:t>BY TELEPHONE:</w:t>
            </w:r>
          </w:p>
        </w:tc>
        <w:tc>
          <w:tcPr>
            <w:tcW w:w="0" w:type="dxa"/>
            <w:vAlign w:val="bottom"/>
          </w:tcPr>
          <w:p>
            <w:pPr>
              <w:spacing w:after="0"/>
              <w:rPr>
                <w:sz w:val="1"/>
                <w:szCs w:val="1"/>
                <w:color w:val="auto"/>
              </w:rPr>
            </w:pPr>
          </w:p>
        </w:tc>
      </w:tr>
      <w:tr>
        <w:trPr>
          <w:trHeight w:val="185"/>
        </w:trPr>
        <w:tc>
          <w:tcPr>
            <w:tcW w:w="500" w:type="dxa"/>
            <w:vAlign w:val="bottom"/>
            <w:vMerge w:val="continue"/>
          </w:tcPr>
          <w:p>
            <w:pPr>
              <w:spacing w:after="0"/>
              <w:rPr>
                <w:sz w:val="16"/>
                <w:szCs w:val="16"/>
                <w:color w:val="auto"/>
              </w:rPr>
            </w:pPr>
          </w:p>
        </w:tc>
        <w:tc>
          <w:tcPr>
            <w:tcW w:w="2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720"/>
          </w:cols>
          <w:pgMar w:left="1080" w:top="229" w:right="1099" w:bottom="1440" w:gutter="0" w:footer="0" w:header="0"/>
        </w:sectPr>
      </w:pPr>
    </w:p>
    <w:p>
      <w:pPr>
        <w:ind w:left="680" w:right="40"/>
        <w:spacing w:after="0" w:line="246" w:lineRule="auto"/>
        <w:rPr>
          <w:sz w:val="20"/>
          <w:szCs w:val="20"/>
          <w:color w:val="auto"/>
        </w:rPr>
      </w:pPr>
      <w:r>
        <w:rPr>
          <w:rFonts w:ascii="Arial" w:cs="Arial" w:eastAsia="Arial" w:hAnsi="Arial"/>
          <w:sz w:val="16"/>
          <w:szCs w:val="16"/>
          <w:color w:val="auto"/>
        </w:rPr>
        <w:t xml:space="preserve">Go to </w:t>
      </w:r>
      <w:r>
        <w:rPr>
          <w:rFonts w:ascii="Arial" w:cs="Arial" w:eastAsia="Arial" w:hAnsi="Arial"/>
          <w:sz w:val="16"/>
          <w:szCs w:val="16"/>
          <w:color w:val="215E9E"/>
        </w:rPr>
        <w:t>www.proxyvote.com</w:t>
      </w:r>
      <w:r>
        <w:rPr>
          <w:rFonts w:ascii="Arial" w:cs="Arial" w:eastAsia="Arial" w:hAnsi="Arial"/>
          <w:sz w:val="16"/>
          <w:szCs w:val="16"/>
          <w:color w:val="auto"/>
        </w:rPr>
        <w:t xml:space="preserve"> and follow the instructions. You may do this at your convenience, 24 hours a day,</w:t>
      </w:r>
    </w:p>
    <w:p>
      <w:pPr>
        <w:spacing w:after="0" w:line="1" w:lineRule="exact"/>
        <w:rPr>
          <w:sz w:val="20"/>
          <w:szCs w:val="20"/>
          <w:color w:val="auto"/>
        </w:rPr>
      </w:pPr>
    </w:p>
    <w:p>
      <w:pPr>
        <w:ind w:left="680"/>
        <w:spacing w:after="0" w:line="252" w:lineRule="auto"/>
        <w:rPr>
          <w:sz w:val="20"/>
          <w:szCs w:val="20"/>
          <w:color w:val="auto"/>
        </w:rPr>
      </w:pPr>
      <w:r>
        <w:rPr>
          <w:rFonts w:ascii="Arial" w:cs="Arial" w:eastAsia="Arial" w:hAnsi="Arial"/>
          <w:sz w:val="16"/>
          <w:szCs w:val="16"/>
          <w:color w:val="auto"/>
        </w:rPr>
        <w:t>7 days a week. You will need to have your proxy card or Notice in hand. The deadline for Internet voting is 11:59 p.m. EDT, April 25, 2023.</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017B52"/>
        </w:rPr>
        <w:t>IN WRITING:</w:t>
      </w:r>
    </w:p>
    <w:p>
      <w:pPr>
        <w:spacing w:after="0" w:line="151" w:lineRule="exact"/>
        <w:rPr>
          <w:sz w:val="20"/>
          <w:szCs w:val="20"/>
          <w:color w:val="auto"/>
        </w:rPr>
      </w:pPr>
    </w:p>
    <w:p>
      <w:pPr>
        <w:ind w:left="680"/>
        <w:spacing w:after="0" w:line="256" w:lineRule="auto"/>
        <w:rPr>
          <w:sz w:val="20"/>
          <w:szCs w:val="20"/>
          <w:color w:val="auto"/>
        </w:rPr>
      </w:pPr>
      <w:r>
        <w:rPr>
          <w:rFonts w:ascii="Arial" w:cs="Arial" w:eastAsia="Arial" w:hAnsi="Arial"/>
          <w:sz w:val="16"/>
          <w:szCs w:val="16"/>
          <w:color w:val="auto"/>
        </w:rPr>
        <w:t>Complete, sign, date and return the proxy card in the return envelope provided with your proxy card, so that it is received no later than April 25, 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Call toll-free 1-800-690-6903 and follow</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instructions. You may do this at your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convenience, 24 hours a day, 7 days a</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week. You will need to have your proxy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card or Notice in hand. The deadline for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voting by telephone is 11:59 p.m. EDT,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25, 2023.</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IN PERSON: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Attend the Annual Meeting to cast your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vote.</w:t>
      </w:r>
    </w:p>
    <w:p>
      <w:pPr>
        <w:spacing w:after="0" w:line="792" w:lineRule="exact"/>
        <w:rPr>
          <w:sz w:val="20"/>
          <w:szCs w:val="20"/>
          <w:color w:val="auto"/>
        </w:rPr>
      </w:pPr>
    </w:p>
    <w:p>
      <w:pPr>
        <w:sectPr>
          <w:pgSz w:w="11900" w:h="16838" w:orient="portrait"/>
          <w:cols w:equalWidth="0" w:num="2">
            <w:col w:w="3380" w:space="360"/>
            <w:col w:w="5980"/>
          </w:cols>
          <w:pgMar w:left="1080" w:top="229" w:right="1099" w:bottom="1440" w:gutter="0" w:footer="0" w:header="0"/>
          <w:type w:val="continuous"/>
        </w:sectPr>
      </w:pPr>
    </w:p>
    <w:p>
      <w:pPr>
        <w:spacing w:after="0" w:line="111" w:lineRule="exact"/>
        <w:rPr>
          <w:sz w:val="20"/>
          <w:szCs w:val="20"/>
          <w:color w:val="auto"/>
        </w:rPr>
      </w:pPr>
    </w:p>
    <w:p>
      <w:pPr>
        <w:ind w:left="3600"/>
        <w:spacing w:after="0"/>
        <w:tabs>
          <w:tab w:leader="none" w:pos="482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5</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351" w:lineRule="exact"/>
        <w:rPr>
          <w:sz w:val="20"/>
          <w:szCs w:val="20"/>
          <w:color w:val="auto"/>
        </w:rPr>
      </w:pPr>
    </w:p>
    <w:p>
      <w:pPr>
        <w:ind w:left="680"/>
        <w:spacing w:after="0" w:line="254" w:lineRule="auto"/>
        <w:rPr>
          <w:sz w:val="20"/>
          <w:szCs w:val="20"/>
          <w:color w:val="auto"/>
        </w:rPr>
      </w:pPr>
      <w:r>
        <w:rPr>
          <w:rFonts w:ascii="Arial" w:cs="Arial" w:eastAsia="Arial" w:hAnsi="Arial"/>
          <w:sz w:val="16"/>
          <w:szCs w:val="16"/>
          <w:color w:val="auto"/>
        </w:rPr>
        <w:t>If you submit a proxy to the Company before the Annual Meeting, whether by proxy card, telephone or Internet, the persons named as proxies will vote your shares as you direct. If no instructions are specified, the proxy will be voted as follows: for the three directors nominated by the Board of Directors; for the ratification of the appointment of Deloitte &amp; Touche LLP as the Company’s independent registered public accounting firm for the fiscal year ending December 30, 2023; for the non-binding, advisory proposal to approve the compensation paid to our Named Executives; and for “one year” on the non-binding advisory proposal on the frequency of a shareholder advisory vote on executive compensation.</w:t>
      </w:r>
    </w:p>
    <w:p>
      <w:pPr>
        <w:spacing w:after="0" w:line="167" w:lineRule="exact"/>
        <w:rPr>
          <w:sz w:val="20"/>
          <w:szCs w:val="20"/>
          <w:color w:val="auto"/>
        </w:rPr>
      </w:pPr>
    </w:p>
    <w:p>
      <w:pPr>
        <w:ind w:left="680" w:hanging="676"/>
        <w:spacing w:after="0"/>
        <w:tabs>
          <w:tab w:leader="none" w:pos="680" w:val="left"/>
        </w:tabs>
        <w:numPr>
          <w:ilvl w:val="0"/>
          <w:numId w:val="19"/>
        </w:numPr>
        <w:rPr>
          <w:rFonts w:ascii="Arial" w:cs="Arial" w:eastAsia="Arial" w:hAnsi="Arial"/>
          <w:sz w:val="22"/>
          <w:szCs w:val="22"/>
          <w:b w:val="1"/>
          <w:bCs w:val="1"/>
          <w:color w:val="58595B"/>
        </w:rPr>
      </w:pPr>
      <w:r>
        <w:rPr>
          <w:rFonts w:ascii="Arial" w:cs="Arial" w:eastAsia="Arial" w:hAnsi="Arial"/>
          <w:sz w:val="22"/>
          <w:szCs w:val="22"/>
          <w:b w:val="1"/>
          <w:bCs w:val="1"/>
          <w:color w:val="58595B"/>
        </w:rPr>
        <w:t>Can I revoke my proxy?</w:t>
      </w:r>
    </w:p>
    <w:p>
      <w:pPr>
        <w:ind w:left="680" w:hanging="676"/>
        <w:spacing w:after="0" w:line="211" w:lineRule="auto"/>
        <w:tabs>
          <w:tab w:leader="none" w:pos="680" w:val="left"/>
        </w:tabs>
        <w:numPr>
          <w:ilvl w:val="0"/>
          <w:numId w:val="20"/>
        </w:numPr>
        <w:rPr>
          <w:rFonts w:ascii="Arial" w:cs="Arial" w:eastAsia="Arial" w:hAnsi="Arial"/>
          <w:sz w:val="43"/>
          <w:szCs w:val="43"/>
          <w:b w:val="1"/>
          <w:bCs w:val="1"/>
          <w:color w:val="58595B"/>
          <w:vertAlign w:val="subscript"/>
        </w:rPr>
      </w:pPr>
      <w:r>
        <w:rPr>
          <w:rFonts w:ascii="Arial" w:cs="Arial" w:eastAsia="Arial" w:hAnsi="Arial"/>
          <w:sz w:val="16"/>
          <w:szCs w:val="16"/>
          <w:color w:val="auto"/>
        </w:rPr>
        <w:t>You may revoke a proxy at any time before the proxy is exercised by:</w:t>
      </w:r>
    </w:p>
    <w:p>
      <w:pPr>
        <w:spacing w:after="0" w:line="163" w:lineRule="exact"/>
        <w:rPr>
          <w:rFonts w:ascii="Arial" w:cs="Arial" w:eastAsia="Arial" w:hAnsi="Arial"/>
          <w:sz w:val="43"/>
          <w:szCs w:val="43"/>
          <w:b w:val="1"/>
          <w:bCs w:val="1"/>
          <w:color w:val="58595B"/>
          <w:vertAlign w:val="subscript"/>
        </w:rPr>
      </w:pPr>
    </w:p>
    <w:p>
      <w:pPr>
        <w:ind w:left="580" w:right="500" w:hanging="293"/>
        <w:spacing w:after="0" w:line="286" w:lineRule="auto"/>
        <w:tabs>
          <w:tab w:leader="none" w:pos="580" w:val="left"/>
        </w:tabs>
        <w:numPr>
          <w:ilvl w:val="1"/>
          <w:numId w:val="20"/>
        </w:numPr>
        <w:rPr>
          <w:rFonts w:ascii="Arial" w:cs="Arial" w:eastAsia="Arial" w:hAnsi="Arial"/>
          <w:sz w:val="16"/>
          <w:szCs w:val="16"/>
          <w:color w:val="017B52"/>
        </w:rPr>
      </w:pPr>
      <w:r>
        <w:rPr>
          <w:rFonts w:ascii="Arial" w:cs="Arial" w:eastAsia="Arial" w:hAnsi="Arial"/>
          <w:sz w:val="16"/>
          <w:szCs w:val="16"/>
          <w:color w:val="auto"/>
        </w:rPr>
        <w:t>Delivering written notice of revocation to the Corporate Secretary of the Company, 2801 East Beltline NE, Grand Rapids, MI 49525;</w:t>
      </w:r>
    </w:p>
    <w:p>
      <w:pPr>
        <w:spacing w:after="0" w:line="74" w:lineRule="exact"/>
        <w:rPr>
          <w:rFonts w:ascii="Arial" w:cs="Arial" w:eastAsia="Arial" w:hAnsi="Arial"/>
          <w:sz w:val="16"/>
          <w:szCs w:val="16"/>
          <w:color w:val="017B52"/>
        </w:rPr>
      </w:pPr>
    </w:p>
    <w:p>
      <w:pPr>
        <w:ind w:left="580" w:hanging="293"/>
        <w:spacing w:after="0"/>
        <w:tabs>
          <w:tab w:leader="none" w:pos="580" w:val="left"/>
        </w:tabs>
        <w:numPr>
          <w:ilvl w:val="1"/>
          <w:numId w:val="20"/>
        </w:numPr>
        <w:rPr>
          <w:rFonts w:ascii="Arial" w:cs="Arial" w:eastAsia="Arial" w:hAnsi="Arial"/>
          <w:sz w:val="16"/>
          <w:szCs w:val="16"/>
          <w:color w:val="017B52"/>
        </w:rPr>
      </w:pPr>
      <w:r>
        <w:rPr>
          <w:rFonts w:ascii="Arial" w:cs="Arial" w:eastAsia="Arial" w:hAnsi="Arial"/>
          <w:sz w:val="16"/>
          <w:szCs w:val="16"/>
          <w:color w:val="auto"/>
        </w:rPr>
        <w:t>Submitting another properly completed proxy card that is later dated;</w:t>
      </w:r>
    </w:p>
    <w:p>
      <w:pPr>
        <w:spacing w:after="0" w:line="140" w:lineRule="exact"/>
        <w:rPr>
          <w:rFonts w:ascii="Arial" w:cs="Arial" w:eastAsia="Arial" w:hAnsi="Arial"/>
          <w:sz w:val="16"/>
          <w:szCs w:val="16"/>
          <w:color w:val="017B52"/>
        </w:rPr>
      </w:pPr>
    </w:p>
    <w:p>
      <w:pPr>
        <w:ind w:left="580" w:hanging="293"/>
        <w:spacing w:after="0"/>
        <w:tabs>
          <w:tab w:leader="none" w:pos="580" w:val="left"/>
        </w:tabs>
        <w:numPr>
          <w:ilvl w:val="1"/>
          <w:numId w:val="20"/>
        </w:numPr>
        <w:rPr>
          <w:rFonts w:ascii="Arial" w:cs="Arial" w:eastAsia="Arial" w:hAnsi="Arial"/>
          <w:sz w:val="16"/>
          <w:szCs w:val="16"/>
          <w:color w:val="017B52"/>
        </w:rPr>
      </w:pPr>
      <w:r>
        <w:rPr>
          <w:rFonts w:ascii="Arial" w:cs="Arial" w:eastAsia="Arial" w:hAnsi="Arial"/>
          <w:sz w:val="16"/>
          <w:szCs w:val="16"/>
          <w:color w:val="auto"/>
        </w:rPr>
        <w:t>Voting by telephone at a subsequent time;</w:t>
      </w:r>
    </w:p>
    <w:p>
      <w:pPr>
        <w:spacing w:after="0" w:line="140" w:lineRule="exact"/>
        <w:rPr>
          <w:rFonts w:ascii="Arial" w:cs="Arial" w:eastAsia="Arial" w:hAnsi="Arial"/>
          <w:sz w:val="16"/>
          <w:szCs w:val="16"/>
          <w:color w:val="017B52"/>
        </w:rPr>
      </w:pPr>
    </w:p>
    <w:p>
      <w:pPr>
        <w:ind w:left="580" w:hanging="293"/>
        <w:spacing w:after="0"/>
        <w:tabs>
          <w:tab w:leader="none" w:pos="580" w:val="left"/>
        </w:tabs>
        <w:numPr>
          <w:ilvl w:val="1"/>
          <w:numId w:val="20"/>
        </w:numPr>
        <w:rPr>
          <w:rFonts w:ascii="Arial" w:cs="Arial" w:eastAsia="Arial" w:hAnsi="Arial"/>
          <w:sz w:val="16"/>
          <w:szCs w:val="16"/>
          <w:color w:val="017B52"/>
        </w:rPr>
      </w:pPr>
      <w:r>
        <w:rPr>
          <w:rFonts w:ascii="Arial" w:cs="Arial" w:eastAsia="Arial" w:hAnsi="Arial"/>
          <w:sz w:val="16"/>
          <w:szCs w:val="16"/>
          <w:color w:val="auto"/>
        </w:rPr>
        <w:t>Voting via the Internet at a subsequent time; or</w:t>
      </w:r>
    </w:p>
    <w:p>
      <w:pPr>
        <w:spacing w:after="0" w:line="140" w:lineRule="exact"/>
        <w:rPr>
          <w:rFonts w:ascii="Arial" w:cs="Arial" w:eastAsia="Arial" w:hAnsi="Arial"/>
          <w:sz w:val="16"/>
          <w:szCs w:val="16"/>
          <w:color w:val="017B52"/>
        </w:rPr>
      </w:pPr>
    </w:p>
    <w:p>
      <w:pPr>
        <w:ind w:left="580" w:hanging="293"/>
        <w:spacing w:after="0"/>
        <w:tabs>
          <w:tab w:leader="none" w:pos="580" w:val="left"/>
        </w:tabs>
        <w:numPr>
          <w:ilvl w:val="1"/>
          <w:numId w:val="20"/>
        </w:numPr>
        <w:rPr>
          <w:rFonts w:ascii="Arial" w:cs="Arial" w:eastAsia="Arial" w:hAnsi="Arial"/>
          <w:sz w:val="16"/>
          <w:szCs w:val="16"/>
          <w:color w:val="017B52"/>
        </w:rPr>
      </w:pPr>
      <w:r>
        <w:rPr>
          <w:rFonts w:ascii="Arial" w:cs="Arial" w:eastAsia="Arial" w:hAnsi="Arial"/>
          <w:sz w:val="16"/>
          <w:szCs w:val="16"/>
          <w:color w:val="auto"/>
        </w:rPr>
        <w:t>Voting at the Annual Meeting.</w:t>
      </w:r>
    </w:p>
    <w:p>
      <w:pPr>
        <w:spacing w:after="0" w:line="167" w:lineRule="exact"/>
        <w:rPr>
          <w:sz w:val="20"/>
          <w:szCs w:val="20"/>
          <w:color w:val="auto"/>
        </w:rPr>
      </w:pPr>
    </w:p>
    <w:p>
      <w:pPr>
        <w:ind w:left="300" w:right="60"/>
        <w:spacing w:after="0" w:line="286" w:lineRule="auto"/>
        <w:rPr>
          <w:sz w:val="20"/>
          <w:szCs w:val="20"/>
          <w:color w:val="auto"/>
        </w:rPr>
      </w:pPr>
      <w:r>
        <w:rPr>
          <w:rFonts w:ascii="Arial" w:cs="Arial" w:eastAsia="Arial" w:hAnsi="Arial"/>
          <w:sz w:val="16"/>
          <w:szCs w:val="16"/>
          <w:color w:val="auto"/>
        </w:rPr>
        <w:t>If you hold your shares in “street name,” you must vote your shares in the manner prescribed by your brokerage firm, bank or other nominee.</w:t>
      </w:r>
    </w:p>
    <w:p>
      <w:pPr>
        <w:spacing w:after="0" w:line="87" w:lineRule="exact"/>
        <w:rPr>
          <w:sz w:val="20"/>
          <w:szCs w:val="20"/>
          <w:color w:val="auto"/>
        </w:rPr>
      </w:pPr>
    </w:p>
    <w:p>
      <w:pPr>
        <w:ind w:left="600" w:hanging="596"/>
        <w:spacing w:after="0"/>
        <w:tabs>
          <w:tab w:leader="none" w:pos="600" w:val="left"/>
        </w:tabs>
        <w:numPr>
          <w:ilvl w:val="0"/>
          <w:numId w:val="21"/>
        </w:numPr>
        <w:rPr>
          <w:rFonts w:ascii="Arial" w:cs="Arial" w:eastAsia="Arial" w:hAnsi="Arial"/>
          <w:sz w:val="22"/>
          <w:szCs w:val="22"/>
          <w:b w:val="1"/>
          <w:bCs w:val="1"/>
          <w:color w:val="58595B"/>
        </w:rPr>
      </w:pPr>
      <w:r>
        <w:rPr>
          <w:rFonts w:ascii="Arial" w:cs="Arial" w:eastAsia="Arial" w:hAnsi="Arial"/>
          <w:sz w:val="22"/>
          <w:szCs w:val="22"/>
          <w:b w:val="1"/>
          <w:bCs w:val="1"/>
          <w:color w:val="58595B"/>
        </w:rPr>
        <w:t>How many votes do we need to hold the Annual Meeting?</w:t>
      </w:r>
    </w:p>
    <w:p>
      <w:pPr>
        <w:spacing w:after="0" w:line="220" w:lineRule="exact"/>
        <w:rPr>
          <w:sz w:val="20"/>
          <w:szCs w:val="20"/>
          <w:color w:val="auto"/>
        </w:rPr>
      </w:pPr>
    </w:p>
    <w:p>
      <w:pPr>
        <w:ind w:left="600" w:hanging="596"/>
        <w:spacing w:after="0" w:line="181" w:lineRule="auto"/>
        <w:tabs>
          <w:tab w:leader="none" w:pos="600" w:val="left"/>
        </w:tabs>
        <w:numPr>
          <w:ilvl w:val="0"/>
          <w:numId w:val="22"/>
        </w:numPr>
        <w:rPr>
          <w:rFonts w:ascii="Arial" w:cs="Arial" w:eastAsia="Arial" w:hAnsi="Arial"/>
          <w:sz w:val="38"/>
          <w:szCs w:val="38"/>
          <w:b w:val="1"/>
          <w:bCs w:val="1"/>
          <w:color w:val="58595B"/>
          <w:vertAlign w:val="subscript"/>
        </w:rPr>
      </w:pPr>
      <w:r>
        <w:rPr>
          <w:rFonts w:ascii="Arial" w:cs="Arial" w:eastAsia="Arial" w:hAnsi="Arial"/>
          <w:sz w:val="15"/>
          <w:szCs w:val="15"/>
          <w:color w:val="auto"/>
        </w:rPr>
        <w:t>In order to carry on the business of the meeting, we must have a quorum. This means that a majority of the shares that are outstanding and entitled to vote as of the Record Date must be present in person or by proxy. Shares are counted as present at the meeting if the shareholder either:</w:t>
      </w:r>
    </w:p>
    <w:p>
      <w:pPr>
        <w:spacing w:after="0" w:line="112" w:lineRule="exact"/>
        <w:rPr>
          <w:rFonts w:ascii="Arial" w:cs="Arial" w:eastAsia="Arial" w:hAnsi="Arial"/>
          <w:sz w:val="38"/>
          <w:szCs w:val="38"/>
          <w:b w:val="1"/>
          <w:bCs w:val="1"/>
          <w:color w:val="58595B"/>
          <w:vertAlign w:val="subscript"/>
        </w:rPr>
      </w:pPr>
    </w:p>
    <w:p>
      <w:pPr>
        <w:ind w:left="960" w:hanging="281"/>
        <w:spacing w:after="0"/>
        <w:tabs>
          <w:tab w:leader="none" w:pos="9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Is present and votes at the Annual Meeting; or</w:t>
      </w:r>
    </w:p>
    <w:p>
      <w:pPr>
        <w:spacing w:after="0" w:line="140" w:lineRule="exact"/>
        <w:rPr>
          <w:rFonts w:ascii="Arial" w:cs="Arial" w:eastAsia="Arial" w:hAnsi="Arial"/>
          <w:sz w:val="16"/>
          <w:szCs w:val="16"/>
          <w:color w:val="auto"/>
        </w:rPr>
      </w:pPr>
    </w:p>
    <w:p>
      <w:pPr>
        <w:ind w:left="960" w:hanging="281"/>
        <w:spacing w:after="0"/>
        <w:tabs>
          <w:tab w:leader="none" w:pos="9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Has properly submitted a signed proxy card or other form of proxy (through the telephone or Internet).</w:t>
      </w:r>
    </w:p>
    <w:p>
      <w:pPr>
        <w:spacing w:after="0" w:line="167" w:lineRule="exact"/>
        <w:rPr>
          <w:sz w:val="20"/>
          <w:szCs w:val="20"/>
          <w:color w:val="auto"/>
        </w:rPr>
      </w:pPr>
    </w:p>
    <w:p>
      <w:pPr>
        <w:ind w:left="680" w:right="940"/>
        <w:spacing w:after="0" w:line="286" w:lineRule="auto"/>
        <w:rPr>
          <w:sz w:val="20"/>
          <w:szCs w:val="20"/>
          <w:color w:val="auto"/>
        </w:rPr>
      </w:pPr>
      <w:r>
        <w:rPr>
          <w:rFonts w:ascii="Arial" w:cs="Arial" w:eastAsia="Arial" w:hAnsi="Arial"/>
          <w:sz w:val="16"/>
          <w:szCs w:val="16"/>
          <w:color w:val="auto"/>
        </w:rPr>
        <w:t>On the Record Date, there were 62,467,027 shares of common stock issued and outstanding. Therefore, at least 31,233,514 shares need to be present at the Annual Meeting.</w:t>
      </w:r>
    </w:p>
    <w:p>
      <w:pPr>
        <w:spacing w:after="0" w:line="87" w:lineRule="exact"/>
        <w:rPr>
          <w:sz w:val="20"/>
          <w:szCs w:val="20"/>
          <w:color w:val="auto"/>
        </w:rPr>
      </w:pPr>
    </w:p>
    <w:p>
      <w:pPr>
        <w:ind w:left="600" w:hanging="596"/>
        <w:spacing w:after="0"/>
        <w:tabs>
          <w:tab w:leader="none" w:pos="600" w:val="left"/>
        </w:tabs>
        <w:numPr>
          <w:ilvl w:val="0"/>
          <w:numId w:val="23"/>
        </w:numPr>
        <w:rPr>
          <w:rFonts w:ascii="Arial" w:cs="Arial" w:eastAsia="Arial" w:hAnsi="Arial"/>
          <w:sz w:val="22"/>
          <w:szCs w:val="22"/>
          <w:b w:val="1"/>
          <w:bCs w:val="1"/>
          <w:color w:val="58595B"/>
        </w:rPr>
      </w:pPr>
      <w:r>
        <w:rPr>
          <w:rFonts w:ascii="Arial" w:cs="Arial" w:eastAsia="Arial" w:hAnsi="Arial"/>
          <w:sz w:val="22"/>
          <w:szCs w:val="22"/>
          <w:b w:val="1"/>
          <w:bCs w:val="1"/>
          <w:color w:val="58595B"/>
        </w:rPr>
        <w:t>What matters will be voted on at the meeting?</w:t>
      </w:r>
    </w:p>
    <w:p>
      <w:pPr>
        <w:spacing w:after="0" w:line="220" w:lineRule="exact"/>
        <w:rPr>
          <w:sz w:val="20"/>
          <w:szCs w:val="20"/>
          <w:color w:val="auto"/>
        </w:rPr>
      </w:pPr>
    </w:p>
    <w:p>
      <w:pPr>
        <w:ind w:left="600" w:right="140" w:hanging="596"/>
        <w:spacing w:after="0" w:line="196" w:lineRule="auto"/>
        <w:tabs>
          <w:tab w:leader="none" w:pos="600" w:val="left"/>
        </w:tabs>
        <w:numPr>
          <w:ilvl w:val="0"/>
          <w:numId w:val="24"/>
        </w:numPr>
        <w:rPr>
          <w:rFonts w:ascii="Arial" w:cs="Arial" w:eastAsia="Arial" w:hAnsi="Arial"/>
          <w:sz w:val="43"/>
          <w:szCs w:val="43"/>
          <w:b w:val="1"/>
          <w:bCs w:val="1"/>
          <w:color w:val="58595B"/>
          <w:vertAlign w:val="subscript"/>
        </w:rPr>
      </w:pPr>
      <w:r>
        <w:rPr>
          <w:rFonts w:ascii="Arial" w:cs="Arial" w:eastAsia="Arial" w:hAnsi="Arial"/>
          <w:sz w:val="16"/>
          <w:szCs w:val="16"/>
          <w:color w:val="auto"/>
        </w:rPr>
        <w:t>You are being asked to vote on: (i) the election of three directors to serve three-year terms expiring in 2026; (ii) the ratification of the appointment of Deloitte &amp; Touche LLP as our independent registered public accounting firm for the fiscal year ending December 30, 2023; (iii) a non-binding, advisory proposal to approve the compensation paid to our Named Executives, otherwise known as a “say-on-pay” proposal; and (iv) a non-binding, advisory proposal on the frequency of a shareholder advisory vote on executive compensation, otherwise known as a “say-when-on-pay” proposal. These matters are more fully described in this proxy statement.</w:t>
      </w:r>
    </w:p>
    <w:p>
      <w:pPr>
        <w:spacing w:after="0" w:line="326" w:lineRule="exact"/>
        <w:rPr>
          <w:sz w:val="20"/>
          <w:szCs w:val="20"/>
          <w:color w:val="auto"/>
        </w:rPr>
      </w:pPr>
    </w:p>
    <w:p>
      <w:pPr>
        <w:ind w:left="3600"/>
        <w:spacing w:after="0"/>
        <w:tabs>
          <w:tab w:leader="none" w:pos="482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6</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00"/>
          </w:cols>
          <w:pgMar w:left="1080" w:top="229" w:right="11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337" w:lineRule="exact"/>
        <w:rPr>
          <w:sz w:val="20"/>
          <w:szCs w:val="20"/>
          <w:color w:val="auto"/>
        </w:rPr>
      </w:pPr>
    </w:p>
    <w:p>
      <w:pPr>
        <w:ind w:left="680" w:hanging="676"/>
        <w:spacing w:after="0"/>
        <w:tabs>
          <w:tab w:leader="none" w:pos="680" w:val="left"/>
        </w:tabs>
        <w:numPr>
          <w:ilvl w:val="0"/>
          <w:numId w:val="25"/>
        </w:numPr>
        <w:rPr>
          <w:rFonts w:ascii="Arial" w:cs="Arial" w:eastAsia="Arial" w:hAnsi="Arial"/>
          <w:sz w:val="22"/>
          <w:szCs w:val="22"/>
          <w:b w:val="1"/>
          <w:bCs w:val="1"/>
          <w:color w:val="58595B"/>
        </w:rPr>
      </w:pPr>
      <w:r>
        <w:rPr>
          <w:rFonts w:ascii="Arial" w:cs="Arial" w:eastAsia="Arial" w:hAnsi="Arial"/>
          <w:sz w:val="22"/>
          <w:szCs w:val="22"/>
          <w:b w:val="1"/>
          <w:bCs w:val="1"/>
          <w:color w:val="58595B"/>
        </w:rPr>
        <w:t>How many votes are needed for each proposal?</w:t>
      </w:r>
    </w:p>
    <w:p>
      <w:pPr>
        <w:spacing w:after="0" w:line="220" w:lineRule="exact"/>
        <w:rPr>
          <w:sz w:val="20"/>
          <w:szCs w:val="20"/>
          <w:color w:val="auto"/>
        </w:rPr>
      </w:pPr>
    </w:p>
    <w:p>
      <w:pPr>
        <w:ind w:left="680" w:right="20" w:hanging="676"/>
        <w:spacing w:after="0" w:line="189" w:lineRule="auto"/>
        <w:tabs>
          <w:tab w:leader="none" w:pos="680" w:val="left"/>
        </w:tabs>
        <w:numPr>
          <w:ilvl w:val="0"/>
          <w:numId w:val="26"/>
        </w:numPr>
        <w:rPr>
          <w:rFonts w:ascii="Arial" w:cs="Arial" w:eastAsia="Arial" w:hAnsi="Arial"/>
          <w:sz w:val="43"/>
          <w:szCs w:val="43"/>
          <w:b w:val="1"/>
          <w:bCs w:val="1"/>
          <w:color w:val="333333"/>
          <w:vertAlign w:val="subscript"/>
        </w:rPr>
      </w:pPr>
      <w:r>
        <w:rPr>
          <w:rFonts w:ascii="Arial" w:cs="Arial" w:eastAsia="Arial" w:hAnsi="Arial"/>
          <w:sz w:val="16"/>
          <w:szCs w:val="16"/>
          <w:color w:val="auto"/>
        </w:rPr>
        <w:t>A majority of the votes cast at the Annual Meeting would approve each matter that arises at the meeting. Under the Company’s majority vote standard for the election of directors (described in more detail below), to be elected, a nominee must receive a greater number of votes cast “for” his or her election than the number of votes cast “against.” The say-on-pay vote and the say-when-on-pay vote are advisory; consequently, neither is binding upon the Board of Directors or the Personnel and Compensation Committee.</w:t>
      </w:r>
    </w:p>
    <w:p>
      <w:pPr>
        <w:spacing w:after="0" w:line="192" w:lineRule="exact"/>
        <w:rPr>
          <w:rFonts w:ascii="Arial" w:cs="Arial" w:eastAsia="Arial" w:hAnsi="Arial"/>
          <w:sz w:val="43"/>
          <w:szCs w:val="43"/>
          <w:b w:val="1"/>
          <w:bCs w:val="1"/>
          <w:color w:val="333333"/>
          <w:vertAlign w:val="subscript"/>
        </w:rPr>
      </w:pPr>
    </w:p>
    <w:p>
      <w:pPr>
        <w:ind w:left="680"/>
        <w:spacing w:after="0" w:line="266" w:lineRule="auto"/>
        <w:rPr>
          <w:rFonts w:ascii="Arial" w:cs="Arial" w:eastAsia="Arial" w:hAnsi="Arial"/>
          <w:sz w:val="43"/>
          <w:szCs w:val="43"/>
          <w:b w:val="1"/>
          <w:bCs w:val="1"/>
          <w:color w:val="333333"/>
          <w:vertAlign w:val="subscript"/>
        </w:rPr>
      </w:pPr>
      <w:r>
        <w:rPr>
          <w:rFonts w:ascii="Arial" w:cs="Arial" w:eastAsia="Arial" w:hAnsi="Arial"/>
          <w:sz w:val="16"/>
          <w:szCs w:val="16"/>
          <w:color w:val="auto"/>
        </w:rPr>
        <w:t>The election of directors, the say-on-pay vote and the say-when-on-pay vote are considered non-routine matters. Consequently, if your shares are held by a broker, bank or other fiduciary, it cannot vote your shares on these matters unless it has received voting instructions from you.</w:t>
      </w:r>
    </w:p>
    <w:p>
      <w:pPr>
        <w:spacing w:after="0" w:line="171" w:lineRule="exact"/>
        <w:rPr>
          <w:rFonts w:ascii="Arial" w:cs="Arial" w:eastAsia="Arial" w:hAnsi="Arial"/>
          <w:sz w:val="43"/>
          <w:szCs w:val="43"/>
          <w:b w:val="1"/>
          <w:bCs w:val="1"/>
          <w:color w:val="333333"/>
          <w:vertAlign w:val="subscript"/>
        </w:rPr>
      </w:pPr>
    </w:p>
    <w:p>
      <w:pPr>
        <w:ind w:left="680" w:right="120"/>
        <w:spacing w:after="0" w:line="266" w:lineRule="auto"/>
        <w:rPr>
          <w:rFonts w:ascii="Arial" w:cs="Arial" w:eastAsia="Arial" w:hAnsi="Arial"/>
          <w:sz w:val="43"/>
          <w:szCs w:val="43"/>
          <w:b w:val="1"/>
          <w:bCs w:val="1"/>
          <w:color w:val="333333"/>
          <w:vertAlign w:val="subscript"/>
        </w:rPr>
      </w:pPr>
      <w:r>
        <w:rPr>
          <w:rFonts w:ascii="Arial" w:cs="Arial" w:eastAsia="Arial" w:hAnsi="Arial"/>
          <w:sz w:val="16"/>
          <w:szCs w:val="16"/>
          <w:color w:val="auto"/>
        </w:rPr>
        <w:t>Abstentions and broker non-votes, if any, will not be counted as votes cast but will count for purposes of determining whether a quorum is present. So long as a quorum is present, abstentions and broker non-votes will have no effect on any of the matters presented for a vote at the Annual Meeting.</w:t>
      </w:r>
    </w:p>
    <w:p>
      <w:pPr>
        <w:spacing w:after="0" w:line="157" w:lineRule="exact"/>
        <w:rPr>
          <w:sz w:val="20"/>
          <w:szCs w:val="20"/>
          <w:color w:val="auto"/>
        </w:rPr>
      </w:pPr>
    </w:p>
    <w:p>
      <w:pPr>
        <w:ind w:left="680" w:hanging="676"/>
        <w:spacing w:after="0"/>
        <w:tabs>
          <w:tab w:leader="none" w:pos="680" w:val="left"/>
        </w:tabs>
        <w:numPr>
          <w:ilvl w:val="0"/>
          <w:numId w:val="27"/>
        </w:numPr>
        <w:rPr>
          <w:rFonts w:ascii="Arial" w:cs="Arial" w:eastAsia="Arial" w:hAnsi="Arial"/>
          <w:sz w:val="22"/>
          <w:szCs w:val="22"/>
          <w:b w:val="1"/>
          <w:bCs w:val="1"/>
          <w:color w:val="58595B"/>
        </w:rPr>
      </w:pPr>
      <w:r>
        <w:rPr>
          <w:rFonts w:ascii="Arial" w:cs="Arial" w:eastAsia="Arial" w:hAnsi="Arial"/>
          <w:sz w:val="22"/>
          <w:szCs w:val="22"/>
          <w:b w:val="1"/>
          <w:bCs w:val="1"/>
          <w:color w:val="58595B"/>
        </w:rPr>
        <w:t>What happens if a nominee is unable to stand for re-election?</w:t>
      </w:r>
    </w:p>
    <w:p>
      <w:pPr>
        <w:spacing w:after="0" w:line="220" w:lineRule="exact"/>
        <w:rPr>
          <w:sz w:val="20"/>
          <w:szCs w:val="20"/>
          <w:color w:val="auto"/>
        </w:rPr>
      </w:pPr>
    </w:p>
    <w:p>
      <w:pPr>
        <w:ind w:left="680" w:right="20" w:hanging="676"/>
        <w:spacing w:after="0" w:line="181" w:lineRule="auto"/>
        <w:tabs>
          <w:tab w:leader="none" w:pos="680" w:val="left"/>
        </w:tabs>
        <w:numPr>
          <w:ilvl w:val="0"/>
          <w:numId w:val="28"/>
        </w:numPr>
        <w:rPr>
          <w:rFonts w:ascii="Arial" w:cs="Arial" w:eastAsia="Arial" w:hAnsi="Arial"/>
          <w:sz w:val="38"/>
          <w:szCs w:val="38"/>
          <w:b w:val="1"/>
          <w:bCs w:val="1"/>
          <w:color w:val="333333"/>
          <w:vertAlign w:val="subscript"/>
        </w:rPr>
      </w:pPr>
      <w:r>
        <w:rPr>
          <w:rFonts w:ascii="Arial" w:cs="Arial" w:eastAsia="Arial" w:hAnsi="Arial"/>
          <w:sz w:val="15"/>
          <w:szCs w:val="15"/>
          <w:color w:val="auto"/>
        </w:rPr>
        <w:t>The Board may, by resolution, provide for a lesser number of directors or designate a substitute nominee. In the latter case, shares represented by proxies may be voted for a substitute nominee. Proxies cannot be voted for more than three nominees. We have no reason to believe that any nominee will be unable to stand for re-election.</w:t>
      </w:r>
    </w:p>
    <w:p>
      <w:pPr>
        <w:spacing w:after="0" w:line="179" w:lineRule="exact"/>
        <w:rPr>
          <w:sz w:val="20"/>
          <w:szCs w:val="20"/>
          <w:color w:val="auto"/>
        </w:rPr>
      </w:pPr>
    </w:p>
    <w:p>
      <w:pPr>
        <w:ind w:left="680" w:hanging="676"/>
        <w:spacing w:after="0"/>
        <w:tabs>
          <w:tab w:leader="none" w:pos="680" w:val="left"/>
        </w:tabs>
        <w:numPr>
          <w:ilvl w:val="0"/>
          <w:numId w:val="29"/>
        </w:numPr>
        <w:rPr>
          <w:rFonts w:ascii="Arial" w:cs="Arial" w:eastAsia="Arial" w:hAnsi="Arial"/>
          <w:sz w:val="22"/>
          <w:szCs w:val="22"/>
          <w:b w:val="1"/>
          <w:bCs w:val="1"/>
          <w:color w:val="58595B"/>
        </w:rPr>
      </w:pPr>
      <w:r>
        <w:rPr>
          <w:rFonts w:ascii="Arial" w:cs="Arial" w:eastAsia="Arial" w:hAnsi="Arial"/>
          <w:sz w:val="22"/>
          <w:szCs w:val="22"/>
          <w:b w:val="1"/>
          <w:bCs w:val="1"/>
          <w:color w:val="58595B"/>
        </w:rPr>
        <w:t>What options do I have in voting on each of the proposals?</w:t>
      </w:r>
    </w:p>
    <w:p>
      <w:pPr>
        <w:spacing w:after="0" w:line="220" w:lineRule="exact"/>
        <w:rPr>
          <w:sz w:val="20"/>
          <w:szCs w:val="20"/>
          <w:color w:val="auto"/>
        </w:rPr>
      </w:pPr>
    </w:p>
    <w:p>
      <w:pPr>
        <w:ind w:left="680" w:hanging="676"/>
        <w:spacing w:after="0" w:line="181" w:lineRule="auto"/>
        <w:tabs>
          <w:tab w:leader="none" w:pos="680" w:val="left"/>
        </w:tabs>
        <w:numPr>
          <w:ilvl w:val="0"/>
          <w:numId w:val="30"/>
        </w:numPr>
        <w:rPr>
          <w:rFonts w:ascii="Arial" w:cs="Arial" w:eastAsia="Arial" w:hAnsi="Arial"/>
          <w:sz w:val="38"/>
          <w:szCs w:val="38"/>
          <w:b w:val="1"/>
          <w:bCs w:val="1"/>
          <w:color w:val="333333"/>
          <w:vertAlign w:val="subscript"/>
        </w:rPr>
      </w:pPr>
      <w:r>
        <w:rPr>
          <w:rFonts w:ascii="Arial" w:cs="Arial" w:eastAsia="Arial" w:hAnsi="Arial"/>
          <w:sz w:val="15"/>
          <w:szCs w:val="15"/>
          <w:color w:val="auto"/>
        </w:rPr>
        <w:t>You may vote “for,” “against,” or “abstain” on each proposal properly brought before the meeting, except for the advisory vote on the frequency of conducting shareholder advisory voting on executive compensation, for which you may vote for every one, two or three years, or you may abstain.</w:t>
      </w:r>
    </w:p>
    <w:p>
      <w:pPr>
        <w:spacing w:after="0" w:line="179" w:lineRule="exact"/>
        <w:rPr>
          <w:sz w:val="20"/>
          <w:szCs w:val="20"/>
          <w:color w:val="auto"/>
        </w:rPr>
      </w:pPr>
    </w:p>
    <w:p>
      <w:pPr>
        <w:ind w:left="680" w:hanging="676"/>
        <w:spacing w:after="0"/>
        <w:tabs>
          <w:tab w:leader="none" w:pos="680" w:val="left"/>
        </w:tabs>
        <w:numPr>
          <w:ilvl w:val="0"/>
          <w:numId w:val="31"/>
        </w:numPr>
        <w:rPr>
          <w:rFonts w:ascii="Arial" w:cs="Arial" w:eastAsia="Arial" w:hAnsi="Arial"/>
          <w:sz w:val="22"/>
          <w:szCs w:val="22"/>
          <w:b w:val="1"/>
          <w:bCs w:val="1"/>
          <w:color w:val="58595B"/>
        </w:rPr>
      </w:pPr>
      <w:r>
        <w:rPr>
          <w:rFonts w:ascii="Arial" w:cs="Arial" w:eastAsia="Arial" w:hAnsi="Arial"/>
          <w:sz w:val="22"/>
          <w:szCs w:val="22"/>
          <w:b w:val="1"/>
          <w:bCs w:val="1"/>
          <w:color w:val="58595B"/>
        </w:rPr>
        <w:t>Where do I find the voting results of the meeting?</w:t>
      </w:r>
    </w:p>
    <w:p>
      <w:pPr>
        <w:spacing w:after="0" w:line="220" w:lineRule="exact"/>
        <w:rPr>
          <w:sz w:val="20"/>
          <w:szCs w:val="20"/>
          <w:color w:val="auto"/>
        </w:rPr>
      </w:pPr>
    </w:p>
    <w:p>
      <w:pPr>
        <w:ind w:left="680" w:hanging="676"/>
        <w:spacing w:after="0" w:line="183" w:lineRule="auto"/>
        <w:tabs>
          <w:tab w:leader="none" w:pos="680" w:val="left"/>
        </w:tabs>
        <w:numPr>
          <w:ilvl w:val="0"/>
          <w:numId w:val="32"/>
        </w:numPr>
        <w:rPr>
          <w:rFonts w:ascii="Arial" w:cs="Arial" w:eastAsia="Arial" w:hAnsi="Arial"/>
          <w:sz w:val="32"/>
          <w:szCs w:val="32"/>
          <w:b w:val="1"/>
          <w:bCs w:val="1"/>
          <w:color w:val="333333"/>
          <w:vertAlign w:val="subscript"/>
        </w:rPr>
      </w:pPr>
      <w:r>
        <w:rPr>
          <w:rFonts w:ascii="Arial" w:cs="Arial" w:eastAsia="Arial" w:hAnsi="Arial"/>
          <w:sz w:val="14"/>
          <w:szCs w:val="14"/>
          <w:color w:val="auto"/>
        </w:rPr>
        <w:t>If available, we will announce voting results at the Annual Meeting. The voting results will also be disclosed on a Form 8-K that we will file with the SEC within four business days after the meeting.</w:t>
      </w:r>
    </w:p>
    <w:p>
      <w:pPr>
        <w:spacing w:after="0" w:line="176" w:lineRule="exact"/>
        <w:rPr>
          <w:sz w:val="20"/>
          <w:szCs w:val="20"/>
          <w:color w:val="auto"/>
        </w:rPr>
      </w:pPr>
    </w:p>
    <w:p>
      <w:pPr>
        <w:ind w:left="680" w:right="640" w:hanging="676"/>
        <w:spacing w:after="0" w:line="256" w:lineRule="auto"/>
        <w:tabs>
          <w:tab w:leader="none" w:pos="680" w:val="left"/>
        </w:tabs>
        <w:numPr>
          <w:ilvl w:val="0"/>
          <w:numId w:val="33"/>
        </w:numPr>
        <w:rPr>
          <w:rFonts w:ascii="Arial" w:cs="Arial" w:eastAsia="Arial" w:hAnsi="Arial"/>
          <w:sz w:val="22"/>
          <w:szCs w:val="22"/>
          <w:b w:val="1"/>
          <w:bCs w:val="1"/>
          <w:color w:val="58595B"/>
        </w:rPr>
      </w:pPr>
      <w:r>
        <w:rPr>
          <w:rFonts w:ascii="Arial" w:cs="Arial" w:eastAsia="Arial" w:hAnsi="Arial"/>
          <w:sz w:val="22"/>
          <w:szCs w:val="22"/>
          <w:b w:val="1"/>
          <w:bCs w:val="1"/>
          <w:color w:val="58595B"/>
        </w:rPr>
        <w:t>Important Notice Regarding the Availability of Proxy Materials for the Shareholder Meeting to be Held on April 26, 2023.</w:t>
      </w:r>
    </w:p>
    <w:p>
      <w:pPr>
        <w:spacing w:after="0" w:line="177" w:lineRule="exact"/>
        <w:rPr>
          <w:sz w:val="20"/>
          <w:szCs w:val="20"/>
          <w:color w:val="auto"/>
        </w:rPr>
      </w:pPr>
    </w:p>
    <w:p>
      <w:pPr>
        <w:ind w:left="680" w:right="140" w:hanging="676"/>
        <w:spacing w:after="0" w:line="181" w:lineRule="auto"/>
        <w:tabs>
          <w:tab w:leader="none" w:pos="680" w:val="left"/>
        </w:tabs>
        <w:numPr>
          <w:ilvl w:val="0"/>
          <w:numId w:val="34"/>
        </w:numPr>
        <w:rPr>
          <w:rFonts w:ascii="Arial" w:cs="Arial" w:eastAsia="Arial" w:hAnsi="Arial"/>
          <w:sz w:val="38"/>
          <w:szCs w:val="38"/>
          <w:b w:val="1"/>
          <w:bCs w:val="1"/>
          <w:color w:val="333333"/>
          <w:vertAlign w:val="subscript"/>
        </w:rPr>
      </w:pPr>
      <w:r>
        <w:rPr>
          <w:rFonts w:ascii="Arial" w:cs="Arial" w:eastAsia="Arial" w:hAnsi="Arial"/>
          <w:sz w:val="15"/>
          <w:szCs w:val="15"/>
          <w:color w:val="auto"/>
        </w:rPr>
        <w:t>This proxy statement along with our annual report is available at: www.proxyvote.com. A copy of our Annual Report on Form 10-K for the fiscal year ended December 31, 2022, as filed with the SEC, may be obtained without charge upon written request to the Chief Financial Officer, UFP Industries, Inc., 2801 East Beltline NE, Grand Rapids, MI 49525.</w:t>
      </w:r>
    </w:p>
    <w:p>
      <w:pPr>
        <w:spacing w:after="0" w:line="324" w:lineRule="exact"/>
        <w:rPr>
          <w:sz w:val="20"/>
          <w:szCs w:val="20"/>
          <w:color w:val="auto"/>
        </w:rPr>
      </w:pPr>
    </w:p>
    <w:p>
      <w:pPr>
        <w:ind w:left="3600"/>
        <w:spacing w:after="0"/>
        <w:tabs>
          <w:tab w:leader="none" w:pos="482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7</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Voting Securities and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238760</wp:posOffset>
            </wp:positionV>
            <wp:extent cx="3086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As of March 1, 2023, the Record Date for the Annual Meeting, we had issued and outstanding, 62,467,027 shares of common stock. Shareholders are entitled to one vote for each share of our common stock registered in their names as of the close of business on the Record Date. Votes cast at the meeting and submitted by proxy are counted by the inspectors of the meeting, who are appointed by us.</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following table sets forth information as to each shareholder known to have been the beneficial owner of more than five percent (5%) of our outstanding shares of common stock as of March 1,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00" w:type="dxa"/>
            <w:vAlign w:val="bottom"/>
          </w:tcPr>
          <w:p>
            <w:pPr>
              <w:spacing w:after="0"/>
              <w:rPr>
                <w:sz w:val="10"/>
                <w:szCs w:val="10"/>
                <w:color w:val="auto"/>
              </w:rPr>
            </w:pPr>
          </w:p>
        </w:tc>
        <w:tc>
          <w:tcPr>
            <w:tcW w:w="3580" w:type="dxa"/>
            <w:vAlign w:val="bottom"/>
          </w:tcPr>
          <w:p>
            <w:pPr>
              <w:jc w:val="center"/>
              <w:ind w:left="1377"/>
              <w:spacing w:after="0"/>
              <w:rPr>
                <w:sz w:val="20"/>
                <w:szCs w:val="20"/>
                <w:color w:val="auto"/>
              </w:rPr>
            </w:pPr>
            <w:r>
              <w:rPr>
                <w:rFonts w:ascii="Arial" w:cs="Arial" w:eastAsia="Arial" w:hAnsi="Arial"/>
                <w:sz w:val="11"/>
                <w:szCs w:val="11"/>
                <w:b w:val="1"/>
                <w:bCs w:val="1"/>
                <w:color w:val="auto"/>
                <w:w w:val="96"/>
              </w:rPr>
              <w:t>AMOUNT AND NATURE OF</w:t>
            </w: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300" w:type="dxa"/>
            <w:vAlign w:val="bottom"/>
            <w:tcBorders>
              <w:bottom w:val="single" w:sz="8" w:color="017B52"/>
            </w:tcBorders>
          </w:tcPr>
          <w:p>
            <w:pPr>
              <w:ind w:left="100"/>
              <w:spacing w:after="0"/>
              <w:rPr>
                <w:sz w:val="20"/>
                <w:szCs w:val="20"/>
                <w:color w:val="auto"/>
              </w:rPr>
            </w:pPr>
            <w:r>
              <w:rPr>
                <w:rFonts w:ascii="Arial" w:cs="Arial" w:eastAsia="Arial" w:hAnsi="Arial"/>
                <w:sz w:val="11"/>
                <w:szCs w:val="11"/>
                <w:b w:val="1"/>
                <w:bCs w:val="1"/>
                <w:color w:val="auto"/>
              </w:rPr>
              <w:t>NAME AND ADDRESS OF BENEFICIAL OWNER</w:t>
            </w:r>
          </w:p>
        </w:tc>
        <w:tc>
          <w:tcPr>
            <w:tcW w:w="3580" w:type="dxa"/>
            <w:vAlign w:val="bottom"/>
            <w:tcBorders>
              <w:bottom w:val="single" w:sz="8" w:color="017B52"/>
            </w:tcBorders>
          </w:tcPr>
          <w:p>
            <w:pPr>
              <w:jc w:val="center"/>
              <w:ind w:left="1377"/>
              <w:spacing w:after="0" w:line="184" w:lineRule="exact"/>
              <w:rPr>
                <w:sz w:val="20"/>
                <w:szCs w:val="20"/>
                <w:color w:val="auto"/>
              </w:rPr>
            </w:pPr>
            <w:r>
              <w:rPr>
                <w:rFonts w:ascii="Arial" w:cs="Arial" w:eastAsia="Arial" w:hAnsi="Arial"/>
                <w:sz w:val="11"/>
                <w:szCs w:val="11"/>
                <w:b w:val="1"/>
                <w:bCs w:val="1"/>
                <w:color w:val="auto"/>
                <w:w w:val="97"/>
              </w:rPr>
              <w:t xml:space="preserve">BENEFICIAL OWNERSHIP </w:t>
            </w:r>
            <w:r>
              <w:rPr>
                <w:rFonts w:ascii="Arial" w:cs="Arial" w:eastAsia="Arial" w:hAnsi="Arial"/>
                <w:sz w:val="17"/>
                <w:szCs w:val="17"/>
                <w:b w:val="1"/>
                <w:bCs w:val="1"/>
                <w:color w:val="auto"/>
                <w:w w:val="97"/>
                <w:vertAlign w:val="superscript"/>
              </w:rPr>
              <w:t>(1)</w:t>
            </w:r>
          </w:p>
        </w:tc>
        <w:tc>
          <w:tcPr>
            <w:tcW w:w="1840" w:type="dxa"/>
            <w:vAlign w:val="bottom"/>
            <w:tcBorders>
              <w:bottom w:val="single" w:sz="8" w:color="017B52"/>
            </w:tcBorders>
          </w:tcPr>
          <w:p>
            <w:pPr>
              <w:jc w:val="center"/>
              <w:ind w:right="34"/>
              <w:spacing w:after="0"/>
              <w:rPr>
                <w:sz w:val="20"/>
                <w:szCs w:val="20"/>
                <w:color w:val="auto"/>
              </w:rPr>
            </w:pPr>
            <w:r>
              <w:rPr>
                <w:rFonts w:ascii="Arial" w:cs="Arial" w:eastAsia="Arial" w:hAnsi="Arial"/>
                <w:sz w:val="11"/>
                <w:szCs w:val="11"/>
                <w:b w:val="1"/>
                <w:bCs w:val="1"/>
                <w:color w:val="auto"/>
                <w:w w:val="98"/>
              </w:rPr>
              <w:t>PERCENT OF CLASS</w:t>
            </w:r>
          </w:p>
        </w:tc>
        <w:tc>
          <w:tcPr>
            <w:tcW w:w="0" w:type="dxa"/>
            <w:vAlign w:val="bottom"/>
          </w:tcPr>
          <w:p>
            <w:pPr>
              <w:spacing w:after="0"/>
              <w:rPr>
                <w:sz w:val="1"/>
                <w:szCs w:val="1"/>
                <w:color w:val="auto"/>
              </w:rPr>
            </w:pPr>
          </w:p>
        </w:tc>
      </w:tr>
      <w:tr>
        <w:trPr>
          <w:trHeight w:val="227"/>
        </w:trPr>
        <w:tc>
          <w:tcPr>
            <w:tcW w:w="4300" w:type="dxa"/>
            <w:vAlign w:val="bottom"/>
          </w:tcPr>
          <w:p>
            <w:pPr>
              <w:ind w:left="100"/>
              <w:spacing w:after="0"/>
              <w:rPr>
                <w:sz w:val="20"/>
                <w:szCs w:val="20"/>
                <w:color w:val="auto"/>
              </w:rPr>
            </w:pPr>
            <w:r>
              <w:rPr>
                <w:rFonts w:ascii="Arial" w:cs="Arial" w:eastAsia="Arial" w:hAnsi="Arial"/>
                <w:sz w:val="14"/>
                <w:szCs w:val="14"/>
                <w:color w:val="auto"/>
              </w:rPr>
              <w:t>BlackRock, Inc.</w:t>
            </w:r>
          </w:p>
        </w:tc>
        <w:tc>
          <w:tcPr>
            <w:tcW w:w="3580" w:type="dxa"/>
            <w:vAlign w:val="bottom"/>
            <w:vMerge w:val="restart"/>
          </w:tcPr>
          <w:p>
            <w:pPr>
              <w:jc w:val="center"/>
              <w:ind w:right="577"/>
              <w:spacing w:after="0"/>
              <w:rPr>
                <w:sz w:val="20"/>
                <w:szCs w:val="20"/>
                <w:color w:val="auto"/>
              </w:rPr>
            </w:pPr>
            <w:r>
              <w:rPr>
                <w:rFonts w:ascii="Arial" w:cs="Arial" w:eastAsia="Arial" w:hAnsi="Arial"/>
                <w:sz w:val="14"/>
                <w:szCs w:val="14"/>
                <w:color w:val="auto"/>
              </w:rPr>
              <w:t>10,475,858</w:t>
            </w:r>
            <w:r>
              <w:rPr>
                <w:rFonts w:ascii="Arial" w:cs="Arial" w:eastAsia="Arial" w:hAnsi="Arial"/>
                <w:sz w:val="23"/>
                <w:szCs w:val="23"/>
                <w:color w:val="auto"/>
                <w:vertAlign w:val="superscript"/>
              </w:rPr>
              <w:t>(2)</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300" w:type="dxa"/>
            <w:vAlign w:val="bottom"/>
          </w:tcPr>
          <w:p>
            <w:pPr>
              <w:ind w:left="100"/>
              <w:spacing w:after="0"/>
              <w:rPr>
                <w:sz w:val="20"/>
                <w:szCs w:val="20"/>
                <w:color w:val="auto"/>
              </w:rPr>
            </w:pPr>
            <w:r>
              <w:rPr>
                <w:rFonts w:ascii="Arial" w:cs="Arial" w:eastAsia="Arial" w:hAnsi="Arial"/>
                <w:sz w:val="14"/>
                <w:szCs w:val="14"/>
                <w:color w:val="auto"/>
              </w:rPr>
              <w:t>55 East 52nd Street</w:t>
            </w:r>
          </w:p>
        </w:tc>
        <w:tc>
          <w:tcPr>
            <w:tcW w:w="3580" w:type="dxa"/>
            <w:vAlign w:val="bottom"/>
            <w:vMerge w:val="continue"/>
          </w:tcPr>
          <w:p>
            <w:pPr>
              <w:spacing w:after="0"/>
              <w:rPr>
                <w:sz w:val="14"/>
                <w:szCs w:val="14"/>
                <w:color w:val="auto"/>
              </w:rPr>
            </w:pPr>
          </w:p>
        </w:tc>
        <w:tc>
          <w:tcPr>
            <w:tcW w:w="1840" w:type="dxa"/>
            <w:vAlign w:val="bottom"/>
          </w:tcPr>
          <w:p>
            <w:pPr>
              <w:jc w:val="center"/>
              <w:ind w:right="34"/>
              <w:spacing w:after="0"/>
              <w:rPr>
                <w:sz w:val="20"/>
                <w:szCs w:val="20"/>
                <w:color w:val="auto"/>
              </w:rPr>
            </w:pPr>
            <w:r>
              <w:rPr>
                <w:rFonts w:ascii="Arial" w:cs="Arial" w:eastAsia="Arial" w:hAnsi="Arial"/>
                <w:sz w:val="14"/>
                <w:szCs w:val="14"/>
                <w:color w:val="auto"/>
              </w:rPr>
              <w:t>17.47%</w:t>
            </w:r>
          </w:p>
        </w:tc>
        <w:tc>
          <w:tcPr>
            <w:tcW w:w="0" w:type="dxa"/>
            <w:vAlign w:val="bottom"/>
          </w:tcPr>
          <w:p>
            <w:pPr>
              <w:spacing w:after="0"/>
              <w:rPr>
                <w:sz w:val="1"/>
                <w:szCs w:val="1"/>
                <w:color w:val="auto"/>
              </w:rPr>
            </w:pPr>
          </w:p>
        </w:tc>
      </w:tr>
      <w:tr>
        <w:trPr>
          <w:trHeight w:val="190"/>
        </w:trPr>
        <w:tc>
          <w:tcPr>
            <w:tcW w:w="4300" w:type="dxa"/>
            <w:vAlign w:val="bottom"/>
          </w:tcPr>
          <w:p>
            <w:pPr>
              <w:ind w:left="100"/>
              <w:spacing w:after="0"/>
              <w:rPr>
                <w:sz w:val="20"/>
                <w:szCs w:val="20"/>
                <w:color w:val="auto"/>
              </w:rPr>
            </w:pPr>
            <w:r>
              <w:rPr>
                <w:rFonts w:ascii="Arial" w:cs="Arial" w:eastAsia="Arial" w:hAnsi="Arial"/>
                <w:sz w:val="14"/>
                <w:szCs w:val="14"/>
                <w:color w:val="auto"/>
              </w:rPr>
              <w:t>New York, NY 10055</w:t>
            </w:r>
          </w:p>
        </w:tc>
        <w:tc>
          <w:tcPr>
            <w:tcW w:w="35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4300" w:type="dxa"/>
            <w:vAlign w:val="bottom"/>
            <w:tcBorders>
              <w:bottom w:val="single" w:sz="8" w:color="017B52"/>
            </w:tcBorders>
          </w:tcPr>
          <w:p>
            <w:pPr>
              <w:spacing w:after="0"/>
              <w:rPr>
                <w:sz w:val="5"/>
                <w:szCs w:val="5"/>
                <w:color w:val="auto"/>
              </w:rPr>
            </w:pPr>
          </w:p>
        </w:tc>
        <w:tc>
          <w:tcPr>
            <w:tcW w:w="3580" w:type="dxa"/>
            <w:vAlign w:val="bottom"/>
            <w:tcBorders>
              <w:bottom w:val="single" w:sz="8" w:color="017B52"/>
            </w:tcBorders>
          </w:tcPr>
          <w:p>
            <w:pPr>
              <w:spacing w:after="0"/>
              <w:rPr>
                <w:sz w:val="5"/>
                <w:szCs w:val="5"/>
                <w:color w:val="auto"/>
              </w:rPr>
            </w:pPr>
          </w:p>
        </w:tc>
        <w:tc>
          <w:tcPr>
            <w:tcW w:w="1840" w:type="dxa"/>
            <w:vAlign w:val="bottom"/>
            <w:tcBorders>
              <w:bottom w:val="single" w:sz="8" w:color="017B52"/>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4300" w:type="dxa"/>
            <w:vAlign w:val="bottom"/>
          </w:tcPr>
          <w:p>
            <w:pPr>
              <w:ind w:left="100"/>
              <w:spacing w:after="0"/>
              <w:rPr>
                <w:sz w:val="20"/>
                <w:szCs w:val="20"/>
                <w:color w:val="auto"/>
              </w:rPr>
            </w:pPr>
            <w:r>
              <w:rPr>
                <w:rFonts w:ascii="Arial" w:cs="Arial" w:eastAsia="Arial" w:hAnsi="Arial"/>
                <w:sz w:val="14"/>
                <w:szCs w:val="14"/>
                <w:color w:val="auto"/>
              </w:rPr>
              <w:t>The Vanguard Group</w:t>
            </w:r>
          </w:p>
        </w:tc>
        <w:tc>
          <w:tcPr>
            <w:tcW w:w="3580" w:type="dxa"/>
            <w:vAlign w:val="bottom"/>
            <w:vMerge w:val="restart"/>
          </w:tcPr>
          <w:p>
            <w:pPr>
              <w:jc w:val="center"/>
              <w:ind w:right="617"/>
              <w:spacing w:after="0"/>
              <w:rPr>
                <w:sz w:val="20"/>
                <w:szCs w:val="20"/>
                <w:color w:val="auto"/>
              </w:rPr>
            </w:pPr>
            <w:r>
              <w:rPr>
                <w:rFonts w:ascii="Arial" w:cs="Arial" w:eastAsia="Arial" w:hAnsi="Arial"/>
                <w:sz w:val="14"/>
                <w:szCs w:val="14"/>
                <w:color w:val="auto"/>
              </w:rPr>
              <w:t>7,501,106</w:t>
            </w:r>
            <w:r>
              <w:rPr>
                <w:rFonts w:ascii="Arial" w:cs="Arial" w:eastAsia="Arial" w:hAnsi="Arial"/>
                <w:sz w:val="23"/>
                <w:szCs w:val="23"/>
                <w:color w:val="auto"/>
                <w:vertAlign w:val="superscript"/>
              </w:rPr>
              <w:t>(3)</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300" w:type="dxa"/>
            <w:vAlign w:val="bottom"/>
          </w:tcPr>
          <w:p>
            <w:pPr>
              <w:ind w:left="100"/>
              <w:spacing w:after="0"/>
              <w:rPr>
                <w:sz w:val="20"/>
                <w:szCs w:val="20"/>
                <w:color w:val="auto"/>
              </w:rPr>
            </w:pPr>
            <w:r>
              <w:rPr>
                <w:rFonts w:ascii="Arial" w:cs="Arial" w:eastAsia="Arial" w:hAnsi="Arial"/>
                <w:sz w:val="14"/>
                <w:szCs w:val="14"/>
                <w:color w:val="auto"/>
              </w:rPr>
              <w:t>100 Vanguard Blvd.</w:t>
            </w:r>
          </w:p>
        </w:tc>
        <w:tc>
          <w:tcPr>
            <w:tcW w:w="3580" w:type="dxa"/>
            <w:vAlign w:val="bottom"/>
            <w:vMerge w:val="continue"/>
          </w:tcPr>
          <w:p>
            <w:pPr>
              <w:spacing w:after="0"/>
              <w:rPr>
                <w:sz w:val="14"/>
                <w:szCs w:val="14"/>
                <w:color w:val="auto"/>
              </w:rPr>
            </w:pPr>
          </w:p>
        </w:tc>
        <w:tc>
          <w:tcPr>
            <w:tcW w:w="1840" w:type="dxa"/>
            <w:vAlign w:val="bottom"/>
          </w:tcPr>
          <w:p>
            <w:pPr>
              <w:jc w:val="center"/>
              <w:ind w:right="34"/>
              <w:spacing w:after="0"/>
              <w:rPr>
                <w:sz w:val="20"/>
                <w:szCs w:val="20"/>
                <w:color w:val="auto"/>
              </w:rPr>
            </w:pPr>
            <w:r>
              <w:rPr>
                <w:rFonts w:ascii="Arial" w:cs="Arial" w:eastAsia="Arial" w:hAnsi="Arial"/>
                <w:sz w:val="14"/>
                <w:szCs w:val="14"/>
                <w:color w:val="auto"/>
              </w:rPr>
              <w:t>12.17%</w:t>
            </w:r>
          </w:p>
        </w:tc>
        <w:tc>
          <w:tcPr>
            <w:tcW w:w="0" w:type="dxa"/>
            <w:vAlign w:val="bottom"/>
          </w:tcPr>
          <w:p>
            <w:pPr>
              <w:spacing w:after="0"/>
              <w:rPr>
                <w:sz w:val="1"/>
                <w:szCs w:val="1"/>
                <w:color w:val="auto"/>
              </w:rPr>
            </w:pPr>
          </w:p>
        </w:tc>
      </w:tr>
      <w:tr>
        <w:trPr>
          <w:trHeight w:val="190"/>
        </w:trPr>
        <w:tc>
          <w:tcPr>
            <w:tcW w:w="4300" w:type="dxa"/>
            <w:vAlign w:val="bottom"/>
          </w:tcPr>
          <w:p>
            <w:pPr>
              <w:ind w:left="100"/>
              <w:spacing w:after="0"/>
              <w:rPr>
                <w:sz w:val="20"/>
                <w:szCs w:val="20"/>
                <w:color w:val="auto"/>
              </w:rPr>
            </w:pPr>
            <w:r>
              <w:rPr>
                <w:rFonts w:ascii="Arial" w:cs="Arial" w:eastAsia="Arial" w:hAnsi="Arial"/>
                <w:sz w:val="14"/>
                <w:szCs w:val="14"/>
                <w:color w:val="auto"/>
              </w:rPr>
              <w:t>Malvern, PA 19355</w:t>
            </w:r>
          </w:p>
        </w:tc>
        <w:tc>
          <w:tcPr>
            <w:tcW w:w="35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4300" w:type="dxa"/>
            <w:vAlign w:val="bottom"/>
            <w:tcBorders>
              <w:bottom w:val="single" w:sz="8" w:color="017B52"/>
            </w:tcBorders>
          </w:tcPr>
          <w:p>
            <w:pPr>
              <w:spacing w:after="0"/>
              <w:rPr>
                <w:sz w:val="5"/>
                <w:szCs w:val="5"/>
                <w:color w:val="auto"/>
              </w:rPr>
            </w:pPr>
          </w:p>
        </w:tc>
        <w:tc>
          <w:tcPr>
            <w:tcW w:w="3580" w:type="dxa"/>
            <w:vAlign w:val="bottom"/>
            <w:tcBorders>
              <w:bottom w:val="single" w:sz="8" w:color="017B52"/>
            </w:tcBorders>
          </w:tcPr>
          <w:p>
            <w:pPr>
              <w:spacing w:after="0"/>
              <w:rPr>
                <w:sz w:val="5"/>
                <w:szCs w:val="5"/>
                <w:color w:val="auto"/>
              </w:rPr>
            </w:pPr>
          </w:p>
        </w:tc>
        <w:tc>
          <w:tcPr>
            <w:tcW w:w="1840" w:type="dxa"/>
            <w:vAlign w:val="bottom"/>
            <w:tcBorders>
              <w:bottom w:val="single" w:sz="8" w:color="017B52"/>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60" w:hanging="256"/>
        <w:spacing w:after="0"/>
        <w:tabs>
          <w:tab w:leader="none" w:pos="260" w:val="left"/>
        </w:tabs>
        <w:numPr>
          <w:ilvl w:val="0"/>
          <w:numId w:val="35"/>
        </w:numPr>
        <w:rPr>
          <w:rFonts w:ascii="Arial" w:cs="Arial" w:eastAsia="Arial" w:hAnsi="Arial"/>
          <w:sz w:val="13"/>
          <w:szCs w:val="13"/>
          <w:color w:val="58595B"/>
        </w:rPr>
      </w:pPr>
      <w:r>
        <w:rPr>
          <w:rFonts w:ascii="Arial" w:cs="Arial" w:eastAsia="Arial" w:hAnsi="Arial"/>
          <w:sz w:val="13"/>
          <w:szCs w:val="13"/>
          <w:color w:val="58595B"/>
        </w:rPr>
        <w:t>Except as otherwise indicated by footnote, each named shareholder has sole voting and investment power with respect to the shares indicated.</w:t>
      </w:r>
    </w:p>
    <w:p>
      <w:pPr>
        <w:spacing w:after="0" w:line="120" w:lineRule="exact"/>
        <w:rPr>
          <w:rFonts w:ascii="Arial" w:cs="Arial" w:eastAsia="Arial" w:hAnsi="Arial"/>
          <w:sz w:val="13"/>
          <w:szCs w:val="13"/>
          <w:color w:val="58595B"/>
        </w:rPr>
      </w:pPr>
    </w:p>
    <w:p>
      <w:pPr>
        <w:ind w:left="260" w:right="600" w:hanging="256"/>
        <w:spacing w:after="0" w:line="243" w:lineRule="auto"/>
        <w:tabs>
          <w:tab w:leader="none" w:pos="260" w:val="left"/>
        </w:tabs>
        <w:numPr>
          <w:ilvl w:val="0"/>
          <w:numId w:val="35"/>
        </w:numPr>
        <w:rPr>
          <w:rFonts w:ascii="Arial" w:cs="Arial" w:eastAsia="Arial" w:hAnsi="Arial"/>
          <w:sz w:val="13"/>
          <w:szCs w:val="13"/>
          <w:color w:val="58595B"/>
        </w:rPr>
      </w:pPr>
      <w:r>
        <w:rPr>
          <w:rFonts w:ascii="Arial" w:cs="Arial" w:eastAsia="Arial" w:hAnsi="Arial"/>
          <w:sz w:val="13"/>
          <w:szCs w:val="13"/>
          <w:color w:val="58595B"/>
        </w:rPr>
        <w:t>BlackRock, Inc., either directly or through affiliated companies, beneficially owned this number of shares, as noted on the Schedule 13G it filed with the SEC on January 23, 2023.</w:t>
      </w:r>
    </w:p>
    <w:p>
      <w:pPr>
        <w:spacing w:after="0" w:line="102" w:lineRule="exact"/>
        <w:rPr>
          <w:rFonts w:ascii="Arial" w:cs="Arial" w:eastAsia="Arial" w:hAnsi="Arial"/>
          <w:sz w:val="13"/>
          <w:szCs w:val="13"/>
          <w:color w:val="58595B"/>
        </w:rPr>
      </w:pPr>
    </w:p>
    <w:p>
      <w:pPr>
        <w:ind w:left="260" w:right="300" w:hanging="256"/>
        <w:spacing w:after="0" w:line="243" w:lineRule="auto"/>
        <w:tabs>
          <w:tab w:leader="none" w:pos="260" w:val="left"/>
        </w:tabs>
        <w:numPr>
          <w:ilvl w:val="0"/>
          <w:numId w:val="35"/>
        </w:numPr>
        <w:rPr>
          <w:rFonts w:ascii="Arial" w:cs="Arial" w:eastAsia="Arial" w:hAnsi="Arial"/>
          <w:sz w:val="13"/>
          <w:szCs w:val="13"/>
          <w:color w:val="58595B"/>
        </w:rPr>
      </w:pPr>
      <w:r>
        <w:rPr>
          <w:rFonts w:ascii="Arial" w:cs="Arial" w:eastAsia="Arial" w:hAnsi="Arial"/>
          <w:sz w:val="13"/>
          <w:szCs w:val="13"/>
          <w:color w:val="58595B"/>
        </w:rPr>
        <w:t>The Vanguard Group, either directly or through affiliated companies, beneficially owned this number of shares, as noted on the Schedule 13G it filed with the SEC on February 9, 2023.</w:t>
      </w:r>
    </w:p>
    <w:p>
      <w:pPr>
        <w:spacing w:after="0" w:line="318" w:lineRule="exact"/>
        <w:rPr>
          <w:sz w:val="20"/>
          <w:szCs w:val="20"/>
          <w:color w:val="auto"/>
        </w:rPr>
      </w:pPr>
    </w:p>
    <w:p>
      <w:pPr>
        <w:ind w:left="3600"/>
        <w:spacing w:after="0"/>
        <w:tabs>
          <w:tab w:leader="none" w:pos="482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8</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40"/>
          <w:szCs w:val="40"/>
          <w:b w:val="1"/>
          <w:bCs w:val="1"/>
          <w:color w:val="017B52"/>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234950</wp:posOffset>
            </wp:positionV>
            <wp:extent cx="308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Board presently consists of nine members. These members are divided into three classes of equal number, with the classes to hold office for staggered terms of three years each. Our Board has nominated Benjamin J. McLean, Mary Tuuk Kuras and Michael G. Wooldridge to three-year terms expiring at our 2026 Annual Meeting of Shareholders. Each incumbent director has been previously elected by our shareholders.</w:t>
      </w:r>
    </w:p>
    <w:p>
      <w:pPr>
        <w:spacing w:after="0" w:line="124"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The persons named as proxy holders in the accompanying proxy will vote for the above-named nominees, unless a shareholder directs them differently by proxy. If a nominee is not available for election as a director at the time of the Annual Meeting (a situation which is not now anticipated), the Board may designate a substitute nominee, and the accompanying proxy will be voted for the substitute nominee.</w:t>
      </w:r>
    </w:p>
    <w:p>
      <w:pPr>
        <w:spacing w:after="0" w:line="12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proxies cannot be voted for a greater number of persons than the number of nominees named. The proxy holders, to the extent they have been granted authority to vote in the election of directors, may or may not vote for a substitute nominee.</w:t>
      </w:r>
    </w:p>
    <w:p>
      <w:pPr>
        <w:spacing w:after="0" w:line="10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vote required for the election of a director shall, except in a contested election, be the affirmative vote of a majority of the votes cast in the election of a nominee. A "majority of the votes cast" means that the number of votes cast "for" a director's election must exceed the number of votes cast "against" that director's election. "Abstentions" and "broker non-votes" are not counted as votes cast either "for" or "against" that director's election. In a contested election, directors are elected by a plurality of the votes cast at a meeting of shareholders. An election is considered contested if there are more nominees for election than positions on the Board of Directors to be filled by election at that meeting.</w:t>
      </w:r>
    </w:p>
    <w:p>
      <w:pPr>
        <w:spacing w:after="0" w:line="12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any non-contested election of directors, any director nominee who receives a greater number of votes cast against his or her election than in favor of his or her election is required to immediately tender his or her resignation to the Board. The Nominating and Corporate Governance Committee will make a recommendation to the Board on whether to accept or reject the resignation or whether other action should be taken. The Board will act on the Committee's recommendation and publicly disclose its decision within 90 days from the date of the certification of the election results for that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88900</wp:posOffset>
            </wp:positionV>
            <wp:extent cx="6172200"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2200" cy="342900"/>
                    </a:xfrm>
                    <a:prstGeom prst="rect">
                      <a:avLst/>
                    </a:prstGeom>
                    <a:noFill/>
                  </pic:spPr>
                </pic:pic>
              </a:graphicData>
            </a:graphic>
          </wp:anchor>
        </w:drawing>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17B52"/>
        </w:rPr>
        <w:t>The Board of Directors recommends a vote “FOR</w:t>
      </w:r>
      <w:r>
        <w:rPr>
          <w:rFonts w:ascii="Arial" w:cs="Arial" w:eastAsia="Arial" w:hAnsi="Arial"/>
          <w:sz w:val="14"/>
          <w:szCs w:val="14"/>
          <w:color w:val="017B52"/>
        </w:rPr>
        <w:t>”</w:t>
      </w:r>
      <w:r>
        <w:rPr>
          <w:rFonts w:ascii="Arial" w:cs="Arial" w:eastAsia="Arial" w:hAnsi="Arial"/>
          <w:sz w:val="14"/>
          <w:szCs w:val="14"/>
          <w:b w:val="1"/>
          <w:bCs w:val="1"/>
          <w:color w:val="017B52"/>
        </w:rPr>
        <w:t xml:space="preserve"> the election of each of the three nominees.</w:t>
      </w:r>
    </w:p>
    <w:p>
      <w:pPr>
        <w:spacing w:after="0" w:line="200" w:lineRule="exact"/>
        <w:rPr>
          <w:sz w:val="20"/>
          <w:szCs w:val="20"/>
          <w:color w:val="auto"/>
        </w:rPr>
      </w:pPr>
    </w:p>
    <w:p>
      <w:pPr>
        <w:spacing w:after="0" w:line="332" w:lineRule="exact"/>
        <w:rPr>
          <w:sz w:val="20"/>
          <w:szCs w:val="20"/>
          <w:color w:val="auto"/>
        </w:rPr>
      </w:pPr>
    </w:p>
    <w:p>
      <w:pPr>
        <w:ind w:left="3600"/>
        <w:spacing w:after="0"/>
        <w:tabs>
          <w:tab w:leader="none" w:pos="482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9</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351"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The following table provides certain biographical information for each person who is nominated for election as a director at our Annual Meeting and for each person who is continuing as an incumbent director. The information was provided to us as of March 1, 2023, by the respective nominees and directors.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Nominees for Term Expiring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238760</wp:posOffset>
            </wp:positionV>
            <wp:extent cx="308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8"/>
          <w:szCs w:val="28"/>
          <w:color w:val="017B52"/>
        </w:rPr>
        <w:t>Benjamin J.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-1511935</wp:posOffset>
            </wp:positionV>
            <wp:extent cx="1028700" cy="1234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0" cy="1234440"/>
                    </a:xfrm>
                    <a:prstGeom prst="rect">
                      <a:avLst/>
                    </a:prstGeom>
                    <a:noFill/>
                  </pic:spPr>
                </pic:pic>
              </a:graphicData>
            </a:graphic>
          </wp:anchor>
        </w:drawing>
      </w:r>
    </w:p>
    <w:p>
      <w:pPr>
        <w:spacing w:after="0" w:line="108"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017B52"/>
        </w:rPr>
        <w:t>CEO of Ruan Transportation Management Systems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46</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46" w:lineRule="auto"/>
        <w:rPr>
          <w:sz w:val="20"/>
          <w:szCs w:val="20"/>
          <w:color w:val="auto"/>
        </w:rPr>
      </w:pPr>
      <w:r>
        <w:rPr>
          <w:rFonts w:ascii="Arial" w:cs="Arial" w:eastAsia="Arial" w:hAnsi="Arial"/>
          <w:sz w:val="14"/>
          <w:szCs w:val="14"/>
          <w:b w:val="1"/>
          <w:bCs w:val="1"/>
          <w:color w:val="017B52"/>
        </w:rPr>
        <w:t>BENJAMIN J. MCLEAN</w:t>
      </w:r>
      <w:r>
        <w:rPr>
          <w:rFonts w:ascii="Arial" w:cs="Arial" w:eastAsia="Arial" w:hAnsi="Arial"/>
          <w:sz w:val="14"/>
          <w:szCs w:val="14"/>
          <w:color w:val="000000"/>
        </w:rPr>
        <w:t>, has been Chief Executive Officer of Ruan Transportation Management</w:t>
      </w:r>
      <w:r>
        <w:rPr>
          <w:rFonts w:ascii="Arial" w:cs="Arial" w:eastAsia="Arial" w:hAnsi="Arial"/>
          <w:sz w:val="14"/>
          <w:szCs w:val="14"/>
          <w:b w:val="1"/>
          <w:bCs w:val="1"/>
          <w:color w:val="017B52"/>
        </w:rPr>
        <w:t xml:space="preserve"> </w:t>
      </w:r>
      <w:r>
        <w:rPr>
          <w:rFonts w:ascii="Arial" w:cs="Arial" w:eastAsia="Arial" w:hAnsi="Arial"/>
          <w:sz w:val="14"/>
          <w:szCs w:val="14"/>
          <w:color w:val="000000"/>
        </w:rPr>
        <w:t>Systems, one of the largest privately-held logistics firms in the United States, since 2015. Since joining Ruan in 2007, Mr. McLean has also served as Ruan’s chief operating officer and chief information officer. Prior to joining Ruan, Mr. McLean assisted companies with mergers, acquisitions and equity offerings at William Blair &amp; Company in Chicago, IL, and delivered technology consulting services as part of Deloitte Consulting’s Chicago office. Mr. McLean serves as a board member for the American Transportation Research Institute, is a member of the Northwestern University Transportation Center Business Advisory Committee and is a member and prior chair of the Iowa Business Council. Mr. McLean also served as chair of the Governor’s Economic Recovery Advisory Board for the State of Iowa.</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Mr. McLean is a financial expert as defined by the SEC. His experience in transportation and logistics, as well as his role as chief executive officer of a large and sophisticated business organization make him an important contributor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81280</wp:posOffset>
            </wp:positionV>
            <wp:extent cx="2139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2020</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333333"/>
        </w:rPr>
        <w:t>Member of Audit Committee</w:t>
      </w:r>
    </w:p>
    <w:p>
      <w:pPr>
        <w:spacing w:after="0" w:line="671" w:lineRule="exact"/>
        <w:rPr>
          <w:sz w:val="20"/>
          <w:szCs w:val="20"/>
          <w:color w:val="auto"/>
        </w:rPr>
      </w:pPr>
    </w:p>
    <w:p>
      <w:pPr>
        <w:sectPr>
          <w:pgSz w:w="11900" w:h="16838" w:orient="portrait"/>
          <w:cols w:equalWidth="0" w:num="2">
            <w:col w:w="2620" w:space="440"/>
            <w:col w:w="6660"/>
          </w:cols>
          <w:pgMar w:left="1080" w:top="229" w:right="1099" w:bottom="1440" w:gutter="0" w:footer="0" w:header="0"/>
          <w:type w:val="continuous"/>
        </w:sectPr>
      </w:pPr>
    </w:p>
    <w:p>
      <w:pPr>
        <w:spacing w:after="0" w:line="238"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61722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7"/>
          <w:szCs w:val="17"/>
          <w:u w:val="single" w:color="auto"/>
          <w:color w:val="0000EE"/>
        </w:rPr>
        <w:t>Table of Contents</w:t>
      </w:r>
    </w:p>
    <w:p>
      <w:pPr>
        <w:sectPr>
          <w:pgSz w:w="11900" w:h="16838" w:orient="portrait"/>
          <w:cols w:equalWidth="0" w:num="1">
            <w:col w:w="9720"/>
          </w:cols>
          <w:pgMar w:left="1080" w:top="229"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color w:val="017B52"/>
        </w:rPr>
        <w:t>Mary Tuuk Kuras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-1613535</wp:posOffset>
            </wp:positionV>
            <wp:extent cx="1028700" cy="12433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0" cy="124333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017B52"/>
        </w:rPr>
        <w:t>CEO of MTK Practical Leadership</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58</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2014</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line="244" w:lineRule="auto"/>
        <w:rPr>
          <w:sz w:val="20"/>
          <w:szCs w:val="20"/>
          <w:color w:val="auto"/>
        </w:rPr>
      </w:pPr>
      <w:r>
        <w:rPr>
          <w:rFonts w:ascii="Arial" w:cs="Arial" w:eastAsia="Arial" w:hAnsi="Arial"/>
          <w:sz w:val="14"/>
          <w:szCs w:val="14"/>
          <w:b w:val="1"/>
          <w:bCs w:val="1"/>
          <w:color w:val="017B52"/>
        </w:rPr>
        <w:t>MARY TUUK KURAS</w:t>
      </w:r>
      <w:r>
        <w:rPr>
          <w:rFonts w:ascii="Arial" w:cs="Arial" w:eastAsia="Arial" w:hAnsi="Arial"/>
          <w:sz w:val="14"/>
          <w:szCs w:val="14"/>
          <w:color w:val="000000"/>
        </w:rPr>
        <w:t>, is CEO of MTK Practical Leadership, offering a common-sense approach to</w:t>
      </w:r>
      <w:r>
        <w:rPr>
          <w:rFonts w:ascii="Arial" w:cs="Arial" w:eastAsia="Arial" w:hAnsi="Arial"/>
          <w:sz w:val="14"/>
          <w:szCs w:val="14"/>
          <w:b w:val="1"/>
          <w:bCs w:val="1"/>
          <w:color w:val="017B52"/>
        </w:rPr>
        <w:t xml:space="preserve"> </w:t>
      </w:r>
      <w:r>
        <w:rPr>
          <w:rFonts w:ascii="Arial" w:cs="Arial" w:eastAsia="Arial" w:hAnsi="Arial"/>
          <w:sz w:val="14"/>
          <w:szCs w:val="14"/>
          <w:color w:val="000000"/>
        </w:rPr>
        <w:t>strengthening skills for executive leaders. Her work accelerates learning and effectiveness by teaching from real-life situations and passing on valuable knowledge from her 33 years of executive experience in multiple industries. On December 31, 2022 she retired as President and CEO of the Grand Rapids Symphony in Grand Rapids, MI, where she had served since January 2019. Before joining the Symphony, she served as Chief Compliance Officer/Senior Vice President, Properties and Real Estate for Meijer, Inc., a regional retail chain. While at Meijer, Ms. Tuuk Kuras also served as Chief Compliance Officer. Prior to her tenure with Meijer, she was Executive Vice President of Corporate Services, and Secretary of the Board of Directors for Fifth Third Bancorp of Cincinnati, OH. Ms. Tuuk Kuras’ previous positions with Fifth Third included Executive Vice President and Chief Risk Officer of Fifth Third Bancorp, and President of Fifth Third Bank (Western Michigan), where she had leadership responsibility for the growth and strategic direction of major lines of business. She was named one of the “25 Women to Watch in Banking” by the American Banker magazine each year from 2008 to 2014. She chairs the Audit Committee for United Bank, a Michigan bank, and serves on the boards of a variety of educational and civic institutions.</w:t>
      </w:r>
    </w:p>
    <w:p>
      <w:pPr>
        <w:spacing w:after="0" w:line="123"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Ms. Tuuk Kuras is a financial expert, as defined by the SEC. Her experience in the financial services and retail industries adds a unique perspective to our Board. Her expertise in enterprise risk management, corporate governance, legal affairs, compliance, regulatory and governmental affairs, as well as strategic planning, properties and real estate, corporate sustainability, operational leadership, and crisis management further enhances her value as a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2057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2014</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333333"/>
        </w:rPr>
        <w:t>Member of Audit Committee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333333"/>
        </w:rPr>
        <w:t>Member of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-2117725</wp:posOffset>
            </wp:positionH>
            <wp:positionV relativeFrom="paragraph">
              <wp:posOffset>246380</wp:posOffset>
            </wp:positionV>
            <wp:extent cx="61722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720"/>
            <w:col w:w="6380"/>
          </w:cols>
          <w:pgMar w:left="1080" w:top="229" w:right="109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left="3340" w:right="20"/>
        <w:spacing w:after="0" w:line="252" w:lineRule="auto"/>
        <w:rPr>
          <w:sz w:val="20"/>
          <w:szCs w:val="20"/>
          <w:color w:val="auto"/>
        </w:rPr>
      </w:pPr>
      <w:r>
        <w:rPr>
          <w:rFonts w:ascii="Arial" w:cs="Arial" w:eastAsia="Arial" w:hAnsi="Arial"/>
          <w:sz w:val="14"/>
          <w:szCs w:val="14"/>
          <w:b w:val="1"/>
          <w:bCs w:val="1"/>
          <w:color w:val="017B52"/>
        </w:rPr>
        <w:t>MICHAEL G. WOOLDRIDGE</w:t>
      </w:r>
      <w:r>
        <w:rPr>
          <w:rFonts w:ascii="Arial" w:cs="Arial" w:eastAsia="Arial" w:hAnsi="Arial"/>
          <w:sz w:val="14"/>
          <w:szCs w:val="14"/>
          <w:color w:val="000000"/>
        </w:rPr>
        <w:t>, is a Partner with the law firm of Varnum LLP, headquartered in Grand</w:t>
      </w:r>
      <w:r>
        <w:rPr>
          <w:rFonts w:ascii="Arial" w:cs="Arial" w:eastAsia="Arial" w:hAnsi="Arial"/>
          <w:sz w:val="14"/>
          <w:szCs w:val="14"/>
          <w:b w:val="1"/>
          <w:bCs w:val="1"/>
          <w:color w:val="017B52"/>
        </w:rPr>
        <w:t xml:space="preserve"> </w:t>
      </w:r>
      <w:r>
        <w:rPr>
          <w:rFonts w:ascii="Arial" w:cs="Arial" w:eastAsia="Arial" w:hAnsi="Arial"/>
          <w:sz w:val="14"/>
          <w:szCs w:val="14"/>
          <w:color w:val="000000"/>
        </w:rPr>
        <w:t>Rapids, MI. He joined Varnum in 1985 and is a partner in the firm's corporate practice group, focusing on corporate governance, securities, and mergers and acquisitions. Mr. Wooldridge served on and chaired the firm’s policy committee and has been included in The Best Lawyers in America since 2005. He also serves on the boards of several community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-530225</wp:posOffset>
            </wp:positionV>
            <wp:extent cx="1028700" cy="12433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0" cy="1243330"/>
                    </a:xfrm>
                    <a:prstGeom prst="rect">
                      <a:avLst/>
                    </a:prstGeom>
                    <a:noFill/>
                  </pic:spPr>
                </pic:pic>
              </a:graphicData>
            </a:graphic>
          </wp:anchor>
        </w:drawing>
      </w:r>
    </w:p>
    <w:p>
      <w:pPr>
        <w:spacing w:after="0" w:line="93" w:lineRule="exact"/>
        <w:rPr>
          <w:sz w:val="20"/>
          <w:szCs w:val="20"/>
          <w:color w:val="auto"/>
        </w:rPr>
      </w:pPr>
    </w:p>
    <w:p>
      <w:pPr>
        <w:ind w:left="3340" w:right="380"/>
        <w:spacing w:after="0" w:line="256" w:lineRule="auto"/>
        <w:rPr>
          <w:sz w:val="20"/>
          <w:szCs w:val="20"/>
          <w:color w:val="auto"/>
        </w:rPr>
      </w:pPr>
      <w:r>
        <w:rPr>
          <w:rFonts w:ascii="Arial" w:cs="Arial" w:eastAsia="Arial" w:hAnsi="Arial"/>
          <w:sz w:val="14"/>
          <w:szCs w:val="14"/>
          <w:color w:val="auto"/>
        </w:rPr>
        <w:t>Mr. Wooldridge serves as an advisor and counsel to a number of publicly-held companies on a variety of corporate and securities law matters. His advice on compliance matters, corporate governance trends and developments and other issues is invaluable, as is his experience in advising other publicly-held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178435</wp:posOffset>
            </wp:positionV>
            <wp:extent cx="2057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20" w:type="dxa"/>
            <w:vAlign w:val="bottom"/>
            <w:vMerge w:val="restart"/>
          </w:tcPr>
          <w:p>
            <w:pPr>
              <w:spacing w:after="0"/>
              <w:rPr>
                <w:sz w:val="20"/>
                <w:szCs w:val="20"/>
                <w:color w:val="auto"/>
              </w:rPr>
            </w:pPr>
            <w:r>
              <w:rPr>
                <w:rFonts w:ascii="Arial" w:cs="Arial" w:eastAsia="Arial" w:hAnsi="Arial"/>
                <w:sz w:val="29"/>
                <w:szCs w:val="29"/>
                <w:color w:val="017B52"/>
              </w:rPr>
              <w:t>Michael G. Wooldridge</w:t>
            </w:r>
          </w:p>
        </w:tc>
        <w:tc>
          <w:tcPr>
            <w:tcW w:w="1980" w:type="dxa"/>
            <w:vAlign w:val="bottom"/>
            <w:gridSpan w:val="2"/>
          </w:tcPr>
          <w:p>
            <w:pPr>
              <w:ind w:left="220"/>
              <w:spacing w:after="0"/>
              <w:rPr>
                <w:sz w:val="20"/>
                <w:szCs w:val="20"/>
                <w:color w:val="auto"/>
              </w:rPr>
            </w:pPr>
            <w:r>
              <w:rPr>
                <w:rFonts w:ascii="Arial" w:cs="Arial" w:eastAsia="Arial" w:hAnsi="Arial"/>
                <w:sz w:val="13"/>
                <w:szCs w:val="13"/>
                <w:b w:val="1"/>
                <w:bCs w:val="1"/>
                <w:color w:val="017B52"/>
              </w:rPr>
              <w:t>SERVICE AS A DIRECTOR</w:t>
            </w:r>
          </w:p>
        </w:tc>
        <w:tc>
          <w:tcPr>
            <w:tcW w:w="4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120" w:type="dxa"/>
            <w:vAlign w:val="bottom"/>
            <w:vMerge w:val="continue"/>
          </w:tcPr>
          <w:p>
            <w:pPr>
              <w:spacing w:after="0"/>
              <w:rPr>
                <w:sz w:val="18"/>
                <w:szCs w:val="18"/>
                <w:color w:val="auto"/>
              </w:rPr>
            </w:pPr>
          </w:p>
        </w:tc>
        <w:tc>
          <w:tcPr>
            <w:tcW w:w="1580" w:type="dxa"/>
            <w:vAlign w:val="bottom"/>
          </w:tcPr>
          <w:p>
            <w:pPr>
              <w:ind w:left="220"/>
              <w:spacing w:after="0"/>
              <w:rPr>
                <w:sz w:val="20"/>
                <w:szCs w:val="20"/>
                <w:color w:val="auto"/>
              </w:rPr>
            </w:pPr>
            <w:r>
              <w:rPr>
                <w:rFonts w:ascii="Arial" w:cs="Arial" w:eastAsia="Arial" w:hAnsi="Arial"/>
                <w:sz w:val="14"/>
                <w:szCs w:val="14"/>
                <w:color w:val="333333"/>
              </w:rPr>
              <w:t>Director since 2016</w:t>
            </w:r>
          </w:p>
        </w:tc>
        <w:tc>
          <w:tcPr>
            <w:tcW w:w="4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120" w:type="dxa"/>
            <w:vAlign w:val="bottom"/>
            <w:vMerge w:val="restart"/>
          </w:tcPr>
          <w:p>
            <w:pPr>
              <w:spacing w:after="0"/>
              <w:rPr>
                <w:sz w:val="20"/>
                <w:szCs w:val="20"/>
                <w:color w:val="auto"/>
              </w:rPr>
            </w:pPr>
            <w:r>
              <w:rPr>
                <w:rFonts w:ascii="Arial" w:cs="Arial" w:eastAsia="Arial" w:hAnsi="Arial"/>
                <w:sz w:val="16"/>
                <w:szCs w:val="16"/>
                <w:color w:val="017B52"/>
              </w:rPr>
              <w:t>Partner with Varnum LLP</w:t>
            </w:r>
          </w:p>
        </w:tc>
        <w:tc>
          <w:tcPr>
            <w:tcW w:w="6600" w:type="dxa"/>
            <w:vAlign w:val="bottom"/>
            <w:gridSpan w:val="3"/>
          </w:tcPr>
          <w:p>
            <w:pPr>
              <w:ind w:left="220"/>
              <w:spacing w:after="0"/>
              <w:rPr>
                <w:sz w:val="20"/>
                <w:szCs w:val="20"/>
                <w:color w:val="auto"/>
              </w:rPr>
            </w:pPr>
            <w:r>
              <w:rPr>
                <w:rFonts w:ascii="Arial" w:cs="Arial" w:eastAsia="Arial" w:hAnsi="Arial"/>
                <w:sz w:val="14"/>
                <w:szCs w:val="14"/>
                <w:color w:val="333333"/>
              </w:rPr>
              <w:t>Chairman of Nominating and Corporate Governance Committee</w:t>
            </w:r>
          </w:p>
        </w:tc>
        <w:tc>
          <w:tcPr>
            <w:tcW w:w="0" w:type="dxa"/>
            <w:vAlign w:val="bottom"/>
          </w:tcPr>
          <w:p>
            <w:pPr>
              <w:spacing w:after="0"/>
              <w:rPr>
                <w:sz w:val="1"/>
                <w:szCs w:val="1"/>
                <w:color w:val="auto"/>
              </w:rPr>
            </w:pPr>
          </w:p>
        </w:tc>
      </w:tr>
      <w:tr>
        <w:trPr>
          <w:trHeight w:val="102"/>
        </w:trPr>
        <w:tc>
          <w:tcPr>
            <w:tcW w:w="3120" w:type="dxa"/>
            <w:vAlign w:val="bottom"/>
            <w:vMerge w:val="continue"/>
          </w:tcPr>
          <w:p>
            <w:pPr>
              <w:spacing w:after="0"/>
              <w:rPr>
                <w:sz w:val="8"/>
                <w:szCs w:val="8"/>
                <w:color w:val="auto"/>
              </w:rPr>
            </w:pPr>
          </w:p>
        </w:tc>
        <w:tc>
          <w:tcPr>
            <w:tcW w:w="6600" w:type="dxa"/>
            <w:vAlign w:val="bottom"/>
            <w:gridSpan w:val="3"/>
            <w:vMerge w:val="restart"/>
          </w:tcPr>
          <w:p>
            <w:pPr>
              <w:ind w:left="220"/>
              <w:spacing w:after="0"/>
              <w:rPr>
                <w:sz w:val="20"/>
                <w:szCs w:val="20"/>
                <w:color w:val="auto"/>
              </w:rPr>
            </w:pPr>
            <w:r>
              <w:rPr>
                <w:rFonts w:ascii="Arial" w:cs="Arial" w:eastAsia="Arial" w:hAnsi="Arial"/>
                <w:sz w:val="14"/>
                <w:szCs w:val="14"/>
                <w:color w:val="333333"/>
              </w:rPr>
              <w:t>Member of Personnel and Compensation Committee</w:t>
            </w:r>
          </w:p>
        </w:tc>
        <w:tc>
          <w:tcPr>
            <w:tcW w:w="0" w:type="dxa"/>
            <w:vAlign w:val="bottom"/>
          </w:tcPr>
          <w:p>
            <w:pPr>
              <w:spacing w:after="0"/>
              <w:rPr>
                <w:sz w:val="1"/>
                <w:szCs w:val="1"/>
                <w:color w:val="auto"/>
              </w:rPr>
            </w:pPr>
          </w:p>
        </w:tc>
      </w:tr>
      <w:tr>
        <w:trPr>
          <w:trHeight w:val="88"/>
        </w:trPr>
        <w:tc>
          <w:tcPr>
            <w:tcW w:w="3120" w:type="dxa"/>
            <w:vAlign w:val="bottom"/>
          </w:tcPr>
          <w:p>
            <w:pPr>
              <w:spacing w:after="0"/>
              <w:rPr>
                <w:sz w:val="7"/>
                <w:szCs w:val="7"/>
                <w:color w:val="auto"/>
              </w:rPr>
            </w:pPr>
          </w:p>
        </w:tc>
        <w:tc>
          <w:tcPr>
            <w:tcW w:w="66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20" w:type="dxa"/>
            <w:vAlign w:val="bottom"/>
          </w:tcPr>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63</w:t>
            </w:r>
          </w:p>
        </w:tc>
        <w:tc>
          <w:tcPr>
            <w:tcW w:w="1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2016</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3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UFP Industries</w:t>
            </w:r>
          </w:p>
        </w:tc>
        <w:tc>
          <w:tcPr>
            <w:tcW w:w="4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11</w:t>
            </w:r>
          </w:p>
        </w:tc>
        <w:tc>
          <w:tcPr>
            <w:tcW w:w="462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2023 Proxy Statement</w:t>
            </w:r>
          </w:p>
        </w:tc>
        <w:tc>
          <w:tcPr>
            <w:tcW w:w="0" w:type="dxa"/>
            <w:vAlign w:val="bottom"/>
          </w:tcPr>
          <w:p>
            <w:pPr>
              <w:spacing w:after="0"/>
              <w:rPr>
                <w:sz w:val="1"/>
                <w:szCs w:val="1"/>
                <w:color w:val="auto"/>
              </w:rPr>
            </w:pPr>
          </w:p>
        </w:tc>
      </w:tr>
    </w:tbl>
    <w:p>
      <w:pPr>
        <w:sectPr>
          <w:pgSz w:w="11900" w:h="16838" w:orient="portrait"/>
          <w:cols w:equalWidth="0" w:num="1">
            <w:col w:w="9720"/>
          </w:cols>
          <w:pgMar w:left="1080" w:top="229" w:right="10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Arial" w:cs="Arial" w:eastAsia="Arial" w:hAnsi="Arial"/>
          <w:sz w:val="28"/>
          <w:szCs w:val="28"/>
          <w:b w:val="1"/>
          <w:bCs w:val="1"/>
          <w:color w:val="017B52"/>
        </w:rPr>
        <w:t>Incumbent Directors – Term Expiring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245745</wp:posOffset>
            </wp:positionV>
            <wp:extent cx="3086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8"/>
          <w:szCs w:val="28"/>
          <w:color w:val="017B52"/>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-1657985</wp:posOffset>
            </wp:positionV>
            <wp:extent cx="1028700" cy="12433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0" cy="124333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017B52"/>
        </w:rPr>
        <w:t>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17B52"/>
        </w:rPr>
        <w:t>Chairman of the Board</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62</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48" w:lineRule="auto"/>
        <w:rPr>
          <w:sz w:val="20"/>
          <w:szCs w:val="20"/>
          <w:color w:val="auto"/>
        </w:rPr>
      </w:pPr>
      <w:r>
        <w:rPr>
          <w:rFonts w:ascii="Arial" w:cs="Arial" w:eastAsia="Arial" w:hAnsi="Arial"/>
          <w:sz w:val="14"/>
          <w:szCs w:val="14"/>
          <w:b w:val="1"/>
          <w:bCs w:val="1"/>
          <w:color w:val="017B52"/>
        </w:rPr>
        <w:t>MATTHEW J. MISSAD</w:t>
      </w:r>
      <w:r>
        <w:rPr>
          <w:rFonts w:ascii="Arial" w:cs="Arial" w:eastAsia="Arial" w:hAnsi="Arial"/>
          <w:sz w:val="14"/>
          <w:szCs w:val="14"/>
          <w:color w:val="000000"/>
        </w:rPr>
        <w:t>, was appointed Chairman of the Board of our Company on February 2, 2023. He</w:t>
      </w:r>
      <w:r>
        <w:rPr>
          <w:rFonts w:ascii="Arial" w:cs="Arial" w:eastAsia="Arial" w:hAnsi="Arial"/>
          <w:sz w:val="14"/>
          <w:szCs w:val="14"/>
          <w:b w:val="1"/>
          <w:bCs w:val="1"/>
          <w:color w:val="017B52"/>
        </w:rPr>
        <w:t xml:space="preserve"> </w:t>
      </w:r>
      <w:r>
        <w:rPr>
          <w:rFonts w:ascii="Arial" w:cs="Arial" w:eastAsia="Arial" w:hAnsi="Arial"/>
          <w:sz w:val="14"/>
          <w:szCs w:val="14"/>
          <w:color w:val="000000"/>
        </w:rPr>
        <w:t>became the fifth Chief Executive Officer in our Company’s history on July 13, 2011. From 1996 to 2011, he was Executive Vice President, General Counsel and Secretary, in addition to serving on the boards of subsidiary entities, including international partnerships. Mr. Missad has been on the board of Independent Bank Corporation since October 2014 and serves on its Compensation Committee. Mr. Missad has a CPA certificate of examination, is a licensed real estate broker and previously operated a licensed mortgage brokerage.</w:t>
      </w:r>
    </w:p>
    <w:p>
      <w:pPr>
        <w:spacing w:after="0" w:line="118"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Mr. Missad’s experience and exposure to nearly all facets of our business are integral to the growth of our Company. Having led, at various times, the human resources, insurance, marketing, wood preservation, engineering, transportation and compliance teams, and serving on our executive leadership team, he has an ability to understand and motivate people and teams, a capacity to simplify complex issues for sound decision-making, and a well-rounded and deep understanding of our Company’s business, culture, people, markets and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181610</wp:posOffset>
            </wp:positionV>
            <wp:extent cx="2139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-1889125</wp:posOffset>
            </wp:positionH>
            <wp:positionV relativeFrom="paragraph">
              <wp:posOffset>777875</wp:posOffset>
            </wp:positionV>
            <wp:extent cx="61722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820" w:lineRule="exact"/>
        <w:rPr>
          <w:sz w:val="20"/>
          <w:szCs w:val="20"/>
          <w:color w:val="auto"/>
        </w:rPr>
      </w:pPr>
    </w:p>
    <w:p>
      <w:pPr>
        <w:sectPr>
          <w:pgSz w:w="11900" w:h="16838" w:orient="portrait"/>
          <w:cols w:equalWidth="0" w:num="2">
            <w:col w:w="2380" w:space="600"/>
            <w:col w:w="6740"/>
          </w:cols>
          <w:pgMar w:left="1080" w:top="229"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8"/>
          <w:szCs w:val="28"/>
          <w:color w:val="017B52"/>
        </w:rPr>
        <w:t>Thomas W.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-1649095</wp:posOffset>
            </wp:positionV>
            <wp:extent cx="1028700" cy="12344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0" cy="123444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017B52"/>
        </w:rPr>
        <w:t>President and CEO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17B52"/>
        </w:rPr>
        <w:t>TWR Enterprises, Inc.</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61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b w:val="1"/>
          <w:bCs w:val="1"/>
          <w:color w:val="017B52"/>
        </w:rPr>
        <w:t>THOMAS W. RHODES</w:t>
      </w:r>
      <w:r>
        <w:rPr>
          <w:rFonts w:ascii="Arial" w:cs="Arial" w:eastAsia="Arial" w:hAnsi="Arial"/>
          <w:sz w:val="14"/>
          <w:szCs w:val="14"/>
          <w:color w:val="000000"/>
        </w:rPr>
        <w:t>, is President and Chief Executive Officer of TWR Enterprises, Inc. of Corona, CA,</w:t>
      </w:r>
      <w:r>
        <w:rPr>
          <w:rFonts w:ascii="Arial" w:cs="Arial" w:eastAsia="Arial" w:hAnsi="Arial"/>
          <w:sz w:val="14"/>
          <w:szCs w:val="14"/>
          <w:b w:val="1"/>
          <w:bCs w:val="1"/>
          <w:color w:val="017B52"/>
        </w:rPr>
        <w:t xml:space="preserve"> </w:t>
      </w:r>
      <w:r>
        <w:rPr>
          <w:rFonts w:ascii="Arial" w:cs="Arial" w:eastAsia="Arial" w:hAnsi="Arial"/>
          <w:sz w:val="14"/>
          <w:szCs w:val="14"/>
          <w:color w:val="000000"/>
        </w:rPr>
        <w:t>a framing company he founded in 1984. TWR is one of the oldest and largest framing companies in Southern California. Mr. Rhodes has served as a board member of the California Framing Contractors Association, Building Industry Association - Orange County, and the California Professional Association of Specialty Contractors - Orange County/Inland Empire. He was appointed Lead Independent Director of our Company on February 2, 2023.</w:t>
      </w:r>
    </w:p>
    <w:p>
      <w:pPr>
        <w:spacing w:after="0" w:line="114"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Mr. Rhodes has spent over 38 years building his business while establishing and developing relationships in the residential building and commercial construction industry. Mr. Rhodes’ experience in the site-built construction business and his career as a framing contractor and an entrepreneur provides our Board and management with meaningful insight into this market and its prospects. His creative and strategic-thinking skills have enabled him to branch out into other ventures, including real estate, hotel development and insurance. These experiences provide a unique benefit to his service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172720</wp:posOffset>
            </wp:positionV>
            <wp:extent cx="2139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3995" cy="88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2012</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333333"/>
        </w:rPr>
        <w:t>Lead Director</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333333"/>
        </w:rPr>
        <w:t>Chairman of Personnel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20"/>
        <w:spacing w:after="0"/>
        <w:tabs>
          <w:tab w:leader="none" w:pos="1800" w:val="left"/>
          <w:tab w:leader="none" w:pos="226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12</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-1889125</wp:posOffset>
            </wp:positionH>
            <wp:positionV relativeFrom="paragraph">
              <wp:posOffset>1905</wp:posOffset>
            </wp:positionV>
            <wp:extent cx="61722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2">
            <w:col w:w="2540" w:space="440"/>
            <w:col w:w="6740"/>
          </w:cols>
          <w:pgMar w:left="1080" w:top="229" w:right="10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u w:val="single" w:color="auto"/>
          <w:color w:val="0000EE"/>
        </w:rPr>
        <w:t>Table of Contents</w:t>
      </w:r>
    </w:p>
    <w:p>
      <w:pPr>
        <w:sectPr>
          <w:pgSz w:w="11900" w:h="16838" w:orient="portrait"/>
          <w:cols w:equalWidth="0" w:num="1">
            <w:col w:w="9700"/>
          </w:cols>
          <w:pgMar w:left="1080" w:top="229"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8"/>
          <w:szCs w:val="28"/>
          <w:color w:val="017B52"/>
        </w:rPr>
        <w:t>Brian C.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-1606550</wp:posOffset>
            </wp:positionV>
            <wp:extent cx="1028700" cy="12433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0" cy="1243330"/>
                    </a:xfrm>
                    <a:prstGeom prst="rect">
                      <a:avLst/>
                    </a:prstGeom>
                    <a:noFill/>
                  </pic:spPr>
                </pic:pic>
              </a:graphicData>
            </a:graphic>
          </wp:anchor>
        </w:drawing>
      </w:r>
    </w:p>
    <w:p>
      <w:pPr>
        <w:spacing w:after="0" w:line="108" w:lineRule="exact"/>
        <w:rPr>
          <w:sz w:val="20"/>
          <w:szCs w:val="20"/>
          <w:color w:val="auto"/>
        </w:rPr>
      </w:pPr>
    </w:p>
    <w:p>
      <w:pPr>
        <w:ind w:right="480"/>
        <w:spacing w:after="0" w:line="266" w:lineRule="auto"/>
        <w:rPr>
          <w:sz w:val="20"/>
          <w:szCs w:val="20"/>
          <w:color w:val="auto"/>
        </w:rPr>
      </w:pPr>
      <w:r>
        <w:rPr>
          <w:rFonts w:ascii="Arial" w:cs="Arial" w:eastAsia="Arial" w:hAnsi="Arial"/>
          <w:sz w:val="16"/>
          <w:szCs w:val="16"/>
          <w:color w:val="017B52"/>
        </w:rPr>
        <w:t>Partner – Strategic Leadership for Huron Capital</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61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2015</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b w:val="1"/>
          <w:bCs w:val="1"/>
          <w:color w:val="017B52"/>
        </w:rPr>
        <w:t>BRIAN C. WALKER</w:t>
      </w:r>
      <w:r>
        <w:rPr>
          <w:rFonts w:ascii="Arial" w:cs="Arial" w:eastAsia="Arial" w:hAnsi="Arial"/>
          <w:sz w:val="14"/>
          <w:szCs w:val="14"/>
          <w:color w:val="000000"/>
        </w:rPr>
        <w:t>, joined the private equity firm of Huron Capital in January 2019 as Partner-Strategic</w:t>
      </w:r>
      <w:r>
        <w:rPr>
          <w:rFonts w:ascii="Arial" w:cs="Arial" w:eastAsia="Arial" w:hAnsi="Arial"/>
          <w:sz w:val="14"/>
          <w:szCs w:val="14"/>
          <w:b w:val="1"/>
          <w:bCs w:val="1"/>
          <w:color w:val="017B52"/>
        </w:rPr>
        <w:t xml:space="preserve"> </w:t>
      </w:r>
      <w:r>
        <w:rPr>
          <w:rFonts w:ascii="Arial" w:cs="Arial" w:eastAsia="Arial" w:hAnsi="Arial"/>
          <w:sz w:val="14"/>
          <w:szCs w:val="14"/>
          <w:color w:val="000000"/>
        </w:rPr>
        <w:t>Leadership. He retired as Director, President and Chief Executive Officer of Herman Miller, Inc. of Zeeland, MI on August 31, 2018, and previously served as its chief operating officer and chief financial officer. Prior to Herman Miller, he was a Certified Public Accountant with Arthur Andersen. Mr. Walker serves on the board of directors of Gentex Corporation. He served on the board of the Federal Reserve Bank of Chicago-Detroit Branch from 2009 to 2012.</w:t>
      </w:r>
    </w:p>
    <w:p>
      <w:pPr>
        <w:spacing w:after="0" w:line="114"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auto"/>
        </w:rPr>
        <w:t>Mr. Walker is a financial expert, as defined by the SEC. His experience as the CEO of a large public company as well as his experience and expertise in finance, international business, executive compensation and strategic development are valuable to our Company. As a result, he has made meaningful contributions to Board discussions concerning the Company’s strategy and operations, and his education, expertise and experience in accounting and compensation matters provide a unique benefit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17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2015</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333333"/>
        </w:rPr>
        <w:t>Chairman of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-1571625</wp:posOffset>
            </wp:positionH>
            <wp:positionV relativeFrom="paragraph">
              <wp:posOffset>657225</wp:posOffset>
            </wp:positionV>
            <wp:extent cx="61722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062" w:lineRule="exact"/>
        <w:rPr>
          <w:sz w:val="20"/>
          <w:szCs w:val="20"/>
          <w:color w:val="auto"/>
        </w:rPr>
      </w:pPr>
    </w:p>
    <w:p>
      <w:pPr>
        <w:sectPr>
          <w:pgSz w:w="11900" w:h="16838" w:orient="portrait"/>
          <w:cols w:equalWidth="0" w:num="2">
            <w:col w:w="2000" w:space="480"/>
            <w:col w:w="7220"/>
          </w:cols>
          <w:pgMar w:left="1080" w:top="229" w:right="1119" w:bottom="1440" w:gutter="0" w:footer="0" w:header="0"/>
          <w:type w:val="continuous"/>
        </w:sectPr>
      </w:pPr>
    </w:p>
    <w:p>
      <w:pPr>
        <w:spacing w:after="0" w:line="235" w:lineRule="exact"/>
        <w:rPr>
          <w:sz w:val="20"/>
          <w:szCs w:val="20"/>
          <w:color w:val="auto"/>
        </w:rPr>
      </w:pPr>
    </w:p>
    <w:p>
      <w:pPr>
        <w:spacing w:after="0"/>
        <w:rPr>
          <w:sz w:val="20"/>
          <w:szCs w:val="20"/>
          <w:color w:val="auto"/>
        </w:rPr>
      </w:pPr>
      <w:r>
        <w:rPr>
          <w:rFonts w:ascii="Arial" w:cs="Arial" w:eastAsia="Arial" w:hAnsi="Arial"/>
          <w:sz w:val="28"/>
          <w:szCs w:val="28"/>
          <w:b w:val="1"/>
          <w:bCs w:val="1"/>
          <w:color w:val="017B52"/>
        </w:rPr>
        <w:t>Incumbent Directors – Term Expiring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245745</wp:posOffset>
            </wp:positionV>
            <wp:extent cx="3086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ectPr>
          <w:pgSz w:w="11900" w:h="16838" w:orient="portrait"/>
          <w:cols w:equalWidth="0" w:num="1">
            <w:col w:w="9700"/>
          </w:cols>
          <w:pgMar w:left="1080" w:top="229"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8"/>
          <w:szCs w:val="28"/>
          <w:color w:val="017B52"/>
        </w:rPr>
        <w:t>Joan A. Budden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-1606550</wp:posOffset>
            </wp:positionV>
            <wp:extent cx="1028700" cy="12344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0" cy="1234440"/>
                    </a:xfrm>
                    <a:prstGeom prst="rect">
                      <a:avLst/>
                    </a:prstGeom>
                    <a:noFill/>
                  </pic:spPr>
                </pic:pic>
              </a:graphicData>
            </a:graphic>
          </wp:anchor>
        </w:drawing>
      </w:r>
    </w:p>
    <w:p>
      <w:pPr>
        <w:spacing w:after="0" w:line="9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017B52"/>
        </w:rPr>
        <w:t>Former President and CEO of Priority Health</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61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60"/>
        <w:spacing w:after="0" w:line="248" w:lineRule="auto"/>
        <w:rPr>
          <w:sz w:val="20"/>
          <w:szCs w:val="20"/>
          <w:color w:val="auto"/>
        </w:rPr>
      </w:pPr>
      <w:r>
        <w:rPr>
          <w:rFonts w:ascii="Arial" w:cs="Arial" w:eastAsia="Arial" w:hAnsi="Arial"/>
          <w:sz w:val="14"/>
          <w:szCs w:val="14"/>
          <w:b w:val="1"/>
          <w:bCs w:val="1"/>
          <w:color w:val="017B52"/>
        </w:rPr>
        <w:t>JOAN A. BUDDEN</w:t>
      </w:r>
      <w:r>
        <w:rPr>
          <w:rFonts w:ascii="Arial" w:cs="Arial" w:eastAsia="Arial" w:hAnsi="Arial"/>
          <w:sz w:val="14"/>
          <w:szCs w:val="14"/>
          <w:color w:val="000000"/>
        </w:rPr>
        <w:t>, Ms. Budden is the President of a boutique consulting company specializing in strategic</w:t>
      </w:r>
      <w:r>
        <w:rPr>
          <w:rFonts w:ascii="Arial" w:cs="Arial" w:eastAsia="Arial" w:hAnsi="Arial"/>
          <w:sz w:val="14"/>
          <w:szCs w:val="14"/>
          <w:b w:val="1"/>
          <w:bCs w:val="1"/>
          <w:color w:val="017B52"/>
        </w:rPr>
        <w:t xml:space="preserve"> </w:t>
      </w:r>
      <w:r>
        <w:rPr>
          <w:rFonts w:ascii="Arial" w:cs="Arial" w:eastAsia="Arial" w:hAnsi="Arial"/>
          <w:sz w:val="14"/>
          <w:szCs w:val="14"/>
          <w:color w:val="000000"/>
        </w:rPr>
        <w:t>planning, leadership development, culture change and strategic marketing. From January 2016 until January 2021, she was President &amp; CEO of Priority Health, one of Michigan’s largest health plans with over</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$3 billion in annual revenue. In that role, she successfully lead a large acquisition, expanded their market share and geographic footprint and drove profitable growth. Before becoming CEO, Ms. Budden served as Chief Marketing Officer for Priority Health since 2009. Ms. Budden’s responsibilities as Chief Marketing Officer included leading strategic positioning and profitable growth for direct to consumer, government and business-to-business markets.</w:t>
      </w:r>
    </w:p>
    <w:p>
      <w:pPr>
        <w:spacing w:after="0" w:line="282"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Ms. Budden has more than 25 years of executive leadership experience in the health insurance industry that includes leading business development, change management in technology environments, consumer experience, corporate governance and strategy development at a large national health insurer and an integrated delivery system. Ms. Budden serves as a director of Presbyterian Health Plan, Together Women’s Health and The Children’s Healing Center. Her experience in a highly competitive and regulated industry as well as her marketing expertise and leadership skills, make her an important contributor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181610</wp:posOffset>
            </wp:positionV>
            <wp:extent cx="2311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2019</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333333"/>
        </w:rPr>
        <w:t>Member of Nominating and Corporate Governance Committee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333333"/>
        </w:rPr>
        <w:t>Member of Personnel and Compensation Committee</w:t>
      </w:r>
    </w:p>
    <w:p>
      <w:pPr>
        <w:spacing w:after="0" w:line="342" w:lineRule="exact"/>
        <w:rPr>
          <w:sz w:val="20"/>
          <w:szCs w:val="20"/>
          <w:color w:val="auto"/>
        </w:rPr>
      </w:pPr>
    </w:p>
    <w:p>
      <w:pPr>
        <w:ind w:left="1080"/>
        <w:spacing w:after="0"/>
        <w:tabs>
          <w:tab w:leader="none" w:pos="2260" w:val="left"/>
          <w:tab w:leader="none" w:pos="272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13</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10795</wp:posOffset>
            </wp:positionV>
            <wp:extent cx="61722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2">
            <w:col w:w="2040" w:space="480"/>
            <w:col w:w="7180"/>
          </w:cols>
          <w:pgMar w:left="1080" w:top="229" w:right="11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231775</wp:posOffset>
            </wp:positionV>
            <wp:extent cx="1028700" cy="12515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8"/>
          <w:szCs w:val="28"/>
          <w:color w:val="017B52"/>
        </w:rPr>
        <w:t>William G. Currie</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75</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1978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line="248" w:lineRule="auto"/>
        <w:rPr>
          <w:sz w:val="20"/>
          <w:szCs w:val="20"/>
          <w:color w:val="auto"/>
        </w:rPr>
      </w:pPr>
      <w:r>
        <w:rPr>
          <w:rFonts w:ascii="Arial" w:cs="Arial" w:eastAsia="Arial" w:hAnsi="Arial"/>
          <w:sz w:val="14"/>
          <w:szCs w:val="14"/>
          <w:b w:val="1"/>
          <w:bCs w:val="1"/>
          <w:color w:val="017B52"/>
        </w:rPr>
        <w:t>WILLIAM G. CURRIE</w:t>
      </w:r>
      <w:r>
        <w:rPr>
          <w:rFonts w:ascii="Arial" w:cs="Arial" w:eastAsia="Arial" w:hAnsi="Arial"/>
          <w:sz w:val="14"/>
          <w:szCs w:val="14"/>
          <w:color w:val="000000"/>
        </w:rPr>
        <w:t>, joined our Company in 1971, and has served as a salesman, general manager, vice</w:t>
      </w:r>
      <w:r>
        <w:rPr>
          <w:rFonts w:ascii="Arial" w:cs="Arial" w:eastAsia="Arial" w:hAnsi="Arial"/>
          <w:sz w:val="14"/>
          <w:szCs w:val="14"/>
          <w:b w:val="1"/>
          <w:bCs w:val="1"/>
          <w:color w:val="017B52"/>
        </w:rPr>
        <w:t xml:space="preserve"> </w:t>
      </w:r>
      <w:r>
        <w:rPr>
          <w:rFonts w:ascii="Arial" w:cs="Arial" w:eastAsia="Arial" w:hAnsi="Arial"/>
          <w:sz w:val="14"/>
          <w:szCs w:val="14"/>
          <w:color w:val="000000"/>
        </w:rPr>
        <w:t>president and executive vice president. He was the Chief Executive Officer of our Company from 1989 to 2006, and on January 1, 2000, also became Vice Chairman of the Board. On April 19, 2006, he was named Chairman of the Board and served as an employee with the title of Executive Chairman until he retired from our Company on July 20, 2009. He remained Chairman of the Board until February 2, 2023. Mr. Currie served on the board of Forestar Real Estate Group Inc. from 2008 to 2016. He is the chief executive officer of Surefil, a manufacturer and filler of liquid products located in Grand Rapids, MI.</w:t>
      </w:r>
    </w:p>
    <w:p>
      <w:pPr>
        <w:spacing w:after="0" w:line="118" w:lineRule="exact"/>
        <w:rPr>
          <w:sz w:val="20"/>
          <w:szCs w:val="20"/>
          <w:color w:val="auto"/>
        </w:rPr>
      </w:pPr>
    </w:p>
    <w:p>
      <w:pPr>
        <w:ind w:right="320"/>
        <w:spacing w:after="0" w:line="256" w:lineRule="auto"/>
        <w:rPr>
          <w:sz w:val="20"/>
          <w:szCs w:val="20"/>
          <w:color w:val="auto"/>
        </w:rPr>
      </w:pPr>
      <w:r>
        <w:rPr>
          <w:rFonts w:ascii="Arial" w:cs="Arial" w:eastAsia="Arial" w:hAnsi="Arial"/>
          <w:sz w:val="14"/>
          <w:szCs w:val="14"/>
          <w:color w:val="auto"/>
        </w:rPr>
        <w:t>During his tenure with our Company, Mr. Currie created and, to this day, maintains extremely valuable relationships with many companies in the lumber and building materials industries. He has an in-depth understanding of our Company’s supply chain and customer base, which makes him an important asset to management in assessing growth opportunities and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169545</wp:posOffset>
            </wp:positionV>
            <wp:extent cx="2228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1978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683895</wp:posOffset>
            </wp:positionV>
            <wp:extent cx="61722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2180" w:space="480"/>
            <w:col w:w="7060"/>
          </w:cols>
          <w:pgMar w:left="1080" w:top="229"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color w:val="017B52"/>
        </w:rPr>
        <w:t>Bruce A. Merino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-1656715</wp:posOffset>
            </wp:positionV>
            <wp:extent cx="1028700" cy="12344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0" cy="12344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017B52"/>
        </w:rPr>
        <w:t>Former Senior Vice President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17B52"/>
        </w:rPr>
        <w:t>of Merchandising for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17B52"/>
        </w:rPr>
        <w:t>Home Depot</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69</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80"/>
        <w:spacing w:after="0" w:line="263" w:lineRule="auto"/>
        <w:rPr>
          <w:sz w:val="20"/>
          <w:szCs w:val="20"/>
          <w:color w:val="auto"/>
        </w:rPr>
      </w:pPr>
      <w:r>
        <w:rPr>
          <w:rFonts w:ascii="Arial" w:cs="Arial" w:eastAsia="Arial" w:hAnsi="Arial"/>
          <w:sz w:val="14"/>
          <w:szCs w:val="14"/>
          <w:b w:val="1"/>
          <w:bCs w:val="1"/>
          <w:color w:val="017B52"/>
        </w:rPr>
        <w:t>BRUCE A. MERINO</w:t>
      </w:r>
      <w:r>
        <w:rPr>
          <w:rFonts w:ascii="Arial" w:cs="Arial" w:eastAsia="Arial" w:hAnsi="Arial"/>
          <w:sz w:val="14"/>
          <w:szCs w:val="14"/>
          <w:color w:val="000000"/>
        </w:rPr>
        <w:t>, retired from The Home Depot in 2009 after 25 years with the company. At the time of his</w:t>
      </w:r>
      <w:r>
        <w:rPr>
          <w:rFonts w:ascii="Arial" w:cs="Arial" w:eastAsia="Arial" w:hAnsi="Arial"/>
          <w:sz w:val="14"/>
          <w:szCs w:val="14"/>
          <w:b w:val="1"/>
          <w:bCs w:val="1"/>
          <w:color w:val="017B52"/>
        </w:rPr>
        <w:t xml:space="preserve"> </w:t>
      </w:r>
      <w:r>
        <w:rPr>
          <w:rFonts w:ascii="Arial" w:cs="Arial" w:eastAsia="Arial" w:hAnsi="Arial"/>
          <w:sz w:val="14"/>
          <w:szCs w:val="14"/>
          <w:color w:val="000000"/>
        </w:rPr>
        <w:t>retirement, he was Senior Vice President of Merchandising and President of The Home Depot's Expo Design Center. Mr. Merino sits on the City of Hope's Home Improvement Board Council and is its chair.</w:t>
      </w:r>
    </w:p>
    <w:p>
      <w:pPr>
        <w:spacing w:after="0" w:line="105" w:lineRule="exact"/>
        <w:rPr>
          <w:sz w:val="20"/>
          <w:szCs w:val="20"/>
          <w:color w:val="auto"/>
        </w:rPr>
      </w:pPr>
    </w:p>
    <w:p>
      <w:pPr>
        <w:jc w:val="both"/>
        <w:ind w:right="140"/>
        <w:spacing w:after="0" w:line="263" w:lineRule="auto"/>
        <w:rPr>
          <w:sz w:val="20"/>
          <w:szCs w:val="20"/>
          <w:color w:val="auto"/>
        </w:rPr>
      </w:pPr>
      <w:r>
        <w:rPr>
          <w:rFonts w:ascii="Arial" w:cs="Arial" w:eastAsia="Arial" w:hAnsi="Arial"/>
          <w:sz w:val="14"/>
          <w:szCs w:val="14"/>
          <w:color w:val="auto"/>
        </w:rPr>
        <w:t>Mr. Merino has been able to utilize his 39 years of experience in the home improvement industry to assist our Company in strategy and operations for our Retail Solutions segment. His understanding of the procurement and marketing operations of big box retailers is very valuable to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64135</wp:posOffset>
            </wp:positionV>
            <wp:extent cx="2228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2009</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333333"/>
        </w:rPr>
        <w:t>Member of Nominating and Corporate Governance Committee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333333"/>
        </w:rPr>
        <w:t>Member of Personnel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1317625</wp:posOffset>
            </wp:positionV>
            <wp:extent cx="61722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886" w:lineRule="exact"/>
        <w:rPr>
          <w:sz w:val="20"/>
          <w:szCs w:val="20"/>
          <w:color w:val="auto"/>
        </w:rPr>
      </w:pPr>
    </w:p>
    <w:p>
      <w:pPr>
        <w:sectPr>
          <w:pgSz w:w="11900" w:h="16838" w:orient="portrait"/>
          <w:cols w:equalWidth="0" w:num="2">
            <w:col w:w="2120" w:space="540"/>
            <w:col w:w="7060"/>
          </w:cols>
          <w:pgMar w:left="1080" w:top="229" w:right="1099"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14</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Board Diversity Matrix (as of 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238760</wp:posOffset>
            </wp:positionV>
            <wp:extent cx="3086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3940" w:type="dxa"/>
            <w:vAlign w:val="bottom"/>
            <w:tcBorders>
              <w:top w:val="single" w:sz="8" w:color="017B52"/>
              <w:left w:val="single" w:sz="8" w:color="017B52"/>
              <w:right w:val="single" w:sz="8" w:color="017B52"/>
            </w:tcBorders>
          </w:tcPr>
          <w:p>
            <w:pPr>
              <w:ind w:left="100"/>
              <w:spacing w:after="0"/>
              <w:rPr>
                <w:sz w:val="20"/>
                <w:szCs w:val="20"/>
                <w:color w:val="auto"/>
              </w:rPr>
            </w:pPr>
            <w:r>
              <w:rPr>
                <w:rFonts w:ascii="Arial" w:cs="Arial" w:eastAsia="Arial" w:hAnsi="Arial"/>
                <w:sz w:val="11"/>
                <w:szCs w:val="11"/>
                <w:b w:val="1"/>
                <w:bCs w:val="1"/>
                <w:color w:val="auto"/>
              </w:rPr>
              <w:t>TOTAL NUMBER OF DIRECTORS</w:t>
            </w:r>
          </w:p>
        </w:tc>
        <w:tc>
          <w:tcPr>
            <w:tcW w:w="1420" w:type="dxa"/>
            <w:vAlign w:val="bottom"/>
            <w:tcBorders>
              <w:top w:val="single" w:sz="8" w:color="017B52"/>
            </w:tcBorders>
          </w:tcPr>
          <w:p>
            <w:pPr>
              <w:spacing w:after="0"/>
              <w:rPr>
                <w:sz w:val="22"/>
                <w:szCs w:val="22"/>
                <w:color w:val="auto"/>
              </w:rPr>
            </w:pPr>
          </w:p>
        </w:tc>
        <w:tc>
          <w:tcPr>
            <w:tcW w:w="1140" w:type="dxa"/>
            <w:vAlign w:val="bottom"/>
            <w:tcBorders>
              <w:top w:val="single" w:sz="8" w:color="017B52"/>
            </w:tcBorders>
          </w:tcPr>
          <w:p>
            <w:pPr>
              <w:spacing w:after="0"/>
              <w:rPr>
                <w:sz w:val="22"/>
                <w:szCs w:val="22"/>
                <w:color w:val="auto"/>
              </w:rPr>
            </w:pPr>
          </w:p>
        </w:tc>
        <w:tc>
          <w:tcPr>
            <w:tcW w:w="1780" w:type="dxa"/>
            <w:vAlign w:val="bottom"/>
            <w:tcBorders>
              <w:top w:val="single" w:sz="8" w:color="017B52"/>
            </w:tcBorders>
            <w:gridSpan w:val="2"/>
          </w:tcPr>
          <w:p>
            <w:pPr>
              <w:jc w:val="right"/>
              <w:ind w:right="1368"/>
              <w:spacing w:after="0"/>
              <w:rPr>
                <w:sz w:val="20"/>
                <w:szCs w:val="20"/>
                <w:color w:val="auto"/>
              </w:rPr>
            </w:pPr>
            <w:r>
              <w:rPr>
                <w:rFonts w:ascii="Arial" w:cs="Arial" w:eastAsia="Arial" w:hAnsi="Arial"/>
                <w:sz w:val="14"/>
                <w:szCs w:val="14"/>
                <w:b w:val="1"/>
                <w:bCs w:val="1"/>
                <w:color w:val="auto"/>
              </w:rPr>
              <w:t>9</w:t>
            </w:r>
          </w:p>
        </w:tc>
        <w:tc>
          <w:tcPr>
            <w:tcW w:w="1460" w:type="dxa"/>
            <w:vAlign w:val="bottom"/>
            <w:tcBorders>
              <w:top w:val="single" w:sz="8" w:color="017B52"/>
              <w:right w:val="single" w:sz="8" w:color="017B52"/>
            </w:tcBorders>
          </w:tcPr>
          <w:p>
            <w:pPr>
              <w:spacing w:after="0"/>
              <w:rPr>
                <w:sz w:val="22"/>
                <w:szCs w:val="22"/>
                <w:color w:val="auto"/>
              </w:rPr>
            </w:pPr>
          </w:p>
        </w:tc>
      </w:tr>
      <w:tr>
        <w:trPr>
          <w:trHeight w:val="29"/>
        </w:trPr>
        <w:tc>
          <w:tcPr>
            <w:tcW w:w="3940" w:type="dxa"/>
            <w:vAlign w:val="bottom"/>
            <w:tcBorders>
              <w:left w:val="single" w:sz="8" w:color="017B52"/>
              <w:bottom w:val="single" w:sz="8" w:color="017B52"/>
              <w:right w:val="single" w:sz="8" w:color="017B52"/>
            </w:tcBorders>
          </w:tcPr>
          <w:p>
            <w:pPr>
              <w:spacing w:after="0"/>
              <w:rPr>
                <w:sz w:val="2"/>
                <w:szCs w:val="2"/>
                <w:color w:val="auto"/>
              </w:rPr>
            </w:pPr>
          </w:p>
        </w:tc>
        <w:tc>
          <w:tcPr>
            <w:tcW w:w="1420" w:type="dxa"/>
            <w:vAlign w:val="bottom"/>
            <w:tcBorders>
              <w:bottom w:val="single" w:sz="8" w:color="017B52"/>
            </w:tcBorders>
          </w:tcPr>
          <w:p>
            <w:pPr>
              <w:spacing w:after="0"/>
              <w:rPr>
                <w:sz w:val="2"/>
                <w:szCs w:val="2"/>
                <w:color w:val="auto"/>
              </w:rPr>
            </w:pPr>
          </w:p>
        </w:tc>
        <w:tc>
          <w:tcPr>
            <w:tcW w:w="1140" w:type="dxa"/>
            <w:vAlign w:val="bottom"/>
            <w:tcBorders>
              <w:bottom w:val="single" w:sz="8" w:color="017B52"/>
            </w:tcBorders>
          </w:tcPr>
          <w:p>
            <w:pPr>
              <w:spacing w:after="0"/>
              <w:rPr>
                <w:sz w:val="2"/>
                <w:szCs w:val="2"/>
                <w:color w:val="auto"/>
              </w:rPr>
            </w:pPr>
          </w:p>
        </w:tc>
        <w:tc>
          <w:tcPr>
            <w:tcW w:w="320" w:type="dxa"/>
            <w:vAlign w:val="bottom"/>
            <w:tcBorders>
              <w:bottom w:val="single" w:sz="8" w:color="017B52"/>
            </w:tcBorders>
          </w:tcPr>
          <w:p>
            <w:pPr>
              <w:spacing w:after="0"/>
              <w:rPr>
                <w:sz w:val="2"/>
                <w:szCs w:val="2"/>
                <w:color w:val="auto"/>
              </w:rPr>
            </w:pPr>
          </w:p>
        </w:tc>
        <w:tc>
          <w:tcPr>
            <w:tcW w:w="1460" w:type="dxa"/>
            <w:vAlign w:val="bottom"/>
            <w:tcBorders>
              <w:bottom w:val="single" w:sz="8" w:color="017B52"/>
            </w:tcBorders>
          </w:tcPr>
          <w:p>
            <w:pPr>
              <w:spacing w:after="0"/>
              <w:rPr>
                <w:sz w:val="2"/>
                <w:szCs w:val="2"/>
                <w:color w:val="auto"/>
              </w:rPr>
            </w:pPr>
          </w:p>
        </w:tc>
        <w:tc>
          <w:tcPr>
            <w:tcW w:w="1460" w:type="dxa"/>
            <w:vAlign w:val="bottom"/>
            <w:tcBorders>
              <w:bottom w:val="single" w:sz="8" w:color="017B52"/>
              <w:right w:val="single" w:sz="8" w:color="017B52"/>
            </w:tcBorders>
          </w:tcPr>
          <w:p>
            <w:pPr>
              <w:spacing w:after="0"/>
              <w:rPr>
                <w:sz w:val="2"/>
                <w:szCs w:val="2"/>
                <w:color w:val="auto"/>
              </w:rPr>
            </w:pPr>
          </w:p>
        </w:tc>
      </w:tr>
      <w:tr>
        <w:trPr>
          <w:trHeight w:val="200"/>
        </w:trPr>
        <w:tc>
          <w:tcPr>
            <w:tcW w:w="3940" w:type="dxa"/>
            <w:vAlign w:val="bottom"/>
            <w:tcBorders>
              <w:left w:val="single" w:sz="8" w:color="017B52"/>
              <w:right w:val="single" w:sz="8" w:color="017B52"/>
            </w:tcBorders>
          </w:tcPr>
          <w:p>
            <w:pPr>
              <w:spacing w:after="0"/>
              <w:rPr>
                <w:sz w:val="17"/>
                <w:szCs w:val="17"/>
                <w:color w:val="auto"/>
              </w:rPr>
            </w:pPr>
          </w:p>
        </w:tc>
        <w:tc>
          <w:tcPr>
            <w:tcW w:w="1420" w:type="dxa"/>
            <w:vAlign w:val="bottom"/>
            <w:tcBorders>
              <w:right w:val="single" w:sz="8" w:color="017B52"/>
            </w:tcBorders>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Borders>
              <w:right w:val="single" w:sz="8" w:color="017B52"/>
            </w:tcBorders>
          </w:tcPr>
          <w:p>
            <w:pPr>
              <w:spacing w:after="0"/>
              <w:rPr>
                <w:sz w:val="17"/>
                <w:szCs w:val="17"/>
                <w:color w:val="auto"/>
              </w:rPr>
            </w:pPr>
          </w:p>
        </w:tc>
        <w:tc>
          <w:tcPr>
            <w:tcW w:w="1460" w:type="dxa"/>
            <w:vAlign w:val="bottom"/>
            <w:tcBorders>
              <w:right w:val="single" w:sz="8" w:color="017B52"/>
            </w:tcBorders>
          </w:tcPr>
          <w:p>
            <w:pPr>
              <w:spacing w:after="0"/>
              <w:rPr>
                <w:sz w:val="17"/>
                <w:szCs w:val="17"/>
                <w:color w:val="auto"/>
              </w:rPr>
            </w:pPr>
          </w:p>
        </w:tc>
        <w:tc>
          <w:tcPr>
            <w:tcW w:w="1460" w:type="dxa"/>
            <w:vAlign w:val="bottom"/>
            <w:tcBorders>
              <w:right w:val="single" w:sz="8" w:color="017B52"/>
            </w:tcBorders>
          </w:tcPr>
          <w:p>
            <w:pPr>
              <w:jc w:val="center"/>
              <w:spacing w:after="0"/>
              <w:rPr>
                <w:sz w:val="20"/>
                <w:szCs w:val="20"/>
                <w:color w:val="auto"/>
              </w:rPr>
            </w:pPr>
            <w:r>
              <w:rPr>
                <w:rFonts w:ascii="Arial" w:cs="Arial" w:eastAsia="Arial" w:hAnsi="Arial"/>
                <w:sz w:val="14"/>
                <w:szCs w:val="14"/>
                <w:b w:val="1"/>
                <w:bCs w:val="1"/>
                <w:color w:val="auto"/>
              </w:rPr>
              <w:t>Did Not</w:t>
            </w:r>
          </w:p>
        </w:tc>
      </w:tr>
      <w:tr>
        <w:trPr>
          <w:trHeight w:val="196"/>
        </w:trPr>
        <w:tc>
          <w:tcPr>
            <w:tcW w:w="3940" w:type="dxa"/>
            <w:vAlign w:val="bottom"/>
            <w:tcBorders>
              <w:left w:val="single" w:sz="8" w:color="017B52"/>
              <w:right w:val="single" w:sz="8" w:color="017B52"/>
            </w:tcBorders>
          </w:tcPr>
          <w:p>
            <w:pPr>
              <w:spacing w:after="0"/>
              <w:rPr>
                <w:sz w:val="17"/>
                <w:szCs w:val="17"/>
                <w:color w:val="auto"/>
              </w:rPr>
            </w:pPr>
          </w:p>
        </w:tc>
        <w:tc>
          <w:tcPr>
            <w:tcW w:w="1420" w:type="dxa"/>
            <w:vAlign w:val="bottom"/>
            <w:tcBorders>
              <w:right w:val="single" w:sz="8" w:color="017B52"/>
            </w:tcBorders>
          </w:tcPr>
          <w:p>
            <w:pPr>
              <w:jc w:val="center"/>
              <w:spacing w:after="0"/>
              <w:rPr>
                <w:sz w:val="20"/>
                <w:szCs w:val="20"/>
                <w:color w:val="auto"/>
              </w:rPr>
            </w:pPr>
            <w:r>
              <w:rPr>
                <w:rFonts w:ascii="Arial" w:cs="Arial" w:eastAsia="Arial" w:hAnsi="Arial"/>
                <w:sz w:val="14"/>
                <w:szCs w:val="14"/>
                <w:b w:val="1"/>
                <w:bCs w:val="1"/>
                <w:color w:val="auto"/>
              </w:rPr>
              <w:t>Female</w:t>
            </w:r>
          </w:p>
        </w:tc>
        <w:tc>
          <w:tcPr>
            <w:tcW w:w="1140" w:type="dxa"/>
            <w:vAlign w:val="bottom"/>
          </w:tcPr>
          <w:p>
            <w:pPr>
              <w:jc w:val="center"/>
              <w:ind w:left="228"/>
              <w:spacing w:after="0"/>
              <w:rPr>
                <w:sz w:val="20"/>
                <w:szCs w:val="20"/>
                <w:color w:val="auto"/>
              </w:rPr>
            </w:pPr>
            <w:r>
              <w:rPr>
                <w:rFonts w:ascii="Arial" w:cs="Arial" w:eastAsia="Arial" w:hAnsi="Arial"/>
                <w:sz w:val="14"/>
                <w:szCs w:val="14"/>
                <w:b w:val="1"/>
                <w:bCs w:val="1"/>
                <w:color w:val="auto"/>
              </w:rPr>
              <w:t>Male</w:t>
            </w:r>
          </w:p>
        </w:tc>
        <w:tc>
          <w:tcPr>
            <w:tcW w:w="320" w:type="dxa"/>
            <w:vAlign w:val="bottom"/>
            <w:tcBorders>
              <w:right w:val="single" w:sz="8" w:color="017B52"/>
            </w:tcBorders>
          </w:tcPr>
          <w:p>
            <w:pPr>
              <w:spacing w:after="0"/>
              <w:rPr>
                <w:sz w:val="17"/>
                <w:szCs w:val="17"/>
                <w:color w:val="auto"/>
              </w:rPr>
            </w:pPr>
          </w:p>
        </w:tc>
        <w:tc>
          <w:tcPr>
            <w:tcW w:w="1460" w:type="dxa"/>
            <w:vAlign w:val="bottom"/>
            <w:tcBorders>
              <w:right w:val="single" w:sz="8" w:color="017B52"/>
            </w:tcBorders>
          </w:tcPr>
          <w:p>
            <w:pPr>
              <w:jc w:val="right"/>
              <w:ind w:right="268"/>
              <w:spacing w:after="0"/>
              <w:rPr>
                <w:sz w:val="20"/>
                <w:szCs w:val="20"/>
                <w:color w:val="auto"/>
              </w:rPr>
            </w:pPr>
            <w:r>
              <w:rPr>
                <w:rFonts w:ascii="Arial" w:cs="Arial" w:eastAsia="Arial" w:hAnsi="Arial"/>
                <w:sz w:val="14"/>
                <w:szCs w:val="14"/>
                <w:b w:val="1"/>
                <w:bCs w:val="1"/>
                <w:color w:val="auto"/>
              </w:rPr>
              <w:t>Non-Binary</w:t>
            </w:r>
          </w:p>
        </w:tc>
        <w:tc>
          <w:tcPr>
            <w:tcW w:w="1460" w:type="dxa"/>
            <w:vAlign w:val="bottom"/>
            <w:tcBorders>
              <w:right w:val="single" w:sz="8" w:color="017B52"/>
            </w:tcBorders>
          </w:tcPr>
          <w:p>
            <w:pPr>
              <w:jc w:val="center"/>
              <w:spacing w:after="0"/>
              <w:rPr>
                <w:sz w:val="20"/>
                <w:szCs w:val="20"/>
                <w:color w:val="auto"/>
              </w:rPr>
            </w:pPr>
            <w:r>
              <w:rPr>
                <w:rFonts w:ascii="Arial" w:cs="Arial" w:eastAsia="Arial" w:hAnsi="Arial"/>
                <w:sz w:val="14"/>
                <w:szCs w:val="14"/>
                <w:b w:val="1"/>
                <w:bCs w:val="1"/>
                <w:color w:val="auto"/>
              </w:rPr>
              <w:t>Disclose Gender</w:t>
            </w:r>
          </w:p>
        </w:tc>
      </w:tr>
      <w:tr>
        <w:trPr>
          <w:trHeight w:val="29"/>
        </w:trPr>
        <w:tc>
          <w:tcPr>
            <w:tcW w:w="3940" w:type="dxa"/>
            <w:vAlign w:val="bottom"/>
            <w:tcBorders>
              <w:left w:val="single" w:sz="8" w:color="017B52"/>
              <w:bottom w:val="single" w:sz="8" w:color="017B52"/>
              <w:right w:val="single" w:sz="8" w:color="017B52"/>
            </w:tcBorders>
          </w:tcPr>
          <w:p>
            <w:pPr>
              <w:spacing w:after="0"/>
              <w:rPr>
                <w:sz w:val="2"/>
                <w:szCs w:val="2"/>
                <w:color w:val="auto"/>
              </w:rPr>
            </w:pPr>
          </w:p>
        </w:tc>
        <w:tc>
          <w:tcPr>
            <w:tcW w:w="1420" w:type="dxa"/>
            <w:vAlign w:val="bottom"/>
            <w:tcBorders>
              <w:bottom w:val="single" w:sz="8" w:color="017B52"/>
              <w:right w:val="single" w:sz="8" w:color="017B52"/>
            </w:tcBorders>
          </w:tcPr>
          <w:p>
            <w:pPr>
              <w:spacing w:after="0"/>
              <w:rPr>
                <w:sz w:val="2"/>
                <w:szCs w:val="2"/>
                <w:color w:val="auto"/>
              </w:rPr>
            </w:pPr>
          </w:p>
        </w:tc>
        <w:tc>
          <w:tcPr>
            <w:tcW w:w="1140" w:type="dxa"/>
            <w:vAlign w:val="bottom"/>
            <w:tcBorders>
              <w:bottom w:val="single" w:sz="8" w:color="017B52"/>
            </w:tcBorders>
          </w:tcPr>
          <w:p>
            <w:pPr>
              <w:spacing w:after="0"/>
              <w:rPr>
                <w:sz w:val="2"/>
                <w:szCs w:val="2"/>
                <w:color w:val="auto"/>
              </w:rPr>
            </w:pPr>
          </w:p>
        </w:tc>
        <w:tc>
          <w:tcPr>
            <w:tcW w:w="320" w:type="dxa"/>
            <w:vAlign w:val="bottom"/>
            <w:tcBorders>
              <w:bottom w:val="single" w:sz="8" w:color="017B52"/>
              <w:right w:val="single" w:sz="8" w:color="017B52"/>
            </w:tcBorders>
          </w:tcPr>
          <w:p>
            <w:pPr>
              <w:spacing w:after="0"/>
              <w:rPr>
                <w:sz w:val="2"/>
                <w:szCs w:val="2"/>
                <w:color w:val="auto"/>
              </w:rPr>
            </w:pPr>
          </w:p>
        </w:tc>
        <w:tc>
          <w:tcPr>
            <w:tcW w:w="1460" w:type="dxa"/>
            <w:vAlign w:val="bottom"/>
            <w:tcBorders>
              <w:bottom w:val="single" w:sz="8" w:color="017B52"/>
              <w:right w:val="single" w:sz="8" w:color="017B52"/>
            </w:tcBorders>
          </w:tcPr>
          <w:p>
            <w:pPr>
              <w:spacing w:after="0"/>
              <w:rPr>
                <w:sz w:val="2"/>
                <w:szCs w:val="2"/>
                <w:color w:val="auto"/>
              </w:rPr>
            </w:pPr>
          </w:p>
        </w:tc>
        <w:tc>
          <w:tcPr>
            <w:tcW w:w="1460" w:type="dxa"/>
            <w:vAlign w:val="bottom"/>
            <w:tcBorders>
              <w:bottom w:val="single" w:sz="8" w:color="017B52"/>
              <w:right w:val="single" w:sz="8" w:color="017B52"/>
            </w:tcBorders>
          </w:tcPr>
          <w:p>
            <w:pPr>
              <w:spacing w:after="0"/>
              <w:rPr>
                <w:sz w:val="2"/>
                <w:szCs w:val="2"/>
                <w:color w:val="auto"/>
              </w:rPr>
            </w:pPr>
          </w:p>
        </w:tc>
      </w:tr>
      <w:tr>
        <w:trPr>
          <w:trHeight w:val="182"/>
        </w:trPr>
        <w:tc>
          <w:tcPr>
            <w:tcW w:w="3940" w:type="dxa"/>
            <w:vAlign w:val="bottom"/>
            <w:tcBorders>
              <w:left w:val="single" w:sz="8" w:color="017B52"/>
            </w:tcBorders>
          </w:tcPr>
          <w:p>
            <w:pPr>
              <w:ind w:left="100"/>
              <w:spacing w:after="0"/>
              <w:rPr>
                <w:sz w:val="20"/>
                <w:szCs w:val="20"/>
                <w:color w:val="auto"/>
              </w:rPr>
            </w:pPr>
            <w:r>
              <w:rPr>
                <w:rFonts w:ascii="Arial" w:cs="Arial" w:eastAsia="Arial" w:hAnsi="Arial"/>
                <w:sz w:val="11"/>
                <w:szCs w:val="11"/>
                <w:b w:val="1"/>
                <w:bCs w:val="1"/>
                <w:color w:val="auto"/>
              </w:rPr>
              <w:t>PART I: GENDER IDENTITY</w:t>
            </w: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Borders>
              <w:right w:val="single" w:sz="8" w:color="017B52"/>
            </w:tcBorders>
          </w:tcPr>
          <w:p>
            <w:pPr>
              <w:spacing w:after="0"/>
              <w:rPr>
                <w:sz w:val="15"/>
                <w:szCs w:val="15"/>
                <w:color w:val="auto"/>
              </w:rPr>
            </w:pPr>
          </w:p>
        </w:tc>
      </w:tr>
      <w:tr>
        <w:trPr>
          <w:trHeight w:val="41"/>
        </w:trPr>
        <w:tc>
          <w:tcPr>
            <w:tcW w:w="3940" w:type="dxa"/>
            <w:vAlign w:val="bottom"/>
            <w:tcBorders>
              <w:left w:val="single" w:sz="8" w:color="017B52"/>
              <w:bottom w:val="single" w:sz="8" w:color="017B52"/>
            </w:tcBorders>
          </w:tcPr>
          <w:p>
            <w:pPr>
              <w:spacing w:after="0"/>
              <w:rPr>
                <w:sz w:val="3"/>
                <w:szCs w:val="3"/>
                <w:color w:val="auto"/>
              </w:rPr>
            </w:pPr>
          </w:p>
        </w:tc>
        <w:tc>
          <w:tcPr>
            <w:tcW w:w="1420" w:type="dxa"/>
            <w:vAlign w:val="bottom"/>
            <w:tcBorders>
              <w:bottom w:val="single" w:sz="8" w:color="017B52"/>
            </w:tcBorders>
          </w:tcPr>
          <w:p>
            <w:pPr>
              <w:spacing w:after="0"/>
              <w:rPr>
                <w:sz w:val="3"/>
                <w:szCs w:val="3"/>
                <w:color w:val="auto"/>
              </w:rPr>
            </w:pPr>
          </w:p>
        </w:tc>
        <w:tc>
          <w:tcPr>
            <w:tcW w:w="1140" w:type="dxa"/>
            <w:vAlign w:val="bottom"/>
            <w:tcBorders>
              <w:bottom w:val="single" w:sz="8" w:color="017B52"/>
            </w:tcBorders>
          </w:tcPr>
          <w:p>
            <w:pPr>
              <w:spacing w:after="0"/>
              <w:rPr>
                <w:sz w:val="3"/>
                <w:szCs w:val="3"/>
                <w:color w:val="auto"/>
              </w:rPr>
            </w:pPr>
          </w:p>
        </w:tc>
        <w:tc>
          <w:tcPr>
            <w:tcW w:w="320" w:type="dxa"/>
            <w:vAlign w:val="bottom"/>
            <w:tcBorders>
              <w:bottom w:val="single" w:sz="8" w:color="017B52"/>
            </w:tcBorders>
          </w:tcPr>
          <w:p>
            <w:pPr>
              <w:spacing w:after="0"/>
              <w:rPr>
                <w:sz w:val="3"/>
                <w:szCs w:val="3"/>
                <w:color w:val="auto"/>
              </w:rPr>
            </w:pPr>
          </w:p>
        </w:tc>
        <w:tc>
          <w:tcPr>
            <w:tcW w:w="1460" w:type="dxa"/>
            <w:vAlign w:val="bottom"/>
            <w:tcBorders>
              <w:bottom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r>
      <w:tr>
        <w:trPr>
          <w:trHeight w:val="228"/>
        </w:trPr>
        <w:tc>
          <w:tcPr>
            <w:tcW w:w="3940" w:type="dxa"/>
            <w:vAlign w:val="bottom"/>
            <w:tcBorders>
              <w:left w:val="single" w:sz="8" w:color="017B52"/>
              <w:right w:val="single" w:sz="8" w:color="017B52"/>
            </w:tcBorders>
          </w:tcPr>
          <w:p>
            <w:pPr>
              <w:ind w:left="100"/>
              <w:spacing w:after="0"/>
              <w:rPr>
                <w:sz w:val="20"/>
                <w:szCs w:val="20"/>
                <w:color w:val="auto"/>
              </w:rPr>
            </w:pPr>
            <w:r>
              <w:rPr>
                <w:rFonts w:ascii="Arial" w:cs="Arial" w:eastAsia="Arial" w:hAnsi="Arial"/>
                <w:sz w:val="13"/>
                <w:szCs w:val="13"/>
                <w:color w:val="017B52"/>
              </w:rPr>
              <w:t>Directors</w:t>
            </w:r>
          </w:p>
        </w:tc>
        <w:tc>
          <w:tcPr>
            <w:tcW w:w="1420" w:type="dxa"/>
            <w:vAlign w:val="bottom"/>
            <w:tcBorders>
              <w:right w:val="single" w:sz="8" w:color="017B52"/>
            </w:tcBorders>
          </w:tcPr>
          <w:p>
            <w:pPr>
              <w:jc w:val="center"/>
              <w:spacing w:after="0"/>
              <w:rPr>
                <w:sz w:val="20"/>
                <w:szCs w:val="20"/>
                <w:color w:val="auto"/>
              </w:rPr>
            </w:pPr>
            <w:r>
              <w:rPr>
                <w:rFonts w:ascii="Arial" w:cs="Arial" w:eastAsia="Arial" w:hAnsi="Arial"/>
                <w:sz w:val="14"/>
                <w:szCs w:val="14"/>
                <w:color w:val="auto"/>
              </w:rPr>
              <w:t>2</w:t>
            </w:r>
          </w:p>
        </w:tc>
        <w:tc>
          <w:tcPr>
            <w:tcW w:w="1140" w:type="dxa"/>
            <w:vAlign w:val="bottom"/>
          </w:tcPr>
          <w:p>
            <w:pPr>
              <w:jc w:val="center"/>
              <w:ind w:left="228"/>
              <w:spacing w:after="0"/>
              <w:rPr>
                <w:sz w:val="20"/>
                <w:szCs w:val="20"/>
                <w:color w:val="auto"/>
              </w:rPr>
            </w:pPr>
            <w:r>
              <w:rPr>
                <w:rFonts w:ascii="Arial" w:cs="Arial" w:eastAsia="Arial" w:hAnsi="Arial"/>
                <w:sz w:val="14"/>
                <w:szCs w:val="14"/>
                <w:color w:val="auto"/>
              </w:rPr>
              <w:t>6</w:t>
            </w:r>
          </w:p>
        </w:tc>
        <w:tc>
          <w:tcPr>
            <w:tcW w:w="320" w:type="dxa"/>
            <w:vAlign w:val="bottom"/>
            <w:tcBorders>
              <w:right w:val="single" w:sz="8" w:color="017B52"/>
            </w:tcBorders>
          </w:tcPr>
          <w:p>
            <w:pPr>
              <w:spacing w:after="0"/>
              <w:rPr>
                <w:sz w:val="19"/>
                <w:szCs w:val="19"/>
                <w:color w:val="auto"/>
              </w:rPr>
            </w:pPr>
          </w:p>
        </w:tc>
        <w:tc>
          <w:tcPr>
            <w:tcW w:w="1460" w:type="dxa"/>
            <w:vAlign w:val="bottom"/>
            <w:tcBorders>
              <w:right w:val="single" w:sz="8" w:color="017B52"/>
            </w:tcBorders>
          </w:tcPr>
          <w:p>
            <w:pPr>
              <w:spacing w:after="0"/>
              <w:rPr>
                <w:sz w:val="19"/>
                <w:szCs w:val="19"/>
                <w:color w:val="auto"/>
              </w:rPr>
            </w:pPr>
          </w:p>
        </w:tc>
        <w:tc>
          <w:tcPr>
            <w:tcW w:w="1460" w:type="dxa"/>
            <w:vAlign w:val="bottom"/>
            <w:tcBorders>
              <w:right w:val="single" w:sz="8" w:color="017B52"/>
            </w:tcBorders>
          </w:tcPr>
          <w:p>
            <w:pPr>
              <w:jc w:val="center"/>
              <w:spacing w:after="0"/>
              <w:rPr>
                <w:sz w:val="20"/>
                <w:szCs w:val="20"/>
                <w:color w:val="auto"/>
              </w:rPr>
            </w:pPr>
            <w:r>
              <w:rPr>
                <w:rFonts w:ascii="Arial" w:cs="Arial" w:eastAsia="Arial" w:hAnsi="Arial"/>
                <w:sz w:val="14"/>
                <w:szCs w:val="14"/>
                <w:color w:val="auto"/>
              </w:rPr>
              <w:t>1</w:t>
            </w:r>
          </w:p>
        </w:tc>
      </w:tr>
      <w:tr>
        <w:trPr>
          <w:trHeight w:val="35"/>
        </w:trPr>
        <w:tc>
          <w:tcPr>
            <w:tcW w:w="3940" w:type="dxa"/>
            <w:vAlign w:val="bottom"/>
            <w:tcBorders>
              <w:left w:val="single" w:sz="8" w:color="017B52"/>
              <w:bottom w:val="single" w:sz="8" w:color="017B52"/>
              <w:right w:val="single" w:sz="8" w:color="017B52"/>
            </w:tcBorders>
          </w:tcPr>
          <w:p>
            <w:pPr>
              <w:spacing w:after="0"/>
              <w:rPr>
                <w:sz w:val="3"/>
                <w:szCs w:val="3"/>
                <w:color w:val="auto"/>
              </w:rPr>
            </w:pPr>
          </w:p>
        </w:tc>
        <w:tc>
          <w:tcPr>
            <w:tcW w:w="1420" w:type="dxa"/>
            <w:vAlign w:val="bottom"/>
            <w:tcBorders>
              <w:bottom w:val="single" w:sz="8" w:color="017B52"/>
              <w:right w:val="single" w:sz="8" w:color="017B52"/>
            </w:tcBorders>
          </w:tcPr>
          <w:p>
            <w:pPr>
              <w:spacing w:after="0"/>
              <w:rPr>
                <w:sz w:val="3"/>
                <w:szCs w:val="3"/>
                <w:color w:val="auto"/>
              </w:rPr>
            </w:pPr>
          </w:p>
        </w:tc>
        <w:tc>
          <w:tcPr>
            <w:tcW w:w="1140" w:type="dxa"/>
            <w:vAlign w:val="bottom"/>
            <w:tcBorders>
              <w:bottom w:val="single" w:sz="8" w:color="017B52"/>
            </w:tcBorders>
          </w:tcPr>
          <w:p>
            <w:pPr>
              <w:spacing w:after="0"/>
              <w:rPr>
                <w:sz w:val="3"/>
                <w:szCs w:val="3"/>
                <w:color w:val="auto"/>
              </w:rPr>
            </w:pPr>
          </w:p>
        </w:tc>
        <w:tc>
          <w:tcPr>
            <w:tcW w:w="320" w:type="dxa"/>
            <w:vAlign w:val="bottom"/>
            <w:tcBorders>
              <w:bottom w:val="single" w:sz="8" w:color="017B52"/>
              <w:right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r>
      <w:tr>
        <w:trPr>
          <w:trHeight w:val="182"/>
        </w:trPr>
        <w:tc>
          <w:tcPr>
            <w:tcW w:w="3940" w:type="dxa"/>
            <w:vAlign w:val="bottom"/>
            <w:tcBorders>
              <w:left w:val="single" w:sz="8" w:color="017B52"/>
            </w:tcBorders>
          </w:tcPr>
          <w:p>
            <w:pPr>
              <w:ind w:left="100"/>
              <w:spacing w:after="0"/>
              <w:rPr>
                <w:sz w:val="20"/>
                <w:szCs w:val="20"/>
                <w:color w:val="auto"/>
              </w:rPr>
            </w:pPr>
            <w:r>
              <w:rPr>
                <w:rFonts w:ascii="Arial" w:cs="Arial" w:eastAsia="Arial" w:hAnsi="Arial"/>
                <w:sz w:val="11"/>
                <w:szCs w:val="11"/>
                <w:b w:val="1"/>
                <w:bCs w:val="1"/>
                <w:color w:val="auto"/>
              </w:rPr>
              <w:t>PART II: DEMOGRAPHIC BACKGROUND</w:t>
            </w: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Borders>
              <w:right w:val="single" w:sz="8" w:color="017B52"/>
            </w:tcBorders>
          </w:tcPr>
          <w:p>
            <w:pPr>
              <w:spacing w:after="0"/>
              <w:rPr>
                <w:sz w:val="15"/>
                <w:szCs w:val="15"/>
                <w:color w:val="auto"/>
              </w:rPr>
            </w:pPr>
          </w:p>
        </w:tc>
      </w:tr>
      <w:tr>
        <w:trPr>
          <w:trHeight w:val="41"/>
        </w:trPr>
        <w:tc>
          <w:tcPr>
            <w:tcW w:w="3940" w:type="dxa"/>
            <w:vAlign w:val="bottom"/>
            <w:tcBorders>
              <w:left w:val="single" w:sz="8" w:color="017B52"/>
              <w:bottom w:val="single" w:sz="8" w:color="017B52"/>
            </w:tcBorders>
          </w:tcPr>
          <w:p>
            <w:pPr>
              <w:spacing w:after="0"/>
              <w:rPr>
                <w:sz w:val="3"/>
                <w:szCs w:val="3"/>
                <w:color w:val="auto"/>
              </w:rPr>
            </w:pPr>
          </w:p>
        </w:tc>
        <w:tc>
          <w:tcPr>
            <w:tcW w:w="1420" w:type="dxa"/>
            <w:vAlign w:val="bottom"/>
            <w:tcBorders>
              <w:bottom w:val="single" w:sz="8" w:color="017B52"/>
            </w:tcBorders>
          </w:tcPr>
          <w:p>
            <w:pPr>
              <w:spacing w:after="0"/>
              <w:rPr>
                <w:sz w:val="3"/>
                <w:szCs w:val="3"/>
                <w:color w:val="auto"/>
              </w:rPr>
            </w:pPr>
          </w:p>
        </w:tc>
        <w:tc>
          <w:tcPr>
            <w:tcW w:w="1140" w:type="dxa"/>
            <w:vAlign w:val="bottom"/>
            <w:tcBorders>
              <w:bottom w:val="single" w:sz="8" w:color="017B52"/>
            </w:tcBorders>
          </w:tcPr>
          <w:p>
            <w:pPr>
              <w:spacing w:after="0"/>
              <w:rPr>
                <w:sz w:val="3"/>
                <w:szCs w:val="3"/>
                <w:color w:val="auto"/>
              </w:rPr>
            </w:pPr>
          </w:p>
        </w:tc>
        <w:tc>
          <w:tcPr>
            <w:tcW w:w="320" w:type="dxa"/>
            <w:vAlign w:val="bottom"/>
            <w:tcBorders>
              <w:bottom w:val="single" w:sz="8" w:color="017B52"/>
            </w:tcBorders>
          </w:tcPr>
          <w:p>
            <w:pPr>
              <w:spacing w:after="0"/>
              <w:rPr>
                <w:sz w:val="3"/>
                <w:szCs w:val="3"/>
                <w:color w:val="auto"/>
              </w:rPr>
            </w:pPr>
          </w:p>
        </w:tc>
        <w:tc>
          <w:tcPr>
            <w:tcW w:w="1460" w:type="dxa"/>
            <w:vAlign w:val="bottom"/>
            <w:tcBorders>
              <w:bottom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r>
      <w:tr>
        <w:trPr>
          <w:trHeight w:val="223"/>
        </w:trPr>
        <w:tc>
          <w:tcPr>
            <w:tcW w:w="3940" w:type="dxa"/>
            <w:vAlign w:val="bottom"/>
            <w:tcBorders>
              <w:left w:val="single" w:sz="8" w:color="017B52"/>
              <w:right w:val="single" w:sz="8" w:color="017B52"/>
            </w:tcBorders>
          </w:tcPr>
          <w:p>
            <w:pPr>
              <w:ind w:left="100"/>
              <w:spacing w:after="0"/>
              <w:rPr>
                <w:sz w:val="20"/>
                <w:szCs w:val="20"/>
                <w:color w:val="auto"/>
              </w:rPr>
            </w:pPr>
            <w:r>
              <w:rPr>
                <w:rFonts w:ascii="Arial" w:cs="Arial" w:eastAsia="Arial" w:hAnsi="Arial"/>
                <w:sz w:val="13"/>
                <w:szCs w:val="13"/>
                <w:color w:val="017B52"/>
              </w:rPr>
              <w:t>African American or Black</w:t>
            </w:r>
          </w:p>
        </w:tc>
        <w:tc>
          <w:tcPr>
            <w:tcW w:w="1420" w:type="dxa"/>
            <w:vAlign w:val="bottom"/>
            <w:tcBorders>
              <w:right w:val="single" w:sz="8" w:color="017B52"/>
            </w:tcBorders>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Borders>
              <w:right w:val="single" w:sz="8" w:color="017B52"/>
            </w:tcBorders>
          </w:tcPr>
          <w:p>
            <w:pPr>
              <w:spacing w:after="0"/>
              <w:rPr>
                <w:sz w:val="19"/>
                <w:szCs w:val="19"/>
                <w:color w:val="auto"/>
              </w:rPr>
            </w:pPr>
          </w:p>
        </w:tc>
        <w:tc>
          <w:tcPr>
            <w:tcW w:w="1460" w:type="dxa"/>
            <w:vAlign w:val="bottom"/>
            <w:tcBorders>
              <w:right w:val="single" w:sz="8" w:color="017B52"/>
            </w:tcBorders>
          </w:tcPr>
          <w:p>
            <w:pPr>
              <w:spacing w:after="0"/>
              <w:rPr>
                <w:sz w:val="19"/>
                <w:szCs w:val="19"/>
                <w:color w:val="auto"/>
              </w:rPr>
            </w:pPr>
          </w:p>
        </w:tc>
        <w:tc>
          <w:tcPr>
            <w:tcW w:w="1460" w:type="dxa"/>
            <w:vAlign w:val="bottom"/>
            <w:tcBorders>
              <w:right w:val="single" w:sz="8" w:color="017B52"/>
            </w:tcBorders>
          </w:tcPr>
          <w:p>
            <w:pPr>
              <w:spacing w:after="0"/>
              <w:rPr>
                <w:sz w:val="19"/>
                <w:szCs w:val="19"/>
                <w:color w:val="auto"/>
              </w:rPr>
            </w:pPr>
          </w:p>
        </w:tc>
      </w:tr>
      <w:tr>
        <w:trPr>
          <w:trHeight w:val="41"/>
        </w:trPr>
        <w:tc>
          <w:tcPr>
            <w:tcW w:w="3940" w:type="dxa"/>
            <w:vAlign w:val="bottom"/>
            <w:tcBorders>
              <w:left w:val="single" w:sz="8" w:color="017B52"/>
              <w:bottom w:val="single" w:sz="8" w:color="017B52"/>
              <w:right w:val="single" w:sz="8" w:color="017B52"/>
            </w:tcBorders>
          </w:tcPr>
          <w:p>
            <w:pPr>
              <w:spacing w:after="0"/>
              <w:rPr>
                <w:sz w:val="3"/>
                <w:szCs w:val="3"/>
                <w:color w:val="auto"/>
              </w:rPr>
            </w:pPr>
          </w:p>
        </w:tc>
        <w:tc>
          <w:tcPr>
            <w:tcW w:w="1420" w:type="dxa"/>
            <w:vAlign w:val="bottom"/>
            <w:tcBorders>
              <w:bottom w:val="single" w:sz="8" w:color="017B52"/>
              <w:right w:val="single" w:sz="8" w:color="017B52"/>
            </w:tcBorders>
          </w:tcPr>
          <w:p>
            <w:pPr>
              <w:spacing w:after="0"/>
              <w:rPr>
                <w:sz w:val="3"/>
                <w:szCs w:val="3"/>
                <w:color w:val="auto"/>
              </w:rPr>
            </w:pPr>
          </w:p>
        </w:tc>
        <w:tc>
          <w:tcPr>
            <w:tcW w:w="1140" w:type="dxa"/>
            <w:vAlign w:val="bottom"/>
            <w:tcBorders>
              <w:bottom w:val="single" w:sz="8" w:color="017B52"/>
            </w:tcBorders>
          </w:tcPr>
          <w:p>
            <w:pPr>
              <w:spacing w:after="0"/>
              <w:rPr>
                <w:sz w:val="3"/>
                <w:szCs w:val="3"/>
                <w:color w:val="auto"/>
              </w:rPr>
            </w:pPr>
          </w:p>
        </w:tc>
        <w:tc>
          <w:tcPr>
            <w:tcW w:w="320" w:type="dxa"/>
            <w:vAlign w:val="bottom"/>
            <w:tcBorders>
              <w:bottom w:val="single" w:sz="8" w:color="017B52"/>
              <w:right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r>
      <w:tr>
        <w:trPr>
          <w:trHeight w:val="223"/>
        </w:trPr>
        <w:tc>
          <w:tcPr>
            <w:tcW w:w="3940" w:type="dxa"/>
            <w:vAlign w:val="bottom"/>
            <w:tcBorders>
              <w:left w:val="single" w:sz="8" w:color="017B52"/>
              <w:right w:val="single" w:sz="8" w:color="017B52"/>
            </w:tcBorders>
          </w:tcPr>
          <w:p>
            <w:pPr>
              <w:ind w:left="100"/>
              <w:spacing w:after="0"/>
              <w:rPr>
                <w:sz w:val="20"/>
                <w:szCs w:val="20"/>
                <w:color w:val="auto"/>
              </w:rPr>
            </w:pPr>
            <w:r>
              <w:rPr>
                <w:rFonts w:ascii="Arial" w:cs="Arial" w:eastAsia="Arial" w:hAnsi="Arial"/>
                <w:sz w:val="13"/>
                <w:szCs w:val="13"/>
                <w:color w:val="017B52"/>
              </w:rPr>
              <w:t>Alaskan Native or Native American</w:t>
            </w:r>
          </w:p>
        </w:tc>
        <w:tc>
          <w:tcPr>
            <w:tcW w:w="1420" w:type="dxa"/>
            <w:vAlign w:val="bottom"/>
            <w:tcBorders>
              <w:right w:val="single" w:sz="8" w:color="017B52"/>
            </w:tcBorders>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Borders>
              <w:right w:val="single" w:sz="8" w:color="017B52"/>
            </w:tcBorders>
          </w:tcPr>
          <w:p>
            <w:pPr>
              <w:spacing w:after="0"/>
              <w:rPr>
                <w:sz w:val="19"/>
                <w:szCs w:val="19"/>
                <w:color w:val="auto"/>
              </w:rPr>
            </w:pPr>
          </w:p>
        </w:tc>
        <w:tc>
          <w:tcPr>
            <w:tcW w:w="1460" w:type="dxa"/>
            <w:vAlign w:val="bottom"/>
            <w:tcBorders>
              <w:right w:val="single" w:sz="8" w:color="017B52"/>
            </w:tcBorders>
          </w:tcPr>
          <w:p>
            <w:pPr>
              <w:spacing w:after="0"/>
              <w:rPr>
                <w:sz w:val="19"/>
                <w:szCs w:val="19"/>
                <w:color w:val="auto"/>
              </w:rPr>
            </w:pPr>
          </w:p>
        </w:tc>
        <w:tc>
          <w:tcPr>
            <w:tcW w:w="1460" w:type="dxa"/>
            <w:vAlign w:val="bottom"/>
            <w:tcBorders>
              <w:right w:val="single" w:sz="8" w:color="017B52"/>
            </w:tcBorders>
          </w:tcPr>
          <w:p>
            <w:pPr>
              <w:spacing w:after="0"/>
              <w:rPr>
                <w:sz w:val="19"/>
                <w:szCs w:val="19"/>
                <w:color w:val="auto"/>
              </w:rPr>
            </w:pPr>
          </w:p>
        </w:tc>
      </w:tr>
      <w:tr>
        <w:trPr>
          <w:trHeight w:val="41"/>
        </w:trPr>
        <w:tc>
          <w:tcPr>
            <w:tcW w:w="3940" w:type="dxa"/>
            <w:vAlign w:val="bottom"/>
            <w:tcBorders>
              <w:left w:val="single" w:sz="8" w:color="017B52"/>
              <w:bottom w:val="single" w:sz="8" w:color="017B52"/>
              <w:right w:val="single" w:sz="8" w:color="017B52"/>
            </w:tcBorders>
          </w:tcPr>
          <w:p>
            <w:pPr>
              <w:spacing w:after="0"/>
              <w:rPr>
                <w:sz w:val="3"/>
                <w:szCs w:val="3"/>
                <w:color w:val="auto"/>
              </w:rPr>
            </w:pPr>
          </w:p>
        </w:tc>
        <w:tc>
          <w:tcPr>
            <w:tcW w:w="1420" w:type="dxa"/>
            <w:vAlign w:val="bottom"/>
            <w:tcBorders>
              <w:bottom w:val="single" w:sz="8" w:color="017B52"/>
              <w:right w:val="single" w:sz="8" w:color="017B52"/>
            </w:tcBorders>
          </w:tcPr>
          <w:p>
            <w:pPr>
              <w:spacing w:after="0"/>
              <w:rPr>
                <w:sz w:val="3"/>
                <w:szCs w:val="3"/>
                <w:color w:val="auto"/>
              </w:rPr>
            </w:pPr>
          </w:p>
        </w:tc>
        <w:tc>
          <w:tcPr>
            <w:tcW w:w="1140" w:type="dxa"/>
            <w:vAlign w:val="bottom"/>
            <w:tcBorders>
              <w:bottom w:val="single" w:sz="8" w:color="017B52"/>
            </w:tcBorders>
          </w:tcPr>
          <w:p>
            <w:pPr>
              <w:spacing w:after="0"/>
              <w:rPr>
                <w:sz w:val="3"/>
                <w:szCs w:val="3"/>
                <w:color w:val="auto"/>
              </w:rPr>
            </w:pPr>
          </w:p>
        </w:tc>
        <w:tc>
          <w:tcPr>
            <w:tcW w:w="320" w:type="dxa"/>
            <w:vAlign w:val="bottom"/>
            <w:tcBorders>
              <w:bottom w:val="single" w:sz="8" w:color="017B52"/>
              <w:right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r>
      <w:tr>
        <w:trPr>
          <w:trHeight w:val="223"/>
        </w:trPr>
        <w:tc>
          <w:tcPr>
            <w:tcW w:w="3940" w:type="dxa"/>
            <w:vAlign w:val="bottom"/>
            <w:tcBorders>
              <w:left w:val="single" w:sz="8" w:color="017B52"/>
              <w:right w:val="single" w:sz="8" w:color="017B52"/>
            </w:tcBorders>
          </w:tcPr>
          <w:p>
            <w:pPr>
              <w:ind w:left="100"/>
              <w:spacing w:after="0"/>
              <w:rPr>
                <w:sz w:val="20"/>
                <w:szCs w:val="20"/>
                <w:color w:val="auto"/>
              </w:rPr>
            </w:pPr>
            <w:r>
              <w:rPr>
                <w:rFonts w:ascii="Arial" w:cs="Arial" w:eastAsia="Arial" w:hAnsi="Arial"/>
                <w:sz w:val="13"/>
                <w:szCs w:val="13"/>
                <w:color w:val="017B52"/>
              </w:rPr>
              <w:t>Asian</w:t>
            </w:r>
          </w:p>
        </w:tc>
        <w:tc>
          <w:tcPr>
            <w:tcW w:w="1420" w:type="dxa"/>
            <w:vAlign w:val="bottom"/>
            <w:tcBorders>
              <w:right w:val="single" w:sz="8" w:color="017B52"/>
            </w:tcBorders>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Borders>
              <w:right w:val="single" w:sz="8" w:color="017B52"/>
            </w:tcBorders>
          </w:tcPr>
          <w:p>
            <w:pPr>
              <w:spacing w:after="0"/>
              <w:rPr>
                <w:sz w:val="19"/>
                <w:szCs w:val="19"/>
                <w:color w:val="auto"/>
              </w:rPr>
            </w:pPr>
          </w:p>
        </w:tc>
        <w:tc>
          <w:tcPr>
            <w:tcW w:w="1460" w:type="dxa"/>
            <w:vAlign w:val="bottom"/>
            <w:tcBorders>
              <w:right w:val="single" w:sz="8" w:color="017B52"/>
            </w:tcBorders>
          </w:tcPr>
          <w:p>
            <w:pPr>
              <w:spacing w:after="0"/>
              <w:rPr>
                <w:sz w:val="19"/>
                <w:szCs w:val="19"/>
                <w:color w:val="auto"/>
              </w:rPr>
            </w:pPr>
          </w:p>
        </w:tc>
        <w:tc>
          <w:tcPr>
            <w:tcW w:w="1460" w:type="dxa"/>
            <w:vAlign w:val="bottom"/>
            <w:tcBorders>
              <w:right w:val="single" w:sz="8" w:color="017B52"/>
            </w:tcBorders>
          </w:tcPr>
          <w:p>
            <w:pPr>
              <w:spacing w:after="0"/>
              <w:rPr>
                <w:sz w:val="19"/>
                <w:szCs w:val="19"/>
                <w:color w:val="auto"/>
              </w:rPr>
            </w:pPr>
          </w:p>
        </w:tc>
      </w:tr>
      <w:tr>
        <w:trPr>
          <w:trHeight w:val="41"/>
        </w:trPr>
        <w:tc>
          <w:tcPr>
            <w:tcW w:w="3940" w:type="dxa"/>
            <w:vAlign w:val="bottom"/>
            <w:tcBorders>
              <w:left w:val="single" w:sz="8" w:color="017B52"/>
              <w:bottom w:val="single" w:sz="8" w:color="017B52"/>
              <w:right w:val="single" w:sz="8" w:color="017B52"/>
            </w:tcBorders>
          </w:tcPr>
          <w:p>
            <w:pPr>
              <w:spacing w:after="0"/>
              <w:rPr>
                <w:sz w:val="3"/>
                <w:szCs w:val="3"/>
                <w:color w:val="auto"/>
              </w:rPr>
            </w:pPr>
          </w:p>
        </w:tc>
        <w:tc>
          <w:tcPr>
            <w:tcW w:w="1420" w:type="dxa"/>
            <w:vAlign w:val="bottom"/>
            <w:tcBorders>
              <w:bottom w:val="single" w:sz="8" w:color="017B52"/>
              <w:right w:val="single" w:sz="8" w:color="017B52"/>
            </w:tcBorders>
          </w:tcPr>
          <w:p>
            <w:pPr>
              <w:spacing w:after="0"/>
              <w:rPr>
                <w:sz w:val="3"/>
                <w:szCs w:val="3"/>
                <w:color w:val="auto"/>
              </w:rPr>
            </w:pPr>
          </w:p>
        </w:tc>
        <w:tc>
          <w:tcPr>
            <w:tcW w:w="1140" w:type="dxa"/>
            <w:vAlign w:val="bottom"/>
            <w:tcBorders>
              <w:bottom w:val="single" w:sz="8" w:color="017B52"/>
            </w:tcBorders>
          </w:tcPr>
          <w:p>
            <w:pPr>
              <w:spacing w:after="0"/>
              <w:rPr>
                <w:sz w:val="3"/>
                <w:szCs w:val="3"/>
                <w:color w:val="auto"/>
              </w:rPr>
            </w:pPr>
          </w:p>
        </w:tc>
        <w:tc>
          <w:tcPr>
            <w:tcW w:w="320" w:type="dxa"/>
            <w:vAlign w:val="bottom"/>
            <w:tcBorders>
              <w:bottom w:val="single" w:sz="8" w:color="017B52"/>
              <w:right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r>
      <w:tr>
        <w:trPr>
          <w:trHeight w:val="228"/>
        </w:trPr>
        <w:tc>
          <w:tcPr>
            <w:tcW w:w="3940" w:type="dxa"/>
            <w:vAlign w:val="bottom"/>
            <w:tcBorders>
              <w:left w:val="single" w:sz="8" w:color="017B52"/>
              <w:right w:val="single" w:sz="8" w:color="017B52"/>
            </w:tcBorders>
          </w:tcPr>
          <w:p>
            <w:pPr>
              <w:ind w:left="100"/>
              <w:spacing w:after="0"/>
              <w:rPr>
                <w:sz w:val="20"/>
                <w:szCs w:val="20"/>
                <w:color w:val="auto"/>
              </w:rPr>
            </w:pPr>
            <w:r>
              <w:rPr>
                <w:rFonts w:ascii="Arial" w:cs="Arial" w:eastAsia="Arial" w:hAnsi="Arial"/>
                <w:sz w:val="13"/>
                <w:szCs w:val="13"/>
                <w:color w:val="017B52"/>
              </w:rPr>
              <w:t>Hispanic or Latinx</w:t>
            </w:r>
          </w:p>
        </w:tc>
        <w:tc>
          <w:tcPr>
            <w:tcW w:w="1420" w:type="dxa"/>
            <w:vAlign w:val="bottom"/>
            <w:tcBorders>
              <w:right w:val="single" w:sz="8" w:color="017B52"/>
            </w:tcBorders>
          </w:tcPr>
          <w:p>
            <w:pPr>
              <w:spacing w:after="0"/>
              <w:rPr>
                <w:sz w:val="19"/>
                <w:szCs w:val="19"/>
                <w:color w:val="auto"/>
              </w:rPr>
            </w:pPr>
          </w:p>
        </w:tc>
        <w:tc>
          <w:tcPr>
            <w:tcW w:w="1140" w:type="dxa"/>
            <w:vAlign w:val="bottom"/>
          </w:tcPr>
          <w:p>
            <w:pPr>
              <w:jc w:val="center"/>
              <w:ind w:left="228"/>
              <w:spacing w:after="0"/>
              <w:rPr>
                <w:sz w:val="20"/>
                <w:szCs w:val="20"/>
                <w:color w:val="auto"/>
              </w:rPr>
            </w:pPr>
            <w:r>
              <w:rPr>
                <w:rFonts w:ascii="Arial" w:cs="Arial" w:eastAsia="Arial" w:hAnsi="Arial"/>
                <w:sz w:val="14"/>
                <w:szCs w:val="14"/>
                <w:color w:val="auto"/>
              </w:rPr>
              <w:t>1</w:t>
            </w:r>
          </w:p>
        </w:tc>
        <w:tc>
          <w:tcPr>
            <w:tcW w:w="320" w:type="dxa"/>
            <w:vAlign w:val="bottom"/>
            <w:tcBorders>
              <w:right w:val="single" w:sz="8" w:color="017B52"/>
            </w:tcBorders>
          </w:tcPr>
          <w:p>
            <w:pPr>
              <w:spacing w:after="0"/>
              <w:rPr>
                <w:sz w:val="19"/>
                <w:szCs w:val="19"/>
                <w:color w:val="auto"/>
              </w:rPr>
            </w:pPr>
          </w:p>
        </w:tc>
        <w:tc>
          <w:tcPr>
            <w:tcW w:w="1460" w:type="dxa"/>
            <w:vAlign w:val="bottom"/>
            <w:tcBorders>
              <w:right w:val="single" w:sz="8" w:color="017B52"/>
            </w:tcBorders>
          </w:tcPr>
          <w:p>
            <w:pPr>
              <w:spacing w:after="0"/>
              <w:rPr>
                <w:sz w:val="19"/>
                <w:szCs w:val="19"/>
                <w:color w:val="auto"/>
              </w:rPr>
            </w:pPr>
          </w:p>
        </w:tc>
        <w:tc>
          <w:tcPr>
            <w:tcW w:w="1460" w:type="dxa"/>
            <w:vAlign w:val="bottom"/>
            <w:tcBorders>
              <w:right w:val="single" w:sz="8" w:color="017B52"/>
            </w:tcBorders>
          </w:tcPr>
          <w:p>
            <w:pPr>
              <w:spacing w:after="0"/>
              <w:rPr>
                <w:sz w:val="19"/>
                <w:szCs w:val="19"/>
                <w:color w:val="auto"/>
              </w:rPr>
            </w:pPr>
          </w:p>
        </w:tc>
      </w:tr>
      <w:tr>
        <w:trPr>
          <w:trHeight w:val="35"/>
        </w:trPr>
        <w:tc>
          <w:tcPr>
            <w:tcW w:w="3940" w:type="dxa"/>
            <w:vAlign w:val="bottom"/>
            <w:tcBorders>
              <w:left w:val="single" w:sz="8" w:color="017B52"/>
              <w:bottom w:val="single" w:sz="8" w:color="017B52"/>
              <w:right w:val="single" w:sz="8" w:color="017B52"/>
            </w:tcBorders>
          </w:tcPr>
          <w:p>
            <w:pPr>
              <w:spacing w:after="0"/>
              <w:rPr>
                <w:sz w:val="3"/>
                <w:szCs w:val="3"/>
                <w:color w:val="auto"/>
              </w:rPr>
            </w:pPr>
          </w:p>
        </w:tc>
        <w:tc>
          <w:tcPr>
            <w:tcW w:w="1420" w:type="dxa"/>
            <w:vAlign w:val="bottom"/>
            <w:tcBorders>
              <w:bottom w:val="single" w:sz="8" w:color="017B52"/>
              <w:right w:val="single" w:sz="8" w:color="017B52"/>
            </w:tcBorders>
          </w:tcPr>
          <w:p>
            <w:pPr>
              <w:spacing w:after="0"/>
              <w:rPr>
                <w:sz w:val="3"/>
                <w:szCs w:val="3"/>
                <w:color w:val="auto"/>
              </w:rPr>
            </w:pPr>
          </w:p>
        </w:tc>
        <w:tc>
          <w:tcPr>
            <w:tcW w:w="1140" w:type="dxa"/>
            <w:vAlign w:val="bottom"/>
            <w:tcBorders>
              <w:bottom w:val="single" w:sz="8" w:color="017B52"/>
            </w:tcBorders>
          </w:tcPr>
          <w:p>
            <w:pPr>
              <w:spacing w:after="0"/>
              <w:rPr>
                <w:sz w:val="3"/>
                <w:szCs w:val="3"/>
                <w:color w:val="auto"/>
              </w:rPr>
            </w:pPr>
          </w:p>
        </w:tc>
        <w:tc>
          <w:tcPr>
            <w:tcW w:w="320" w:type="dxa"/>
            <w:vAlign w:val="bottom"/>
            <w:tcBorders>
              <w:bottom w:val="single" w:sz="8" w:color="017B52"/>
              <w:right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r>
      <w:tr>
        <w:trPr>
          <w:trHeight w:val="223"/>
        </w:trPr>
        <w:tc>
          <w:tcPr>
            <w:tcW w:w="3940" w:type="dxa"/>
            <w:vAlign w:val="bottom"/>
            <w:tcBorders>
              <w:left w:val="single" w:sz="8" w:color="017B52"/>
              <w:right w:val="single" w:sz="8" w:color="017B52"/>
            </w:tcBorders>
          </w:tcPr>
          <w:p>
            <w:pPr>
              <w:ind w:left="100"/>
              <w:spacing w:after="0"/>
              <w:rPr>
                <w:sz w:val="20"/>
                <w:szCs w:val="20"/>
                <w:color w:val="auto"/>
              </w:rPr>
            </w:pPr>
            <w:r>
              <w:rPr>
                <w:rFonts w:ascii="Arial" w:cs="Arial" w:eastAsia="Arial" w:hAnsi="Arial"/>
                <w:sz w:val="13"/>
                <w:szCs w:val="13"/>
                <w:color w:val="017B52"/>
              </w:rPr>
              <w:t>Native Hawaiian or Pacific Islander</w:t>
            </w:r>
          </w:p>
        </w:tc>
        <w:tc>
          <w:tcPr>
            <w:tcW w:w="1420" w:type="dxa"/>
            <w:vAlign w:val="bottom"/>
            <w:tcBorders>
              <w:right w:val="single" w:sz="8" w:color="017B52"/>
            </w:tcBorders>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Borders>
              <w:right w:val="single" w:sz="8" w:color="017B52"/>
            </w:tcBorders>
          </w:tcPr>
          <w:p>
            <w:pPr>
              <w:spacing w:after="0"/>
              <w:rPr>
                <w:sz w:val="19"/>
                <w:szCs w:val="19"/>
                <w:color w:val="auto"/>
              </w:rPr>
            </w:pPr>
          </w:p>
        </w:tc>
        <w:tc>
          <w:tcPr>
            <w:tcW w:w="1460" w:type="dxa"/>
            <w:vAlign w:val="bottom"/>
            <w:tcBorders>
              <w:right w:val="single" w:sz="8" w:color="017B52"/>
            </w:tcBorders>
          </w:tcPr>
          <w:p>
            <w:pPr>
              <w:spacing w:after="0"/>
              <w:rPr>
                <w:sz w:val="19"/>
                <w:szCs w:val="19"/>
                <w:color w:val="auto"/>
              </w:rPr>
            </w:pPr>
          </w:p>
        </w:tc>
        <w:tc>
          <w:tcPr>
            <w:tcW w:w="1460" w:type="dxa"/>
            <w:vAlign w:val="bottom"/>
            <w:tcBorders>
              <w:right w:val="single" w:sz="8" w:color="017B52"/>
            </w:tcBorders>
          </w:tcPr>
          <w:p>
            <w:pPr>
              <w:spacing w:after="0"/>
              <w:rPr>
                <w:sz w:val="19"/>
                <w:szCs w:val="19"/>
                <w:color w:val="auto"/>
              </w:rPr>
            </w:pPr>
          </w:p>
        </w:tc>
      </w:tr>
      <w:tr>
        <w:trPr>
          <w:trHeight w:val="41"/>
        </w:trPr>
        <w:tc>
          <w:tcPr>
            <w:tcW w:w="3940" w:type="dxa"/>
            <w:vAlign w:val="bottom"/>
            <w:tcBorders>
              <w:left w:val="single" w:sz="8" w:color="017B52"/>
              <w:bottom w:val="single" w:sz="8" w:color="017B52"/>
              <w:right w:val="single" w:sz="8" w:color="017B52"/>
            </w:tcBorders>
          </w:tcPr>
          <w:p>
            <w:pPr>
              <w:spacing w:after="0"/>
              <w:rPr>
                <w:sz w:val="3"/>
                <w:szCs w:val="3"/>
                <w:color w:val="auto"/>
              </w:rPr>
            </w:pPr>
          </w:p>
        </w:tc>
        <w:tc>
          <w:tcPr>
            <w:tcW w:w="1420" w:type="dxa"/>
            <w:vAlign w:val="bottom"/>
            <w:tcBorders>
              <w:bottom w:val="single" w:sz="8" w:color="017B52"/>
              <w:right w:val="single" w:sz="8" w:color="017B52"/>
            </w:tcBorders>
          </w:tcPr>
          <w:p>
            <w:pPr>
              <w:spacing w:after="0"/>
              <w:rPr>
                <w:sz w:val="3"/>
                <w:szCs w:val="3"/>
                <w:color w:val="auto"/>
              </w:rPr>
            </w:pPr>
          </w:p>
        </w:tc>
        <w:tc>
          <w:tcPr>
            <w:tcW w:w="1140" w:type="dxa"/>
            <w:vAlign w:val="bottom"/>
            <w:tcBorders>
              <w:bottom w:val="single" w:sz="8" w:color="017B52"/>
            </w:tcBorders>
          </w:tcPr>
          <w:p>
            <w:pPr>
              <w:spacing w:after="0"/>
              <w:rPr>
                <w:sz w:val="3"/>
                <w:szCs w:val="3"/>
                <w:color w:val="auto"/>
              </w:rPr>
            </w:pPr>
          </w:p>
        </w:tc>
        <w:tc>
          <w:tcPr>
            <w:tcW w:w="320" w:type="dxa"/>
            <w:vAlign w:val="bottom"/>
            <w:tcBorders>
              <w:bottom w:val="single" w:sz="8" w:color="017B52"/>
              <w:right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r>
      <w:tr>
        <w:trPr>
          <w:trHeight w:val="228"/>
        </w:trPr>
        <w:tc>
          <w:tcPr>
            <w:tcW w:w="3940" w:type="dxa"/>
            <w:vAlign w:val="bottom"/>
            <w:tcBorders>
              <w:left w:val="single" w:sz="8" w:color="017B52"/>
              <w:right w:val="single" w:sz="8" w:color="017B52"/>
            </w:tcBorders>
          </w:tcPr>
          <w:p>
            <w:pPr>
              <w:ind w:left="100"/>
              <w:spacing w:after="0"/>
              <w:rPr>
                <w:sz w:val="20"/>
                <w:szCs w:val="20"/>
                <w:color w:val="auto"/>
              </w:rPr>
            </w:pPr>
            <w:r>
              <w:rPr>
                <w:rFonts w:ascii="Arial" w:cs="Arial" w:eastAsia="Arial" w:hAnsi="Arial"/>
                <w:sz w:val="13"/>
                <w:szCs w:val="13"/>
                <w:color w:val="017B52"/>
              </w:rPr>
              <w:t>White</w:t>
            </w:r>
          </w:p>
        </w:tc>
        <w:tc>
          <w:tcPr>
            <w:tcW w:w="1420" w:type="dxa"/>
            <w:vAlign w:val="bottom"/>
            <w:tcBorders>
              <w:right w:val="single" w:sz="8" w:color="017B52"/>
            </w:tcBorders>
          </w:tcPr>
          <w:p>
            <w:pPr>
              <w:jc w:val="center"/>
              <w:spacing w:after="0"/>
              <w:rPr>
                <w:sz w:val="20"/>
                <w:szCs w:val="20"/>
                <w:color w:val="auto"/>
              </w:rPr>
            </w:pPr>
            <w:r>
              <w:rPr>
                <w:rFonts w:ascii="Arial" w:cs="Arial" w:eastAsia="Arial" w:hAnsi="Arial"/>
                <w:sz w:val="14"/>
                <w:szCs w:val="14"/>
                <w:color w:val="auto"/>
              </w:rPr>
              <w:t>2</w:t>
            </w:r>
          </w:p>
        </w:tc>
        <w:tc>
          <w:tcPr>
            <w:tcW w:w="1140" w:type="dxa"/>
            <w:vAlign w:val="bottom"/>
          </w:tcPr>
          <w:p>
            <w:pPr>
              <w:jc w:val="center"/>
              <w:ind w:left="228"/>
              <w:spacing w:after="0"/>
              <w:rPr>
                <w:sz w:val="20"/>
                <w:szCs w:val="20"/>
                <w:color w:val="auto"/>
              </w:rPr>
            </w:pPr>
            <w:r>
              <w:rPr>
                <w:rFonts w:ascii="Arial" w:cs="Arial" w:eastAsia="Arial" w:hAnsi="Arial"/>
                <w:sz w:val="14"/>
                <w:szCs w:val="14"/>
                <w:color w:val="auto"/>
              </w:rPr>
              <w:t>4</w:t>
            </w:r>
          </w:p>
        </w:tc>
        <w:tc>
          <w:tcPr>
            <w:tcW w:w="320" w:type="dxa"/>
            <w:vAlign w:val="bottom"/>
            <w:tcBorders>
              <w:right w:val="single" w:sz="8" w:color="017B52"/>
            </w:tcBorders>
          </w:tcPr>
          <w:p>
            <w:pPr>
              <w:spacing w:after="0"/>
              <w:rPr>
                <w:sz w:val="19"/>
                <w:szCs w:val="19"/>
                <w:color w:val="auto"/>
              </w:rPr>
            </w:pPr>
          </w:p>
        </w:tc>
        <w:tc>
          <w:tcPr>
            <w:tcW w:w="1460" w:type="dxa"/>
            <w:vAlign w:val="bottom"/>
            <w:tcBorders>
              <w:right w:val="single" w:sz="8" w:color="017B52"/>
            </w:tcBorders>
          </w:tcPr>
          <w:p>
            <w:pPr>
              <w:spacing w:after="0"/>
              <w:rPr>
                <w:sz w:val="19"/>
                <w:szCs w:val="19"/>
                <w:color w:val="auto"/>
              </w:rPr>
            </w:pPr>
          </w:p>
        </w:tc>
        <w:tc>
          <w:tcPr>
            <w:tcW w:w="1460" w:type="dxa"/>
            <w:vAlign w:val="bottom"/>
            <w:tcBorders>
              <w:right w:val="single" w:sz="8" w:color="017B52"/>
            </w:tcBorders>
          </w:tcPr>
          <w:p>
            <w:pPr>
              <w:spacing w:after="0"/>
              <w:rPr>
                <w:sz w:val="19"/>
                <w:szCs w:val="19"/>
                <w:color w:val="auto"/>
              </w:rPr>
            </w:pPr>
          </w:p>
        </w:tc>
      </w:tr>
      <w:tr>
        <w:trPr>
          <w:trHeight w:val="35"/>
        </w:trPr>
        <w:tc>
          <w:tcPr>
            <w:tcW w:w="3940" w:type="dxa"/>
            <w:vAlign w:val="bottom"/>
            <w:tcBorders>
              <w:left w:val="single" w:sz="8" w:color="017B52"/>
              <w:bottom w:val="single" w:sz="8" w:color="017B52"/>
              <w:right w:val="single" w:sz="8" w:color="017B52"/>
            </w:tcBorders>
          </w:tcPr>
          <w:p>
            <w:pPr>
              <w:spacing w:after="0"/>
              <w:rPr>
                <w:sz w:val="3"/>
                <w:szCs w:val="3"/>
                <w:color w:val="auto"/>
              </w:rPr>
            </w:pPr>
          </w:p>
        </w:tc>
        <w:tc>
          <w:tcPr>
            <w:tcW w:w="1420" w:type="dxa"/>
            <w:vAlign w:val="bottom"/>
            <w:tcBorders>
              <w:bottom w:val="single" w:sz="8" w:color="017B52"/>
              <w:right w:val="single" w:sz="8" w:color="017B52"/>
            </w:tcBorders>
          </w:tcPr>
          <w:p>
            <w:pPr>
              <w:spacing w:after="0"/>
              <w:rPr>
                <w:sz w:val="3"/>
                <w:szCs w:val="3"/>
                <w:color w:val="auto"/>
              </w:rPr>
            </w:pPr>
          </w:p>
        </w:tc>
        <w:tc>
          <w:tcPr>
            <w:tcW w:w="1140" w:type="dxa"/>
            <w:vAlign w:val="bottom"/>
            <w:tcBorders>
              <w:bottom w:val="single" w:sz="8" w:color="017B52"/>
            </w:tcBorders>
          </w:tcPr>
          <w:p>
            <w:pPr>
              <w:spacing w:after="0"/>
              <w:rPr>
                <w:sz w:val="3"/>
                <w:szCs w:val="3"/>
                <w:color w:val="auto"/>
              </w:rPr>
            </w:pPr>
          </w:p>
        </w:tc>
        <w:tc>
          <w:tcPr>
            <w:tcW w:w="320" w:type="dxa"/>
            <w:vAlign w:val="bottom"/>
            <w:tcBorders>
              <w:bottom w:val="single" w:sz="8" w:color="017B52"/>
              <w:right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r>
      <w:tr>
        <w:trPr>
          <w:trHeight w:val="223"/>
        </w:trPr>
        <w:tc>
          <w:tcPr>
            <w:tcW w:w="3940" w:type="dxa"/>
            <w:vAlign w:val="bottom"/>
            <w:tcBorders>
              <w:left w:val="single" w:sz="8" w:color="017B52"/>
              <w:right w:val="single" w:sz="8" w:color="017B52"/>
            </w:tcBorders>
          </w:tcPr>
          <w:p>
            <w:pPr>
              <w:ind w:left="100"/>
              <w:spacing w:after="0"/>
              <w:rPr>
                <w:sz w:val="20"/>
                <w:szCs w:val="20"/>
                <w:color w:val="auto"/>
              </w:rPr>
            </w:pPr>
            <w:r>
              <w:rPr>
                <w:rFonts w:ascii="Arial" w:cs="Arial" w:eastAsia="Arial" w:hAnsi="Arial"/>
                <w:sz w:val="13"/>
                <w:szCs w:val="13"/>
                <w:color w:val="017B52"/>
              </w:rPr>
              <w:t>Two or More Races or Ethnicities</w:t>
            </w:r>
          </w:p>
        </w:tc>
        <w:tc>
          <w:tcPr>
            <w:tcW w:w="1420" w:type="dxa"/>
            <w:vAlign w:val="bottom"/>
            <w:tcBorders>
              <w:right w:val="single" w:sz="8" w:color="017B52"/>
            </w:tcBorders>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Borders>
              <w:right w:val="single" w:sz="8" w:color="017B52"/>
            </w:tcBorders>
          </w:tcPr>
          <w:p>
            <w:pPr>
              <w:spacing w:after="0"/>
              <w:rPr>
                <w:sz w:val="19"/>
                <w:szCs w:val="19"/>
                <w:color w:val="auto"/>
              </w:rPr>
            </w:pPr>
          </w:p>
        </w:tc>
        <w:tc>
          <w:tcPr>
            <w:tcW w:w="1460" w:type="dxa"/>
            <w:vAlign w:val="bottom"/>
            <w:tcBorders>
              <w:right w:val="single" w:sz="8" w:color="017B52"/>
            </w:tcBorders>
          </w:tcPr>
          <w:p>
            <w:pPr>
              <w:spacing w:after="0"/>
              <w:rPr>
                <w:sz w:val="19"/>
                <w:szCs w:val="19"/>
                <w:color w:val="auto"/>
              </w:rPr>
            </w:pPr>
          </w:p>
        </w:tc>
        <w:tc>
          <w:tcPr>
            <w:tcW w:w="1460" w:type="dxa"/>
            <w:vAlign w:val="bottom"/>
            <w:tcBorders>
              <w:right w:val="single" w:sz="8" w:color="017B52"/>
            </w:tcBorders>
          </w:tcPr>
          <w:p>
            <w:pPr>
              <w:spacing w:after="0"/>
              <w:rPr>
                <w:sz w:val="19"/>
                <w:szCs w:val="19"/>
                <w:color w:val="auto"/>
              </w:rPr>
            </w:pPr>
          </w:p>
        </w:tc>
      </w:tr>
      <w:tr>
        <w:trPr>
          <w:trHeight w:val="41"/>
        </w:trPr>
        <w:tc>
          <w:tcPr>
            <w:tcW w:w="3940" w:type="dxa"/>
            <w:vAlign w:val="bottom"/>
            <w:tcBorders>
              <w:left w:val="single" w:sz="8" w:color="017B52"/>
              <w:bottom w:val="single" w:sz="8" w:color="017B52"/>
              <w:right w:val="single" w:sz="8" w:color="017B52"/>
            </w:tcBorders>
          </w:tcPr>
          <w:p>
            <w:pPr>
              <w:spacing w:after="0"/>
              <w:rPr>
                <w:sz w:val="3"/>
                <w:szCs w:val="3"/>
                <w:color w:val="auto"/>
              </w:rPr>
            </w:pPr>
          </w:p>
        </w:tc>
        <w:tc>
          <w:tcPr>
            <w:tcW w:w="1420" w:type="dxa"/>
            <w:vAlign w:val="bottom"/>
            <w:tcBorders>
              <w:bottom w:val="single" w:sz="8" w:color="017B52"/>
              <w:right w:val="single" w:sz="8" w:color="017B52"/>
            </w:tcBorders>
          </w:tcPr>
          <w:p>
            <w:pPr>
              <w:spacing w:after="0"/>
              <w:rPr>
                <w:sz w:val="3"/>
                <w:szCs w:val="3"/>
                <w:color w:val="auto"/>
              </w:rPr>
            </w:pPr>
          </w:p>
        </w:tc>
        <w:tc>
          <w:tcPr>
            <w:tcW w:w="1140" w:type="dxa"/>
            <w:vAlign w:val="bottom"/>
            <w:tcBorders>
              <w:bottom w:val="single" w:sz="8" w:color="017B52"/>
            </w:tcBorders>
          </w:tcPr>
          <w:p>
            <w:pPr>
              <w:spacing w:after="0"/>
              <w:rPr>
                <w:sz w:val="3"/>
                <w:szCs w:val="3"/>
                <w:color w:val="auto"/>
              </w:rPr>
            </w:pPr>
          </w:p>
        </w:tc>
        <w:tc>
          <w:tcPr>
            <w:tcW w:w="320" w:type="dxa"/>
            <w:vAlign w:val="bottom"/>
            <w:tcBorders>
              <w:bottom w:val="single" w:sz="8" w:color="017B52"/>
              <w:right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r>
      <w:tr>
        <w:trPr>
          <w:trHeight w:val="196"/>
        </w:trPr>
        <w:tc>
          <w:tcPr>
            <w:tcW w:w="3940" w:type="dxa"/>
            <w:vAlign w:val="bottom"/>
            <w:tcBorders>
              <w:left w:val="single" w:sz="8" w:color="017B52"/>
              <w:right w:val="single" w:sz="8" w:color="017B52"/>
            </w:tcBorders>
          </w:tcPr>
          <w:p>
            <w:pPr>
              <w:ind w:left="100"/>
              <w:spacing w:after="0"/>
              <w:rPr>
                <w:sz w:val="20"/>
                <w:szCs w:val="20"/>
                <w:color w:val="auto"/>
              </w:rPr>
            </w:pPr>
            <w:r>
              <w:rPr>
                <w:rFonts w:ascii="Arial" w:cs="Arial" w:eastAsia="Arial" w:hAnsi="Arial"/>
                <w:sz w:val="13"/>
                <w:szCs w:val="13"/>
                <w:color w:val="017B52"/>
              </w:rPr>
              <w:t>LGBTQ+</w:t>
            </w: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60" w:type="dxa"/>
            <w:vAlign w:val="bottom"/>
            <w:tcBorders>
              <w:right w:val="single" w:sz="8" w:color="017B52"/>
            </w:tcBorders>
          </w:tcPr>
          <w:p>
            <w:pPr>
              <w:spacing w:after="0"/>
              <w:rPr>
                <w:sz w:val="17"/>
                <w:szCs w:val="17"/>
                <w:color w:val="auto"/>
              </w:rPr>
            </w:pPr>
          </w:p>
        </w:tc>
      </w:tr>
      <w:tr>
        <w:trPr>
          <w:trHeight w:val="41"/>
        </w:trPr>
        <w:tc>
          <w:tcPr>
            <w:tcW w:w="3940" w:type="dxa"/>
            <w:vAlign w:val="bottom"/>
            <w:tcBorders>
              <w:left w:val="single" w:sz="8" w:color="017B52"/>
              <w:bottom w:val="single" w:sz="8" w:color="017B52"/>
              <w:right w:val="single" w:sz="8" w:color="017B52"/>
            </w:tcBorders>
          </w:tcPr>
          <w:p>
            <w:pPr>
              <w:spacing w:after="0"/>
              <w:rPr>
                <w:sz w:val="3"/>
                <w:szCs w:val="3"/>
                <w:color w:val="auto"/>
              </w:rPr>
            </w:pPr>
          </w:p>
        </w:tc>
        <w:tc>
          <w:tcPr>
            <w:tcW w:w="1420" w:type="dxa"/>
            <w:vAlign w:val="bottom"/>
            <w:tcBorders>
              <w:bottom w:val="single" w:sz="8" w:color="017B52"/>
            </w:tcBorders>
          </w:tcPr>
          <w:p>
            <w:pPr>
              <w:spacing w:after="0"/>
              <w:rPr>
                <w:sz w:val="3"/>
                <w:szCs w:val="3"/>
                <w:color w:val="auto"/>
              </w:rPr>
            </w:pPr>
          </w:p>
        </w:tc>
        <w:tc>
          <w:tcPr>
            <w:tcW w:w="1140" w:type="dxa"/>
            <w:vAlign w:val="bottom"/>
            <w:tcBorders>
              <w:bottom w:val="single" w:sz="8" w:color="017B52"/>
            </w:tcBorders>
          </w:tcPr>
          <w:p>
            <w:pPr>
              <w:spacing w:after="0"/>
              <w:rPr>
                <w:sz w:val="3"/>
                <w:szCs w:val="3"/>
                <w:color w:val="auto"/>
              </w:rPr>
            </w:pPr>
          </w:p>
        </w:tc>
        <w:tc>
          <w:tcPr>
            <w:tcW w:w="320" w:type="dxa"/>
            <w:vAlign w:val="bottom"/>
            <w:tcBorders>
              <w:bottom w:val="single" w:sz="8" w:color="017B52"/>
            </w:tcBorders>
          </w:tcPr>
          <w:p>
            <w:pPr>
              <w:spacing w:after="0"/>
              <w:rPr>
                <w:sz w:val="3"/>
                <w:szCs w:val="3"/>
                <w:color w:val="auto"/>
              </w:rPr>
            </w:pPr>
          </w:p>
        </w:tc>
        <w:tc>
          <w:tcPr>
            <w:tcW w:w="1460" w:type="dxa"/>
            <w:vAlign w:val="bottom"/>
            <w:tcBorders>
              <w:bottom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r>
      <w:tr>
        <w:trPr>
          <w:trHeight w:val="196"/>
        </w:trPr>
        <w:tc>
          <w:tcPr>
            <w:tcW w:w="3940" w:type="dxa"/>
            <w:vAlign w:val="bottom"/>
            <w:tcBorders>
              <w:left w:val="single" w:sz="8" w:color="017B52"/>
              <w:right w:val="single" w:sz="8" w:color="017B52"/>
            </w:tcBorders>
          </w:tcPr>
          <w:p>
            <w:pPr>
              <w:ind w:left="100"/>
              <w:spacing w:after="0"/>
              <w:rPr>
                <w:sz w:val="20"/>
                <w:szCs w:val="20"/>
                <w:color w:val="auto"/>
              </w:rPr>
            </w:pPr>
            <w:r>
              <w:rPr>
                <w:rFonts w:ascii="Arial" w:cs="Arial" w:eastAsia="Arial" w:hAnsi="Arial"/>
                <w:sz w:val="13"/>
                <w:szCs w:val="13"/>
                <w:color w:val="017B52"/>
              </w:rPr>
              <w:t>Did Not Disclose Demographic Background</w:t>
            </w: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80" w:type="dxa"/>
            <w:vAlign w:val="bottom"/>
            <w:gridSpan w:val="2"/>
          </w:tcPr>
          <w:p>
            <w:pPr>
              <w:jc w:val="right"/>
              <w:ind w:right="1368"/>
              <w:spacing w:after="0"/>
              <w:rPr>
                <w:sz w:val="20"/>
                <w:szCs w:val="20"/>
                <w:color w:val="auto"/>
              </w:rPr>
            </w:pPr>
            <w:r>
              <w:rPr>
                <w:rFonts w:ascii="Arial" w:cs="Arial" w:eastAsia="Arial" w:hAnsi="Arial"/>
                <w:sz w:val="13"/>
                <w:szCs w:val="13"/>
                <w:color w:val="auto"/>
              </w:rPr>
              <w:t>2</w:t>
            </w:r>
          </w:p>
        </w:tc>
        <w:tc>
          <w:tcPr>
            <w:tcW w:w="1460" w:type="dxa"/>
            <w:vAlign w:val="bottom"/>
            <w:tcBorders>
              <w:right w:val="single" w:sz="8" w:color="017B52"/>
            </w:tcBorders>
          </w:tcPr>
          <w:p>
            <w:pPr>
              <w:spacing w:after="0"/>
              <w:rPr>
                <w:sz w:val="17"/>
                <w:szCs w:val="17"/>
                <w:color w:val="auto"/>
              </w:rPr>
            </w:pPr>
          </w:p>
        </w:tc>
      </w:tr>
      <w:tr>
        <w:trPr>
          <w:trHeight w:val="41"/>
        </w:trPr>
        <w:tc>
          <w:tcPr>
            <w:tcW w:w="3940" w:type="dxa"/>
            <w:vAlign w:val="bottom"/>
            <w:tcBorders>
              <w:left w:val="single" w:sz="8" w:color="017B52"/>
              <w:bottom w:val="single" w:sz="8" w:color="017B52"/>
              <w:right w:val="single" w:sz="8" w:color="017B52"/>
            </w:tcBorders>
          </w:tcPr>
          <w:p>
            <w:pPr>
              <w:spacing w:after="0"/>
              <w:rPr>
                <w:sz w:val="3"/>
                <w:szCs w:val="3"/>
                <w:color w:val="auto"/>
              </w:rPr>
            </w:pPr>
          </w:p>
        </w:tc>
        <w:tc>
          <w:tcPr>
            <w:tcW w:w="1420" w:type="dxa"/>
            <w:vAlign w:val="bottom"/>
            <w:tcBorders>
              <w:bottom w:val="single" w:sz="8" w:color="017B52"/>
            </w:tcBorders>
          </w:tcPr>
          <w:p>
            <w:pPr>
              <w:spacing w:after="0"/>
              <w:rPr>
                <w:sz w:val="3"/>
                <w:szCs w:val="3"/>
                <w:color w:val="auto"/>
              </w:rPr>
            </w:pPr>
          </w:p>
        </w:tc>
        <w:tc>
          <w:tcPr>
            <w:tcW w:w="1140" w:type="dxa"/>
            <w:vAlign w:val="bottom"/>
            <w:tcBorders>
              <w:bottom w:val="single" w:sz="8" w:color="017B52"/>
            </w:tcBorders>
          </w:tcPr>
          <w:p>
            <w:pPr>
              <w:spacing w:after="0"/>
              <w:rPr>
                <w:sz w:val="3"/>
                <w:szCs w:val="3"/>
                <w:color w:val="auto"/>
              </w:rPr>
            </w:pPr>
          </w:p>
        </w:tc>
        <w:tc>
          <w:tcPr>
            <w:tcW w:w="320" w:type="dxa"/>
            <w:vAlign w:val="bottom"/>
            <w:tcBorders>
              <w:bottom w:val="single" w:sz="8" w:color="017B52"/>
            </w:tcBorders>
          </w:tcPr>
          <w:p>
            <w:pPr>
              <w:spacing w:after="0"/>
              <w:rPr>
                <w:sz w:val="3"/>
                <w:szCs w:val="3"/>
                <w:color w:val="auto"/>
              </w:rPr>
            </w:pPr>
          </w:p>
        </w:tc>
        <w:tc>
          <w:tcPr>
            <w:tcW w:w="1460" w:type="dxa"/>
            <w:vAlign w:val="bottom"/>
            <w:tcBorders>
              <w:bottom w:val="single" w:sz="8" w:color="017B52"/>
            </w:tcBorders>
          </w:tcPr>
          <w:p>
            <w:pPr>
              <w:spacing w:after="0"/>
              <w:rPr>
                <w:sz w:val="3"/>
                <w:szCs w:val="3"/>
                <w:color w:val="auto"/>
              </w:rPr>
            </w:pPr>
          </w:p>
        </w:tc>
        <w:tc>
          <w:tcPr>
            <w:tcW w:w="1460" w:type="dxa"/>
            <w:vAlign w:val="bottom"/>
            <w:tcBorders>
              <w:bottom w:val="single" w:sz="8" w:color="017B52"/>
              <w:right w:val="single" w:sz="8" w:color="017B52"/>
            </w:tcBorders>
          </w:tcPr>
          <w:p>
            <w:pPr>
              <w:spacing w:after="0"/>
              <w:rPr>
                <w:sz w:val="3"/>
                <w:szCs w:val="3"/>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315595</wp:posOffset>
            </wp:positionV>
            <wp:extent cx="3086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Our Board is committed to sound and effective corporate governance practices. The Board has documented those practices in our Corporate Governance Principles (the “Principles”). These Principles address director qualifications, director responsibilities, periodic performance evaluations, stock ownership guidelines and a variety of other corporate governance matters. The Principles also require the Board to have an Audit Committee, a Nominating and Corporate Governance Committee, and a Personnel and Compensation Committee. The Principles, along with the charters of each of these committees, are available for review on our website at www.ufpi.com under the tabs “Investors → Governance.”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Code of Business Conduct and Ethics and Code of Ethics for Senior Financial Officers</w:t>
      </w:r>
    </w:p>
    <w:p>
      <w:pPr>
        <w:spacing w:after="0" w:line="4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adopted a Code of Business Conduct and Ethics that applies to our employees, officers and directors. We also adopted a Code of Ethics for Senior Financial Officers. Each Code is posted on our website, and any changes or waiver to either code will be disclosed on our website at www.ufpi.com under the tabs “Investors → Governance.” Any changes to or waivers of either Code for our chief executive officer or senior financial officers will be disclosed on our website.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Affirmative Determination Regarding Director Independence and Other Matters</w:t>
      </w:r>
    </w:p>
    <w:p>
      <w:pPr>
        <w:spacing w:after="0" w:line="45" w:lineRule="exact"/>
        <w:rPr>
          <w:sz w:val="20"/>
          <w:szCs w:val="20"/>
          <w:color w:val="auto"/>
        </w:rPr>
      </w:pPr>
    </w:p>
    <w:p>
      <w:pPr>
        <w:jc w:val="both"/>
        <w:ind w:right="480"/>
        <w:spacing w:after="0" w:line="254" w:lineRule="auto"/>
        <w:rPr>
          <w:sz w:val="20"/>
          <w:szCs w:val="20"/>
          <w:color w:val="auto"/>
        </w:rPr>
      </w:pPr>
      <w:r>
        <w:rPr>
          <w:rFonts w:ascii="Arial" w:cs="Arial" w:eastAsia="Arial" w:hAnsi="Arial"/>
          <w:sz w:val="16"/>
          <w:szCs w:val="16"/>
          <w:color w:val="auto"/>
        </w:rPr>
        <w:t>As required by the Principles, our Board has determined each of the following directors to be an “independent director” under the Nasdaq Stock Market Rules (the “Nasdaq Standard”): Joan A. Budden, William G. Currie, Benjamin J. McLean, Bruce A. Merino, Thomas W. Rhodes, Mary Tuuk Kuras, Brian C. Walker and Michael G. Wooldridge. There are no family relationships between or among the directors and our executive officers.</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To assist our Board, the Nominating and Corporate Governance Committee reviewed the applicable legal standards for director and board committee independence, as well as the criteria applied to determine “audit committee financial expert” status and the answers to annual questionnaires completed by each of the directors. Based on this review, the Nominating and Corporate Governance Committee delivered a report to the full Board, and the Board made its independence and "audit committee financial expert" determinations based upon that report and each member's review of the information made available to the Nominating and Corporate Governance Committee.</w:t>
      </w:r>
    </w:p>
    <w:p>
      <w:pPr>
        <w:spacing w:after="0" w:line="200" w:lineRule="exact"/>
        <w:rPr>
          <w:sz w:val="20"/>
          <w:szCs w:val="20"/>
          <w:color w:val="auto"/>
        </w:rPr>
      </w:pPr>
    </w:p>
    <w:p>
      <w:pPr>
        <w:spacing w:after="0" w:line="304"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15</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61722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35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effectiveness of each of our directors is monitored through the use of an annual assessment. Our Board does not have a mandatory retirement age policy, although the Nominating and Corporate Governance Committee considers a director’s tenure with the Company as a factor in nominating incumbent directors. We believe that the ability of a Board member to add value to our Company is not dependent on age; rather, it is based on the director's actual performance. As a result, we expect that some directors will not serve until a typical retirement age, while others may serve longer. In addition, we evaluate the tenure of individual directors as well as the collective tenure of our Board. In connection with this evaluation, we strive to maintain a balanced composition of relatively new and meaningful tenured directors with the objective of fostering the input of new ideas and thoughts while maintaining a strong historical perspective and deep understanding of our business and the markets we serve.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Committees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AUDIT COMMITTEE</w:t>
      </w:r>
    </w:p>
    <w:p>
      <w:pPr>
        <w:spacing w:after="0" w:line="19"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Each member of the Audit Committee is "independent" under the Nasdaq Standard as well as the applicable rules of the SEC for audit committee membership. Our Board has determined that Mr. McLean, Ms. Tuuk Kuras and Mr. Walker each qualifies as an "audit committee financial expert," as defined in Item 407(d) of Regulation S-K of the Securities Exchange Act of 1934 (the "Exchange Act"). The full responsibilities of the Audit Committee are set forth in the Audit Committee Charter. In general, the primary purpose of this Committee is to assist the Board in overseeing management’s conduct of our financial reporting processes and system of internal controls regarding finance, accounting, legal compliance and ethics. During 2022, the Audit Committee held five meetings.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PERSONNEL AND COMPENSATION COMMITTEE</w:t>
      </w:r>
    </w:p>
    <w:p>
      <w:pPr>
        <w:spacing w:after="0" w:line="3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Each member of this Committee is “independent” under the Nasdaq Standard. The Committee is responsible for reviewing and recommending to the Board the timing and amount of compensation for key employees, including salaries, bonuses and other benefits, as well as director compensation. This Committee is also responsible for reviewing succession planning for our Chief Executive Officer, as well as administering our equity-based incentive plans and reviewing compensation plans and awards as they relate to key employees. The Committee has the authority to retain consultants and third-party advisors for assistance. The Committee has the ultimate authority to determine matters of executive compensation; however, it may rely upon recommendations of our Chief Executive Officer for matters of compensation for officers and Named Executives (as defined in the Summary Compensation Table), other than the Chief Executive Officer. Additional information on the Committee’s role and practices involving executive compensation is described in the Compensation Discussion and Analysis in this proxy statement. The full responsibilities of the Personnel and Compensation Committee are set forth in its Charter. During 2022, the Personnel and Compensation Committee held five meetings.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NOMINATING AND CORPORATE GOVERNANCE COMMITTEE</w:t>
      </w:r>
    </w:p>
    <w:p>
      <w:pPr>
        <w:spacing w:after="0" w:line="3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Each member of the Nominating and Corporate Governance Committee is “independent” under the Nasdaq Standard. The Nominating and Corporate Governance Committee considers and proposes director nominees to the Board for election by our shareholders, selects candidates to fill Board vacancies as they may occur, makes recommendations to the Board regarding Board committee memberships, generally monitors our corporate governance system, and performs any other functions or duties deemed appropriate by our Board. The full responsibilities of the Nominating and Corporate Governance Committee are set forth in its Charter. The Committee and Board adopted a Policy Governing Director Qualifications and Nominations, the details of which are described below, which include certain minimum qualification and board composition standards. The Committee is responsible for succession planning for Board members. In view of the age and tenure of certain members of the Board, the Committee has been active in seeking and evaluating qualified candidates, consistent with the Policy Governing Director Qualifications and Nominations, to serve on the Board. This Committee is also responsible for overseeing the Company’s strategies and policies with respect to various environmental, social and governance (“ESG”) matters, including oversight of the Company’s related disclosure obligations. During 2022, the Nominating and Corporate Governance Committee held two meetings.</w:t>
      </w:r>
    </w:p>
    <w:p>
      <w:pPr>
        <w:spacing w:after="0" w:line="315"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16</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00"/>
          </w:cols>
          <w:pgMar w:left="1080" w:top="229" w:right="111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Shareholder Nominees for Director</w:t>
      </w:r>
    </w:p>
    <w:p>
      <w:pPr>
        <w:spacing w:after="0" w:line="4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Articles of Incorporation contain certain procedural requirements applicable to shareholder nominations of directors. A shareholder who wishes to nominate a person to serve as a director must provide us with written notice. The notice must include: (1) the name and address of both the shareholder who intends to make the nomination and the person or persons nominated; (2) a representation that the shareholder is a current holder of record, will continue to hold those shares through the date of the meeting, and intends to appear in person or by proxy at the meeting; (3) a description of all arrangements between the shareholder and each nominee; (4) the information regarding each nominee as would be required to be included in a proxy statement filed under Regulation 14A of the Exchange Act had the nominee been nominated by the Board; and (5) the consent of each nominee to serve as a director. The nominee's written consent to the nomination and sufficient background information regarding the candidate must be included to enable the Nominating and Corporate Governance Committee to make proper assessments as to his or her qualifications. Nominations must be addressed to the Chairman of the Nominating and Corporate Governance Committee at our headquarters and must be received no later than 30 days prior to our Annual Meeting of Shareholders, or within seven days after the date our notice of the Annual Meeting of Shareholders is given to our shareholders if our notice of that meeting is given less than 40 days prior to the date of that meeting.</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Director Qualifications and Requirements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Our Board has adopted a Policy Governing Director Qualifications and Nominations (the “Policy”). The substance of the</w:t>
      </w:r>
    </w:p>
    <w:p>
      <w:pPr>
        <w:spacing w:after="0" w:line="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Policy is incorporated into the Nominating and Corporate Governance Committee’s Charter, which is available on our website. The Policy sets forth the general process the Committee is required to follow for identifying and evaluating director nominees, including nominees recommended by shareholders. Under the Policy, the Committee has the authority to seek director candidates from any source deemed appropriate, including recommendations of candidates submitted by shareholders. The Policy requires the Committee to evaluate all proposed director candidates in the same manner, irrespective of the source of the initial recommendation of the proposed candidate.</w:t>
      </w:r>
    </w:p>
    <w:p>
      <w:pPr>
        <w:spacing w:after="0" w:line="13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Policy includes minimum qualification standards, Board composition standards and additional qualification criteria. With respect to the former, the Policy requires that the Committee be satisfied that each recommended nominee meets the following qualifications:</w:t>
      </w:r>
    </w:p>
    <w:p>
      <w:pPr>
        <w:spacing w:after="0" w:line="102" w:lineRule="exact"/>
        <w:rPr>
          <w:sz w:val="20"/>
          <w:szCs w:val="20"/>
          <w:color w:val="auto"/>
        </w:rPr>
      </w:pPr>
    </w:p>
    <w:p>
      <w:pPr>
        <w:ind w:left="580" w:hanging="293"/>
        <w:spacing w:after="0"/>
        <w:tabs>
          <w:tab w:leader="none" w:pos="580" w:val="left"/>
        </w:tabs>
        <w:numPr>
          <w:ilvl w:val="0"/>
          <w:numId w:val="36"/>
        </w:numPr>
        <w:rPr>
          <w:rFonts w:ascii="Arial" w:cs="Arial" w:eastAsia="Arial" w:hAnsi="Arial"/>
          <w:sz w:val="16"/>
          <w:szCs w:val="16"/>
          <w:color w:val="017B52"/>
        </w:rPr>
      </w:pPr>
      <w:r>
        <w:rPr>
          <w:rFonts w:ascii="Arial" w:cs="Arial" w:eastAsia="Arial" w:hAnsi="Arial"/>
          <w:sz w:val="16"/>
          <w:szCs w:val="16"/>
          <w:i w:val="1"/>
          <w:iCs w:val="1"/>
          <w:color w:val="auto"/>
        </w:rPr>
        <w:t>Integrity</w:t>
      </w:r>
      <w:r>
        <w:rPr>
          <w:rFonts w:ascii="Arial" w:cs="Arial" w:eastAsia="Arial" w:hAnsi="Arial"/>
          <w:sz w:val="16"/>
          <w:szCs w:val="16"/>
          <w:color w:val="auto"/>
        </w:rPr>
        <w:t>. The candidate must exhibit high standards of personal integrity and ethical character.</w:t>
      </w:r>
    </w:p>
    <w:p>
      <w:pPr>
        <w:spacing w:after="0" w:line="113" w:lineRule="exact"/>
        <w:rPr>
          <w:rFonts w:ascii="Arial" w:cs="Arial" w:eastAsia="Arial" w:hAnsi="Arial"/>
          <w:sz w:val="16"/>
          <w:szCs w:val="16"/>
          <w:color w:val="017B52"/>
        </w:rPr>
      </w:pPr>
    </w:p>
    <w:p>
      <w:pPr>
        <w:ind w:left="580" w:right="40" w:hanging="293"/>
        <w:spacing w:after="0" w:line="286" w:lineRule="auto"/>
        <w:tabs>
          <w:tab w:leader="none" w:pos="580" w:val="left"/>
        </w:tabs>
        <w:numPr>
          <w:ilvl w:val="0"/>
          <w:numId w:val="36"/>
        </w:numPr>
        <w:rPr>
          <w:rFonts w:ascii="Arial" w:cs="Arial" w:eastAsia="Arial" w:hAnsi="Arial"/>
          <w:sz w:val="16"/>
          <w:szCs w:val="16"/>
          <w:color w:val="017B52"/>
        </w:rPr>
      </w:pPr>
      <w:r>
        <w:rPr>
          <w:rFonts w:ascii="Arial" w:cs="Arial" w:eastAsia="Arial" w:hAnsi="Arial"/>
          <w:sz w:val="16"/>
          <w:szCs w:val="16"/>
          <w:i w:val="1"/>
          <w:iCs w:val="1"/>
          <w:color w:val="auto"/>
        </w:rPr>
        <w:t>Absence of Conflicts of Interest</w:t>
      </w:r>
      <w:r>
        <w:rPr>
          <w:rFonts w:ascii="Arial" w:cs="Arial" w:eastAsia="Arial" w:hAnsi="Arial"/>
          <w:sz w:val="16"/>
          <w:szCs w:val="16"/>
          <w:color w:val="auto"/>
        </w:rPr>
        <w:t>. The candidate must not have any interests that would impair his or her ability to (i)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judgment, or (ii) otherwise discharge the fiduciary duties owed as a director to our Company and its shareholders.</w:t>
      </w:r>
    </w:p>
    <w:p>
      <w:pPr>
        <w:spacing w:after="0" w:line="47" w:lineRule="exact"/>
        <w:rPr>
          <w:rFonts w:ascii="Arial" w:cs="Arial" w:eastAsia="Arial" w:hAnsi="Arial"/>
          <w:sz w:val="16"/>
          <w:szCs w:val="16"/>
          <w:color w:val="017B52"/>
        </w:rPr>
      </w:pPr>
    </w:p>
    <w:p>
      <w:pPr>
        <w:ind w:left="580" w:right="220" w:hanging="293"/>
        <w:spacing w:after="0" w:line="286" w:lineRule="auto"/>
        <w:tabs>
          <w:tab w:leader="none" w:pos="580" w:val="left"/>
        </w:tabs>
        <w:numPr>
          <w:ilvl w:val="0"/>
          <w:numId w:val="36"/>
        </w:numPr>
        <w:rPr>
          <w:rFonts w:ascii="Arial" w:cs="Arial" w:eastAsia="Arial" w:hAnsi="Arial"/>
          <w:sz w:val="16"/>
          <w:szCs w:val="16"/>
          <w:color w:val="017B52"/>
        </w:rPr>
      </w:pPr>
      <w:r>
        <w:rPr>
          <w:rFonts w:ascii="Arial" w:cs="Arial" w:eastAsia="Arial" w:hAnsi="Arial"/>
          <w:sz w:val="16"/>
          <w:szCs w:val="16"/>
          <w:i w:val="1"/>
          <w:iCs w:val="1"/>
          <w:color w:val="auto"/>
        </w:rPr>
        <w:t>Fair and Equal Representation</w:t>
      </w:r>
      <w:r>
        <w:rPr>
          <w:rFonts w:ascii="Arial" w:cs="Arial" w:eastAsia="Arial" w:hAnsi="Arial"/>
          <w:sz w:val="16"/>
          <w:szCs w:val="16"/>
          <w:color w:val="auto"/>
        </w:rPr>
        <w:t>. The candidate must be able to represent fairly and equally all shareholders of our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favoring or advancing any particular shareholder or other constituency.</w:t>
      </w:r>
    </w:p>
    <w:p>
      <w:pPr>
        <w:spacing w:after="0" w:line="47" w:lineRule="exact"/>
        <w:rPr>
          <w:rFonts w:ascii="Arial" w:cs="Arial" w:eastAsia="Arial" w:hAnsi="Arial"/>
          <w:sz w:val="16"/>
          <w:szCs w:val="16"/>
          <w:color w:val="017B52"/>
        </w:rPr>
      </w:pPr>
    </w:p>
    <w:p>
      <w:pPr>
        <w:ind w:left="580" w:right="360" w:hanging="293"/>
        <w:spacing w:after="0" w:line="286" w:lineRule="auto"/>
        <w:tabs>
          <w:tab w:leader="none" w:pos="580" w:val="left"/>
        </w:tabs>
        <w:numPr>
          <w:ilvl w:val="0"/>
          <w:numId w:val="36"/>
        </w:numPr>
        <w:rPr>
          <w:rFonts w:ascii="Arial" w:cs="Arial" w:eastAsia="Arial" w:hAnsi="Arial"/>
          <w:sz w:val="16"/>
          <w:szCs w:val="16"/>
          <w:color w:val="017B52"/>
        </w:rPr>
      </w:pPr>
      <w:r>
        <w:rPr>
          <w:rFonts w:ascii="Arial" w:cs="Arial" w:eastAsia="Arial" w:hAnsi="Arial"/>
          <w:sz w:val="16"/>
          <w:szCs w:val="16"/>
          <w:i w:val="1"/>
          <w:iCs w:val="1"/>
          <w:color w:val="auto"/>
        </w:rPr>
        <w:t>Experience</w:t>
      </w:r>
      <w:r>
        <w:rPr>
          <w:rFonts w:ascii="Arial" w:cs="Arial" w:eastAsia="Arial" w:hAnsi="Arial"/>
          <w:sz w:val="16"/>
          <w:szCs w:val="16"/>
          <w:color w:val="auto"/>
        </w:rPr>
        <w:t>. The candidate must have experience at a strategic, policy-making, or senior management level in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non-profit or academic organization of high standing.</w:t>
      </w:r>
    </w:p>
    <w:p>
      <w:pPr>
        <w:spacing w:after="0" w:line="47" w:lineRule="exact"/>
        <w:rPr>
          <w:rFonts w:ascii="Arial" w:cs="Arial" w:eastAsia="Arial" w:hAnsi="Arial"/>
          <w:sz w:val="16"/>
          <w:szCs w:val="16"/>
          <w:color w:val="017B52"/>
        </w:rPr>
      </w:pPr>
    </w:p>
    <w:p>
      <w:pPr>
        <w:ind w:left="580" w:hanging="293"/>
        <w:spacing w:after="0" w:line="266" w:lineRule="auto"/>
        <w:tabs>
          <w:tab w:leader="none" w:pos="580" w:val="left"/>
        </w:tabs>
        <w:numPr>
          <w:ilvl w:val="0"/>
          <w:numId w:val="36"/>
        </w:numPr>
        <w:rPr>
          <w:rFonts w:ascii="Arial" w:cs="Arial" w:eastAsia="Arial" w:hAnsi="Arial"/>
          <w:sz w:val="16"/>
          <w:szCs w:val="16"/>
          <w:color w:val="017B52"/>
        </w:rPr>
      </w:pPr>
      <w:r>
        <w:rPr>
          <w:rFonts w:ascii="Arial" w:cs="Arial" w:eastAsia="Arial" w:hAnsi="Arial"/>
          <w:sz w:val="16"/>
          <w:szCs w:val="16"/>
          <w:i w:val="1"/>
          <w:iCs w:val="1"/>
          <w:color w:val="auto"/>
        </w:rPr>
        <w:t>Business Understanding</w:t>
      </w:r>
      <w:r>
        <w:rPr>
          <w:rFonts w:ascii="Arial" w:cs="Arial" w:eastAsia="Arial" w:hAnsi="Arial"/>
          <w:sz w:val="16"/>
          <w:szCs w:val="16"/>
          <w:color w:val="auto"/>
        </w:rPr>
        <w:t>. The candidate must have a general appreciation regarding major issues facing public companies of a</w:t>
      </w:r>
      <w:r>
        <w:rPr>
          <w:rFonts w:ascii="Arial" w:cs="Arial" w:eastAsia="Arial" w:hAnsi="Arial"/>
          <w:sz w:val="16"/>
          <w:szCs w:val="16"/>
          <w:i w:val="1"/>
          <w:iCs w:val="1"/>
          <w:color w:val="auto"/>
        </w:rPr>
        <w:t xml:space="preserve"> </w:t>
      </w:r>
      <w:r>
        <w:rPr>
          <w:rFonts w:ascii="Arial" w:cs="Arial" w:eastAsia="Arial" w:hAnsi="Arial"/>
          <w:sz w:val="16"/>
          <w:szCs w:val="16"/>
          <w:color w:val="auto"/>
        </w:rPr>
        <w:t>size and operational scope similar to the Company, including contemporary governance concerns, regulatory obligations of a public issuer, strategic business planning and basic concepts of corporate finance.</w:t>
      </w:r>
    </w:p>
    <w:p>
      <w:pPr>
        <w:spacing w:after="0" w:line="63" w:lineRule="exact"/>
        <w:rPr>
          <w:rFonts w:ascii="Arial" w:cs="Arial" w:eastAsia="Arial" w:hAnsi="Arial"/>
          <w:sz w:val="16"/>
          <w:szCs w:val="16"/>
          <w:color w:val="017B52"/>
        </w:rPr>
      </w:pPr>
    </w:p>
    <w:p>
      <w:pPr>
        <w:ind w:left="580" w:hanging="293"/>
        <w:spacing w:after="0"/>
        <w:tabs>
          <w:tab w:leader="none" w:pos="580" w:val="left"/>
        </w:tabs>
        <w:numPr>
          <w:ilvl w:val="0"/>
          <w:numId w:val="36"/>
        </w:numPr>
        <w:rPr>
          <w:rFonts w:ascii="Arial" w:cs="Arial" w:eastAsia="Arial" w:hAnsi="Arial"/>
          <w:sz w:val="16"/>
          <w:szCs w:val="16"/>
          <w:color w:val="017B52"/>
        </w:rPr>
      </w:pPr>
      <w:r>
        <w:rPr>
          <w:rFonts w:ascii="Arial" w:cs="Arial" w:eastAsia="Arial" w:hAnsi="Arial"/>
          <w:sz w:val="16"/>
          <w:szCs w:val="16"/>
          <w:i w:val="1"/>
          <w:iCs w:val="1"/>
          <w:color w:val="auto"/>
        </w:rPr>
        <w:t>Available Time</w:t>
      </w:r>
      <w:r>
        <w:rPr>
          <w:rFonts w:ascii="Arial" w:cs="Arial" w:eastAsia="Arial" w:hAnsi="Arial"/>
          <w:sz w:val="16"/>
          <w:szCs w:val="16"/>
          <w:color w:val="auto"/>
        </w:rPr>
        <w:t>. The candidate must have, and be prepared to devote, adequate time to our Board and its committees.</w:t>
      </w:r>
    </w:p>
    <w:p>
      <w:pPr>
        <w:spacing w:after="0" w:line="167"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In addition to these minimum qualification criteria, the Committee is required to recommend Board candidates to help ensure that a majority of our Board is independent, that each of the Audit, Personnel and Compensation, and Nominating and Corporate</w:t>
      </w:r>
    </w:p>
    <w:p>
      <w:pPr>
        <w:spacing w:after="0" w:line="287"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17</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61722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660"/>
          </w:cols>
          <w:pgMar w:left="1080" w:top="229" w:right="11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35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Governance Committees is comprised entirely of independent directors, and that at least one member of the Audit Committee qualifies as an Audit Committee financial expert. The Committee and our Board also consider diversity in their identification of director candidates. Diversity in business and professional experience, education and background benefits our Company by increasing the range of skills and perspectives available to our Board. Director nominees are selected without regard to race, gender, sexual orientation, religious belief or national origin. Our Board believes that adherence to these principles will provide an environment and practices that will yield the best return for our shareholders.</w:t>
      </w:r>
    </w:p>
    <w:p>
      <w:pPr>
        <w:spacing w:after="0" w:line="128"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The Committee has, to date, not paid any third-party fees to assist in identifying and evaluating nominees. As of the date of this Proxy Statement, the Committee has not received any recommended nominations from any of our shareholders in connection with our 2023 Annual Meeting of Shareholders.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Majority Voting</w:t>
      </w:r>
    </w:p>
    <w:p>
      <w:pPr>
        <w:spacing w:after="0" w:line="4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Our Bylaws provide for majority voting in connection with the election of directors. This majority voting standard is described above in the “Election of Directors” section.</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Shareholder Communications with the Board; Investor Communications</w:t>
      </w:r>
    </w:p>
    <w:p>
      <w:pPr>
        <w:spacing w:after="0" w:line="4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Generally, shareholders who have questions or concerns regarding our Company should contact Investor Relations at 800-598-9663. However, any shareholder who wishes to address questions regarding the business or affairs of our Company directly with the Board or any individual director should direct his or her questions in writing to our Secretary at 2801 East Beltline NE, Grand Rapids, MI 49525. Our Secretary has been directed to promptly forward all communications to the full Board or the specific director indicated in the letter. Our Board and management team are committed to actively engaging with our shareholders. During 2022, members of our executive team attended several investor conferences at which they met with existing shareholders as well as prospective shareholders. In addition, we regularly meet with investors, prospective investors and investment analysts in person or via video conferencing. These meetings fostered constructive dialogue and provided our executives with a better and deeper understanding of our shareholders’ priorities.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Meeting Attendance</w:t>
      </w:r>
    </w:p>
    <w:p>
      <w:pPr>
        <w:spacing w:after="0" w:line="4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Each director is expected to make a reasonable effort to attend all meetings of our Board, applicable committee meetings and the Annual Meeting. All of our directors in office at that time attended our 2022 Annual Meeting. During the last fiscal year, there were four regular meetings of the Board, and the Board acted by unanimous written consent on six occasions. Each of our directors attended at least 80% of the Board and committee meetings for which they were eligible to attend. During fiscal 2022, the independent members of our Board met in executive session, without the presence of management, on two occasions.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Anti-Hedging and Anti-Pledging Policy</w:t>
      </w:r>
    </w:p>
    <w:p>
      <w:pPr>
        <w:spacing w:after="0" w:line="4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Board has adopted an anti-hedging and anti-pledging policy, restricting our executive officers and directors from engaging in hedging or pledging transactions without prior approval. Our policy defines a hedging transaction as any transaction or series of related transactions that are designed to hedge or offset any decrease in the market value of our stock or otherwise eliminate risk related to the ownership of our stock. Pledging transactions are defined to mean any pledge or grant of a security interest in the Company’s securities as collateral for a loan or other obligations to a third-party. Our executive officers and directors are prohibited from engaging in any such transactions without prior approval from the Nominating and Corporate Governance Committee. As of the date of this proxy statement, no such approvals have been made.</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Leadership Structure and the Board's Role in Risk Oversight</w:t>
      </w:r>
    </w:p>
    <w:p>
      <w:pPr>
        <w:spacing w:after="0" w:line="4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believe the roles of chief executive officer and chairman of the board should normally be separated. However, to facilitate succession planning, on February 2, 2023 our Board of Directors combined the roles by appointing Matthew J. Missad as Chairman of the Board. Our Board also appointed Thomas W. Rhodes as Lead Independent Director. Mr. Rhodes will chair sessions of Board meetings that are exclusively attended by independent directors. He will communicate actions requested by the independent directors and serve as a liaison between the independent directors and our Chief Executive Officer. We believe that this structure provides the most effective governance of the Board at this time.</w:t>
      </w:r>
    </w:p>
    <w:p>
      <w:pPr>
        <w:spacing w:after="0" w:line="314"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18</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61722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00"/>
          </w:cols>
          <w:pgMar w:left="1080" w:top="229" w:right="111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35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Board of Directors, through its three committees, has an advisory role in risk oversight for our Company. Company management maintains primary responsibility for the risk management of our Company. The current trends toward increased regulation, litigation and political volatility make it extremely difficult to predict the type and magnitude of risks facing our Company. Despite this unpredictability, our Board relies on the representations of management, periodic reports from our independent auditors, internal audit services performed by a third party, our Company's systems of internal controls, our Company's insurance advisors and the historically conservative practices of our Company to provide comfort as to our Company's ability to manage its risks. Management's discussion of current risk factors is set forth in our Company's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Succession Planning</w:t>
      </w:r>
    </w:p>
    <w:p>
      <w:pPr>
        <w:spacing w:after="0" w:line="4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 addition to the regular and ongoing review and evaluation of succession planning for the members of the Company's Board of Directors by the Board's Nominating and Corporate Governance Committee, the Board and management regularly review and monitor succession planning for our current leadership positions. During a majority of the regularly scheduled Board meetings during 2022, the Board reviewed and discussed our CEO succession plan for the Chief Executive Officer position, including succession plans in the event of an emergency situation. As part of that planning process, Mr. Missad, our current CEO, was appointed to the position of the Chairman of the Board of Directors of the Company. In addition to succession planning for the CEO position, the Board regularly reviews and evaluates succession planning for each segment lead as well as the Company's other functional leadership positions.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ESG Overview</w:t>
      </w:r>
    </w:p>
    <w:p>
      <w:pPr>
        <w:spacing w:after="0" w:line="45"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 xml:space="preserve">Our environmental, social and governance (ESG) initiatives are driven by our business philosophy: </w:t>
      </w:r>
      <w:r>
        <w:rPr>
          <w:rFonts w:ascii="Arial" w:cs="Arial" w:eastAsia="Arial" w:hAnsi="Arial"/>
          <w:sz w:val="16"/>
          <w:szCs w:val="16"/>
          <w:i w:val="1"/>
          <w:iCs w:val="1"/>
          <w:color w:val="auto"/>
        </w:rPr>
        <w:t>Take care of your customers, your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employees, and your communities, and good financial results will follow. </w:t>
      </w:r>
      <w:r>
        <w:rPr>
          <w:rFonts w:ascii="Arial" w:cs="Arial" w:eastAsia="Arial" w:hAnsi="Arial"/>
          <w:sz w:val="16"/>
          <w:szCs w:val="16"/>
          <w:color w:val="auto"/>
        </w:rPr>
        <w:t>Our goals are to be recognized by our customers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supplier; by our employees as a safe and inclusive workforce; and by the communities in which we operate as a good corporate citizen.</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ENVIRONMENTAL</w:t>
      </w:r>
    </w:p>
    <w:p>
      <w:pPr>
        <w:spacing w:after="0" w:line="30"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Our manufacturing operations have a long history of environmental stewardship through efficiency and energy savings, waste management and responsible product sourcing. We quantify our Scope 1 and Scope 2 greenhouse gas (GHG) emissions and are committed to taking the following steps:</w:t>
      </w:r>
    </w:p>
    <w:p>
      <w:pPr>
        <w:spacing w:after="0" w:line="117" w:lineRule="exact"/>
        <w:rPr>
          <w:sz w:val="20"/>
          <w:szCs w:val="20"/>
          <w:color w:val="auto"/>
        </w:rPr>
      </w:pPr>
    </w:p>
    <w:p>
      <w:pPr>
        <w:ind w:left="580" w:hanging="293"/>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Disclosing our Scope 1 and Scope 2 GHG emissions in 2023; and</w:t>
      </w:r>
    </w:p>
    <w:p>
      <w:pPr>
        <w:spacing w:after="0" w:line="113" w:lineRule="exact"/>
        <w:rPr>
          <w:rFonts w:ascii="Arial" w:cs="Arial" w:eastAsia="Arial" w:hAnsi="Arial"/>
          <w:sz w:val="16"/>
          <w:szCs w:val="16"/>
          <w:color w:val="auto"/>
        </w:rPr>
      </w:pPr>
    </w:p>
    <w:p>
      <w:pPr>
        <w:ind w:left="580" w:right="1380" w:hanging="293"/>
        <w:spacing w:after="0" w:line="286"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Assessing our climate risks and opportunities in alignment with the Task Force on Climate-Related Financial Disclosures (TCFD).</w:t>
      </w:r>
    </w:p>
    <w:p>
      <w:pPr>
        <w:spacing w:after="0" w:line="10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Continuous improvement is a key focus in our operations planning, and, through it, we aim to reduce energy usage as a percentage of unit sales. Our energy management team, which is responsible for continuously seeking opportunities to make our operations more efficient and sustainable, has made good strides by upgrading electrical equipment, including motors, lighting and panels.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prevent waste through our unique sourcing model, which promotes the use of as much of a canted log as possible in our products. Parts are utilized by one or more of our three business segments, depending on the appearance, the engineering characteristics and the utility for particular applications. What can’t be used in our products is converted to material that is recycled or upcycled by other industries. For example, our wood dust is recycled in quantities exceeding 25,000 tons per year.</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Our primary raw material, wood, is renewable, sustainable, recyclable, durable and biodegradable.</w:t>
      </w:r>
    </w:p>
    <w:p>
      <w:pPr>
        <w:spacing w:after="0" w:line="167"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Using Life Cycle Assessment and a Total Embodied Energy perspective, wood is a clear winner over competing building materials. Lumber stores its carbon away in structures for decades. As wood is our primary source of raw material, our Company has a vested interest in the health and growth of the planet’s forests. Because of its superior strength-to-weight ratio, wood requires much less energy to manufacture and deliver to job sites compared to other building materials like steel, concrete or plastic. According to The State of America’s Forests report, less than two percent of the standing tree inventory in the U.S. is harvested each year.</w:t>
      </w:r>
    </w:p>
    <w:p>
      <w:pPr>
        <w:spacing w:after="0" w:line="311"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19</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680"/>
          </w:cols>
          <w:pgMar w:left="1080" w:top="229" w:right="11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35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In Canada, where much of our lumber is sourced, less than one percent of the managed forest is harvested annually. In both countries, responsible forest management has resulted in more than 50 consecutive years of forest growth that exceeds annual harvest. As a result of these trends, forests in both countries have sequestered high levels of carbon in recent decades.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We source lumber from around the world and review vendors’ operations through regular dialogue and on-site visits. Our mill vendors have a practice of planting more trees each year than they harvest, which is important to us and drives our sourcing decisions. Our expectations of suppliers, with whom we have many long-standing relationships, extend to their practices in waste management, health and safety, labor rights, conflict minerals, and human rights. We operate with the highest standard of integrity and sustainability and expect our suppliers to do the same. We have certified chain-of-custody credentials for both Sustainable Forestry Initiative (SFI) and Forest Stewardship Council (FSC).</w:t>
      </w:r>
    </w:p>
    <w:p>
      <w:pPr>
        <w:spacing w:after="0" w:line="12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In our composite decking operations, 100% of the wood component is post-industrial recycled material and 90% of the plastic comes from post-consumer and post-industrial recycled sources.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SOCIAL</w:t>
      </w:r>
    </w:p>
    <w:p>
      <w:pPr>
        <w:spacing w:after="0" w:line="3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are driven by operational excellence throughout the enterprise and by cultivating a unique culture that provides significant opportunity for professional and personal growth. In managing our human capital, we have focused our efforts on employee health and safety, equal opportunity for all, pay equity, and learning and development.</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We invest in industry-leading training and programs. We perform annual audits and regular, continuous oversight of Regional Safety Directors to ensure that our team members maintain their health and return safely home after their workday. Every employee is responsible for following Company health and safety guidelines to ensure their own safety and reduce the risk of injury for all in the workplace. Our accident frequency rates are low when compared with others in our industry. Additionally, we provide safety training to our employees and contractors in several formats to accommodate diverse needs.</w:t>
      </w:r>
    </w:p>
    <w:p>
      <w:pPr>
        <w:spacing w:after="0" w:line="126"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We value equal opportunity for all as an integral part of our Company and continually broaden our recruiting efforts to connect with diverse groups who may be unaware of our Company or the opportunities we offer. To that end, we engage with local organizations who help low-income candidates connect with employment opportunities. Our recruitment team ensures that external job postings are available to all, and we specifically drive them to low-income areas and unemployment agencies. We look forward to advancing our strategy to increase the diversity of our workforce, while continuing to be a destination workplace for people who seek challenge, opportunity and success.</w:t>
      </w:r>
    </w:p>
    <w:p>
      <w:pPr>
        <w:spacing w:after="0" w:line="12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offer a variety of opportunities that promote ongoing learning and development for our employees. Among them are advanced education courses through the UFP Business School, which focus on technical skills and programming across business functions. Most of our courses offer remote accessibility to provide flexibility. As we continue to grow, our goal is to expand the pool of job candidates, provide excellent training and education, and encourage equal growth opportunities within our Company. By expanding our outreach and providing additional education we aim to add more diverse team members who have the desire and ability to be promoted to leadership positions.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GOVERNANCE</w:t>
      </w:r>
    </w:p>
    <w:p>
      <w:pPr>
        <w:spacing w:after="0" w:line="2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Matters of sustainability, health and safety, employee welfare, supply chain management and community engagement are managed by our executive team, with oversight from our Nominating and Corporate Governances, and Personnel and Compensation Committees. We will share our ESG Report in March of 2023, via publication on our website in which we will detail our progress and our expectations going forward.</w:t>
      </w:r>
    </w:p>
    <w:p>
      <w:pPr>
        <w:spacing w:after="0" w:line="309"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20</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61722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332" w:lineRule="exact"/>
        <w:rPr>
          <w:sz w:val="20"/>
          <w:szCs w:val="20"/>
          <w:color w:val="auto"/>
        </w:rPr>
      </w:pPr>
    </w:p>
    <w:p>
      <w:pPr>
        <w:ind w:right="20"/>
        <w:spacing w:after="0" w:line="262" w:lineRule="auto"/>
        <w:rPr>
          <w:sz w:val="20"/>
          <w:szCs w:val="20"/>
          <w:color w:val="auto"/>
        </w:rPr>
      </w:pPr>
      <w:r>
        <w:rPr>
          <w:rFonts w:ascii="Arial" w:cs="Arial" w:eastAsia="Arial" w:hAnsi="Arial"/>
          <w:sz w:val="40"/>
          <w:szCs w:val="40"/>
          <w:b w:val="1"/>
          <w:bCs w:val="1"/>
          <w:color w:val="017B52"/>
        </w:rPr>
        <w:t>Ratification of Deloitte &amp; Touche LLP as Independent Registered Public Accounting Firm for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3086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Audit Committee selected Deloitte &amp; Touche LLP (“Deloitte”) as our independent registered public accounting firm for the fiscal year ending December 30, 2023 (“Fiscal 2023”). The services provided to our Company and our shareholders by Deloitte for fiscal years 2022 and 2021 are described below under the caption “Independent Registered Public Accounting Firm – Disclosure of Fees.”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are asking our shareholders to ratify the selection of Deloitte as our independent registered public accounting firm. Although ratification is not legally required, the Board is submitting the selection of Deloitte to our shareholders for ratification as a matter of good corporate governance. Representatives of Deloitte are expected to be present at our Annual Meeting to respond to appropriate questions and to make such statements as they may desire. The affirmative vote of the holders of a majority of the shares represented in person or by proxy and entitled to vote on this item will be required for ratification. Broker non-votes and abstentions will not be treated as votes cast on this proposal. Unless otherwise instructed by you, brokers, banks and other street name holders will have the discretionary authority to vote your shares on this matter.</w:t>
      </w:r>
    </w:p>
    <w:p>
      <w:pPr>
        <w:spacing w:after="0" w:line="127"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If our shareholders do not ratify the appointment, the appointment will be reconsidered by the Audit Committee and the Board. Even if the selection is ratified, the Audit Committee, at its discretion, may select a different independent registered public accounting firm at any time during the year if it determines that such a change would be in the best interest of our Company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172200" cy="4457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72200" cy="445770"/>
                    </a:xfrm>
                    <a:prstGeom prst="rect">
                      <a:avLst/>
                    </a:prstGeom>
                    <a:noFill/>
                  </pic:spPr>
                </pic:pic>
              </a:graphicData>
            </a:graphic>
          </wp:anchor>
        </w:drawing>
      </w:r>
    </w:p>
    <w:p>
      <w:pPr>
        <w:spacing w:after="0" w:line="291" w:lineRule="exact"/>
        <w:rPr>
          <w:sz w:val="20"/>
          <w:szCs w:val="20"/>
          <w:color w:val="auto"/>
        </w:rPr>
      </w:pPr>
    </w:p>
    <w:p>
      <w:pPr>
        <w:jc w:val="center"/>
        <w:spacing w:after="0" w:line="294" w:lineRule="auto"/>
        <w:rPr>
          <w:sz w:val="20"/>
          <w:szCs w:val="20"/>
          <w:color w:val="auto"/>
        </w:rPr>
      </w:pPr>
      <w:r>
        <w:rPr>
          <w:rFonts w:ascii="Arial" w:cs="Arial" w:eastAsia="Arial" w:hAnsi="Arial"/>
          <w:sz w:val="14"/>
          <w:szCs w:val="14"/>
          <w:b w:val="1"/>
          <w:bCs w:val="1"/>
          <w:color w:val="017B52"/>
        </w:rPr>
        <w:t>The Board of Directors recommends a vote “FOR” this proposal to ratify the appointment of Deloitte &amp; Touche LLP as the Company's independent registered public accounting firm for Fiscal 2023.</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Independent Registered Public Accounting Firm — Disclosure of Fees</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As explained above, Deloitte served as our independent registered public accounting firm for the fiscal years ended December 31, 2022 and December 25, 2021. The following table sets forth the fees we paid to Deloitte for those years, all of which were pre-approved by the Audit Committee.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80" w:type="dxa"/>
            <w:vAlign w:val="bottom"/>
            <w:tcBorders>
              <w:bottom w:val="single" w:sz="8" w:color="017B52"/>
            </w:tcBorders>
          </w:tcPr>
          <w:p>
            <w:pPr>
              <w:spacing w:after="0"/>
              <w:rPr>
                <w:sz w:val="13"/>
                <w:szCs w:val="13"/>
                <w:color w:val="auto"/>
              </w:rPr>
            </w:pPr>
          </w:p>
        </w:tc>
        <w:tc>
          <w:tcPr>
            <w:tcW w:w="2780" w:type="dxa"/>
            <w:vAlign w:val="bottom"/>
            <w:tcBorders>
              <w:bottom w:val="single" w:sz="8" w:color="017B52"/>
            </w:tcBorders>
          </w:tcPr>
          <w:p>
            <w:pPr>
              <w:spacing w:after="0"/>
              <w:rPr>
                <w:sz w:val="13"/>
                <w:szCs w:val="13"/>
                <w:color w:val="auto"/>
              </w:rPr>
            </w:pPr>
          </w:p>
        </w:tc>
        <w:tc>
          <w:tcPr>
            <w:tcW w:w="940" w:type="dxa"/>
            <w:vAlign w:val="bottom"/>
            <w:tcBorders>
              <w:bottom w:val="single" w:sz="8" w:color="017B52"/>
            </w:tcBorders>
          </w:tcPr>
          <w:p>
            <w:pPr>
              <w:jc w:val="right"/>
              <w:ind w:right="212"/>
              <w:spacing w:after="0"/>
              <w:rPr>
                <w:sz w:val="20"/>
                <w:szCs w:val="20"/>
                <w:color w:val="auto"/>
              </w:rPr>
            </w:pPr>
            <w:r>
              <w:rPr>
                <w:rFonts w:ascii="Arial" w:cs="Arial" w:eastAsia="Arial" w:hAnsi="Arial"/>
                <w:sz w:val="11"/>
                <w:szCs w:val="11"/>
                <w:b w:val="1"/>
                <w:bCs w:val="1"/>
                <w:color w:val="auto"/>
              </w:rPr>
              <w:t>2022</w:t>
            </w:r>
          </w:p>
        </w:tc>
        <w:tc>
          <w:tcPr>
            <w:tcW w:w="380" w:type="dxa"/>
            <w:vAlign w:val="bottom"/>
            <w:tcBorders>
              <w:bottom w:val="single" w:sz="8" w:color="017B52"/>
            </w:tcBorders>
          </w:tcPr>
          <w:p>
            <w:pPr>
              <w:spacing w:after="0"/>
              <w:rPr>
                <w:sz w:val="13"/>
                <w:szCs w:val="13"/>
                <w:color w:val="auto"/>
              </w:rPr>
            </w:pPr>
          </w:p>
        </w:tc>
        <w:tc>
          <w:tcPr>
            <w:tcW w:w="740" w:type="dxa"/>
            <w:vAlign w:val="bottom"/>
            <w:tcBorders>
              <w:bottom w:val="single" w:sz="8" w:color="017B52"/>
            </w:tcBorders>
          </w:tcPr>
          <w:p>
            <w:pPr>
              <w:jc w:val="right"/>
              <w:ind w:right="32"/>
              <w:spacing w:after="0"/>
              <w:rPr>
                <w:sz w:val="20"/>
                <w:szCs w:val="20"/>
                <w:color w:val="auto"/>
              </w:rPr>
            </w:pPr>
            <w:r>
              <w:rPr>
                <w:rFonts w:ascii="Arial" w:cs="Arial" w:eastAsia="Arial" w:hAnsi="Arial"/>
                <w:sz w:val="11"/>
                <w:szCs w:val="11"/>
                <w:b w:val="1"/>
                <w:bCs w:val="1"/>
                <w:color w:val="auto"/>
              </w:rPr>
              <w:t>2021</w:t>
            </w:r>
          </w:p>
        </w:tc>
      </w:tr>
      <w:tr>
        <w:trPr>
          <w:trHeight w:val="243"/>
        </w:trPr>
        <w:tc>
          <w:tcPr>
            <w:tcW w:w="4880" w:type="dxa"/>
            <w:vAlign w:val="bottom"/>
            <w:tcBorders>
              <w:bottom w:val="single" w:sz="8" w:color="017B52"/>
            </w:tcBorders>
          </w:tcPr>
          <w:p>
            <w:pPr>
              <w:spacing w:after="0" w:line="243" w:lineRule="exact"/>
              <w:rPr>
                <w:sz w:val="20"/>
                <w:szCs w:val="20"/>
                <w:color w:val="auto"/>
              </w:rPr>
            </w:pPr>
            <w:r>
              <w:rPr>
                <w:rFonts w:ascii="Arial" w:cs="Arial" w:eastAsia="Arial" w:hAnsi="Arial"/>
                <w:sz w:val="14"/>
                <w:szCs w:val="14"/>
                <w:color w:val="auto"/>
              </w:rPr>
              <w:t>Audit Fees</w:t>
            </w:r>
            <w:r>
              <w:rPr>
                <w:rFonts w:ascii="Arial" w:cs="Arial" w:eastAsia="Arial" w:hAnsi="Arial"/>
                <w:sz w:val="23"/>
                <w:szCs w:val="23"/>
                <w:color w:val="auto"/>
                <w:vertAlign w:val="superscript"/>
              </w:rPr>
              <w:t>(1)</w:t>
            </w:r>
          </w:p>
        </w:tc>
        <w:tc>
          <w:tcPr>
            <w:tcW w:w="278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17B52"/>
            </w:tcBorders>
          </w:tcPr>
          <w:p>
            <w:pPr>
              <w:jc w:val="right"/>
              <w:ind w:right="212"/>
              <w:spacing w:after="0"/>
              <w:rPr>
                <w:sz w:val="20"/>
                <w:szCs w:val="20"/>
                <w:color w:val="auto"/>
              </w:rPr>
            </w:pPr>
            <w:r>
              <w:rPr>
                <w:rFonts w:ascii="Arial" w:cs="Arial" w:eastAsia="Arial" w:hAnsi="Arial"/>
                <w:sz w:val="14"/>
                <w:szCs w:val="14"/>
                <w:color w:val="auto"/>
              </w:rPr>
              <w:t>1,682,122</w:t>
            </w:r>
          </w:p>
        </w:tc>
        <w:tc>
          <w:tcPr>
            <w:tcW w:w="38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17B52"/>
            </w:tcBorders>
          </w:tcPr>
          <w:p>
            <w:pPr>
              <w:jc w:val="right"/>
              <w:ind w:right="32"/>
              <w:spacing w:after="0"/>
              <w:rPr>
                <w:sz w:val="20"/>
                <w:szCs w:val="20"/>
                <w:color w:val="auto"/>
              </w:rPr>
            </w:pPr>
            <w:r>
              <w:rPr>
                <w:rFonts w:ascii="Arial" w:cs="Arial" w:eastAsia="Arial" w:hAnsi="Arial"/>
                <w:sz w:val="14"/>
                <w:szCs w:val="14"/>
                <w:color w:val="auto"/>
                <w:w w:val="99"/>
              </w:rPr>
              <w:t>1,235,984</w:t>
            </w:r>
          </w:p>
        </w:tc>
      </w:tr>
      <w:tr>
        <w:trPr>
          <w:trHeight w:val="205"/>
        </w:trPr>
        <w:tc>
          <w:tcPr>
            <w:tcW w:w="4880" w:type="dxa"/>
            <w:vAlign w:val="bottom"/>
            <w:tcBorders>
              <w:bottom w:val="single" w:sz="8" w:color="017B52"/>
            </w:tcBorders>
          </w:tcPr>
          <w:p>
            <w:pPr>
              <w:spacing w:after="0"/>
              <w:rPr>
                <w:sz w:val="20"/>
                <w:szCs w:val="20"/>
                <w:color w:val="auto"/>
              </w:rPr>
            </w:pPr>
            <w:r>
              <w:rPr>
                <w:rFonts w:ascii="Arial" w:cs="Arial" w:eastAsia="Arial" w:hAnsi="Arial"/>
                <w:sz w:val="14"/>
                <w:szCs w:val="14"/>
                <w:color w:val="auto"/>
              </w:rPr>
              <w:t>Tax Services (Time and Materials)</w:t>
            </w:r>
          </w:p>
        </w:tc>
        <w:tc>
          <w:tcPr>
            <w:tcW w:w="278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17B52"/>
            </w:tcBorders>
          </w:tcPr>
          <w:p>
            <w:pPr>
              <w:jc w:val="right"/>
              <w:ind w:right="212"/>
              <w:spacing w:after="0"/>
              <w:rPr>
                <w:sz w:val="20"/>
                <w:szCs w:val="20"/>
                <w:color w:val="auto"/>
              </w:rPr>
            </w:pPr>
            <w:r>
              <w:rPr>
                <w:rFonts w:ascii="Arial" w:cs="Arial" w:eastAsia="Arial" w:hAnsi="Arial"/>
                <w:sz w:val="14"/>
                <w:szCs w:val="14"/>
                <w:color w:val="auto"/>
              </w:rPr>
              <w:t>46,454</w:t>
            </w:r>
          </w:p>
        </w:tc>
        <w:tc>
          <w:tcPr>
            <w:tcW w:w="38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17B52"/>
            </w:tcBorders>
          </w:tcPr>
          <w:p>
            <w:pPr>
              <w:jc w:val="right"/>
              <w:ind w:right="32"/>
              <w:spacing w:after="0"/>
              <w:rPr>
                <w:sz w:val="20"/>
                <w:szCs w:val="20"/>
                <w:color w:val="auto"/>
              </w:rPr>
            </w:pPr>
            <w:r>
              <w:rPr>
                <w:rFonts w:ascii="Arial" w:cs="Arial" w:eastAsia="Arial" w:hAnsi="Arial"/>
                <w:sz w:val="14"/>
                <w:szCs w:val="14"/>
                <w:color w:val="auto"/>
              </w:rPr>
              <w:t>34,358</w:t>
            </w:r>
          </w:p>
        </w:tc>
      </w:tr>
      <w:tr>
        <w:trPr>
          <w:trHeight w:val="209"/>
        </w:trPr>
        <w:tc>
          <w:tcPr>
            <w:tcW w:w="4880" w:type="dxa"/>
            <w:vAlign w:val="bottom"/>
            <w:tcBorders>
              <w:bottom w:val="single" w:sz="8" w:color="017B52"/>
            </w:tcBorders>
          </w:tcPr>
          <w:p>
            <w:pPr>
              <w:spacing w:after="0"/>
              <w:rPr>
                <w:sz w:val="20"/>
                <w:szCs w:val="20"/>
                <w:color w:val="auto"/>
              </w:rPr>
            </w:pPr>
            <w:r>
              <w:rPr>
                <w:rFonts w:ascii="Arial" w:cs="Arial" w:eastAsia="Arial" w:hAnsi="Arial"/>
                <w:sz w:val="14"/>
                <w:szCs w:val="14"/>
                <w:color w:val="auto"/>
              </w:rPr>
              <w:t>Other Services</w:t>
            </w:r>
          </w:p>
        </w:tc>
        <w:tc>
          <w:tcPr>
            <w:tcW w:w="278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17B52"/>
            </w:tcBorders>
          </w:tcPr>
          <w:p>
            <w:pPr>
              <w:jc w:val="right"/>
              <w:ind w:right="212"/>
              <w:spacing w:after="0"/>
              <w:rPr>
                <w:sz w:val="20"/>
                <w:szCs w:val="20"/>
                <w:color w:val="auto"/>
              </w:rPr>
            </w:pPr>
            <w:r>
              <w:rPr>
                <w:rFonts w:ascii="Arial" w:cs="Arial" w:eastAsia="Arial" w:hAnsi="Arial"/>
                <w:sz w:val="14"/>
                <w:szCs w:val="14"/>
                <w:color w:val="auto"/>
              </w:rPr>
              <w:t>1,895</w:t>
            </w:r>
          </w:p>
        </w:tc>
        <w:tc>
          <w:tcPr>
            <w:tcW w:w="38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17B52"/>
            </w:tcBorders>
          </w:tcPr>
          <w:p>
            <w:pPr>
              <w:jc w:val="right"/>
              <w:ind w:right="32"/>
              <w:spacing w:after="0"/>
              <w:rPr>
                <w:sz w:val="20"/>
                <w:szCs w:val="20"/>
                <w:color w:val="auto"/>
              </w:rPr>
            </w:pPr>
            <w:r>
              <w:rPr>
                <w:rFonts w:ascii="Arial" w:cs="Arial" w:eastAsia="Arial" w:hAnsi="Arial"/>
                <w:sz w:val="14"/>
                <w:szCs w:val="14"/>
                <w:color w:val="auto"/>
              </w:rPr>
              <w:t>1,895</w:t>
            </w:r>
          </w:p>
        </w:tc>
      </w:tr>
      <w:tr>
        <w:trPr>
          <w:trHeight w:val="210"/>
        </w:trPr>
        <w:tc>
          <w:tcPr>
            <w:tcW w:w="4880" w:type="dxa"/>
            <w:vAlign w:val="bottom"/>
            <w:tcBorders>
              <w:bottom w:val="single" w:sz="8" w:color="017B52"/>
            </w:tcBorders>
          </w:tcPr>
          <w:p>
            <w:pPr>
              <w:spacing w:after="0"/>
              <w:rPr>
                <w:sz w:val="20"/>
                <w:szCs w:val="20"/>
                <w:color w:val="auto"/>
              </w:rPr>
            </w:pPr>
            <w:r>
              <w:rPr>
                <w:rFonts w:ascii="Arial" w:cs="Arial" w:eastAsia="Arial" w:hAnsi="Arial"/>
                <w:sz w:val="14"/>
                <w:szCs w:val="14"/>
                <w:color w:val="auto"/>
              </w:rPr>
              <w:t>Total</w:t>
            </w:r>
          </w:p>
        </w:tc>
        <w:tc>
          <w:tcPr>
            <w:tcW w:w="278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17B52"/>
            </w:tcBorders>
          </w:tcPr>
          <w:p>
            <w:pPr>
              <w:jc w:val="right"/>
              <w:ind w:right="212"/>
              <w:spacing w:after="0"/>
              <w:rPr>
                <w:sz w:val="20"/>
                <w:szCs w:val="20"/>
                <w:color w:val="auto"/>
              </w:rPr>
            </w:pPr>
            <w:r>
              <w:rPr>
                <w:rFonts w:ascii="Arial" w:cs="Arial" w:eastAsia="Arial" w:hAnsi="Arial"/>
                <w:sz w:val="14"/>
                <w:szCs w:val="14"/>
                <w:color w:val="auto"/>
              </w:rPr>
              <w:t>1,730,471</w:t>
            </w:r>
          </w:p>
        </w:tc>
        <w:tc>
          <w:tcPr>
            <w:tcW w:w="38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17B52"/>
            </w:tcBorders>
          </w:tcPr>
          <w:p>
            <w:pPr>
              <w:jc w:val="right"/>
              <w:ind w:right="32"/>
              <w:spacing w:after="0"/>
              <w:rPr>
                <w:sz w:val="20"/>
                <w:szCs w:val="20"/>
                <w:color w:val="auto"/>
              </w:rPr>
            </w:pPr>
            <w:r>
              <w:rPr>
                <w:rFonts w:ascii="Arial" w:cs="Arial" w:eastAsia="Arial" w:hAnsi="Arial"/>
                <w:sz w:val="14"/>
                <w:szCs w:val="14"/>
                <w:color w:val="auto"/>
                <w:w w:val="99"/>
              </w:rPr>
              <w:t>1,272,237</w:t>
            </w:r>
          </w:p>
        </w:tc>
      </w:tr>
    </w:tbl>
    <w:p>
      <w:pPr>
        <w:spacing w:after="0" w:line="90" w:lineRule="exact"/>
        <w:rPr>
          <w:sz w:val="20"/>
          <w:szCs w:val="20"/>
          <w:color w:val="auto"/>
        </w:rPr>
      </w:pPr>
    </w:p>
    <w:p>
      <w:pPr>
        <w:ind w:left="260" w:hanging="256"/>
        <w:spacing w:after="0"/>
        <w:tabs>
          <w:tab w:leader="none" w:pos="260" w:val="left"/>
        </w:tabs>
        <w:numPr>
          <w:ilvl w:val="0"/>
          <w:numId w:val="38"/>
        </w:numPr>
        <w:rPr>
          <w:rFonts w:ascii="Arial" w:cs="Arial" w:eastAsia="Arial" w:hAnsi="Arial"/>
          <w:sz w:val="13"/>
          <w:szCs w:val="13"/>
          <w:color w:val="58595B"/>
        </w:rPr>
      </w:pPr>
      <w:r>
        <w:rPr>
          <w:rFonts w:ascii="Arial" w:cs="Arial" w:eastAsia="Arial" w:hAnsi="Arial"/>
          <w:sz w:val="13"/>
          <w:szCs w:val="13"/>
          <w:color w:val="58595B"/>
        </w:rPr>
        <w:t>Includes annual audit, quarterly reviews, and audit of internal controls.</w:t>
      </w:r>
    </w:p>
    <w:p>
      <w:pPr>
        <w:spacing w:after="0" w:line="337"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21</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61722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Audit Committee Pre-Approval Policy.</w:t>
      </w:r>
    </w:p>
    <w:p>
      <w:pPr>
        <w:spacing w:after="0" w:line="4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Audit Committee has established a pre-approval policy and procedures for audit, audit-related and tax services that can be performed by our independent registered public accounting firm. The policy sets out the specific services that must be pre-approved by the Audit Committee and places limitations on the scope of these services while ensuring that the independence of the auditors to audit our financial statements is not impaired. The policy prohibits us from retaining Deloitte for services which are proscribed by rules of the SEC. In addition, the policy requires disclosure of non-audit services performed by our auditors. The pre-approval policy does not include a delegation of the Audit Committee's responsibilities and authority under the pre-approval policy. All services provided by Deloitte under the captions “Audit Fees,” “Tax Services (Time and Materials)” and “Other Services” were approved by the Audit Committee under this policy.</w:t>
      </w: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84455</wp:posOffset>
            </wp:positionV>
            <wp:extent cx="3086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March 1, 2023, the Audit Committee submitted to the Board of Directors the following report:</w:t>
      </w:r>
    </w:p>
    <w:p>
      <w:pPr>
        <w:spacing w:after="0" w:line="167"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Committee has reviewed and discussed with management our Company's audited financial statements as of and for the year ended December 31, 2022.</w:t>
      </w:r>
    </w:p>
    <w:p>
      <w:pPr>
        <w:spacing w:after="0" w:line="10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 xml:space="preserve">The Committee has discussed with our independent auditors the matters covered by Public Company Accounting Oversight Board (“PCAOB”) standards, AU Section 380 </w:t>
      </w:r>
      <w:r>
        <w:rPr>
          <w:rFonts w:ascii="Arial" w:cs="Arial" w:eastAsia="Arial" w:hAnsi="Arial"/>
          <w:sz w:val="16"/>
          <w:szCs w:val="16"/>
          <w:i w:val="1"/>
          <w:iCs w:val="1"/>
          <w:color w:val="auto"/>
        </w:rPr>
        <w:t>Communication with Audit Committees.</w:t>
      </w:r>
    </w:p>
    <w:p>
      <w:pPr>
        <w:spacing w:after="0" w:line="102"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The Committee has received from Deloitte the written disclosures and letter required by the applicable requirements of the PCAOB regarding Deloitte's communications with the Audit Committee concerning independence, has discussed with Deloitte their independence, and has satisfied itself as to Deloitte's independence.</w:t>
      </w:r>
    </w:p>
    <w:p>
      <w:pPr>
        <w:spacing w:after="0" w:line="117"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Based on the reviews and discussions referred to above, the Committee recommended to the Board of Directors that the audited financial statements referred to above be included in our Company's Annual Report on Form 10-K for the year ended December 31, 2022.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Brian C. Walker, 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Benjamin J. McLean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Mary Tuuk Kuras</w:t>
      </w:r>
    </w:p>
    <w:p>
      <w:pPr>
        <w:spacing w:after="0" w:line="15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report of the Audit Committee shall not be deemed to be soliciting material filed or by reference in any general statement incorporating by reference this proxy statement into any filing under the Securities Act of 1933 or under the Securities Exchange Act of 1934.</w:t>
      </w:r>
    </w:p>
    <w:p>
      <w:pPr>
        <w:spacing w:after="0" w:line="302"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22</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680"/>
          </w:cols>
          <w:pgMar w:left="1080" w:top="229" w:right="11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332" w:lineRule="exact"/>
        <w:rPr>
          <w:sz w:val="20"/>
          <w:szCs w:val="20"/>
          <w:color w:val="auto"/>
        </w:rPr>
      </w:pPr>
    </w:p>
    <w:p>
      <w:pPr>
        <w:ind w:right="1780"/>
        <w:spacing w:after="0" w:line="284" w:lineRule="auto"/>
        <w:rPr>
          <w:sz w:val="20"/>
          <w:szCs w:val="20"/>
          <w:color w:val="auto"/>
        </w:rPr>
      </w:pPr>
      <w:r>
        <w:rPr>
          <w:rFonts w:ascii="Arial" w:cs="Arial" w:eastAsia="Arial" w:hAnsi="Arial"/>
          <w:sz w:val="40"/>
          <w:szCs w:val="40"/>
          <w:b w:val="1"/>
          <w:bCs w:val="1"/>
          <w:color w:val="017B52"/>
        </w:rPr>
        <w:t>Advisory (Non-Binding)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3086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Consistent with our Board's recommendation, as approved by our shareholders, and as required under the Securities Exchange Act, we allow our shareholders the opportunity to vote, on an advisory and annual basis, on the compensation paid to our Named Executives. Because your vote is advisory, it will not be binding on our Board. However, our Board will review the voting results and take them into consideration when making future decisions regarding executive compensation.</w:t>
      </w:r>
    </w:p>
    <w:p>
      <w:pPr>
        <w:spacing w:after="0" w:line="12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Company has had a long-standing tradition of delivering results to our shareholders. Because the compensation of our executives has been closely linked to Company performance, our executive compensation programs have played a major role in our ability to drive strong financial results and attract and retain a highly experienced, successful team to manage our Company.</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compensation programs are substantially tied to our key business objectives and the success of our shareholders. If the value we deliver to our shareholders declines, so does the compensation we pay to our executives. We closely monitor the compensation programs and pay levels of executives of companies of similar size and complexity, with the objective that our compensation programs are within a range of market practices and remain competitive.</w:t>
      </w:r>
    </w:p>
    <w:p>
      <w:pPr>
        <w:spacing w:after="0" w:line="12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believe our executive compensation programs are effective and structured in a manner that (a) is consistent with our compensation philosophy and objectives (as described in our Compensation Discussion and Analysis below), (b) promotes our business objectives, and (c) supports our culture and traditions that have existed for 68 years.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advisory vote on executive compensation was conducted at our Annual Meeting of Shareholders in 2022, based on the disclosure of our executive compensation in the proxy statement for that meeting. Approximately 97% of the shares voted at that meeting approved of the compensation paid to our Named Executives. The Board considered the results of this vote as highly supportive of the Company's compensation policies and programs. Nonetheless, as described in more detail below in our Compensation Discussion and Analysis, the Personnel and Compensation Committee recommended and the Board approved modifications to our executive compensation program in an effort to continue to improve its effectiveness.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Accordingly, our Board of Directors recommends that you vote in favor of the following resolution:</w:t>
      </w:r>
    </w:p>
    <w:p>
      <w:pPr>
        <w:spacing w:after="0" w:line="167"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including the Compensation Discussion and Analysis, the compensation tables, narrative disclosure, and related material disclosed in the Company’s proxy statement for its 2023 Annual Meeting of Shareholders,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172200" cy="3429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72200" cy="342900"/>
                    </a:xfrm>
                    <a:prstGeom prst="rect">
                      <a:avLst/>
                    </a:prstGeom>
                    <a:noFill/>
                  </pic:spPr>
                </pic:pic>
              </a:graphicData>
            </a:graphic>
          </wp:anchor>
        </w:drawing>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17B52"/>
        </w:rPr>
        <w:t>The Board of Directors recommends a vote “FOR” this proposal.</w:t>
      </w:r>
    </w:p>
    <w:p>
      <w:pPr>
        <w:spacing w:after="0" w:line="200" w:lineRule="exact"/>
        <w:rPr>
          <w:sz w:val="20"/>
          <w:szCs w:val="20"/>
          <w:color w:val="auto"/>
        </w:rPr>
      </w:pPr>
    </w:p>
    <w:p>
      <w:pPr>
        <w:spacing w:after="0" w:line="332"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23</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332" w:lineRule="exact"/>
        <w:rPr>
          <w:sz w:val="20"/>
          <w:szCs w:val="20"/>
          <w:color w:val="auto"/>
        </w:rPr>
      </w:pPr>
    </w:p>
    <w:p>
      <w:pPr>
        <w:ind w:right="760"/>
        <w:spacing w:after="0" w:line="298" w:lineRule="auto"/>
        <w:rPr>
          <w:sz w:val="20"/>
          <w:szCs w:val="20"/>
          <w:color w:val="auto"/>
        </w:rPr>
      </w:pPr>
      <w:r>
        <w:rPr>
          <w:rFonts w:ascii="Arial" w:cs="Arial" w:eastAsia="Arial" w:hAnsi="Arial"/>
          <w:sz w:val="39"/>
          <w:szCs w:val="39"/>
          <w:b w:val="1"/>
          <w:bCs w:val="1"/>
          <w:color w:val="017B52"/>
        </w:rPr>
        <w:t>Advisory Vote on the Frequency of Shareholder Votes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-41910</wp:posOffset>
            </wp:positionV>
            <wp:extent cx="3086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This year we are offering our shareholders the opportunity to vote on how often the Board should ask our shareholders to provide an advisory vote on executive compensation. The Board believes that because our current executive incentive targets are established annually, an annual vote on executive compensation is most appropriate. You may choose to vote in any one of four manners on the proxy. You may indicate that you prefer this vote every one, two or three years or you may abstain. If no choice is specified, the shares represented by your proxy will be voted in favor of management’s recommendation that the vote be conducted every year. The shareholder vote on this issue is advisory. Because it is not binding upon us, the Personnel and Compensation Committee and our Board of Directors may decide that it is in the best interests of our shareholders and our Company to hold an advisory vote on executive compensation more or less frequently than the option approved by our shareholders. However, the Committee and the Board will consider the outcome of the vote when making future decisions on the frequency for which shareholder advisory votes are solicited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95250</wp:posOffset>
            </wp:positionV>
            <wp:extent cx="6172200" cy="3429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72200" cy="342900"/>
                    </a:xfrm>
                    <a:prstGeom prst="rect">
                      <a:avLst/>
                    </a:prstGeom>
                    <a:noFill/>
                  </pic:spPr>
                </pic:pic>
              </a:graphicData>
            </a:graphic>
          </wp:anchor>
        </w:drawing>
      </w:r>
    </w:p>
    <w:p>
      <w:pPr>
        <w:spacing w:after="0" w:line="30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17B52"/>
        </w:rPr>
        <w:t>The Board of Directors recommends that you vote for the proposal to have an advisory vote on executive compensation each year.</w:t>
      </w:r>
    </w:p>
    <w:p>
      <w:pPr>
        <w:spacing w:after="0" w:line="200" w:lineRule="exact"/>
        <w:rPr>
          <w:sz w:val="20"/>
          <w:szCs w:val="20"/>
          <w:color w:val="auto"/>
        </w:rPr>
      </w:pPr>
    </w:p>
    <w:p>
      <w:pPr>
        <w:spacing w:after="0" w:line="332"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24</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Securities Ownership of Management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238760</wp:posOffset>
            </wp:positionV>
            <wp:extent cx="3086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The following table contains information with respect to ownership of our common stock by each director, each nominee for election as director, each Named Executive in the tables under the caption “Executive Compensation” and all executive officers and directors as a group. The information in this table was furnished by our officers, directors, and nominees for election of directors, and represents our understanding of circumstances in existence as of March 1,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Borders>
              <w:bottom w:val="single" w:sz="8" w:color="017B52"/>
            </w:tcBorders>
          </w:tcPr>
          <w:p>
            <w:pPr>
              <w:ind w:left="100"/>
              <w:spacing w:after="0"/>
              <w:rPr>
                <w:sz w:val="20"/>
                <w:szCs w:val="20"/>
                <w:color w:val="auto"/>
              </w:rPr>
            </w:pPr>
            <w:r>
              <w:rPr>
                <w:rFonts w:ascii="Arial" w:cs="Arial" w:eastAsia="Arial" w:hAnsi="Arial"/>
                <w:sz w:val="11"/>
                <w:szCs w:val="11"/>
                <w:b w:val="1"/>
                <w:bCs w:val="1"/>
                <w:color w:val="auto"/>
              </w:rPr>
              <w:t>NAME OF BENEFICIAL OWNER</w:t>
            </w:r>
          </w:p>
        </w:tc>
        <w:tc>
          <w:tcPr>
            <w:tcW w:w="3400" w:type="dxa"/>
            <w:vAlign w:val="bottom"/>
            <w:tcBorders>
              <w:bottom w:val="single" w:sz="8" w:color="017B52"/>
            </w:tcBorders>
          </w:tcPr>
          <w:p>
            <w:pPr>
              <w:ind w:left="260"/>
              <w:spacing w:after="0"/>
              <w:rPr>
                <w:sz w:val="20"/>
                <w:szCs w:val="20"/>
                <w:color w:val="auto"/>
              </w:rPr>
            </w:pPr>
            <w:r>
              <w:rPr>
                <w:rFonts w:ascii="Arial" w:cs="Arial" w:eastAsia="Arial" w:hAnsi="Arial"/>
                <w:sz w:val="11"/>
                <w:szCs w:val="11"/>
                <w:b w:val="1"/>
                <w:bCs w:val="1"/>
                <w:color w:val="auto"/>
              </w:rPr>
              <w:t>AMOUNT AND NATURE OF BENEFICIAL OWNERSHIP</w:t>
            </w:r>
            <w:r>
              <w:rPr>
                <w:rFonts w:ascii="Arial" w:cs="Arial" w:eastAsia="Arial" w:hAnsi="Arial"/>
                <w:sz w:val="17"/>
                <w:szCs w:val="17"/>
                <w:b w:val="1"/>
                <w:bCs w:val="1"/>
                <w:color w:val="auto"/>
                <w:vertAlign w:val="superscript"/>
              </w:rPr>
              <w:t>(1)</w:t>
            </w:r>
          </w:p>
        </w:tc>
        <w:tc>
          <w:tcPr>
            <w:tcW w:w="2900" w:type="dxa"/>
            <w:vAlign w:val="bottom"/>
            <w:tcBorders>
              <w:bottom w:val="single" w:sz="8" w:color="017B52"/>
            </w:tcBorders>
          </w:tcPr>
          <w:p>
            <w:pPr>
              <w:ind w:left="900"/>
              <w:spacing w:after="0"/>
              <w:rPr>
                <w:sz w:val="20"/>
                <w:szCs w:val="20"/>
                <w:color w:val="auto"/>
              </w:rPr>
            </w:pPr>
            <w:r>
              <w:rPr>
                <w:rFonts w:ascii="Arial" w:cs="Arial" w:eastAsia="Arial" w:hAnsi="Arial"/>
                <w:sz w:val="11"/>
                <w:szCs w:val="11"/>
                <w:b w:val="1"/>
                <w:bCs w:val="1"/>
                <w:color w:val="auto"/>
              </w:rPr>
              <w:t>PERCENT OF CLASS</w:t>
            </w:r>
          </w:p>
        </w:tc>
        <w:tc>
          <w:tcPr>
            <w:tcW w:w="0" w:type="dxa"/>
            <w:vAlign w:val="bottom"/>
          </w:tcPr>
          <w:p>
            <w:pPr>
              <w:spacing w:after="0"/>
              <w:rPr>
                <w:sz w:val="1"/>
                <w:szCs w:val="1"/>
                <w:color w:val="auto"/>
              </w:rPr>
            </w:pPr>
          </w:p>
        </w:tc>
      </w:tr>
      <w:tr>
        <w:trPr>
          <w:trHeight w:val="344"/>
        </w:trPr>
        <w:tc>
          <w:tcPr>
            <w:tcW w:w="3420" w:type="dxa"/>
            <w:vAlign w:val="bottom"/>
            <w:tcBorders>
              <w:bottom w:val="single" w:sz="8" w:color="017B52"/>
              <w:right w:val="single" w:sz="8" w:color="017B52"/>
            </w:tcBorders>
          </w:tcPr>
          <w:p>
            <w:pPr>
              <w:ind w:left="100"/>
              <w:spacing w:after="0"/>
              <w:rPr>
                <w:sz w:val="20"/>
                <w:szCs w:val="20"/>
                <w:color w:val="auto"/>
              </w:rPr>
            </w:pPr>
            <w:r>
              <w:rPr>
                <w:rFonts w:ascii="Arial" w:cs="Arial" w:eastAsia="Arial" w:hAnsi="Arial"/>
                <w:sz w:val="14"/>
                <w:szCs w:val="14"/>
                <w:b w:val="1"/>
                <w:bCs w:val="1"/>
                <w:color w:val="017B52"/>
              </w:rPr>
              <w:t>Matthew J. Missad</w:t>
            </w:r>
          </w:p>
        </w:tc>
        <w:tc>
          <w:tcPr>
            <w:tcW w:w="3400" w:type="dxa"/>
            <w:vAlign w:val="bottom"/>
            <w:tcBorders>
              <w:bottom w:val="single" w:sz="8" w:color="017B52"/>
              <w:right w:val="single" w:sz="8" w:color="017B52"/>
            </w:tcBorders>
          </w:tcPr>
          <w:p>
            <w:pPr>
              <w:jc w:val="center"/>
              <w:spacing w:after="0"/>
              <w:rPr>
                <w:sz w:val="20"/>
                <w:szCs w:val="20"/>
                <w:color w:val="auto"/>
              </w:rPr>
            </w:pPr>
            <w:r>
              <w:rPr>
                <w:rFonts w:ascii="Arial" w:cs="Arial" w:eastAsia="Arial" w:hAnsi="Arial"/>
                <w:sz w:val="14"/>
                <w:szCs w:val="14"/>
                <w:color w:val="auto"/>
                <w:w w:val="95"/>
              </w:rPr>
              <w:t>545,460</w:t>
            </w:r>
            <w:r>
              <w:rPr>
                <w:rFonts w:ascii="Arial" w:cs="Arial" w:eastAsia="Arial" w:hAnsi="Arial"/>
                <w:sz w:val="23"/>
                <w:szCs w:val="23"/>
                <w:color w:val="auto"/>
                <w:w w:val="95"/>
                <w:vertAlign w:val="superscript"/>
              </w:rPr>
              <w:t>(2)</w:t>
            </w:r>
          </w:p>
        </w:tc>
        <w:tc>
          <w:tcPr>
            <w:tcW w:w="290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4"/>
        </w:trPr>
        <w:tc>
          <w:tcPr>
            <w:tcW w:w="3420" w:type="dxa"/>
            <w:vAlign w:val="bottom"/>
            <w:tcBorders>
              <w:bottom w:val="single" w:sz="8" w:color="017B52"/>
              <w:right w:val="single" w:sz="8" w:color="017B52"/>
            </w:tcBorders>
          </w:tcPr>
          <w:p>
            <w:pPr>
              <w:ind w:left="100"/>
              <w:spacing w:after="0"/>
              <w:rPr>
                <w:sz w:val="20"/>
                <w:szCs w:val="20"/>
                <w:color w:val="auto"/>
              </w:rPr>
            </w:pPr>
            <w:r>
              <w:rPr>
                <w:rFonts w:ascii="Arial" w:cs="Arial" w:eastAsia="Arial" w:hAnsi="Arial"/>
                <w:sz w:val="14"/>
                <w:szCs w:val="14"/>
                <w:b w:val="1"/>
                <w:bCs w:val="1"/>
                <w:color w:val="017B52"/>
              </w:rPr>
              <w:t>Patrick M. Webster</w:t>
            </w:r>
          </w:p>
        </w:tc>
        <w:tc>
          <w:tcPr>
            <w:tcW w:w="3400" w:type="dxa"/>
            <w:vAlign w:val="bottom"/>
            <w:tcBorders>
              <w:bottom w:val="single" w:sz="8" w:color="017B52"/>
              <w:right w:val="single" w:sz="8" w:color="017B52"/>
            </w:tcBorders>
          </w:tcPr>
          <w:p>
            <w:pPr>
              <w:jc w:val="center"/>
              <w:spacing w:after="0"/>
              <w:rPr>
                <w:sz w:val="20"/>
                <w:szCs w:val="20"/>
                <w:color w:val="auto"/>
              </w:rPr>
            </w:pPr>
            <w:r>
              <w:rPr>
                <w:rFonts w:ascii="Arial" w:cs="Arial" w:eastAsia="Arial" w:hAnsi="Arial"/>
                <w:sz w:val="14"/>
                <w:szCs w:val="14"/>
                <w:color w:val="auto"/>
                <w:w w:val="95"/>
              </w:rPr>
              <w:t>419,788</w:t>
            </w:r>
            <w:r>
              <w:rPr>
                <w:rFonts w:ascii="Arial" w:cs="Arial" w:eastAsia="Arial" w:hAnsi="Arial"/>
                <w:sz w:val="23"/>
                <w:szCs w:val="23"/>
                <w:color w:val="auto"/>
                <w:w w:val="95"/>
                <w:vertAlign w:val="superscript"/>
              </w:rPr>
              <w:t>(2)</w:t>
            </w:r>
          </w:p>
        </w:tc>
        <w:tc>
          <w:tcPr>
            <w:tcW w:w="290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5"/>
        </w:trPr>
        <w:tc>
          <w:tcPr>
            <w:tcW w:w="3420" w:type="dxa"/>
            <w:vAlign w:val="bottom"/>
            <w:tcBorders>
              <w:bottom w:val="single" w:sz="8" w:color="017B52"/>
              <w:right w:val="single" w:sz="8" w:color="017B52"/>
            </w:tcBorders>
          </w:tcPr>
          <w:p>
            <w:pPr>
              <w:ind w:left="100"/>
              <w:spacing w:after="0"/>
              <w:rPr>
                <w:sz w:val="20"/>
                <w:szCs w:val="20"/>
                <w:color w:val="auto"/>
              </w:rPr>
            </w:pPr>
            <w:r>
              <w:rPr>
                <w:rFonts w:ascii="Arial" w:cs="Arial" w:eastAsia="Arial" w:hAnsi="Arial"/>
                <w:sz w:val="14"/>
                <w:szCs w:val="14"/>
                <w:b w:val="1"/>
                <w:bCs w:val="1"/>
                <w:color w:val="017B52"/>
              </w:rPr>
              <w:t>Michael R. Cole</w:t>
            </w:r>
          </w:p>
        </w:tc>
        <w:tc>
          <w:tcPr>
            <w:tcW w:w="3400" w:type="dxa"/>
            <w:vAlign w:val="bottom"/>
            <w:tcBorders>
              <w:bottom w:val="single" w:sz="8" w:color="017B52"/>
              <w:right w:val="single" w:sz="8" w:color="017B52"/>
            </w:tcBorders>
          </w:tcPr>
          <w:p>
            <w:pPr>
              <w:jc w:val="center"/>
              <w:spacing w:after="0"/>
              <w:rPr>
                <w:sz w:val="20"/>
                <w:szCs w:val="20"/>
                <w:color w:val="auto"/>
              </w:rPr>
            </w:pPr>
            <w:r>
              <w:rPr>
                <w:rFonts w:ascii="Arial" w:cs="Arial" w:eastAsia="Arial" w:hAnsi="Arial"/>
                <w:sz w:val="14"/>
                <w:szCs w:val="14"/>
                <w:color w:val="auto"/>
                <w:w w:val="95"/>
              </w:rPr>
              <w:t>271,310</w:t>
            </w:r>
            <w:r>
              <w:rPr>
                <w:rFonts w:ascii="Arial" w:cs="Arial" w:eastAsia="Arial" w:hAnsi="Arial"/>
                <w:sz w:val="23"/>
                <w:szCs w:val="23"/>
                <w:color w:val="auto"/>
                <w:w w:val="95"/>
                <w:vertAlign w:val="superscript"/>
              </w:rPr>
              <w:t>(2)</w:t>
            </w:r>
          </w:p>
        </w:tc>
        <w:tc>
          <w:tcPr>
            <w:tcW w:w="290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4"/>
        </w:trPr>
        <w:tc>
          <w:tcPr>
            <w:tcW w:w="3420" w:type="dxa"/>
            <w:vAlign w:val="bottom"/>
            <w:tcBorders>
              <w:bottom w:val="single" w:sz="8" w:color="017B52"/>
              <w:right w:val="single" w:sz="8" w:color="017B52"/>
            </w:tcBorders>
          </w:tcPr>
          <w:p>
            <w:pPr>
              <w:ind w:left="100"/>
              <w:spacing w:after="0"/>
              <w:rPr>
                <w:sz w:val="20"/>
                <w:szCs w:val="20"/>
                <w:color w:val="auto"/>
              </w:rPr>
            </w:pPr>
            <w:r>
              <w:rPr>
                <w:rFonts w:ascii="Arial" w:cs="Arial" w:eastAsia="Arial" w:hAnsi="Arial"/>
                <w:sz w:val="14"/>
                <w:szCs w:val="14"/>
                <w:b w:val="1"/>
                <w:bCs w:val="1"/>
                <w:color w:val="017B52"/>
              </w:rPr>
              <w:t>Patrick M. Benton</w:t>
            </w:r>
          </w:p>
        </w:tc>
        <w:tc>
          <w:tcPr>
            <w:tcW w:w="3400" w:type="dxa"/>
            <w:vAlign w:val="bottom"/>
            <w:tcBorders>
              <w:bottom w:val="single" w:sz="8" w:color="017B52"/>
              <w:right w:val="single" w:sz="8" w:color="017B52"/>
            </w:tcBorders>
          </w:tcPr>
          <w:p>
            <w:pPr>
              <w:jc w:val="center"/>
              <w:spacing w:after="0"/>
              <w:rPr>
                <w:sz w:val="20"/>
                <w:szCs w:val="20"/>
                <w:color w:val="auto"/>
              </w:rPr>
            </w:pPr>
            <w:r>
              <w:rPr>
                <w:rFonts w:ascii="Arial" w:cs="Arial" w:eastAsia="Arial" w:hAnsi="Arial"/>
                <w:sz w:val="14"/>
                <w:szCs w:val="14"/>
                <w:color w:val="auto"/>
                <w:w w:val="95"/>
              </w:rPr>
              <w:t>223,262</w:t>
            </w:r>
            <w:r>
              <w:rPr>
                <w:rFonts w:ascii="Arial" w:cs="Arial" w:eastAsia="Arial" w:hAnsi="Arial"/>
                <w:sz w:val="23"/>
                <w:szCs w:val="23"/>
                <w:color w:val="auto"/>
                <w:w w:val="95"/>
                <w:vertAlign w:val="superscript"/>
              </w:rPr>
              <w:t>(2)</w:t>
            </w:r>
          </w:p>
        </w:tc>
        <w:tc>
          <w:tcPr>
            <w:tcW w:w="290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4"/>
        </w:trPr>
        <w:tc>
          <w:tcPr>
            <w:tcW w:w="3420" w:type="dxa"/>
            <w:vAlign w:val="bottom"/>
            <w:tcBorders>
              <w:bottom w:val="single" w:sz="8" w:color="017B52"/>
              <w:right w:val="single" w:sz="8" w:color="017B52"/>
            </w:tcBorders>
          </w:tcPr>
          <w:p>
            <w:pPr>
              <w:ind w:left="100"/>
              <w:spacing w:after="0"/>
              <w:rPr>
                <w:sz w:val="20"/>
                <w:szCs w:val="20"/>
                <w:color w:val="auto"/>
              </w:rPr>
            </w:pPr>
            <w:r>
              <w:rPr>
                <w:rFonts w:ascii="Arial" w:cs="Arial" w:eastAsia="Arial" w:hAnsi="Arial"/>
                <w:sz w:val="14"/>
                <w:szCs w:val="14"/>
                <w:b w:val="1"/>
                <w:bCs w:val="1"/>
                <w:color w:val="017B52"/>
              </w:rPr>
              <w:t>William G. Currie</w:t>
            </w:r>
          </w:p>
        </w:tc>
        <w:tc>
          <w:tcPr>
            <w:tcW w:w="3400" w:type="dxa"/>
            <w:vAlign w:val="bottom"/>
            <w:tcBorders>
              <w:bottom w:val="single" w:sz="8" w:color="017B52"/>
              <w:right w:val="single" w:sz="8" w:color="017B52"/>
            </w:tcBorders>
          </w:tcPr>
          <w:p>
            <w:pPr>
              <w:jc w:val="center"/>
              <w:spacing w:after="0"/>
              <w:rPr>
                <w:sz w:val="20"/>
                <w:szCs w:val="20"/>
                <w:color w:val="auto"/>
              </w:rPr>
            </w:pPr>
            <w:r>
              <w:rPr>
                <w:rFonts w:ascii="Arial" w:cs="Arial" w:eastAsia="Arial" w:hAnsi="Arial"/>
                <w:sz w:val="14"/>
                <w:szCs w:val="14"/>
                <w:color w:val="auto"/>
                <w:w w:val="95"/>
              </w:rPr>
              <w:t>211,649</w:t>
            </w:r>
            <w:r>
              <w:rPr>
                <w:rFonts w:ascii="Arial" w:cs="Arial" w:eastAsia="Arial" w:hAnsi="Arial"/>
                <w:sz w:val="23"/>
                <w:szCs w:val="23"/>
                <w:color w:val="auto"/>
                <w:w w:val="95"/>
                <w:vertAlign w:val="superscript"/>
              </w:rPr>
              <w:t>(3)</w:t>
            </w:r>
          </w:p>
        </w:tc>
        <w:tc>
          <w:tcPr>
            <w:tcW w:w="290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5"/>
        </w:trPr>
        <w:tc>
          <w:tcPr>
            <w:tcW w:w="3420" w:type="dxa"/>
            <w:vAlign w:val="bottom"/>
            <w:tcBorders>
              <w:bottom w:val="single" w:sz="8" w:color="017B52"/>
              <w:right w:val="single" w:sz="8" w:color="017B52"/>
            </w:tcBorders>
          </w:tcPr>
          <w:p>
            <w:pPr>
              <w:ind w:left="100"/>
              <w:spacing w:after="0"/>
              <w:rPr>
                <w:sz w:val="20"/>
                <w:szCs w:val="20"/>
                <w:color w:val="auto"/>
              </w:rPr>
            </w:pPr>
            <w:r>
              <w:rPr>
                <w:rFonts w:ascii="Arial" w:cs="Arial" w:eastAsia="Arial" w:hAnsi="Arial"/>
                <w:sz w:val="14"/>
                <w:szCs w:val="14"/>
                <w:b w:val="1"/>
                <w:bCs w:val="1"/>
                <w:color w:val="017B52"/>
              </w:rPr>
              <w:t>Scott A. Worthington</w:t>
            </w:r>
          </w:p>
        </w:tc>
        <w:tc>
          <w:tcPr>
            <w:tcW w:w="3400" w:type="dxa"/>
            <w:vAlign w:val="bottom"/>
            <w:tcBorders>
              <w:bottom w:val="single" w:sz="8" w:color="017B52"/>
              <w:right w:val="single" w:sz="8" w:color="017B52"/>
            </w:tcBorders>
          </w:tcPr>
          <w:p>
            <w:pPr>
              <w:jc w:val="center"/>
              <w:spacing w:after="0"/>
              <w:rPr>
                <w:sz w:val="20"/>
                <w:szCs w:val="20"/>
                <w:color w:val="auto"/>
              </w:rPr>
            </w:pPr>
            <w:r>
              <w:rPr>
                <w:rFonts w:ascii="Arial" w:cs="Arial" w:eastAsia="Arial" w:hAnsi="Arial"/>
                <w:sz w:val="14"/>
                <w:szCs w:val="14"/>
                <w:color w:val="auto"/>
                <w:w w:val="95"/>
              </w:rPr>
              <w:t>142,557</w:t>
            </w:r>
            <w:r>
              <w:rPr>
                <w:rFonts w:ascii="Arial" w:cs="Arial" w:eastAsia="Arial" w:hAnsi="Arial"/>
                <w:sz w:val="23"/>
                <w:szCs w:val="23"/>
                <w:color w:val="auto"/>
                <w:w w:val="95"/>
                <w:vertAlign w:val="superscript"/>
              </w:rPr>
              <w:t>(2)</w:t>
            </w:r>
          </w:p>
        </w:tc>
        <w:tc>
          <w:tcPr>
            <w:tcW w:w="290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4"/>
        </w:trPr>
        <w:tc>
          <w:tcPr>
            <w:tcW w:w="3420" w:type="dxa"/>
            <w:vAlign w:val="bottom"/>
            <w:tcBorders>
              <w:bottom w:val="single" w:sz="8" w:color="017B52"/>
              <w:right w:val="single" w:sz="8" w:color="017B52"/>
            </w:tcBorders>
          </w:tcPr>
          <w:p>
            <w:pPr>
              <w:ind w:left="100"/>
              <w:spacing w:after="0"/>
              <w:rPr>
                <w:sz w:val="20"/>
                <w:szCs w:val="20"/>
                <w:color w:val="auto"/>
              </w:rPr>
            </w:pPr>
            <w:r>
              <w:rPr>
                <w:rFonts w:ascii="Arial" w:cs="Arial" w:eastAsia="Arial" w:hAnsi="Arial"/>
                <w:sz w:val="14"/>
                <w:szCs w:val="14"/>
                <w:b w:val="1"/>
                <w:bCs w:val="1"/>
                <w:color w:val="017B52"/>
              </w:rPr>
              <w:t>Thomas W. Rhodes</w:t>
            </w:r>
          </w:p>
        </w:tc>
        <w:tc>
          <w:tcPr>
            <w:tcW w:w="3400" w:type="dxa"/>
            <w:vAlign w:val="bottom"/>
            <w:tcBorders>
              <w:bottom w:val="single" w:sz="8" w:color="017B52"/>
              <w:right w:val="single" w:sz="8" w:color="017B52"/>
            </w:tcBorders>
          </w:tcPr>
          <w:p>
            <w:pPr>
              <w:jc w:val="center"/>
              <w:spacing w:after="0"/>
              <w:rPr>
                <w:sz w:val="20"/>
                <w:szCs w:val="20"/>
                <w:color w:val="auto"/>
              </w:rPr>
            </w:pPr>
            <w:r>
              <w:rPr>
                <w:rFonts w:ascii="Arial" w:cs="Arial" w:eastAsia="Arial" w:hAnsi="Arial"/>
                <w:sz w:val="14"/>
                <w:szCs w:val="14"/>
                <w:color w:val="auto"/>
                <w:w w:val="94"/>
              </w:rPr>
              <w:t>74,584</w:t>
            </w:r>
            <w:r>
              <w:rPr>
                <w:rFonts w:ascii="Arial" w:cs="Arial" w:eastAsia="Arial" w:hAnsi="Arial"/>
                <w:sz w:val="23"/>
                <w:szCs w:val="23"/>
                <w:color w:val="auto"/>
                <w:w w:val="94"/>
                <w:vertAlign w:val="superscript"/>
              </w:rPr>
              <w:t>(3)</w:t>
            </w:r>
          </w:p>
        </w:tc>
        <w:tc>
          <w:tcPr>
            <w:tcW w:w="290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2"/>
        </w:trPr>
        <w:tc>
          <w:tcPr>
            <w:tcW w:w="3420" w:type="dxa"/>
            <w:vAlign w:val="bottom"/>
            <w:tcBorders>
              <w:right w:val="single" w:sz="8" w:color="017B52"/>
            </w:tcBorders>
          </w:tcPr>
          <w:p>
            <w:pPr>
              <w:ind w:left="100"/>
              <w:spacing w:after="0"/>
              <w:rPr>
                <w:sz w:val="20"/>
                <w:szCs w:val="20"/>
                <w:color w:val="auto"/>
              </w:rPr>
            </w:pPr>
            <w:r>
              <w:rPr>
                <w:rFonts w:ascii="Arial" w:cs="Arial" w:eastAsia="Arial" w:hAnsi="Arial"/>
                <w:sz w:val="14"/>
                <w:szCs w:val="14"/>
                <w:b w:val="1"/>
                <w:bCs w:val="1"/>
                <w:color w:val="017B52"/>
              </w:rPr>
              <w:t>Bruce A. Merino</w:t>
            </w:r>
          </w:p>
        </w:tc>
        <w:tc>
          <w:tcPr>
            <w:tcW w:w="3400" w:type="dxa"/>
            <w:vAlign w:val="bottom"/>
            <w:tcBorders>
              <w:right w:val="single" w:sz="8" w:color="017B52"/>
            </w:tcBorders>
          </w:tcPr>
          <w:p>
            <w:pPr>
              <w:jc w:val="center"/>
              <w:spacing w:after="0"/>
              <w:rPr>
                <w:sz w:val="20"/>
                <w:szCs w:val="20"/>
                <w:color w:val="auto"/>
              </w:rPr>
            </w:pPr>
            <w:r>
              <w:rPr>
                <w:rFonts w:ascii="Arial" w:cs="Arial" w:eastAsia="Arial" w:hAnsi="Arial"/>
                <w:sz w:val="14"/>
                <w:szCs w:val="14"/>
                <w:color w:val="auto"/>
              </w:rPr>
              <w:t>44,617</w:t>
            </w:r>
          </w:p>
        </w:tc>
        <w:tc>
          <w:tcPr>
            <w:tcW w:w="29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6"/>
        </w:trPr>
        <w:tc>
          <w:tcPr>
            <w:tcW w:w="3420" w:type="dxa"/>
            <w:vAlign w:val="bottom"/>
            <w:tcBorders>
              <w:bottom w:val="single" w:sz="8" w:color="017B52"/>
              <w:right w:val="single" w:sz="8" w:color="017B52"/>
            </w:tcBorders>
          </w:tcPr>
          <w:p>
            <w:pPr>
              <w:spacing w:after="0"/>
              <w:rPr>
                <w:sz w:val="4"/>
                <w:szCs w:val="4"/>
                <w:color w:val="auto"/>
              </w:rPr>
            </w:pPr>
          </w:p>
        </w:tc>
        <w:tc>
          <w:tcPr>
            <w:tcW w:w="3400" w:type="dxa"/>
            <w:vAlign w:val="bottom"/>
            <w:tcBorders>
              <w:bottom w:val="single" w:sz="8" w:color="017B52"/>
              <w:right w:val="single" w:sz="8" w:color="017B52"/>
            </w:tcBorders>
          </w:tcPr>
          <w:p>
            <w:pPr>
              <w:spacing w:after="0"/>
              <w:rPr>
                <w:sz w:val="4"/>
                <w:szCs w:val="4"/>
                <w:color w:val="auto"/>
              </w:rPr>
            </w:pPr>
          </w:p>
        </w:tc>
        <w:tc>
          <w:tcPr>
            <w:tcW w:w="2900" w:type="dxa"/>
            <w:vAlign w:val="bottom"/>
            <w:tcBorders>
              <w:bottom w:val="single" w:sz="8" w:color="017B52"/>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3420" w:type="dxa"/>
            <w:vAlign w:val="bottom"/>
            <w:tcBorders>
              <w:bottom w:val="single" w:sz="8" w:color="017B52"/>
              <w:right w:val="single" w:sz="8" w:color="017B52"/>
            </w:tcBorders>
          </w:tcPr>
          <w:p>
            <w:pPr>
              <w:ind w:left="100"/>
              <w:spacing w:after="0"/>
              <w:rPr>
                <w:sz w:val="20"/>
                <w:szCs w:val="20"/>
                <w:color w:val="auto"/>
              </w:rPr>
            </w:pPr>
            <w:r>
              <w:rPr>
                <w:rFonts w:ascii="Arial" w:cs="Arial" w:eastAsia="Arial" w:hAnsi="Arial"/>
                <w:sz w:val="14"/>
                <w:szCs w:val="14"/>
                <w:b w:val="1"/>
                <w:bCs w:val="1"/>
                <w:color w:val="017B52"/>
              </w:rPr>
              <w:t>Michael G. Wooldridge</w:t>
            </w:r>
          </w:p>
        </w:tc>
        <w:tc>
          <w:tcPr>
            <w:tcW w:w="3400" w:type="dxa"/>
            <w:vAlign w:val="bottom"/>
            <w:tcBorders>
              <w:bottom w:val="single" w:sz="8" w:color="017B52"/>
              <w:right w:val="single" w:sz="8" w:color="017B52"/>
            </w:tcBorders>
          </w:tcPr>
          <w:p>
            <w:pPr>
              <w:jc w:val="center"/>
              <w:spacing w:after="0"/>
              <w:rPr>
                <w:sz w:val="20"/>
                <w:szCs w:val="20"/>
                <w:color w:val="auto"/>
              </w:rPr>
            </w:pPr>
            <w:r>
              <w:rPr>
                <w:rFonts w:ascii="Arial" w:cs="Arial" w:eastAsia="Arial" w:hAnsi="Arial"/>
                <w:sz w:val="14"/>
                <w:szCs w:val="14"/>
                <w:color w:val="auto"/>
                <w:w w:val="94"/>
              </w:rPr>
              <w:t>43,288</w:t>
            </w:r>
            <w:r>
              <w:rPr>
                <w:rFonts w:ascii="Arial" w:cs="Arial" w:eastAsia="Arial" w:hAnsi="Arial"/>
                <w:sz w:val="23"/>
                <w:szCs w:val="23"/>
                <w:color w:val="auto"/>
                <w:w w:val="94"/>
                <w:vertAlign w:val="superscript"/>
              </w:rPr>
              <w:t>(3)</w:t>
            </w:r>
          </w:p>
        </w:tc>
        <w:tc>
          <w:tcPr>
            <w:tcW w:w="290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5"/>
        </w:trPr>
        <w:tc>
          <w:tcPr>
            <w:tcW w:w="3420" w:type="dxa"/>
            <w:vAlign w:val="bottom"/>
            <w:tcBorders>
              <w:bottom w:val="single" w:sz="8" w:color="017B52"/>
              <w:right w:val="single" w:sz="8" w:color="017B52"/>
            </w:tcBorders>
          </w:tcPr>
          <w:p>
            <w:pPr>
              <w:ind w:left="100"/>
              <w:spacing w:after="0"/>
              <w:rPr>
                <w:sz w:val="20"/>
                <w:szCs w:val="20"/>
                <w:color w:val="auto"/>
              </w:rPr>
            </w:pPr>
            <w:r>
              <w:rPr>
                <w:rFonts w:ascii="Arial" w:cs="Arial" w:eastAsia="Arial" w:hAnsi="Arial"/>
                <w:sz w:val="14"/>
                <w:szCs w:val="14"/>
                <w:b w:val="1"/>
                <w:bCs w:val="1"/>
                <w:color w:val="017B52"/>
              </w:rPr>
              <w:t>Mary Tuuk Kuras</w:t>
            </w:r>
          </w:p>
        </w:tc>
        <w:tc>
          <w:tcPr>
            <w:tcW w:w="3400" w:type="dxa"/>
            <w:vAlign w:val="bottom"/>
            <w:tcBorders>
              <w:bottom w:val="single" w:sz="8" w:color="017B52"/>
              <w:right w:val="single" w:sz="8" w:color="017B52"/>
            </w:tcBorders>
          </w:tcPr>
          <w:p>
            <w:pPr>
              <w:jc w:val="center"/>
              <w:spacing w:after="0"/>
              <w:rPr>
                <w:sz w:val="20"/>
                <w:szCs w:val="20"/>
                <w:color w:val="auto"/>
              </w:rPr>
            </w:pPr>
            <w:r>
              <w:rPr>
                <w:rFonts w:ascii="Arial" w:cs="Arial" w:eastAsia="Arial" w:hAnsi="Arial"/>
                <w:sz w:val="14"/>
                <w:szCs w:val="14"/>
                <w:color w:val="auto"/>
                <w:w w:val="94"/>
              </w:rPr>
              <w:t>42,114</w:t>
            </w:r>
            <w:r>
              <w:rPr>
                <w:rFonts w:ascii="Arial" w:cs="Arial" w:eastAsia="Arial" w:hAnsi="Arial"/>
                <w:sz w:val="23"/>
                <w:szCs w:val="23"/>
                <w:color w:val="auto"/>
                <w:w w:val="94"/>
                <w:vertAlign w:val="superscript"/>
              </w:rPr>
              <w:t>(3)</w:t>
            </w:r>
          </w:p>
        </w:tc>
        <w:tc>
          <w:tcPr>
            <w:tcW w:w="290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4"/>
        </w:trPr>
        <w:tc>
          <w:tcPr>
            <w:tcW w:w="3420" w:type="dxa"/>
            <w:vAlign w:val="bottom"/>
            <w:tcBorders>
              <w:bottom w:val="single" w:sz="8" w:color="017B52"/>
              <w:right w:val="single" w:sz="8" w:color="017B52"/>
            </w:tcBorders>
          </w:tcPr>
          <w:p>
            <w:pPr>
              <w:ind w:left="100"/>
              <w:spacing w:after="0"/>
              <w:rPr>
                <w:sz w:val="20"/>
                <w:szCs w:val="20"/>
                <w:color w:val="auto"/>
              </w:rPr>
            </w:pPr>
            <w:r>
              <w:rPr>
                <w:rFonts w:ascii="Arial" w:cs="Arial" w:eastAsia="Arial" w:hAnsi="Arial"/>
                <w:sz w:val="14"/>
                <w:szCs w:val="14"/>
                <w:b w:val="1"/>
                <w:bCs w:val="1"/>
                <w:color w:val="017B52"/>
              </w:rPr>
              <w:t>Brian C. Walker</w:t>
            </w:r>
          </w:p>
        </w:tc>
        <w:tc>
          <w:tcPr>
            <w:tcW w:w="3400" w:type="dxa"/>
            <w:vAlign w:val="bottom"/>
            <w:tcBorders>
              <w:bottom w:val="single" w:sz="8" w:color="017B52"/>
              <w:right w:val="single" w:sz="8" w:color="017B52"/>
            </w:tcBorders>
          </w:tcPr>
          <w:p>
            <w:pPr>
              <w:jc w:val="center"/>
              <w:spacing w:after="0"/>
              <w:rPr>
                <w:sz w:val="20"/>
                <w:szCs w:val="20"/>
                <w:color w:val="auto"/>
              </w:rPr>
            </w:pPr>
            <w:r>
              <w:rPr>
                <w:rFonts w:ascii="Arial" w:cs="Arial" w:eastAsia="Arial" w:hAnsi="Arial"/>
                <w:sz w:val="14"/>
                <w:szCs w:val="14"/>
                <w:color w:val="auto"/>
                <w:w w:val="94"/>
              </w:rPr>
              <w:t>35,762</w:t>
            </w:r>
            <w:r>
              <w:rPr>
                <w:rFonts w:ascii="Arial" w:cs="Arial" w:eastAsia="Arial" w:hAnsi="Arial"/>
                <w:sz w:val="23"/>
                <w:szCs w:val="23"/>
                <w:color w:val="auto"/>
                <w:w w:val="94"/>
                <w:vertAlign w:val="superscript"/>
              </w:rPr>
              <w:t>(3)</w:t>
            </w:r>
          </w:p>
        </w:tc>
        <w:tc>
          <w:tcPr>
            <w:tcW w:w="290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5"/>
        </w:trPr>
        <w:tc>
          <w:tcPr>
            <w:tcW w:w="3420" w:type="dxa"/>
            <w:vAlign w:val="bottom"/>
            <w:tcBorders>
              <w:bottom w:val="single" w:sz="8" w:color="017B52"/>
              <w:right w:val="single" w:sz="8" w:color="017B52"/>
            </w:tcBorders>
          </w:tcPr>
          <w:p>
            <w:pPr>
              <w:ind w:left="100"/>
              <w:spacing w:after="0"/>
              <w:rPr>
                <w:sz w:val="20"/>
                <w:szCs w:val="20"/>
                <w:color w:val="auto"/>
              </w:rPr>
            </w:pPr>
            <w:r>
              <w:rPr>
                <w:rFonts w:ascii="Arial" w:cs="Arial" w:eastAsia="Arial" w:hAnsi="Arial"/>
                <w:sz w:val="14"/>
                <w:szCs w:val="14"/>
                <w:b w:val="1"/>
                <w:bCs w:val="1"/>
                <w:color w:val="017B52"/>
              </w:rPr>
              <w:t>Joan A. Budden</w:t>
            </w:r>
          </w:p>
        </w:tc>
        <w:tc>
          <w:tcPr>
            <w:tcW w:w="3400" w:type="dxa"/>
            <w:vAlign w:val="bottom"/>
            <w:tcBorders>
              <w:bottom w:val="single" w:sz="8" w:color="017B52"/>
              <w:right w:val="single" w:sz="8" w:color="017B52"/>
            </w:tcBorders>
          </w:tcPr>
          <w:p>
            <w:pPr>
              <w:jc w:val="center"/>
              <w:spacing w:after="0"/>
              <w:rPr>
                <w:sz w:val="20"/>
                <w:szCs w:val="20"/>
                <w:color w:val="auto"/>
              </w:rPr>
            </w:pPr>
            <w:r>
              <w:rPr>
                <w:rFonts w:ascii="Arial" w:cs="Arial" w:eastAsia="Arial" w:hAnsi="Arial"/>
                <w:sz w:val="14"/>
                <w:szCs w:val="14"/>
                <w:color w:val="auto"/>
                <w:w w:val="94"/>
              </w:rPr>
              <w:t>15,530</w:t>
            </w:r>
            <w:r>
              <w:rPr>
                <w:rFonts w:ascii="Arial" w:cs="Arial" w:eastAsia="Arial" w:hAnsi="Arial"/>
                <w:sz w:val="23"/>
                <w:szCs w:val="23"/>
                <w:color w:val="auto"/>
                <w:w w:val="94"/>
                <w:vertAlign w:val="superscript"/>
              </w:rPr>
              <w:t>(3)</w:t>
            </w:r>
          </w:p>
        </w:tc>
        <w:tc>
          <w:tcPr>
            <w:tcW w:w="290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5"/>
        </w:trPr>
        <w:tc>
          <w:tcPr>
            <w:tcW w:w="3420" w:type="dxa"/>
            <w:vAlign w:val="bottom"/>
            <w:tcBorders>
              <w:bottom w:val="single" w:sz="8" w:color="017B52"/>
              <w:right w:val="single" w:sz="8" w:color="017B52"/>
            </w:tcBorders>
          </w:tcPr>
          <w:p>
            <w:pPr>
              <w:ind w:left="100"/>
              <w:spacing w:after="0"/>
              <w:rPr>
                <w:sz w:val="20"/>
                <w:szCs w:val="20"/>
                <w:color w:val="auto"/>
              </w:rPr>
            </w:pPr>
            <w:r>
              <w:rPr>
                <w:rFonts w:ascii="Arial" w:cs="Arial" w:eastAsia="Arial" w:hAnsi="Arial"/>
                <w:sz w:val="14"/>
                <w:szCs w:val="14"/>
                <w:b w:val="1"/>
                <w:bCs w:val="1"/>
                <w:color w:val="017B52"/>
              </w:rPr>
              <w:t>Benjamin J. McLean</w:t>
            </w:r>
          </w:p>
        </w:tc>
        <w:tc>
          <w:tcPr>
            <w:tcW w:w="3400" w:type="dxa"/>
            <w:vAlign w:val="bottom"/>
            <w:tcBorders>
              <w:bottom w:val="single" w:sz="8" w:color="017B52"/>
              <w:right w:val="single" w:sz="8" w:color="017B52"/>
            </w:tcBorders>
          </w:tcPr>
          <w:p>
            <w:pPr>
              <w:jc w:val="center"/>
              <w:spacing w:after="0"/>
              <w:rPr>
                <w:sz w:val="20"/>
                <w:szCs w:val="20"/>
                <w:color w:val="auto"/>
              </w:rPr>
            </w:pPr>
            <w:r>
              <w:rPr>
                <w:rFonts w:ascii="Arial" w:cs="Arial" w:eastAsia="Arial" w:hAnsi="Arial"/>
                <w:sz w:val="14"/>
                <w:szCs w:val="14"/>
                <w:color w:val="auto"/>
                <w:w w:val="92"/>
              </w:rPr>
              <w:t>9,302</w:t>
            </w:r>
            <w:r>
              <w:rPr>
                <w:rFonts w:ascii="Arial" w:cs="Arial" w:eastAsia="Arial" w:hAnsi="Arial"/>
                <w:sz w:val="23"/>
                <w:szCs w:val="23"/>
                <w:color w:val="auto"/>
                <w:w w:val="92"/>
                <w:vertAlign w:val="superscript"/>
              </w:rPr>
              <w:t>(3)</w:t>
            </w:r>
          </w:p>
        </w:tc>
        <w:tc>
          <w:tcPr>
            <w:tcW w:w="290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3420" w:type="dxa"/>
            <w:vAlign w:val="bottom"/>
            <w:tcBorders>
              <w:right w:val="single" w:sz="8" w:color="017B52"/>
            </w:tcBorders>
          </w:tcPr>
          <w:p>
            <w:pPr>
              <w:ind w:left="100"/>
              <w:spacing w:after="0"/>
              <w:rPr>
                <w:sz w:val="20"/>
                <w:szCs w:val="20"/>
                <w:color w:val="auto"/>
              </w:rPr>
            </w:pPr>
            <w:r>
              <w:rPr>
                <w:rFonts w:ascii="Arial" w:cs="Arial" w:eastAsia="Arial" w:hAnsi="Arial"/>
                <w:sz w:val="14"/>
                <w:szCs w:val="14"/>
                <w:b w:val="1"/>
                <w:bCs w:val="1"/>
                <w:color w:val="auto"/>
              </w:rPr>
              <w:t>All directors and executive officers as a group</w:t>
            </w:r>
          </w:p>
        </w:tc>
        <w:tc>
          <w:tcPr>
            <w:tcW w:w="3400" w:type="dxa"/>
            <w:vAlign w:val="bottom"/>
            <w:tcBorders>
              <w:right w:val="single" w:sz="8" w:color="017B52"/>
            </w:tcBorders>
            <w:vMerge w:val="restart"/>
          </w:tcPr>
          <w:p>
            <w:pPr>
              <w:jc w:val="center"/>
              <w:spacing w:after="0"/>
              <w:rPr>
                <w:sz w:val="20"/>
                <w:szCs w:val="20"/>
                <w:color w:val="auto"/>
              </w:rPr>
            </w:pPr>
            <w:r>
              <w:rPr>
                <w:rFonts w:ascii="Arial" w:cs="Arial" w:eastAsia="Arial" w:hAnsi="Arial"/>
                <w:sz w:val="14"/>
                <w:szCs w:val="14"/>
                <w:color w:val="auto"/>
                <w:w w:val="94"/>
              </w:rPr>
              <w:t>2,218,675</w:t>
            </w:r>
            <w:r>
              <w:rPr>
                <w:rFonts w:ascii="Arial" w:cs="Arial" w:eastAsia="Arial" w:hAnsi="Arial"/>
                <w:sz w:val="23"/>
                <w:szCs w:val="23"/>
                <w:color w:val="auto"/>
                <w:w w:val="94"/>
                <w:vertAlign w:val="superscript"/>
              </w:rPr>
              <w:t>(2)(3)</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420" w:type="dxa"/>
            <w:vAlign w:val="bottom"/>
            <w:tcBorders>
              <w:right w:val="single" w:sz="8" w:color="017B52"/>
            </w:tcBorders>
          </w:tcPr>
          <w:p>
            <w:pPr>
              <w:ind w:left="100"/>
              <w:spacing w:after="0"/>
              <w:rPr>
                <w:sz w:val="20"/>
                <w:szCs w:val="20"/>
                <w:color w:val="auto"/>
              </w:rPr>
            </w:pPr>
            <w:r>
              <w:rPr>
                <w:rFonts w:ascii="Arial" w:cs="Arial" w:eastAsia="Arial" w:hAnsi="Arial"/>
                <w:sz w:val="14"/>
                <w:szCs w:val="14"/>
                <w:b w:val="1"/>
                <w:bCs w:val="1"/>
                <w:color w:val="auto"/>
              </w:rPr>
              <w:t>(15 persons)</w:t>
            </w:r>
          </w:p>
        </w:tc>
        <w:tc>
          <w:tcPr>
            <w:tcW w:w="3400" w:type="dxa"/>
            <w:vAlign w:val="bottom"/>
            <w:tcBorders>
              <w:right w:val="single" w:sz="8" w:color="017B52"/>
            </w:tcBorders>
            <w:vMerge w:val="continue"/>
          </w:tcPr>
          <w:p>
            <w:pPr>
              <w:spacing w:after="0"/>
              <w:rPr>
                <w:sz w:val="21"/>
                <w:szCs w:val="21"/>
                <w:color w:val="auto"/>
              </w:rPr>
            </w:pPr>
          </w:p>
        </w:tc>
        <w:tc>
          <w:tcPr>
            <w:tcW w:w="2900" w:type="dxa"/>
            <w:vAlign w:val="bottom"/>
          </w:tcPr>
          <w:p>
            <w:pPr>
              <w:jc w:val="center"/>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58595B"/>
        </w:rPr>
        <w:t>* Less than one percent (1%).</w:t>
      </w:r>
    </w:p>
    <w:p>
      <w:pPr>
        <w:spacing w:after="0" w:line="94" w:lineRule="exact"/>
        <w:rPr>
          <w:sz w:val="20"/>
          <w:szCs w:val="20"/>
          <w:color w:val="auto"/>
        </w:rPr>
      </w:pPr>
    </w:p>
    <w:p>
      <w:pPr>
        <w:ind w:left="260" w:hanging="256"/>
        <w:spacing w:after="0"/>
        <w:tabs>
          <w:tab w:leader="none" w:pos="260" w:val="left"/>
        </w:tabs>
        <w:numPr>
          <w:ilvl w:val="0"/>
          <w:numId w:val="39"/>
        </w:numPr>
        <w:rPr>
          <w:rFonts w:ascii="Arial" w:cs="Arial" w:eastAsia="Arial" w:hAnsi="Arial"/>
          <w:sz w:val="13"/>
          <w:szCs w:val="13"/>
          <w:color w:val="58595B"/>
        </w:rPr>
      </w:pPr>
      <w:r>
        <w:rPr>
          <w:rFonts w:ascii="Arial" w:cs="Arial" w:eastAsia="Arial" w:hAnsi="Arial"/>
          <w:sz w:val="13"/>
          <w:szCs w:val="13"/>
          <w:color w:val="58595B"/>
        </w:rPr>
        <w:t>Except as otherwise indicated by footnote, each named person has sole voting and investment power with respect to the shares indicated.</w:t>
      </w:r>
    </w:p>
    <w:p>
      <w:pPr>
        <w:spacing w:after="0" w:line="93" w:lineRule="exact"/>
        <w:rPr>
          <w:rFonts w:ascii="Arial" w:cs="Arial" w:eastAsia="Arial" w:hAnsi="Arial"/>
          <w:sz w:val="13"/>
          <w:szCs w:val="13"/>
          <w:color w:val="58595B"/>
        </w:rPr>
      </w:pPr>
    </w:p>
    <w:p>
      <w:pPr>
        <w:ind w:left="260" w:right="440" w:hanging="256"/>
        <w:spacing w:after="0" w:line="243" w:lineRule="auto"/>
        <w:tabs>
          <w:tab w:leader="none" w:pos="260" w:val="left"/>
        </w:tabs>
        <w:numPr>
          <w:ilvl w:val="0"/>
          <w:numId w:val="39"/>
        </w:numPr>
        <w:rPr>
          <w:rFonts w:ascii="Arial" w:cs="Arial" w:eastAsia="Arial" w:hAnsi="Arial"/>
          <w:sz w:val="13"/>
          <w:szCs w:val="13"/>
          <w:color w:val="58595B"/>
        </w:rPr>
      </w:pPr>
      <w:r>
        <w:rPr>
          <w:rFonts w:ascii="Arial" w:cs="Arial" w:eastAsia="Arial" w:hAnsi="Arial"/>
          <w:sz w:val="13"/>
          <w:szCs w:val="13"/>
          <w:color w:val="58595B"/>
        </w:rPr>
        <w:t>Includes shares subject to issuance under our deferred compensation plans for Messrs. Missad, Cole, Webster, Benton and Worthington in the amounts of 91,876 shares; 30,660 shares; 124,763 shares; 10,987 shares; and 15,061 shares, respectively.</w:t>
      </w:r>
    </w:p>
    <w:p>
      <w:pPr>
        <w:spacing w:after="0" w:line="75" w:lineRule="exact"/>
        <w:rPr>
          <w:rFonts w:ascii="Arial" w:cs="Arial" w:eastAsia="Arial" w:hAnsi="Arial"/>
          <w:sz w:val="13"/>
          <w:szCs w:val="13"/>
          <w:color w:val="58595B"/>
        </w:rPr>
      </w:pPr>
    </w:p>
    <w:p>
      <w:pPr>
        <w:ind w:left="260" w:right="460" w:hanging="256"/>
        <w:spacing w:after="0" w:line="283" w:lineRule="auto"/>
        <w:tabs>
          <w:tab w:leader="none" w:pos="260" w:val="left"/>
        </w:tabs>
        <w:numPr>
          <w:ilvl w:val="0"/>
          <w:numId w:val="39"/>
        </w:numPr>
        <w:rPr>
          <w:rFonts w:ascii="Arial" w:cs="Arial" w:eastAsia="Arial" w:hAnsi="Arial"/>
          <w:sz w:val="12"/>
          <w:szCs w:val="12"/>
          <w:color w:val="58595B"/>
        </w:rPr>
      </w:pPr>
      <w:r>
        <w:rPr>
          <w:rFonts w:ascii="Arial" w:cs="Arial" w:eastAsia="Arial" w:hAnsi="Arial"/>
          <w:sz w:val="12"/>
          <w:szCs w:val="12"/>
          <w:color w:val="58595B"/>
        </w:rPr>
        <w:t>Includes shares held in our Director Compensation Plan for Mesdames Budden and Tuuk Kuras who hold 15,530 shares and 7,628 shares, respectively, and Messrs. Currie, McLean, Rhodes, Walker and Wooldridge who hold 33,420 shares; 8,636 shares; 57,546 shares; 28,505 shares; and 25,733 shares, respectively.</w:t>
      </w:r>
    </w:p>
    <w:p>
      <w:pPr>
        <w:spacing w:after="0" w:line="296"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25</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331" w:lineRule="exact"/>
        <w:rPr>
          <w:sz w:val="20"/>
          <w:szCs w:val="20"/>
          <w:color w:val="auto"/>
        </w:rPr>
      </w:pPr>
    </w:p>
    <w:p>
      <w:pPr>
        <w:ind w:right="4220"/>
        <w:spacing w:after="0" w:line="307" w:lineRule="auto"/>
        <w:rPr>
          <w:sz w:val="20"/>
          <w:szCs w:val="20"/>
          <w:color w:val="auto"/>
        </w:rPr>
      </w:pPr>
      <w:r>
        <w:rPr>
          <w:rFonts w:ascii="Arial" w:cs="Arial" w:eastAsia="Arial" w:hAnsi="Arial"/>
          <w:sz w:val="28"/>
          <w:szCs w:val="28"/>
          <w:b w:val="1"/>
          <w:bCs w:val="1"/>
          <w:color w:val="017B52"/>
        </w:rPr>
        <w:t>Executive Compensation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3086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Compensation Philosophy and Objectives</w:t>
      </w:r>
    </w:p>
    <w:p>
      <w:pPr>
        <w:spacing w:after="0" w:line="4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believe our employees are our most important asset. Our executive compensation program has been designed to motivate, reward, attract and retain management personnel that we deem essential to promote our success. The program seeks to align executive compensation with Company objectives, business strategy and financial performance. In applying these principles, we seek to:</w:t>
      </w:r>
    </w:p>
    <w:p>
      <w:pPr>
        <w:spacing w:after="0" w:line="125" w:lineRule="exact"/>
        <w:rPr>
          <w:sz w:val="20"/>
          <w:szCs w:val="20"/>
          <w:color w:val="auto"/>
        </w:rPr>
      </w:pPr>
    </w:p>
    <w:p>
      <w:pPr>
        <w:ind w:left="940" w:hanging="288"/>
        <w:spacing w:after="0"/>
        <w:tabs>
          <w:tab w:leader="none" w:pos="9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Create an environment that rewards performance for achievement of Company goals;</w:t>
      </w:r>
    </w:p>
    <w:p>
      <w:pPr>
        <w:spacing w:after="0" w:line="167" w:lineRule="exact"/>
        <w:rPr>
          <w:rFonts w:ascii="Arial" w:cs="Arial" w:eastAsia="Arial" w:hAnsi="Arial"/>
          <w:sz w:val="16"/>
          <w:szCs w:val="16"/>
          <w:color w:val="auto"/>
        </w:rPr>
      </w:pPr>
    </w:p>
    <w:p>
      <w:pPr>
        <w:ind w:left="940" w:hanging="288"/>
        <w:spacing w:after="0"/>
        <w:tabs>
          <w:tab w:leader="none" w:pos="9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Attract and retain key executives critical to the long-term success of our Company; and</w:t>
      </w:r>
    </w:p>
    <w:p>
      <w:pPr>
        <w:spacing w:after="0" w:line="167" w:lineRule="exact"/>
        <w:rPr>
          <w:rFonts w:ascii="Arial" w:cs="Arial" w:eastAsia="Arial" w:hAnsi="Arial"/>
          <w:sz w:val="16"/>
          <w:szCs w:val="16"/>
          <w:color w:val="auto"/>
        </w:rPr>
      </w:pPr>
    </w:p>
    <w:p>
      <w:pPr>
        <w:ind w:left="940" w:right="500" w:hanging="288"/>
        <w:spacing w:after="0" w:line="286" w:lineRule="auto"/>
        <w:tabs>
          <w:tab w:leader="none" w:pos="9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Align the interests of executives with the long-term interests of shareholders through stock ownership initiatives and requirements.</w:t>
      </w:r>
    </w:p>
    <w:p>
      <w:pPr>
        <w:spacing w:after="0" w:line="10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believe the compensation of our executives should reflect the performance of the business units in which they are involved and for which they are responsible. We further believe the performance of our executives in managing our Company, considered in light of general economic and specific Company, industry and competitive conditions, should be the basis for determining their overall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What Our Compensation Program is Designed to Reward</w:t>
      </w:r>
    </w:p>
    <w:p>
      <w:pPr>
        <w:spacing w:after="0" w:line="45"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Our compensation program is designed to reward overall financial performance as well as each person's individual contribution to our Company. In measuring an individual's contribution to our Company, the Personnel and Compensation Committee (the “Committee”) considers numerous factors, including the individual's contribution to Company performance, individual performance relative to pre-established goals, and general economic conditions in the markets we serve.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Compensation Program Components - Emphasis on Incentive-Based Compensation</w:t>
      </w:r>
    </w:p>
    <w:p>
      <w:pPr>
        <w:spacing w:after="0" w:line="45" w:lineRule="exact"/>
        <w:rPr>
          <w:sz w:val="20"/>
          <w:szCs w:val="20"/>
          <w:color w:val="auto"/>
        </w:rPr>
      </w:pPr>
    </w:p>
    <w:p>
      <w:pPr>
        <w:jc w:val="both"/>
        <w:ind w:right="520"/>
        <w:spacing w:after="0" w:line="266" w:lineRule="auto"/>
        <w:rPr>
          <w:sz w:val="20"/>
          <w:szCs w:val="20"/>
          <w:color w:val="auto"/>
        </w:rPr>
      </w:pPr>
      <w:r>
        <w:rPr>
          <w:rFonts w:ascii="Arial" w:cs="Arial" w:eastAsia="Arial" w:hAnsi="Arial"/>
          <w:sz w:val="16"/>
          <w:szCs w:val="16"/>
          <w:color w:val="auto"/>
        </w:rPr>
        <w:t>The Committee has responsibility for establishing, implementing and monitoring adherence to our compensation philosophy and established programs. The Committee seeks to ensure that the total compensation paid to our executives is fair, reasonable and competitive.</w:t>
      </w:r>
    </w:p>
    <w:p>
      <w:pPr>
        <w:spacing w:after="0" w:line="117" w:lineRule="exact"/>
        <w:rPr>
          <w:sz w:val="20"/>
          <w:szCs w:val="20"/>
          <w:color w:val="auto"/>
        </w:rPr>
      </w:pPr>
    </w:p>
    <w:p>
      <w:pPr>
        <w:ind w:right="860"/>
        <w:spacing w:after="0" w:line="286" w:lineRule="auto"/>
        <w:rPr>
          <w:sz w:val="20"/>
          <w:szCs w:val="20"/>
          <w:color w:val="auto"/>
        </w:rPr>
      </w:pPr>
      <w:r>
        <w:rPr>
          <w:rFonts w:ascii="Arial" w:cs="Arial" w:eastAsia="Arial" w:hAnsi="Arial"/>
          <w:sz w:val="16"/>
          <w:szCs w:val="16"/>
          <w:color w:val="auto"/>
        </w:rPr>
        <w:t>The principal components of our executive compensation consist of (a) base salary, (b) annual performance incentives, and (c) long-term incentive compensation (generally payable in the form of equity-based compensation awards).</w:t>
      </w:r>
    </w:p>
    <w:p>
      <w:pPr>
        <w:spacing w:after="0" w:line="102"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It has been our practice to provide modest base salaries, relative to the market, and place a greater emphasis on performance-based compensation. We believe that this is consistent with motivating our management team to create shareholder value and with what our shareholders expect. If we perform well and create value for our shareholders, our management team is compensated well for those results. We measure financial performance by our return on investment (“ROI”) in the business (described below), a metric we believe correlates well with the creation of shareholder value.</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2022, management once again performed very well, relative to our targeted ROI. For the year, we achieved an overall ROI of 29.4% (our threshold ROI is 6.0% for the corporate incentive compensation pool and 8.5% for each segment pool). This resulted in meaningful incentive compensation awards. Our annual cash incentive compensation is limited to two times each executive’s prevailing base salary. Any amounts earned in excess of this limitation is paid in the form of long-term incentive compensation.</w:t>
      </w:r>
    </w:p>
    <w:p>
      <w:pPr>
        <w:spacing w:after="0" w:line="124"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As explained in more detail below, any incentive compensation earned as long-term compensation is subject to future service conditions. Consequently, each executive must continue working for the Company for an additional service period to receive the balance of the incentive compensation earned in 2022 and paid as long-term compensation. For 2022, the variable compensation earned by all of the Company's Business Units (defined below) totaled approximately $180 million in annual cash incentive compensation and $56 million in long-term incentive compensation. The long-term incentive amount was paid in the form of</w:t>
      </w:r>
    </w:p>
    <w:p>
      <w:pPr>
        <w:spacing w:after="0" w:line="311"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26</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00"/>
          </w:cols>
          <w:pgMar w:left="1080" w:top="229" w:right="111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351"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restricted stock grants that vest five years from the grant date and in the form of stock performance units that vest and are payable three years from the date of grant, based upon Company performance.</w:t>
      </w:r>
    </w:p>
    <w:p>
      <w:pPr>
        <w:spacing w:after="0" w:line="102"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b w:val="1"/>
          <w:bCs w:val="1"/>
          <w:i w:val="1"/>
          <w:iCs w:val="1"/>
          <w:color w:val="auto"/>
        </w:rPr>
        <w:t xml:space="preserve">Base Salaries. </w:t>
      </w:r>
      <w:r>
        <w:rPr>
          <w:rFonts w:ascii="Arial" w:cs="Arial" w:eastAsia="Arial" w:hAnsi="Arial"/>
          <w:sz w:val="16"/>
          <w:szCs w:val="16"/>
          <w:color w:val="auto"/>
        </w:rPr>
        <w:t>Base salaries are set for our executive officers at the Committee's first meeting each year, generally at the end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or the beginning of February. At this meeting, our Chief Executive Officer makes compensation recommendations to the Committee with respect to our executive officers, excluding his own compensation. The Committee may accept or adjust such recommendations. It makes the sole determination of the compensation for our Chief Executive Officer, subject to the approval of our Board.</w:t>
      </w:r>
    </w:p>
    <w:p>
      <w:pPr>
        <w:spacing w:after="0" w:line="12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Committee considers a variety of objective and subjective factors in considering the establishment of base salaries. In addition, the Committee reviews and monitors the executive compensation programs and pay levels of executives among our Company’s peer</w:t>
      </w:r>
    </w:p>
    <w:p>
      <w:pPr>
        <w:ind w:right="80"/>
        <w:spacing w:after="0" w:line="214" w:lineRule="auto"/>
        <w:rPr>
          <w:sz w:val="20"/>
          <w:szCs w:val="20"/>
          <w:color w:val="auto"/>
        </w:rPr>
      </w:pPr>
      <w:r>
        <w:rPr>
          <w:rFonts w:ascii="Arial" w:cs="Arial" w:eastAsia="Arial" w:hAnsi="Arial"/>
          <w:sz w:val="16"/>
          <w:szCs w:val="16"/>
          <w:color w:val="auto"/>
        </w:rPr>
        <w:t>group.</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Based upon its review, the Committee concluded that our compensation program for executive officers is generally competitive and is effective in providing the requisite incentives and rewards to our leadership team.</w:t>
      </w:r>
    </w:p>
    <w:p>
      <w:pPr>
        <w:spacing w:after="0" w:line="13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For fiscal 2023, the Committee approved salary increases to the Named Executives, identified in the Summary Compensation Table (other than Mr. Webster, who retired from the Company as of December 31, 2022),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880" w:type="dxa"/>
            <w:vAlign w:val="bottom"/>
          </w:tcPr>
          <w:p>
            <w:pPr>
              <w:ind w:left="100"/>
              <w:spacing w:after="0"/>
              <w:rPr>
                <w:sz w:val="20"/>
                <w:szCs w:val="20"/>
                <w:color w:val="auto"/>
              </w:rPr>
            </w:pPr>
            <w:r>
              <w:rPr>
                <w:rFonts w:ascii="Arial" w:cs="Arial" w:eastAsia="Arial" w:hAnsi="Arial"/>
                <w:sz w:val="11"/>
                <w:szCs w:val="11"/>
                <w:b w:val="1"/>
                <w:bCs w:val="1"/>
                <w:color w:val="auto"/>
              </w:rPr>
              <w:t>NAMED EXECUTIVE</w:t>
            </w:r>
          </w:p>
        </w:tc>
        <w:tc>
          <w:tcPr>
            <w:tcW w:w="3700" w:type="dxa"/>
            <w:vAlign w:val="bottom"/>
          </w:tcPr>
          <w:p>
            <w:pPr>
              <w:jc w:val="center"/>
              <w:ind w:left="2012"/>
              <w:spacing w:after="0"/>
              <w:rPr>
                <w:sz w:val="20"/>
                <w:szCs w:val="20"/>
                <w:color w:val="auto"/>
              </w:rPr>
            </w:pPr>
            <w:r>
              <w:rPr>
                <w:rFonts w:ascii="Arial" w:cs="Arial" w:eastAsia="Arial" w:hAnsi="Arial"/>
                <w:sz w:val="11"/>
                <w:szCs w:val="11"/>
                <w:b w:val="1"/>
                <w:bCs w:val="1"/>
                <w:color w:val="auto"/>
                <w:w w:val="96"/>
              </w:rPr>
              <w:t>EFFECTIVE DATE</w:t>
            </w: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97"/>
              </w:rPr>
              <w:t>NEW SALARY</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 INCREASE</w:t>
            </w:r>
          </w:p>
        </w:tc>
      </w:tr>
      <w:tr>
        <w:trPr>
          <w:trHeight w:val="68"/>
        </w:trPr>
        <w:tc>
          <w:tcPr>
            <w:tcW w:w="3880" w:type="dxa"/>
            <w:vAlign w:val="bottom"/>
            <w:tcBorders>
              <w:bottom w:val="single" w:sz="8" w:color="017B52"/>
            </w:tcBorders>
          </w:tcPr>
          <w:p>
            <w:pPr>
              <w:spacing w:after="0"/>
              <w:rPr>
                <w:sz w:val="5"/>
                <w:szCs w:val="5"/>
                <w:color w:val="auto"/>
              </w:rPr>
            </w:pPr>
          </w:p>
        </w:tc>
        <w:tc>
          <w:tcPr>
            <w:tcW w:w="3700" w:type="dxa"/>
            <w:vAlign w:val="bottom"/>
            <w:tcBorders>
              <w:bottom w:val="single" w:sz="8" w:color="017B52"/>
            </w:tcBorders>
          </w:tcPr>
          <w:p>
            <w:pPr>
              <w:spacing w:after="0"/>
              <w:rPr>
                <w:sz w:val="5"/>
                <w:szCs w:val="5"/>
                <w:color w:val="auto"/>
              </w:rPr>
            </w:pPr>
          </w:p>
        </w:tc>
        <w:tc>
          <w:tcPr>
            <w:tcW w:w="1220" w:type="dxa"/>
            <w:vAlign w:val="bottom"/>
            <w:tcBorders>
              <w:bottom w:val="single" w:sz="8" w:color="017B52"/>
            </w:tcBorders>
          </w:tcPr>
          <w:p>
            <w:pPr>
              <w:spacing w:after="0"/>
              <w:rPr>
                <w:sz w:val="5"/>
                <w:szCs w:val="5"/>
                <w:color w:val="auto"/>
              </w:rPr>
            </w:pPr>
          </w:p>
        </w:tc>
        <w:tc>
          <w:tcPr>
            <w:tcW w:w="920" w:type="dxa"/>
            <w:vAlign w:val="bottom"/>
            <w:tcBorders>
              <w:bottom w:val="single" w:sz="8" w:color="017B52"/>
            </w:tcBorders>
          </w:tcPr>
          <w:p>
            <w:pPr>
              <w:spacing w:after="0"/>
              <w:rPr>
                <w:sz w:val="5"/>
                <w:szCs w:val="5"/>
                <w:color w:val="auto"/>
              </w:rPr>
            </w:pPr>
          </w:p>
        </w:tc>
      </w:tr>
      <w:tr>
        <w:trPr>
          <w:trHeight w:val="234"/>
        </w:trPr>
        <w:tc>
          <w:tcPr>
            <w:tcW w:w="3880" w:type="dxa"/>
            <w:vAlign w:val="bottom"/>
          </w:tcPr>
          <w:p>
            <w:pPr>
              <w:ind w:left="100"/>
              <w:spacing w:after="0"/>
              <w:rPr>
                <w:sz w:val="20"/>
                <w:szCs w:val="20"/>
                <w:color w:val="auto"/>
              </w:rPr>
            </w:pPr>
            <w:r>
              <w:rPr>
                <w:rFonts w:ascii="Arial" w:cs="Arial" w:eastAsia="Arial" w:hAnsi="Arial"/>
                <w:sz w:val="14"/>
                <w:szCs w:val="14"/>
                <w:b w:val="1"/>
                <w:bCs w:val="1"/>
                <w:color w:val="017B52"/>
              </w:rPr>
              <w:t>Matthew J. Missad</w:t>
            </w:r>
          </w:p>
        </w:tc>
        <w:tc>
          <w:tcPr>
            <w:tcW w:w="3700" w:type="dxa"/>
            <w:vAlign w:val="bottom"/>
          </w:tcPr>
          <w:p>
            <w:pPr>
              <w:jc w:val="center"/>
              <w:ind w:left="2012"/>
              <w:spacing w:after="0"/>
              <w:rPr>
                <w:sz w:val="20"/>
                <w:szCs w:val="20"/>
                <w:color w:val="auto"/>
              </w:rPr>
            </w:pPr>
            <w:r>
              <w:rPr>
                <w:rFonts w:ascii="Arial" w:cs="Arial" w:eastAsia="Arial" w:hAnsi="Arial"/>
                <w:sz w:val="14"/>
                <w:szCs w:val="14"/>
                <w:color w:val="auto"/>
              </w:rPr>
              <w:t>February 1, 2023</w:t>
            </w:r>
          </w:p>
        </w:tc>
        <w:tc>
          <w:tcPr>
            <w:tcW w:w="1220" w:type="dxa"/>
            <w:vAlign w:val="bottom"/>
          </w:tcPr>
          <w:p>
            <w:pPr>
              <w:jc w:val="center"/>
              <w:spacing w:after="0"/>
              <w:rPr>
                <w:sz w:val="20"/>
                <w:szCs w:val="20"/>
                <w:color w:val="auto"/>
              </w:rPr>
            </w:pPr>
            <w:r>
              <w:rPr>
                <w:rFonts w:ascii="Arial" w:cs="Arial" w:eastAsia="Arial" w:hAnsi="Arial"/>
                <w:sz w:val="14"/>
                <w:szCs w:val="14"/>
                <w:color w:val="auto"/>
              </w:rPr>
              <w:t>$863,241</w:t>
            </w:r>
          </w:p>
        </w:tc>
        <w:tc>
          <w:tcPr>
            <w:tcW w:w="920" w:type="dxa"/>
            <w:vAlign w:val="bottom"/>
          </w:tcPr>
          <w:p>
            <w:pPr>
              <w:jc w:val="right"/>
              <w:ind w:right="72"/>
              <w:spacing w:after="0"/>
              <w:rPr>
                <w:sz w:val="20"/>
                <w:szCs w:val="20"/>
                <w:color w:val="auto"/>
              </w:rPr>
            </w:pPr>
            <w:r>
              <w:rPr>
                <w:rFonts w:ascii="Arial" w:cs="Arial" w:eastAsia="Arial" w:hAnsi="Arial"/>
                <w:sz w:val="14"/>
                <w:szCs w:val="14"/>
                <w:color w:val="auto"/>
              </w:rPr>
              <w:t>4.7%</w:t>
            </w:r>
          </w:p>
        </w:tc>
      </w:tr>
      <w:tr>
        <w:trPr>
          <w:trHeight w:val="29"/>
        </w:trPr>
        <w:tc>
          <w:tcPr>
            <w:tcW w:w="3880" w:type="dxa"/>
            <w:vAlign w:val="bottom"/>
            <w:tcBorders>
              <w:bottom w:val="single" w:sz="8" w:color="017B52"/>
            </w:tcBorders>
          </w:tcPr>
          <w:p>
            <w:pPr>
              <w:spacing w:after="0"/>
              <w:rPr>
                <w:sz w:val="2"/>
                <w:szCs w:val="2"/>
                <w:color w:val="auto"/>
              </w:rPr>
            </w:pPr>
          </w:p>
        </w:tc>
        <w:tc>
          <w:tcPr>
            <w:tcW w:w="3700" w:type="dxa"/>
            <w:vAlign w:val="bottom"/>
            <w:tcBorders>
              <w:bottom w:val="single" w:sz="8" w:color="017B52"/>
            </w:tcBorders>
          </w:tcPr>
          <w:p>
            <w:pPr>
              <w:spacing w:after="0"/>
              <w:rPr>
                <w:sz w:val="2"/>
                <w:szCs w:val="2"/>
                <w:color w:val="auto"/>
              </w:rPr>
            </w:pPr>
          </w:p>
        </w:tc>
        <w:tc>
          <w:tcPr>
            <w:tcW w:w="1220" w:type="dxa"/>
            <w:vAlign w:val="bottom"/>
            <w:tcBorders>
              <w:bottom w:val="single" w:sz="8" w:color="017B52"/>
            </w:tcBorders>
          </w:tcPr>
          <w:p>
            <w:pPr>
              <w:spacing w:after="0"/>
              <w:rPr>
                <w:sz w:val="2"/>
                <w:szCs w:val="2"/>
                <w:color w:val="auto"/>
              </w:rPr>
            </w:pPr>
          </w:p>
        </w:tc>
        <w:tc>
          <w:tcPr>
            <w:tcW w:w="920" w:type="dxa"/>
            <w:vAlign w:val="bottom"/>
            <w:tcBorders>
              <w:bottom w:val="single" w:sz="8" w:color="017B52"/>
            </w:tcBorders>
          </w:tcPr>
          <w:p>
            <w:pPr>
              <w:spacing w:after="0"/>
              <w:rPr>
                <w:sz w:val="2"/>
                <w:szCs w:val="2"/>
                <w:color w:val="auto"/>
              </w:rPr>
            </w:pPr>
          </w:p>
        </w:tc>
      </w:tr>
      <w:tr>
        <w:trPr>
          <w:trHeight w:val="234"/>
        </w:trPr>
        <w:tc>
          <w:tcPr>
            <w:tcW w:w="3880" w:type="dxa"/>
            <w:vAlign w:val="bottom"/>
          </w:tcPr>
          <w:p>
            <w:pPr>
              <w:ind w:left="100"/>
              <w:spacing w:after="0"/>
              <w:rPr>
                <w:sz w:val="20"/>
                <w:szCs w:val="20"/>
                <w:color w:val="auto"/>
              </w:rPr>
            </w:pPr>
            <w:r>
              <w:rPr>
                <w:rFonts w:ascii="Arial" w:cs="Arial" w:eastAsia="Arial" w:hAnsi="Arial"/>
                <w:sz w:val="14"/>
                <w:szCs w:val="14"/>
                <w:b w:val="1"/>
                <w:bCs w:val="1"/>
                <w:color w:val="017B52"/>
              </w:rPr>
              <w:t>Michael R. Cole</w:t>
            </w:r>
          </w:p>
        </w:tc>
        <w:tc>
          <w:tcPr>
            <w:tcW w:w="3700" w:type="dxa"/>
            <w:vAlign w:val="bottom"/>
          </w:tcPr>
          <w:p>
            <w:pPr>
              <w:jc w:val="center"/>
              <w:ind w:left="2012"/>
              <w:spacing w:after="0"/>
              <w:rPr>
                <w:sz w:val="20"/>
                <w:szCs w:val="20"/>
                <w:color w:val="auto"/>
              </w:rPr>
            </w:pPr>
            <w:r>
              <w:rPr>
                <w:rFonts w:ascii="Arial" w:cs="Arial" w:eastAsia="Arial" w:hAnsi="Arial"/>
                <w:sz w:val="14"/>
                <w:szCs w:val="14"/>
                <w:color w:val="auto"/>
              </w:rPr>
              <w:t>February 1, 2023</w:t>
            </w:r>
          </w:p>
        </w:tc>
        <w:tc>
          <w:tcPr>
            <w:tcW w:w="1220" w:type="dxa"/>
            <w:vAlign w:val="bottom"/>
          </w:tcPr>
          <w:p>
            <w:pPr>
              <w:jc w:val="center"/>
              <w:spacing w:after="0"/>
              <w:rPr>
                <w:sz w:val="20"/>
                <w:szCs w:val="20"/>
                <w:color w:val="auto"/>
              </w:rPr>
            </w:pPr>
            <w:r>
              <w:rPr>
                <w:rFonts w:ascii="Arial" w:cs="Arial" w:eastAsia="Arial" w:hAnsi="Arial"/>
                <w:sz w:val="14"/>
                <w:szCs w:val="14"/>
                <w:color w:val="auto"/>
              </w:rPr>
              <w:t>$465,000</w:t>
            </w:r>
          </w:p>
        </w:tc>
        <w:tc>
          <w:tcPr>
            <w:tcW w:w="920" w:type="dxa"/>
            <w:vAlign w:val="bottom"/>
          </w:tcPr>
          <w:p>
            <w:pPr>
              <w:jc w:val="right"/>
              <w:ind w:right="72"/>
              <w:spacing w:after="0"/>
              <w:rPr>
                <w:sz w:val="20"/>
                <w:szCs w:val="20"/>
                <w:color w:val="auto"/>
              </w:rPr>
            </w:pPr>
            <w:r>
              <w:rPr>
                <w:rFonts w:ascii="Arial" w:cs="Arial" w:eastAsia="Arial" w:hAnsi="Arial"/>
                <w:sz w:val="14"/>
                <w:szCs w:val="14"/>
                <w:color w:val="auto"/>
              </w:rPr>
              <w:t>4.4%</w:t>
            </w:r>
          </w:p>
        </w:tc>
      </w:tr>
      <w:tr>
        <w:trPr>
          <w:trHeight w:val="29"/>
        </w:trPr>
        <w:tc>
          <w:tcPr>
            <w:tcW w:w="3880" w:type="dxa"/>
            <w:vAlign w:val="bottom"/>
            <w:tcBorders>
              <w:bottom w:val="single" w:sz="8" w:color="017B52"/>
            </w:tcBorders>
          </w:tcPr>
          <w:p>
            <w:pPr>
              <w:spacing w:after="0"/>
              <w:rPr>
                <w:sz w:val="2"/>
                <w:szCs w:val="2"/>
                <w:color w:val="auto"/>
              </w:rPr>
            </w:pPr>
          </w:p>
        </w:tc>
        <w:tc>
          <w:tcPr>
            <w:tcW w:w="3700" w:type="dxa"/>
            <w:vAlign w:val="bottom"/>
            <w:tcBorders>
              <w:bottom w:val="single" w:sz="8" w:color="017B52"/>
            </w:tcBorders>
          </w:tcPr>
          <w:p>
            <w:pPr>
              <w:spacing w:after="0"/>
              <w:rPr>
                <w:sz w:val="2"/>
                <w:szCs w:val="2"/>
                <w:color w:val="auto"/>
              </w:rPr>
            </w:pPr>
          </w:p>
        </w:tc>
        <w:tc>
          <w:tcPr>
            <w:tcW w:w="1220" w:type="dxa"/>
            <w:vAlign w:val="bottom"/>
            <w:tcBorders>
              <w:bottom w:val="single" w:sz="8" w:color="017B52"/>
            </w:tcBorders>
          </w:tcPr>
          <w:p>
            <w:pPr>
              <w:spacing w:after="0"/>
              <w:rPr>
                <w:sz w:val="2"/>
                <w:szCs w:val="2"/>
                <w:color w:val="auto"/>
              </w:rPr>
            </w:pPr>
          </w:p>
        </w:tc>
        <w:tc>
          <w:tcPr>
            <w:tcW w:w="920" w:type="dxa"/>
            <w:vAlign w:val="bottom"/>
            <w:tcBorders>
              <w:bottom w:val="single" w:sz="8" w:color="017B52"/>
            </w:tcBorders>
          </w:tcPr>
          <w:p>
            <w:pPr>
              <w:spacing w:after="0"/>
              <w:rPr>
                <w:sz w:val="2"/>
                <w:szCs w:val="2"/>
                <w:color w:val="auto"/>
              </w:rPr>
            </w:pPr>
          </w:p>
        </w:tc>
      </w:tr>
      <w:tr>
        <w:trPr>
          <w:trHeight w:val="234"/>
        </w:trPr>
        <w:tc>
          <w:tcPr>
            <w:tcW w:w="3880" w:type="dxa"/>
            <w:vAlign w:val="bottom"/>
          </w:tcPr>
          <w:p>
            <w:pPr>
              <w:ind w:left="100"/>
              <w:spacing w:after="0"/>
              <w:rPr>
                <w:sz w:val="20"/>
                <w:szCs w:val="20"/>
                <w:color w:val="auto"/>
              </w:rPr>
            </w:pPr>
            <w:r>
              <w:rPr>
                <w:rFonts w:ascii="Arial" w:cs="Arial" w:eastAsia="Arial" w:hAnsi="Arial"/>
                <w:sz w:val="14"/>
                <w:szCs w:val="14"/>
                <w:b w:val="1"/>
                <w:bCs w:val="1"/>
                <w:color w:val="017B52"/>
              </w:rPr>
              <w:t>Patrick M. Benton</w:t>
            </w:r>
          </w:p>
        </w:tc>
        <w:tc>
          <w:tcPr>
            <w:tcW w:w="3700" w:type="dxa"/>
            <w:vAlign w:val="bottom"/>
          </w:tcPr>
          <w:p>
            <w:pPr>
              <w:jc w:val="center"/>
              <w:ind w:left="2012"/>
              <w:spacing w:after="0"/>
              <w:rPr>
                <w:sz w:val="20"/>
                <w:szCs w:val="20"/>
                <w:color w:val="auto"/>
              </w:rPr>
            </w:pPr>
            <w:r>
              <w:rPr>
                <w:rFonts w:ascii="Arial" w:cs="Arial" w:eastAsia="Arial" w:hAnsi="Arial"/>
                <w:sz w:val="14"/>
                <w:szCs w:val="14"/>
                <w:color w:val="auto"/>
              </w:rPr>
              <w:t>February 1, 2023</w:t>
            </w:r>
          </w:p>
        </w:tc>
        <w:tc>
          <w:tcPr>
            <w:tcW w:w="1220" w:type="dxa"/>
            <w:vAlign w:val="bottom"/>
          </w:tcPr>
          <w:p>
            <w:pPr>
              <w:jc w:val="center"/>
              <w:spacing w:after="0"/>
              <w:rPr>
                <w:sz w:val="20"/>
                <w:szCs w:val="20"/>
                <w:color w:val="auto"/>
              </w:rPr>
            </w:pPr>
            <w:r>
              <w:rPr>
                <w:rFonts w:ascii="Arial" w:cs="Arial" w:eastAsia="Arial" w:hAnsi="Arial"/>
                <w:sz w:val="14"/>
                <w:szCs w:val="14"/>
                <w:color w:val="auto"/>
              </w:rPr>
              <w:t>$400,000</w:t>
            </w:r>
          </w:p>
        </w:tc>
        <w:tc>
          <w:tcPr>
            <w:tcW w:w="920" w:type="dxa"/>
            <w:vAlign w:val="bottom"/>
          </w:tcPr>
          <w:p>
            <w:pPr>
              <w:jc w:val="right"/>
              <w:ind w:right="72"/>
              <w:spacing w:after="0"/>
              <w:rPr>
                <w:sz w:val="20"/>
                <w:szCs w:val="20"/>
                <w:color w:val="auto"/>
              </w:rPr>
            </w:pPr>
            <w:r>
              <w:rPr>
                <w:rFonts w:ascii="Arial" w:cs="Arial" w:eastAsia="Arial" w:hAnsi="Arial"/>
                <w:sz w:val="14"/>
                <w:szCs w:val="14"/>
                <w:color w:val="auto"/>
              </w:rPr>
              <w:t>31.8%</w:t>
            </w:r>
          </w:p>
        </w:tc>
      </w:tr>
      <w:tr>
        <w:trPr>
          <w:trHeight w:val="29"/>
        </w:trPr>
        <w:tc>
          <w:tcPr>
            <w:tcW w:w="3880" w:type="dxa"/>
            <w:vAlign w:val="bottom"/>
            <w:tcBorders>
              <w:bottom w:val="single" w:sz="8" w:color="017B52"/>
            </w:tcBorders>
          </w:tcPr>
          <w:p>
            <w:pPr>
              <w:spacing w:after="0"/>
              <w:rPr>
                <w:sz w:val="2"/>
                <w:szCs w:val="2"/>
                <w:color w:val="auto"/>
              </w:rPr>
            </w:pPr>
          </w:p>
        </w:tc>
        <w:tc>
          <w:tcPr>
            <w:tcW w:w="3700" w:type="dxa"/>
            <w:vAlign w:val="bottom"/>
            <w:tcBorders>
              <w:bottom w:val="single" w:sz="8" w:color="017B52"/>
            </w:tcBorders>
          </w:tcPr>
          <w:p>
            <w:pPr>
              <w:spacing w:after="0"/>
              <w:rPr>
                <w:sz w:val="2"/>
                <w:szCs w:val="2"/>
                <w:color w:val="auto"/>
              </w:rPr>
            </w:pPr>
          </w:p>
        </w:tc>
        <w:tc>
          <w:tcPr>
            <w:tcW w:w="1220" w:type="dxa"/>
            <w:vAlign w:val="bottom"/>
            <w:tcBorders>
              <w:bottom w:val="single" w:sz="8" w:color="017B52"/>
            </w:tcBorders>
          </w:tcPr>
          <w:p>
            <w:pPr>
              <w:spacing w:after="0"/>
              <w:rPr>
                <w:sz w:val="2"/>
                <w:szCs w:val="2"/>
                <w:color w:val="auto"/>
              </w:rPr>
            </w:pPr>
          </w:p>
        </w:tc>
        <w:tc>
          <w:tcPr>
            <w:tcW w:w="920" w:type="dxa"/>
            <w:vAlign w:val="bottom"/>
            <w:tcBorders>
              <w:bottom w:val="single" w:sz="8" w:color="017B52"/>
            </w:tcBorders>
          </w:tcPr>
          <w:p>
            <w:pPr>
              <w:spacing w:after="0"/>
              <w:rPr>
                <w:sz w:val="2"/>
                <w:szCs w:val="2"/>
                <w:color w:val="auto"/>
              </w:rPr>
            </w:pPr>
          </w:p>
        </w:tc>
      </w:tr>
      <w:tr>
        <w:trPr>
          <w:trHeight w:val="234"/>
        </w:trPr>
        <w:tc>
          <w:tcPr>
            <w:tcW w:w="3880" w:type="dxa"/>
            <w:vAlign w:val="bottom"/>
          </w:tcPr>
          <w:p>
            <w:pPr>
              <w:ind w:left="100"/>
              <w:spacing w:after="0"/>
              <w:rPr>
                <w:sz w:val="20"/>
                <w:szCs w:val="20"/>
                <w:color w:val="auto"/>
              </w:rPr>
            </w:pPr>
            <w:r>
              <w:rPr>
                <w:rFonts w:ascii="Arial" w:cs="Arial" w:eastAsia="Arial" w:hAnsi="Arial"/>
                <w:sz w:val="14"/>
                <w:szCs w:val="14"/>
                <w:b w:val="1"/>
                <w:bCs w:val="1"/>
                <w:color w:val="017B52"/>
              </w:rPr>
              <w:t>Scott A. Worthington</w:t>
            </w:r>
          </w:p>
        </w:tc>
        <w:tc>
          <w:tcPr>
            <w:tcW w:w="3700" w:type="dxa"/>
            <w:vAlign w:val="bottom"/>
          </w:tcPr>
          <w:p>
            <w:pPr>
              <w:jc w:val="center"/>
              <w:ind w:left="2012"/>
              <w:spacing w:after="0"/>
              <w:rPr>
                <w:sz w:val="20"/>
                <w:szCs w:val="20"/>
                <w:color w:val="auto"/>
              </w:rPr>
            </w:pPr>
            <w:r>
              <w:rPr>
                <w:rFonts w:ascii="Arial" w:cs="Arial" w:eastAsia="Arial" w:hAnsi="Arial"/>
                <w:sz w:val="14"/>
                <w:szCs w:val="14"/>
                <w:color w:val="auto"/>
              </w:rPr>
              <w:t>February 1, 2023</w:t>
            </w:r>
          </w:p>
        </w:tc>
        <w:tc>
          <w:tcPr>
            <w:tcW w:w="1220" w:type="dxa"/>
            <w:vAlign w:val="bottom"/>
          </w:tcPr>
          <w:p>
            <w:pPr>
              <w:jc w:val="center"/>
              <w:spacing w:after="0"/>
              <w:rPr>
                <w:sz w:val="20"/>
                <w:szCs w:val="20"/>
                <w:color w:val="auto"/>
              </w:rPr>
            </w:pPr>
            <w:r>
              <w:rPr>
                <w:rFonts w:ascii="Arial" w:cs="Arial" w:eastAsia="Arial" w:hAnsi="Arial"/>
                <w:sz w:val="14"/>
                <w:szCs w:val="14"/>
                <w:color w:val="auto"/>
              </w:rPr>
              <w:t>$400,000</w:t>
            </w:r>
          </w:p>
        </w:tc>
        <w:tc>
          <w:tcPr>
            <w:tcW w:w="920" w:type="dxa"/>
            <w:vAlign w:val="bottom"/>
          </w:tcPr>
          <w:p>
            <w:pPr>
              <w:jc w:val="right"/>
              <w:ind w:right="72"/>
              <w:spacing w:after="0"/>
              <w:rPr>
                <w:sz w:val="20"/>
                <w:szCs w:val="20"/>
                <w:color w:val="auto"/>
              </w:rPr>
            </w:pPr>
            <w:r>
              <w:rPr>
                <w:rFonts w:ascii="Arial" w:cs="Arial" w:eastAsia="Arial" w:hAnsi="Arial"/>
                <w:sz w:val="14"/>
                <w:szCs w:val="14"/>
                <w:color w:val="auto"/>
              </w:rPr>
              <w:t>37.9%</w:t>
            </w:r>
          </w:p>
        </w:tc>
      </w:tr>
      <w:tr>
        <w:trPr>
          <w:trHeight w:val="29"/>
        </w:trPr>
        <w:tc>
          <w:tcPr>
            <w:tcW w:w="3880" w:type="dxa"/>
            <w:vAlign w:val="bottom"/>
            <w:tcBorders>
              <w:bottom w:val="single" w:sz="8" w:color="017B52"/>
            </w:tcBorders>
          </w:tcPr>
          <w:p>
            <w:pPr>
              <w:spacing w:after="0"/>
              <w:rPr>
                <w:sz w:val="2"/>
                <w:szCs w:val="2"/>
                <w:color w:val="auto"/>
              </w:rPr>
            </w:pPr>
          </w:p>
        </w:tc>
        <w:tc>
          <w:tcPr>
            <w:tcW w:w="3700" w:type="dxa"/>
            <w:vAlign w:val="bottom"/>
            <w:tcBorders>
              <w:bottom w:val="single" w:sz="8" w:color="017B52"/>
            </w:tcBorders>
          </w:tcPr>
          <w:p>
            <w:pPr>
              <w:spacing w:after="0"/>
              <w:rPr>
                <w:sz w:val="2"/>
                <w:szCs w:val="2"/>
                <w:color w:val="auto"/>
              </w:rPr>
            </w:pPr>
          </w:p>
        </w:tc>
        <w:tc>
          <w:tcPr>
            <w:tcW w:w="1220" w:type="dxa"/>
            <w:vAlign w:val="bottom"/>
            <w:tcBorders>
              <w:bottom w:val="single" w:sz="8" w:color="017B52"/>
            </w:tcBorders>
          </w:tcPr>
          <w:p>
            <w:pPr>
              <w:spacing w:after="0"/>
              <w:rPr>
                <w:sz w:val="2"/>
                <w:szCs w:val="2"/>
                <w:color w:val="auto"/>
              </w:rPr>
            </w:pPr>
          </w:p>
        </w:tc>
        <w:tc>
          <w:tcPr>
            <w:tcW w:w="920" w:type="dxa"/>
            <w:vAlign w:val="bottom"/>
            <w:tcBorders>
              <w:bottom w:val="single" w:sz="8" w:color="017B52"/>
            </w:tcBorders>
          </w:tcPr>
          <w:p>
            <w:pPr>
              <w:spacing w:after="0"/>
              <w:rPr>
                <w:sz w:val="2"/>
                <w:szCs w:val="2"/>
                <w:color w:val="auto"/>
              </w:rPr>
            </w:pPr>
          </w:p>
        </w:tc>
      </w:tr>
    </w:tbl>
    <w:p>
      <w:pPr>
        <w:spacing w:after="0" w:line="14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For fiscal 2022 the ratio of the median of the annual total compensation of all of our active employees as of December 31, 2022 excluding our Chief Executive Officer, ($51,398) to the annual total compensation of our Chief Executive Officer ($10,299,274) was 200:1. The compensation of our median employee was determined by: (1) calculating the annual total compensation of all of our active employees as of December 31, 2022 (the “Determination Date”); (2) ranking the annual total compensation of all employees (except our Chief Executive Officer) from lowest to highest (which comprised a total of 16,118 employees); and (3) selecting the employee who ranked as the median (8,059 on the list of 16,118). We included all of our full-time and part-time employees as of the Determination Date and annualized the total compensation for those full-time and part-time employees who were employed by us for less than one year as of the Determination Date. We applied applicable foreign exchange rates, relative to the U.S. dollar, for our non-U.S. employees. Total annual compensation for each employee, other than the CEO, includes each element of compensation listed in the Summary Compensation Table below, with the exception of employer contributions to any 401(k) or similar qualified, defined contribution plan, and shares granted but not vested, based upon our Company’s payroll records. For ease of administration, bonus dollars for all employees, except the CEO, reflect actual bonus compensation paid in 2022 but earned in 2021. However, as required for the Summary Compensation Table, the bonus dollars for the CEO reflect bonus dollars and associated stock grants earned in 2022 and paid in February 2023.</w:t>
      </w:r>
    </w:p>
    <w:p>
      <w:pPr>
        <w:spacing w:after="0" w:line="136"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b w:val="1"/>
          <w:bCs w:val="1"/>
          <w:i w:val="1"/>
          <w:iCs w:val="1"/>
          <w:color w:val="auto"/>
        </w:rPr>
        <w:t xml:space="preserve">Incentive Compensation. </w:t>
      </w:r>
      <w:r>
        <w:rPr>
          <w:rFonts w:ascii="Arial" w:cs="Arial" w:eastAsia="Arial" w:hAnsi="Arial"/>
          <w:sz w:val="16"/>
          <w:szCs w:val="16"/>
          <w:color w:val="auto"/>
        </w:rPr>
        <w:t>Our incentive compensation program provides for the contribution of a fixed percentage of pre-incentive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operating profit to each of a number of pools, based upon the pre-incentive compensation ROI of each plant, business unit and segment (each of which is referred to as a “Profit Center”), as well as a separate Corporate incentive compensation pool. Combined, these incentive compensation pools are the source of our Company's aggregate incentive compensation awards.</w:t>
      </w:r>
    </w:p>
    <w:p>
      <w:pPr>
        <w:spacing w:after="0" w:line="12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ROI is determined based upon the Profit Center's pre-incentive compensation operating profit, less income taxes, divided by the average investment of the Profit Center. Average investment is defined as the average of inventory, plus accounts receivable, plus net property, plant and equipment, plus intangibles, less accumulated amortization and less accounts payable.</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At the beginning of each year, each Named Executive is allocated a fixed percentage of the incentive compensation pool of his or her respective Profit Center. The amount of an employee's percentage of his or her pool is generally reflective of that person's</w:t>
      </w:r>
    </w:p>
    <w:p>
      <w:pPr>
        <w:spacing w:after="0" w:line="98" w:lineRule="exact"/>
        <w:rPr>
          <w:sz w:val="20"/>
          <w:szCs w:val="20"/>
          <w:color w:val="auto"/>
        </w:rPr>
      </w:pPr>
    </w:p>
    <w:p>
      <w:pPr>
        <w:ind w:left="320" w:right="20" w:hanging="316"/>
        <w:spacing w:after="0" w:line="259" w:lineRule="auto"/>
        <w:tabs>
          <w:tab w:leader="none" w:pos="320" w:val="left"/>
        </w:tabs>
        <w:numPr>
          <w:ilvl w:val="0"/>
          <w:numId w:val="41"/>
        </w:numPr>
        <w:rPr>
          <w:rFonts w:ascii="Arial" w:cs="Arial" w:eastAsia="Arial" w:hAnsi="Arial"/>
          <w:sz w:val="12"/>
          <w:szCs w:val="12"/>
          <w:color w:val="58595B"/>
        </w:rPr>
      </w:pPr>
      <w:r>
        <w:rPr>
          <w:rFonts w:ascii="Arial" w:cs="Arial" w:eastAsia="Arial" w:hAnsi="Arial"/>
          <w:sz w:val="12"/>
          <w:szCs w:val="12"/>
          <w:color w:val="58595B"/>
        </w:rPr>
        <w:t>Our current peer group companies are American Woodmark Corp.; Boise Cascade Co.; Builders FirstSource, Inc.; Gibraltar Industries Inc.; Greif Inc.; Lousiana-Pacific Corp.; Masco Corp.; Patrick Industries, Inc.; Simpson Manufacturing Company, Inc.; Sonoco Products Company; Trex Company, Inc.; and WestRock Company. The only changes from the prior year peer group are the elimination of BlueLinx Holdings, Inc. and Cornerstone Building Brands and the addition of Patrick Industries, Inc.</w:t>
      </w:r>
    </w:p>
    <w:p>
      <w:pPr>
        <w:spacing w:after="0" w:line="309"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27</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35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relative degree of responsibility for the operations and results of that Profit Center, as well as his or her performance and tenure with the Company. If the Profit Center generates profits which result in an incentive compensation pool, the participant receives the allocated percentage as incentive compensation. The dollar amount of that pool is based upon the Profit Center aggregate ROI. As ROI increases, a higher percentage of pre-incentive compensation operating profit is contributed to the pool.</w:t>
      </w:r>
    </w:p>
    <w:p>
      <w:pPr>
        <w:spacing w:after="0" w:line="12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For the Corporate Profit Center, the minimum contribution percentage of 4.70% of pre-incentive compensation operating profit occurs at the lowest level of ROI, which is 6.00%. The maximum contribution percentage of 7.5% occurs at a ROI of at least 22.00%. Following the achievement of ROI of 8.5%, and subject to the maximum contribution rate of 7.5%, for every hundred basis point improvement in ROI, the Company contributes an approximate additional 2.5 basis points of pre-incentive compensation operating profit to the Corporate Profit Center incentive compensation pool. Three of our Named Executives participated in the Corporate Profit Center incentive compensation pool in 2022. For our segment pools, the minimum contribution percentage of 1.8% of pre-incentive compensation operating profit occurs at the lowest level of ROI, which is 8.5%. The maximum contribution percentage of 2.2% occurs at an ROI of at least 22.0%. Subject to the maximum contribution percentage of 2.2%, for every hundred basis point improvement in ROI, the Company contributes approximately .35 basis points in pre-incentive compensation operating profit to each segment incentive compensation pool.</w:t>
      </w:r>
    </w:p>
    <w:p>
      <w:pPr>
        <w:spacing w:after="0" w:line="32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Beginning in fiscal 2022, the Company initiated tiered performance thresholds for both the size of each incentive compensation pool as well as individual incentive compensation payments. This resulted in the reallocation of approximately $50 million of otherwise incentive compensation to our shareholders. Under this new program, each performance pool was preliminarily allocated funds based upon the formula described in the preceding paragraph. Each pool is then subject to threshold amounts. For the Corporate Profit Center incentive compensation pool, the thresholds were $850 million (Tier 1) and $950 million (Tier 2). To the extent the pool exceeds Tier 1, 25% of the pool in excess of Tier 1 and below Tier 2 is deducted from the pool and reallocated to shareholders; 50% of the pool in excess of Tier 2 is reallocated to shareholders. The segment pools are subject to the same reallocations at $300 million (Tier 1) and $350 million (Tier 2). In addition to the adjustments made to the incentive compensation pools, and subsequent to those adjustments, preliminary individual incentive compensation allocations for the leaders of each pool, as well as each other Named Executive, are subject to similar adjustments. For 2022, each NEO was subject to payment thresholds of $1 million (Tier 1) and $1.5 million (Tier 2). For preliminary bonus payments in excess of Tier 1, 25% of the amount between Tier 1 and Tier 2 was reallocated to other, non-Named Executive participants; 50% of the preliminary bonus payment above Tier 2 was similarly reallocated.</w:t>
      </w:r>
    </w:p>
    <w:p>
      <w:pPr>
        <w:spacing w:after="0" w:line="13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For 2022, we achieved an overall ROI of 29.4%. Following the adjustments described above, the total contribution to the Corporate Profit Center incentive compensation pool for fiscal 2022 was $77,327,210, which equaled 6.5% of pre-incentive compensation operating profit. The performance incentive for each of the Named Executives (other than Messrs. Benton and Worthington) was based upon our Company's total ROI. The performance bonuses for Messrs. Benton and Worthington were based upon the ROI of their respective segments.</w:t>
      </w:r>
    </w:p>
    <w:p>
      <w:pPr>
        <w:spacing w:after="0" w:line="126"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The incentive compensation amount for Mr. Missad was determined by the Company's ROI as a whole. Based upon that performance and subject to the above-described adjustments, we contributed the calculated amount of pre-incentive compensation operating profit to the Corporate Profit Center incentive compensation pool. For 2022, Mr. Missad was eligible to receive an initial 20% allocation of the net Corporate Profit Center pool. The initial allocation to Mr. Missad, as well as allocations for each of the other Named Executives, is subject to the adjustments described above. Following the application of those adjustments, not more than 2.0 times an executive's base salary may be paid in the form of annual cash incentive compensation. As a result, Mr. Missad's received cash incentive compensation of $1,726,482 for 2022, which was 2.23% of the Corporate Profit Center incentive compensation pool. Mr. Missad's total allocation of the 2022 Corporate Profit Center incentive compensation pool was 12.07%.</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amount of incentive compensation earned by an employee in excess of the annual cash incentive compensation limitation is paid in the form of equity-based compensation awards under our Long-Term Stock Incentive Plan (“Long-Term Compensation”). Ninety percent (90%) of the equity awards granted to the Named Executives in 2023, based upon 2022 performance, were paid in the form of shares of restricted Company common stock that cliff vest on the fifth anniversary of the award date. The balance of the awards were issued in the form of performance units. The number of shares that may be issued for each performance unit is determined at the end of the three-year performance period, based upon the Company's actual, cumulative pre-incentive compensation operating profit relative to the budgeted amount of pre-incentive compensation operating profit for that three-year</w:t>
      </w:r>
    </w:p>
    <w:p>
      <w:pPr>
        <w:spacing w:after="0" w:line="312"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28</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35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period (“Budget PBOP”). The Budget PBOP is determined as of the beginning of the three-year performance period. The actual number of shares issuable is based upon the product of (1) the number of target shares that are subject to the award, and (2) the earnout percentage, based upon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560" w:type="dxa"/>
            <w:vAlign w:val="bottom"/>
          </w:tcPr>
          <w:p>
            <w:pPr>
              <w:ind w:left="100"/>
              <w:spacing w:after="0"/>
              <w:rPr>
                <w:sz w:val="20"/>
                <w:szCs w:val="20"/>
                <w:color w:val="auto"/>
              </w:rPr>
            </w:pPr>
            <w:r>
              <w:rPr>
                <w:rFonts w:ascii="Arial" w:cs="Arial" w:eastAsia="Arial" w:hAnsi="Arial"/>
                <w:sz w:val="11"/>
                <w:szCs w:val="11"/>
                <w:b w:val="1"/>
                <w:bCs w:val="1"/>
                <w:color w:val="auto"/>
              </w:rPr>
              <w:t>ACTUAL COMPANY PBOP RELATIVE TO BUDGET PBOP</w:t>
            </w:r>
          </w:p>
        </w:tc>
        <w:tc>
          <w:tcPr>
            <w:tcW w:w="4160" w:type="dxa"/>
            <w:vAlign w:val="bottom"/>
          </w:tcPr>
          <w:p>
            <w:pPr>
              <w:jc w:val="center"/>
              <w:ind w:left="212"/>
              <w:spacing w:after="0"/>
              <w:rPr>
                <w:sz w:val="20"/>
                <w:szCs w:val="20"/>
                <w:color w:val="auto"/>
              </w:rPr>
            </w:pPr>
            <w:r>
              <w:rPr>
                <w:rFonts w:ascii="Arial" w:cs="Arial" w:eastAsia="Arial" w:hAnsi="Arial"/>
                <w:sz w:val="11"/>
                <w:szCs w:val="11"/>
                <w:b w:val="1"/>
                <w:bCs w:val="1"/>
                <w:color w:val="auto"/>
                <w:w w:val="98"/>
              </w:rPr>
              <w:t>EARNOUT PERCENTAGE</w:t>
            </w:r>
          </w:p>
        </w:tc>
      </w:tr>
      <w:tr>
        <w:trPr>
          <w:trHeight w:val="41"/>
        </w:trPr>
        <w:tc>
          <w:tcPr>
            <w:tcW w:w="5560" w:type="dxa"/>
            <w:vAlign w:val="bottom"/>
            <w:tcBorders>
              <w:bottom w:val="single" w:sz="8" w:color="017B52"/>
            </w:tcBorders>
          </w:tcPr>
          <w:p>
            <w:pPr>
              <w:spacing w:after="0"/>
              <w:rPr>
                <w:sz w:val="3"/>
                <w:szCs w:val="3"/>
                <w:color w:val="auto"/>
              </w:rPr>
            </w:pPr>
          </w:p>
        </w:tc>
        <w:tc>
          <w:tcPr>
            <w:tcW w:w="4160" w:type="dxa"/>
            <w:vAlign w:val="bottom"/>
            <w:tcBorders>
              <w:bottom w:val="single" w:sz="8" w:color="017B52"/>
            </w:tcBorders>
          </w:tcPr>
          <w:p>
            <w:pPr>
              <w:spacing w:after="0"/>
              <w:rPr>
                <w:sz w:val="3"/>
                <w:szCs w:val="3"/>
                <w:color w:val="auto"/>
              </w:rPr>
            </w:pPr>
          </w:p>
        </w:tc>
      </w:tr>
      <w:tr>
        <w:trPr>
          <w:trHeight w:val="228"/>
        </w:trPr>
        <w:tc>
          <w:tcPr>
            <w:tcW w:w="5560" w:type="dxa"/>
            <w:vAlign w:val="bottom"/>
          </w:tcPr>
          <w:p>
            <w:pPr>
              <w:ind w:left="100"/>
              <w:spacing w:after="0"/>
              <w:rPr>
                <w:sz w:val="20"/>
                <w:szCs w:val="20"/>
                <w:color w:val="auto"/>
              </w:rPr>
            </w:pPr>
            <w:r>
              <w:rPr>
                <w:rFonts w:ascii="Arial" w:cs="Arial" w:eastAsia="Arial" w:hAnsi="Arial"/>
                <w:sz w:val="14"/>
                <w:szCs w:val="14"/>
                <w:color w:val="auto"/>
              </w:rPr>
              <w:t>- At least 150% of Budget PBOP</w:t>
            </w:r>
          </w:p>
        </w:tc>
        <w:tc>
          <w:tcPr>
            <w:tcW w:w="4160" w:type="dxa"/>
            <w:vAlign w:val="bottom"/>
          </w:tcPr>
          <w:p>
            <w:pPr>
              <w:jc w:val="center"/>
              <w:ind w:left="212"/>
              <w:spacing w:after="0"/>
              <w:rPr>
                <w:sz w:val="20"/>
                <w:szCs w:val="20"/>
                <w:color w:val="auto"/>
              </w:rPr>
            </w:pPr>
            <w:r>
              <w:rPr>
                <w:rFonts w:ascii="Arial" w:cs="Arial" w:eastAsia="Arial" w:hAnsi="Arial"/>
                <w:sz w:val="14"/>
                <w:szCs w:val="14"/>
                <w:color w:val="auto"/>
              </w:rPr>
              <w:t>200%</w:t>
            </w:r>
          </w:p>
        </w:tc>
      </w:tr>
      <w:tr>
        <w:trPr>
          <w:trHeight w:val="35"/>
        </w:trPr>
        <w:tc>
          <w:tcPr>
            <w:tcW w:w="5560" w:type="dxa"/>
            <w:vAlign w:val="bottom"/>
            <w:tcBorders>
              <w:bottom w:val="single" w:sz="8" w:color="017B52"/>
            </w:tcBorders>
          </w:tcPr>
          <w:p>
            <w:pPr>
              <w:spacing w:after="0"/>
              <w:rPr>
                <w:sz w:val="3"/>
                <w:szCs w:val="3"/>
                <w:color w:val="auto"/>
              </w:rPr>
            </w:pPr>
          </w:p>
        </w:tc>
        <w:tc>
          <w:tcPr>
            <w:tcW w:w="4160" w:type="dxa"/>
            <w:vAlign w:val="bottom"/>
            <w:tcBorders>
              <w:bottom w:val="single" w:sz="8" w:color="017B52"/>
            </w:tcBorders>
          </w:tcPr>
          <w:p>
            <w:pPr>
              <w:spacing w:after="0"/>
              <w:rPr>
                <w:sz w:val="3"/>
                <w:szCs w:val="3"/>
                <w:color w:val="auto"/>
              </w:rPr>
            </w:pPr>
          </w:p>
        </w:tc>
      </w:tr>
      <w:tr>
        <w:trPr>
          <w:trHeight w:val="228"/>
        </w:trPr>
        <w:tc>
          <w:tcPr>
            <w:tcW w:w="5560" w:type="dxa"/>
            <w:vAlign w:val="bottom"/>
          </w:tcPr>
          <w:p>
            <w:pPr>
              <w:ind w:left="100"/>
              <w:spacing w:after="0"/>
              <w:rPr>
                <w:sz w:val="20"/>
                <w:szCs w:val="20"/>
                <w:color w:val="auto"/>
              </w:rPr>
            </w:pPr>
            <w:r>
              <w:rPr>
                <w:rFonts w:ascii="Arial" w:cs="Arial" w:eastAsia="Arial" w:hAnsi="Arial"/>
                <w:sz w:val="14"/>
                <w:szCs w:val="14"/>
                <w:color w:val="auto"/>
              </w:rPr>
              <w:t>- Less than 150% of Budget PBOP but at least 100% of Budget PBOP</w:t>
            </w:r>
          </w:p>
        </w:tc>
        <w:tc>
          <w:tcPr>
            <w:tcW w:w="4160" w:type="dxa"/>
            <w:vAlign w:val="bottom"/>
          </w:tcPr>
          <w:p>
            <w:pPr>
              <w:jc w:val="center"/>
              <w:ind w:left="212"/>
              <w:spacing w:after="0"/>
              <w:rPr>
                <w:sz w:val="20"/>
                <w:szCs w:val="20"/>
                <w:color w:val="auto"/>
              </w:rPr>
            </w:pPr>
            <w:r>
              <w:rPr>
                <w:rFonts w:ascii="Arial" w:cs="Arial" w:eastAsia="Arial" w:hAnsi="Arial"/>
                <w:sz w:val="14"/>
                <w:szCs w:val="14"/>
                <w:color w:val="auto"/>
              </w:rPr>
              <w:t>100%</w:t>
            </w:r>
          </w:p>
        </w:tc>
      </w:tr>
      <w:tr>
        <w:trPr>
          <w:trHeight w:val="35"/>
        </w:trPr>
        <w:tc>
          <w:tcPr>
            <w:tcW w:w="5560" w:type="dxa"/>
            <w:vAlign w:val="bottom"/>
            <w:tcBorders>
              <w:bottom w:val="single" w:sz="8" w:color="017B52"/>
            </w:tcBorders>
          </w:tcPr>
          <w:p>
            <w:pPr>
              <w:spacing w:after="0"/>
              <w:rPr>
                <w:sz w:val="3"/>
                <w:szCs w:val="3"/>
                <w:color w:val="auto"/>
              </w:rPr>
            </w:pPr>
          </w:p>
        </w:tc>
        <w:tc>
          <w:tcPr>
            <w:tcW w:w="4160" w:type="dxa"/>
            <w:vAlign w:val="bottom"/>
            <w:tcBorders>
              <w:bottom w:val="single" w:sz="8" w:color="017B52"/>
            </w:tcBorders>
          </w:tcPr>
          <w:p>
            <w:pPr>
              <w:spacing w:after="0"/>
              <w:rPr>
                <w:sz w:val="3"/>
                <w:szCs w:val="3"/>
                <w:color w:val="auto"/>
              </w:rPr>
            </w:pPr>
          </w:p>
        </w:tc>
      </w:tr>
      <w:tr>
        <w:trPr>
          <w:trHeight w:val="228"/>
        </w:trPr>
        <w:tc>
          <w:tcPr>
            <w:tcW w:w="5560" w:type="dxa"/>
            <w:vAlign w:val="bottom"/>
          </w:tcPr>
          <w:p>
            <w:pPr>
              <w:ind w:left="100"/>
              <w:spacing w:after="0"/>
              <w:rPr>
                <w:sz w:val="20"/>
                <w:szCs w:val="20"/>
                <w:color w:val="auto"/>
              </w:rPr>
            </w:pPr>
            <w:r>
              <w:rPr>
                <w:rFonts w:ascii="Arial" w:cs="Arial" w:eastAsia="Arial" w:hAnsi="Arial"/>
                <w:sz w:val="14"/>
                <w:szCs w:val="14"/>
                <w:color w:val="auto"/>
              </w:rPr>
              <w:t>- Less than 100% of Budget PBOP but at least 50% of Budget PBOP</w:t>
            </w:r>
          </w:p>
        </w:tc>
        <w:tc>
          <w:tcPr>
            <w:tcW w:w="4160" w:type="dxa"/>
            <w:vAlign w:val="bottom"/>
          </w:tcPr>
          <w:p>
            <w:pPr>
              <w:jc w:val="center"/>
              <w:ind w:left="212"/>
              <w:spacing w:after="0"/>
              <w:rPr>
                <w:sz w:val="20"/>
                <w:szCs w:val="20"/>
                <w:color w:val="auto"/>
              </w:rPr>
            </w:pPr>
            <w:r>
              <w:rPr>
                <w:rFonts w:ascii="Arial" w:cs="Arial" w:eastAsia="Arial" w:hAnsi="Arial"/>
                <w:sz w:val="14"/>
                <w:szCs w:val="14"/>
                <w:color w:val="auto"/>
              </w:rPr>
              <w:t>Percentage of Budget PBOP Achieved</w:t>
            </w:r>
          </w:p>
        </w:tc>
      </w:tr>
      <w:tr>
        <w:trPr>
          <w:trHeight w:val="35"/>
        </w:trPr>
        <w:tc>
          <w:tcPr>
            <w:tcW w:w="5560" w:type="dxa"/>
            <w:vAlign w:val="bottom"/>
            <w:tcBorders>
              <w:bottom w:val="single" w:sz="8" w:color="017B52"/>
            </w:tcBorders>
          </w:tcPr>
          <w:p>
            <w:pPr>
              <w:spacing w:after="0"/>
              <w:rPr>
                <w:sz w:val="3"/>
                <w:szCs w:val="3"/>
                <w:color w:val="auto"/>
              </w:rPr>
            </w:pPr>
          </w:p>
        </w:tc>
        <w:tc>
          <w:tcPr>
            <w:tcW w:w="4160" w:type="dxa"/>
            <w:vAlign w:val="bottom"/>
            <w:tcBorders>
              <w:bottom w:val="single" w:sz="8" w:color="017B52"/>
            </w:tcBorders>
          </w:tcPr>
          <w:p>
            <w:pPr>
              <w:spacing w:after="0"/>
              <w:rPr>
                <w:sz w:val="3"/>
                <w:szCs w:val="3"/>
                <w:color w:val="auto"/>
              </w:rPr>
            </w:pPr>
          </w:p>
        </w:tc>
      </w:tr>
      <w:tr>
        <w:trPr>
          <w:trHeight w:val="228"/>
        </w:trPr>
        <w:tc>
          <w:tcPr>
            <w:tcW w:w="5560" w:type="dxa"/>
            <w:vAlign w:val="bottom"/>
          </w:tcPr>
          <w:p>
            <w:pPr>
              <w:ind w:left="100"/>
              <w:spacing w:after="0"/>
              <w:rPr>
                <w:sz w:val="20"/>
                <w:szCs w:val="20"/>
                <w:color w:val="auto"/>
              </w:rPr>
            </w:pPr>
            <w:r>
              <w:rPr>
                <w:rFonts w:ascii="Arial" w:cs="Arial" w:eastAsia="Arial" w:hAnsi="Arial"/>
                <w:sz w:val="14"/>
                <w:szCs w:val="14"/>
                <w:color w:val="auto"/>
              </w:rPr>
              <w:t>- Less than 50% of Budget PBOP</w:t>
            </w:r>
          </w:p>
        </w:tc>
        <w:tc>
          <w:tcPr>
            <w:tcW w:w="4160" w:type="dxa"/>
            <w:vAlign w:val="bottom"/>
          </w:tcPr>
          <w:p>
            <w:pPr>
              <w:jc w:val="center"/>
              <w:ind w:left="212"/>
              <w:spacing w:after="0"/>
              <w:rPr>
                <w:sz w:val="20"/>
                <w:szCs w:val="20"/>
                <w:color w:val="auto"/>
              </w:rPr>
            </w:pPr>
            <w:r>
              <w:rPr>
                <w:rFonts w:ascii="Arial" w:cs="Arial" w:eastAsia="Arial" w:hAnsi="Arial"/>
                <w:sz w:val="14"/>
                <w:szCs w:val="14"/>
                <w:color w:val="auto"/>
                <w:w w:val="98"/>
              </w:rPr>
              <w:t>0%</w:t>
            </w:r>
          </w:p>
        </w:tc>
      </w:tr>
      <w:tr>
        <w:trPr>
          <w:trHeight w:val="35"/>
        </w:trPr>
        <w:tc>
          <w:tcPr>
            <w:tcW w:w="5560" w:type="dxa"/>
            <w:vAlign w:val="bottom"/>
            <w:tcBorders>
              <w:bottom w:val="single" w:sz="8" w:color="017B52"/>
            </w:tcBorders>
          </w:tcPr>
          <w:p>
            <w:pPr>
              <w:spacing w:after="0"/>
              <w:rPr>
                <w:sz w:val="3"/>
                <w:szCs w:val="3"/>
                <w:color w:val="auto"/>
              </w:rPr>
            </w:pPr>
          </w:p>
        </w:tc>
        <w:tc>
          <w:tcPr>
            <w:tcW w:w="4160" w:type="dxa"/>
            <w:vAlign w:val="bottom"/>
            <w:tcBorders>
              <w:bottom w:val="single" w:sz="8" w:color="017B52"/>
            </w:tcBorders>
          </w:tcPr>
          <w:p>
            <w:pPr>
              <w:spacing w:after="0"/>
              <w:rPr>
                <w:sz w:val="3"/>
                <w:szCs w:val="3"/>
                <w:color w:val="auto"/>
              </w:rPr>
            </w:pPr>
          </w:p>
        </w:tc>
      </w:tr>
    </w:tbl>
    <w:p>
      <w:pPr>
        <w:spacing w:after="0" w:line="14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addition, no shares are issuable unless the Company achieves the targeted pre-incentive compensation return on investment during the three-year performance period.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discloses and explains the determination of incentive compensation earned by the Named Executives for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40" w:type="dxa"/>
            <w:vAlign w:val="bottom"/>
          </w:tcPr>
          <w:p>
            <w:pPr>
              <w:jc w:val="center"/>
              <w:ind w:right="62"/>
              <w:spacing w:after="0"/>
              <w:rPr>
                <w:sz w:val="20"/>
                <w:szCs w:val="20"/>
                <w:color w:val="auto"/>
              </w:rPr>
            </w:pPr>
            <w:r>
              <w:rPr>
                <w:rFonts w:ascii="Arial" w:cs="Arial" w:eastAsia="Arial" w:hAnsi="Arial"/>
                <w:sz w:val="11"/>
                <w:szCs w:val="11"/>
                <w:b w:val="1"/>
                <w:bCs w:val="1"/>
                <w:color w:val="auto"/>
                <w:w w:val="98"/>
              </w:rPr>
              <w:t>PERCENT OF PBOP</w:t>
            </w:r>
          </w:p>
        </w:tc>
        <w:tc>
          <w:tcPr>
            <w:tcW w:w="2040" w:type="dxa"/>
            <w:vAlign w:val="bottom"/>
          </w:tcPr>
          <w:p>
            <w:pPr>
              <w:jc w:val="center"/>
              <w:ind w:left="22"/>
              <w:spacing w:after="0"/>
              <w:rPr>
                <w:sz w:val="20"/>
                <w:szCs w:val="20"/>
                <w:color w:val="auto"/>
              </w:rPr>
            </w:pPr>
            <w:r>
              <w:rPr>
                <w:rFonts w:ascii="Arial" w:cs="Arial" w:eastAsia="Arial" w:hAnsi="Arial"/>
                <w:sz w:val="11"/>
                <w:szCs w:val="11"/>
                <w:b w:val="1"/>
                <w:bCs w:val="1"/>
                <w:color w:val="auto"/>
                <w:w w:val="98"/>
              </w:rPr>
              <w:t>ADJUSTED ALLOCATION</w:t>
            </w:r>
          </w:p>
        </w:tc>
        <w:tc>
          <w:tcPr>
            <w:tcW w:w="15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40" w:type="dxa"/>
            <w:vAlign w:val="bottom"/>
          </w:tcPr>
          <w:p>
            <w:pPr>
              <w:jc w:val="center"/>
              <w:ind w:right="62"/>
              <w:spacing w:after="0" w:line="122" w:lineRule="exact"/>
              <w:rPr>
                <w:sz w:val="20"/>
                <w:szCs w:val="20"/>
                <w:color w:val="auto"/>
              </w:rPr>
            </w:pPr>
            <w:r>
              <w:rPr>
                <w:rFonts w:ascii="Arial" w:cs="Arial" w:eastAsia="Arial" w:hAnsi="Arial"/>
                <w:sz w:val="11"/>
                <w:szCs w:val="11"/>
                <w:b w:val="1"/>
                <w:bCs w:val="1"/>
                <w:color w:val="auto"/>
                <w:w w:val="97"/>
              </w:rPr>
              <w:t>CONTRIBUTED TO THE</w:t>
            </w:r>
          </w:p>
        </w:tc>
        <w:tc>
          <w:tcPr>
            <w:tcW w:w="2040" w:type="dxa"/>
            <w:vAlign w:val="bottom"/>
          </w:tcPr>
          <w:p>
            <w:pPr>
              <w:jc w:val="center"/>
              <w:ind w:left="2"/>
              <w:spacing w:after="0" w:line="122" w:lineRule="exact"/>
              <w:rPr>
                <w:sz w:val="20"/>
                <w:szCs w:val="20"/>
                <w:color w:val="auto"/>
              </w:rPr>
            </w:pPr>
            <w:r>
              <w:rPr>
                <w:rFonts w:ascii="Arial" w:cs="Arial" w:eastAsia="Arial" w:hAnsi="Arial"/>
                <w:sz w:val="11"/>
                <w:szCs w:val="11"/>
                <w:b w:val="1"/>
                <w:bCs w:val="1"/>
                <w:color w:val="auto"/>
                <w:w w:val="96"/>
              </w:rPr>
              <w:t>OF PARTICIPATION IN</w:t>
            </w:r>
          </w:p>
        </w:tc>
        <w:tc>
          <w:tcPr>
            <w:tcW w:w="1520" w:type="dxa"/>
            <w:vAlign w:val="bottom"/>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LONG-TERM</w:t>
            </w: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40" w:type="dxa"/>
            <w:vAlign w:val="bottom"/>
          </w:tcPr>
          <w:p>
            <w:pPr>
              <w:jc w:val="center"/>
              <w:ind w:right="62"/>
              <w:spacing w:after="0" w:line="108" w:lineRule="exact"/>
              <w:rPr>
                <w:sz w:val="20"/>
                <w:szCs w:val="20"/>
                <w:color w:val="auto"/>
              </w:rPr>
            </w:pPr>
            <w:r>
              <w:rPr>
                <w:rFonts w:ascii="Arial" w:cs="Arial" w:eastAsia="Arial" w:hAnsi="Arial"/>
                <w:sz w:val="11"/>
                <w:szCs w:val="11"/>
                <w:b w:val="1"/>
                <w:bCs w:val="1"/>
                <w:color w:val="auto"/>
                <w:w w:val="98"/>
              </w:rPr>
              <w:t>CORPORATE PROFIT</w:t>
            </w:r>
          </w:p>
        </w:tc>
        <w:tc>
          <w:tcPr>
            <w:tcW w:w="2040" w:type="dxa"/>
            <w:vAlign w:val="bottom"/>
          </w:tcPr>
          <w:p>
            <w:pPr>
              <w:jc w:val="center"/>
              <w:ind w:left="22"/>
              <w:spacing w:after="0" w:line="108" w:lineRule="exact"/>
              <w:rPr>
                <w:sz w:val="20"/>
                <w:szCs w:val="20"/>
                <w:color w:val="auto"/>
              </w:rPr>
            </w:pPr>
            <w:r>
              <w:rPr>
                <w:rFonts w:ascii="Arial" w:cs="Arial" w:eastAsia="Arial" w:hAnsi="Arial"/>
                <w:sz w:val="11"/>
                <w:szCs w:val="11"/>
                <w:b w:val="1"/>
                <w:bCs w:val="1"/>
                <w:color w:val="auto"/>
                <w:w w:val="97"/>
              </w:rPr>
              <w:t>THE CORPORATE PROFIT</w:t>
            </w:r>
          </w:p>
        </w:tc>
        <w:tc>
          <w:tcPr>
            <w:tcW w:w="15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2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ACTUAL ROI</w:t>
            </w:r>
            <w:r>
              <w:rPr>
                <w:rFonts w:ascii="Arial" w:cs="Arial" w:eastAsia="Arial" w:hAnsi="Arial"/>
                <w:sz w:val="17"/>
                <w:szCs w:val="17"/>
                <w:b w:val="1"/>
                <w:bCs w:val="1"/>
                <w:color w:val="auto"/>
                <w:vertAlign w:val="superscript"/>
              </w:rPr>
              <w:t>(1)</w:t>
            </w:r>
          </w:p>
        </w:tc>
        <w:tc>
          <w:tcPr>
            <w:tcW w:w="1840" w:type="dxa"/>
            <w:vAlign w:val="bottom"/>
          </w:tcPr>
          <w:p>
            <w:pPr>
              <w:jc w:val="center"/>
              <w:ind w:right="62"/>
              <w:spacing w:after="0" w:line="122" w:lineRule="exact"/>
              <w:rPr>
                <w:sz w:val="20"/>
                <w:szCs w:val="20"/>
                <w:color w:val="auto"/>
              </w:rPr>
            </w:pPr>
            <w:r>
              <w:rPr>
                <w:rFonts w:ascii="Arial" w:cs="Arial" w:eastAsia="Arial" w:hAnsi="Arial"/>
                <w:sz w:val="11"/>
                <w:szCs w:val="11"/>
                <w:b w:val="1"/>
                <w:bCs w:val="1"/>
                <w:color w:val="auto"/>
                <w:w w:val="97"/>
              </w:rPr>
              <w:t>CENTER INCENTIVE</w:t>
            </w:r>
          </w:p>
        </w:tc>
        <w:tc>
          <w:tcPr>
            <w:tcW w:w="2040" w:type="dxa"/>
            <w:vAlign w:val="bottom"/>
          </w:tcPr>
          <w:p>
            <w:pPr>
              <w:jc w:val="center"/>
              <w:ind w:left="22"/>
              <w:spacing w:after="0" w:line="122" w:lineRule="exact"/>
              <w:rPr>
                <w:sz w:val="20"/>
                <w:szCs w:val="20"/>
                <w:color w:val="auto"/>
              </w:rPr>
            </w:pPr>
            <w:r>
              <w:rPr>
                <w:rFonts w:ascii="Arial" w:cs="Arial" w:eastAsia="Arial" w:hAnsi="Arial"/>
                <w:sz w:val="11"/>
                <w:szCs w:val="11"/>
                <w:b w:val="1"/>
                <w:bCs w:val="1"/>
                <w:color w:val="auto"/>
                <w:w w:val="97"/>
              </w:rPr>
              <w:t>CENTER INCENTIVE</w:t>
            </w:r>
          </w:p>
        </w:tc>
        <w:tc>
          <w:tcPr>
            <w:tcW w:w="1520" w:type="dxa"/>
            <w:vAlign w:val="bottom"/>
          </w:tcPr>
          <w:p>
            <w:pPr>
              <w:jc w:val="center"/>
              <w:ind w:left="20"/>
              <w:spacing w:after="0" w:line="122" w:lineRule="exact"/>
              <w:rPr>
                <w:sz w:val="20"/>
                <w:szCs w:val="20"/>
                <w:color w:val="auto"/>
              </w:rPr>
            </w:pPr>
            <w:r>
              <w:rPr>
                <w:rFonts w:ascii="Arial" w:cs="Arial" w:eastAsia="Arial" w:hAnsi="Arial"/>
                <w:sz w:val="11"/>
                <w:szCs w:val="11"/>
                <w:b w:val="1"/>
                <w:bCs w:val="1"/>
                <w:color w:val="auto"/>
                <w:w w:val="99"/>
              </w:rPr>
              <w:t>ANNUAL CASH</w:t>
            </w:r>
          </w:p>
        </w:tc>
        <w:tc>
          <w:tcPr>
            <w:tcW w:w="1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INCENTIVE</w:t>
            </w:r>
          </w:p>
        </w:tc>
        <w:tc>
          <w:tcPr>
            <w:tcW w:w="0" w:type="dxa"/>
            <w:vAlign w:val="bottom"/>
          </w:tcPr>
          <w:p>
            <w:pPr>
              <w:spacing w:after="0"/>
              <w:rPr>
                <w:sz w:val="1"/>
                <w:szCs w:val="1"/>
                <w:color w:val="auto"/>
              </w:rPr>
            </w:pPr>
          </w:p>
        </w:tc>
      </w:tr>
      <w:tr>
        <w:trPr>
          <w:trHeight w:val="176"/>
        </w:trPr>
        <w:tc>
          <w:tcPr>
            <w:tcW w:w="1600" w:type="dxa"/>
            <w:vAlign w:val="bottom"/>
            <w:tcBorders>
              <w:bottom w:val="single" w:sz="8" w:color="017B52"/>
            </w:tcBorders>
          </w:tcPr>
          <w:p>
            <w:pPr>
              <w:ind w:left="100"/>
              <w:spacing w:after="0"/>
              <w:rPr>
                <w:sz w:val="20"/>
                <w:szCs w:val="20"/>
                <w:color w:val="auto"/>
              </w:rPr>
            </w:pPr>
            <w:r>
              <w:rPr>
                <w:rFonts w:ascii="Arial" w:cs="Arial" w:eastAsia="Arial" w:hAnsi="Arial"/>
                <w:sz w:val="11"/>
                <w:szCs w:val="11"/>
                <w:b w:val="1"/>
                <w:bCs w:val="1"/>
                <w:color w:val="auto"/>
              </w:rPr>
              <w:t>NAMED EXECUTIVE</w:t>
            </w:r>
          </w:p>
        </w:tc>
        <w:tc>
          <w:tcPr>
            <w:tcW w:w="1260" w:type="dxa"/>
            <w:vAlign w:val="bottom"/>
            <w:tcBorders>
              <w:bottom w:val="single" w:sz="8" w:color="017B52"/>
            </w:tcBorders>
            <w:vMerge w:val="continue"/>
          </w:tcPr>
          <w:p>
            <w:pPr>
              <w:spacing w:after="0"/>
              <w:rPr>
                <w:sz w:val="15"/>
                <w:szCs w:val="15"/>
                <w:color w:val="auto"/>
              </w:rPr>
            </w:pPr>
          </w:p>
        </w:tc>
        <w:tc>
          <w:tcPr>
            <w:tcW w:w="1840" w:type="dxa"/>
            <w:vAlign w:val="bottom"/>
            <w:tcBorders>
              <w:bottom w:val="single" w:sz="8" w:color="017B52"/>
            </w:tcBorders>
          </w:tcPr>
          <w:p>
            <w:pPr>
              <w:jc w:val="center"/>
              <w:ind w:right="62"/>
              <w:spacing w:after="0"/>
              <w:rPr>
                <w:sz w:val="20"/>
                <w:szCs w:val="20"/>
                <w:color w:val="auto"/>
              </w:rPr>
            </w:pPr>
            <w:r>
              <w:rPr>
                <w:rFonts w:ascii="Arial" w:cs="Arial" w:eastAsia="Arial" w:hAnsi="Arial"/>
                <w:sz w:val="11"/>
                <w:szCs w:val="11"/>
                <w:b w:val="1"/>
                <w:bCs w:val="1"/>
                <w:color w:val="auto"/>
                <w:w w:val="96"/>
              </w:rPr>
              <w:t>COMPENSATION POOL</w:t>
            </w:r>
          </w:p>
        </w:tc>
        <w:tc>
          <w:tcPr>
            <w:tcW w:w="2040" w:type="dxa"/>
            <w:vAlign w:val="bottom"/>
            <w:tcBorders>
              <w:bottom w:val="single" w:sz="8" w:color="017B52"/>
            </w:tcBorders>
          </w:tcPr>
          <w:p>
            <w:pPr>
              <w:jc w:val="center"/>
              <w:ind w:left="22"/>
              <w:spacing w:after="0"/>
              <w:rPr>
                <w:sz w:val="20"/>
                <w:szCs w:val="20"/>
                <w:color w:val="auto"/>
              </w:rPr>
            </w:pPr>
            <w:r>
              <w:rPr>
                <w:rFonts w:ascii="Arial" w:cs="Arial" w:eastAsia="Arial" w:hAnsi="Arial"/>
                <w:sz w:val="11"/>
                <w:szCs w:val="11"/>
                <w:b w:val="1"/>
                <w:bCs w:val="1"/>
                <w:color w:val="auto"/>
                <w:w w:val="96"/>
              </w:rPr>
              <w:t>COMPENSATION POOL</w:t>
            </w:r>
          </w:p>
        </w:tc>
        <w:tc>
          <w:tcPr>
            <w:tcW w:w="1520" w:type="dxa"/>
            <w:vAlign w:val="bottom"/>
            <w:tcBorders>
              <w:bottom w:val="single" w:sz="8" w:color="017B52"/>
            </w:tcBorders>
          </w:tcPr>
          <w:p>
            <w:pPr>
              <w:jc w:val="center"/>
              <w:ind w:left="20"/>
              <w:spacing w:after="0" w:line="176" w:lineRule="exact"/>
              <w:rPr>
                <w:sz w:val="20"/>
                <w:szCs w:val="20"/>
                <w:color w:val="auto"/>
              </w:rPr>
            </w:pPr>
            <w:r>
              <w:rPr>
                <w:rFonts w:ascii="Arial" w:cs="Arial" w:eastAsia="Arial" w:hAnsi="Arial"/>
                <w:sz w:val="11"/>
                <w:szCs w:val="11"/>
                <w:b w:val="1"/>
                <w:bCs w:val="1"/>
                <w:color w:val="auto"/>
                <w:w w:val="94"/>
              </w:rPr>
              <w:t>INCENTIVE PAID</w:t>
            </w:r>
            <w:r>
              <w:rPr>
                <w:rFonts w:ascii="Arial" w:cs="Arial" w:eastAsia="Arial" w:hAnsi="Arial"/>
                <w:sz w:val="17"/>
                <w:szCs w:val="17"/>
                <w:b w:val="1"/>
                <w:bCs w:val="1"/>
                <w:color w:val="auto"/>
                <w:w w:val="94"/>
                <w:vertAlign w:val="superscript"/>
              </w:rPr>
              <w:t>(2)</w:t>
            </w:r>
          </w:p>
        </w:tc>
        <w:tc>
          <w:tcPr>
            <w:tcW w:w="1460" w:type="dxa"/>
            <w:vAlign w:val="bottom"/>
            <w:tcBorders>
              <w:bottom w:val="single" w:sz="8" w:color="017B52"/>
            </w:tcBorders>
          </w:tcPr>
          <w:p>
            <w:pPr>
              <w:jc w:val="center"/>
              <w:spacing w:after="0" w:line="176" w:lineRule="exact"/>
              <w:rPr>
                <w:sz w:val="20"/>
                <w:szCs w:val="20"/>
                <w:color w:val="auto"/>
              </w:rPr>
            </w:pPr>
            <w:r>
              <w:rPr>
                <w:rFonts w:ascii="Arial" w:cs="Arial" w:eastAsia="Arial" w:hAnsi="Arial"/>
                <w:sz w:val="11"/>
                <w:szCs w:val="11"/>
                <w:b w:val="1"/>
                <w:bCs w:val="1"/>
                <w:color w:val="auto"/>
                <w:w w:val="94"/>
              </w:rPr>
              <w:t>COMPENSATION</w:t>
            </w:r>
            <w:r>
              <w:rPr>
                <w:rFonts w:ascii="Arial" w:cs="Arial" w:eastAsia="Arial" w:hAnsi="Arial"/>
                <w:sz w:val="17"/>
                <w:szCs w:val="17"/>
                <w:b w:val="1"/>
                <w:bCs w:val="1"/>
                <w:color w:val="auto"/>
                <w:w w:val="94"/>
                <w:vertAlign w:val="superscript"/>
              </w:rPr>
              <w:t>(2)</w:t>
            </w:r>
          </w:p>
        </w:tc>
        <w:tc>
          <w:tcPr>
            <w:tcW w:w="0" w:type="dxa"/>
            <w:vAlign w:val="bottom"/>
          </w:tcPr>
          <w:p>
            <w:pPr>
              <w:spacing w:after="0"/>
              <w:rPr>
                <w:sz w:val="1"/>
                <w:szCs w:val="1"/>
                <w:color w:val="auto"/>
              </w:rPr>
            </w:pPr>
          </w:p>
        </w:tc>
      </w:tr>
      <w:tr>
        <w:trPr>
          <w:trHeight w:val="228"/>
        </w:trPr>
        <w:tc>
          <w:tcPr>
            <w:tcW w:w="1600" w:type="dxa"/>
            <w:vAlign w:val="bottom"/>
          </w:tcPr>
          <w:p>
            <w:pPr>
              <w:ind w:left="100"/>
              <w:spacing w:after="0"/>
              <w:rPr>
                <w:sz w:val="20"/>
                <w:szCs w:val="20"/>
                <w:color w:val="auto"/>
              </w:rPr>
            </w:pPr>
            <w:r>
              <w:rPr>
                <w:rFonts w:ascii="Arial" w:cs="Arial" w:eastAsia="Arial" w:hAnsi="Arial"/>
                <w:sz w:val="13"/>
                <w:szCs w:val="13"/>
                <w:b w:val="1"/>
                <w:bCs w:val="1"/>
                <w:color w:val="017B52"/>
              </w:rPr>
              <w:t>Matthew J. Missad</w:t>
            </w:r>
          </w:p>
        </w:tc>
        <w:tc>
          <w:tcPr>
            <w:tcW w:w="1260" w:type="dxa"/>
            <w:vAlign w:val="bottom"/>
          </w:tcPr>
          <w:p>
            <w:pPr>
              <w:jc w:val="center"/>
              <w:spacing w:after="0"/>
              <w:rPr>
                <w:sz w:val="20"/>
                <w:szCs w:val="20"/>
                <w:color w:val="auto"/>
              </w:rPr>
            </w:pPr>
            <w:r>
              <w:rPr>
                <w:rFonts w:ascii="Arial" w:cs="Arial" w:eastAsia="Arial" w:hAnsi="Arial"/>
                <w:sz w:val="13"/>
                <w:szCs w:val="13"/>
                <w:color w:val="333333"/>
                <w:w w:val="97"/>
              </w:rPr>
              <w:t>29.4%</w:t>
            </w:r>
          </w:p>
        </w:tc>
        <w:tc>
          <w:tcPr>
            <w:tcW w:w="1840" w:type="dxa"/>
            <w:vAlign w:val="bottom"/>
          </w:tcPr>
          <w:p>
            <w:pPr>
              <w:jc w:val="center"/>
              <w:ind w:right="62"/>
              <w:spacing w:after="0"/>
              <w:rPr>
                <w:sz w:val="20"/>
                <w:szCs w:val="20"/>
                <w:color w:val="auto"/>
              </w:rPr>
            </w:pPr>
            <w:r>
              <w:rPr>
                <w:rFonts w:ascii="Arial" w:cs="Arial" w:eastAsia="Arial" w:hAnsi="Arial"/>
                <w:sz w:val="13"/>
                <w:szCs w:val="13"/>
                <w:color w:val="333333"/>
                <w:w w:val="94"/>
              </w:rPr>
              <w:t>6.5%</w:t>
            </w:r>
          </w:p>
        </w:tc>
        <w:tc>
          <w:tcPr>
            <w:tcW w:w="2040" w:type="dxa"/>
            <w:vAlign w:val="bottom"/>
          </w:tcPr>
          <w:p>
            <w:pPr>
              <w:jc w:val="center"/>
              <w:ind w:left="2"/>
              <w:spacing w:after="0"/>
              <w:rPr>
                <w:sz w:val="20"/>
                <w:szCs w:val="20"/>
                <w:color w:val="auto"/>
              </w:rPr>
            </w:pPr>
            <w:r>
              <w:rPr>
                <w:rFonts w:ascii="Arial" w:cs="Arial" w:eastAsia="Arial" w:hAnsi="Arial"/>
                <w:sz w:val="13"/>
                <w:szCs w:val="13"/>
                <w:color w:val="333333"/>
                <w:w w:val="95"/>
              </w:rPr>
              <w:t>12.07%</w:t>
            </w:r>
          </w:p>
        </w:tc>
        <w:tc>
          <w:tcPr>
            <w:tcW w:w="1520" w:type="dxa"/>
            <w:vAlign w:val="bottom"/>
          </w:tcPr>
          <w:p>
            <w:pPr>
              <w:jc w:val="center"/>
              <w:ind w:left="20"/>
              <w:spacing w:after="0"/>
              <w:rPr>
                <w:sz w:val="20"/>
                <w:szCs w:val="20"/>
                <w:color w:val="auto"/>
              </w:rPr>
            </w:pPr>
            <w:r>
              <w:rPr>
                <w:rFonts w:ascii="Arial" w:cs="Arial" w:eastAsia="Arial" w:hAnsi="Arial"/>
                <w:sz w:val="13"/>
                <w:szCs w:val="13"/>
                <w:color w:val="333333"/>
                <w:w w:val="98"/>
              </w:rPr>
              <w:t>$1,726,482</w:t>
            </w:r>
          </w:p>
        </w:tc>
        <w:tc>
          <w:tcPr>
            <w:tcW w:w="1460" w:type="dxa"/>
            <w:vAlign w:val="bottom"/>
          </w:tcPr>
          <w:p>
            <w:pPr>
              <w:jc w:val="center"/>
              <w:spacing w:after="0"/>
              <w:rPr>
                <w:sz w:val="20"/>
                <w:szCs w:val="20"/>
                <w:color w:val="auto"/>
              </w:rPr>
            </w:pPr>
            <w:r>
              <w:rPr>
                <w:rFonts w:ascii="Arial" w:cs="Arial" w:eastAsia="Arial" w:hAnsi="Arial"/>
                <w:sz w:val="13"/>
                <w:szCs w:val="13"/>
                <w:color w:val="333333"/>
                <w:w w:val="98"/>
              </w:rPr>
              <w:t>$7,606,239</w:t>
            </w:r>
          </w:p>
        </w:tc>
        <w:tc>
          <w:tcPr>
            <w:tcW w:w="0" w:type="dxa"/>
            <w:vAlign w:val="bottom"/>
          </w:tcPr>
          <w:p>
            <w:pPr>
              <w:spacing w:after="0"/>
              <w:rPr>
                <w:sz w:val="1"/>
                <w:szCs w:val="1"/>
                <w:color w:val="auto"/>
              </w:rPr>
            </w:pPr>
          </w:p>
        </w:tc>
      </w:tr>
      <w:tr>
        <w:trPr>
          <w:trHeight w:val="62"/>
        </w:trPr>
        <w:tc>
          <w:tcPr>
            <w:tcW w:w="160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840" w:type="dxa"/>
            <w:vAlign w:val="bottom"/>
            <w:tcBorders>
              <w:bottom w:val="single" w:sz="8" w:color="017B52"/>
            </w:tcBorders>
          </w:tcPr>
          <w:p>
            <w:pPr>
              <w:spacing w:after="0"/>
              <w:rPr>
                <w:sz w:val="5"/>
                <w:szCs w:val="5"/>
                <w:color w:val="auto"/>
              </w:rPr>
            </w:pPr>
          </w:p>
        </w:tc>
        <w:tc>
          <w:tcPr>
            <w:tcW w:w="2040" w:type="dxa"/>
            <w:vAlign w:val="bottom"/>
            <w:tcBorders>
              <w:bottom w:val="single" w:sz="8" w:color="017B52"/>
            </w:tcBorders>
          </w:tcPr>
          <w:p>
            <w:pPr>
              <w:spacing w:after="0"/>
              <w:rPr>
                <w:sz w:val="5"/>
                <w:szCs w:val="5"/>
                <w:color w:val="auto"/>
              </w:rPr>
            </w:pPr>
          </w:p>
        </w:tc>
        <w:tc>
          <w:tcPr>
            <w:tcW w:w="1520" w:type="dxa"/>
            <w:vAlign w:val="bottom"/>
            <w:tcBorders>
              <w:bottom w:val="single" w:sz="8" w:color="017B52"/>
            </w:tcBorders>
          </w:tcPr>
          <w:p>
            <w:pPr>
              <w:spacing w:after="0"/>
              <w:rPr>
                <w:sz w:val="5"/>
                <w:szCs w:val="5"/>
                <w:color w:val="auto"/>
              </w:rPr>
            </w:pPr>
          </w:p>
        </w:tc>
        <w:tc>
          <w:tcPr>
            <w:tcW w:w="1460" w:type="dxa"/>
            <w:vAlign w:val="bottom"/>
            <w:tcBorders>
              <w:bottom w:val="single" w:sz="8" w:color="017B52"/>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600" w:type="dxa"/>
            <w:vAlign w:val="bottom"/>
          </w:tcPr>
          <w:p>
            <w:pPr>
              <w:ind w:left="100"/>
              <w:spacing w:after="0"/>
              <w:rPr>
                <w:sz w:val="20"/>
                <w:szCs w:val="20"/>
                <w:color w:val="auto"/>
              </w:rPr>
            </w:pPr>
            <w:r>
              <w:rPr>
                <w:rFonts w:ascii="Arial" w:cs="Arial" w:eastAsia="Arial" w:hAnsi="Arial"/>
                <w:sz w:val="13"/>
                <w:szCs w:val="13"/>
                <w:b w:val="1"/>
                <w:bCs w:val="1"/>
                <w:color w:val="017B52"/>
              </w:rPr>
              <w:t>Michael R. Cole</w:t>
            </w:r>
          </w:p>
        </w:tc>
        <w:tc>
          <w:tcPr>
            <w:tcW w:w="1260" w:type="dxa"/>
            <w:vAlign w:val="bottom"/>
          </w:tcPr>
          <w:p>
            <w:pPr>
              <w:jc w:val="center"/>
              <w:spacing w:after="0"/>
              <w:rPr>
                <w:sz w:val="20"/>
                <w:szCs w:val="20"/>
                <w:color w:val="auto"/>
              </w:rPr>
            </w:pPr>
            <w:r>
              <w:rPr>
                <w:rFonts w:ascii="Arial" w:cs="Arial" w:eastAsia="Arial" w:hAnsi="Arial"/>
                <w:sz w:val="13"/>
                <w:szCs w:val="13"/>
                <w:color w:val="333333"/>
                <w:w w:val="97"/>
              </w:rPr>
              <w:t>29.4%</w:t>
            </w:r>
          </w:p>
        </w:tc>
        <w:tc>
          <w:tcPr>
            <w:tcW w:w="1840" w:type="dxa"/>
            <w:vAlign w:val="bottom"/>
          </w:tcPr>
          <w:p>
            <w:pPr>
              <w:jc w:val="center"/>
              <w:ind w:right="62"/>
              <w:spacing w:after="0"/>
              <w:rPr>
                <w:sz w:val="20"/>
                <w:szCs w:val="20"/>
                <w:color w:val="auto"/>
              </w:rPr>
            </w:pPr>
            <w:r>
              <w:rPr>
                <w:rFonts w:ascii="Arial" w:cs="Arial" w:eastAsia="Arial" w:hAnsi="Arial"/>
                <w:sz w:val="13"/>
                <w:szCs w:val="13"/>
                <w:color w:val="333333"/>
                <w:w w:val="94"/>
              </w:rPr>
              <w:t>6.5%</w:t>
            </w:r>
          </w:p>
        </w:tc>
        <w:tc>
          <w:tcPr>
            <w:tcW w:w="2040" w:type="dxa"/>
            <w:vAlign w:val="bottom"/>
          </w:tcPr>
          <w:p>
            <w:pPr>
              <w:jc w:val="center"/>
              <w:ind w:left="22"/>
              <w:spacing w:after="0"/>
              <w:rPr>
                <w:sz w:val="20"/>
                <w:szCs w:val="20"/>
                <w:color w:val="auto"/>
              </w:rPr>
            </w:pPr>
            <w:r>
              <w:rPr>
                <w:rFonts w:ascii="Arial" w:cs="Arial" w:eastAsia="Arial" w:hAnsi="Arial"/>
                <w:sz w:val="13"/>
                <w:szCs w:val="13"/>
                <w:color w:val="333333"/>
                <w:w w:val="97"/>
              </w:rPr>
              <w:t>4.96%</w:t>
            </w:r>
          </w:p>
        </w:tc>
        <w:tc>
          <w:tcPr>
            <w:tcW w:w="1520" w:type="dxa"/>
            <w:vAlign w:val="bottom"/>
          </w:tcPr>
          <w:p>
            <w:pPr>
              <w:jc w:val="center"/>
              <w:ind w:left="20"/>
              <w:spacing w:after="0"/>
              <w:rPr>
                <w:sz w:val="20"/>
                <w:szCs w:val="20"/>
                <w:color w:val="auto"/>
              </w:rPr>
            </w:pPr>
            <w:r>
              <w:rPr>
                <w:rFonts w:ascii="Arial" w:cs="Arial" w:eastAsia="Arial" w:hAnsi="Arial"/>
                <w:sz w:val="13"/>
                <w:szCs w:val="13"/>
                <w:color w:val="333333"/>
                <w:w w:val="95"/>
              </w:rPr>
              <w:t>$930,000</w:t>
            </w:r>
          </w:p>
        </w:tc>
        <w:tc>
          <w:tcPr>
            <w:tcW w:w="1460" w:type="dxa"/>
            <w:vAlign w:val="bottom"/>
          </w:tcPr>
          <w:p>
            <w:pPr>
              <w:jc w:val="center"/>
              <w:spacing w:after="0"/>
              <w:rPr>
                <w:sz w:val="20"/>
                <w:szCs w:val="20"/>
                <w:color w:val="auto"/>
              </w:rPr>
            </w:pPr>
            <w:r>
              <w:rPr>
                <w:rFonts w:ascii="Arial" w:cs="Arial" w:eastAsia="Arial" w:hAnsi="Arial"/>
                <w:sz w:val="13"/>
                <w:szCs w:val="13"/>
                <w:color w:val="333333"/>
                <w:w w:val="98"/>
              </w:rPr>
              <w:t>$2,903,088</w:t>
            </w:r>
          </w:p>
        </w:tc>
        <w:tc>
          <w:tcPr>
            <w:tcW w:w="0" w:type="dxa"/>
            <w:vAlign w:val="bottom"/>
          </w:tcPr>
          <w:p>
            <w:pPr>
              <w:spacing w:after="0"/>
              <w:rPr>
                <w:sz w:val="1"/>
                <w:szCs w:val="1"/>
                <w:color w:val="auto"/>
              </w:rPr>
            </w:pPr>
          </w:p>
        </w:tc>
      </w:tr>
      <w:tr>
        <w:trPr>
          <w:trHeight w:val="62"/>
        </w:trPr>
        <w:tc>
          <w:tcPr>
            <w:tcW w:w="160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840" w:type="dxa"/>
            <w:vAlign w:val="bottom"/>
            <w:tcBorders>
              <w:bottom w:val="single" w:sz="8" w:color="017B52"/>
            </w:tcBorders>
          </w:tcPr>
          <w:p>
            <w:pPr>
              <w:spacing w:after="0"/>
              <w:rPr>
                <w:sz w:val="5"/>
                <w:szCs w:val="5"/>
                <w:color w:val="auto"/>
              </w:rPr>
            </w:pPr>
          </w:p>
        </w:tc>
        <w:tc>
          <w:tcPr>
            <w:tcW w:w="2040" w:type="dxa"/>
            <w:vAlign w:val="bottom"/>
            <w:tcBorders>
              <w:bottom w:val="single" w:sz="8" w:color="017B52"/>
            </w:tcBorders>
          </w:tcPr>
          <w:p>
            <w:pPr>
              <w:spacing w:after="0"/>
              <w:rPr>
                <w:sz w:val="5"/>
                <w:szCs w:val="5"/>
                <w:color w:val="auto"/>
              </w:rPr>
            </w:pPr>
          </w:p>
        </w:tc>
        <w:tc>
          <w:tcPr>
            <w:tcW w:w="1520" w:type="dxa"/>
            <w:vAlign w:val="bottom"/>
            <w:tcBorders>
              <w:bottom w:val="single" w:sz="8" w:color="017B52"/>
            </w:tcBorders>
          </w:tcPr>
          <w:p>
            <w:pPr>
              <w:spacing w:after="0"/>
              <w:rPr>
                <w:sz w:val="5"/>
                <w:szCs w:val="5"/>
                <w:color w:val="auto"/>
              </w:rPr>
            </w:pPr>
          </w:p>
        </w:tc>
        <w:tc>
          <w:tcPr>
            <w:tcW w:w="1460" w:type="dxa"/>
            <w:vAlign w:val="bottom"/>
            <w:tcBorders>
              <w:bottom w:val="single" w:sz="8" w:color="017B52"/>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600" w:type="dxa"/>
            <w:vAlign w:val="bottom"/>
          </w:tcPr>
          <w:p>
            <w:pPr>
              <w:ind w:left="100"/>
              <w:spacing w:after="0"/>
              <w:rPr>
                <w:sz w:val="20"/>
                <w:szCs w:val="20"/>
                <w:color w:val="auto"/>
              </w:rPr>
            </w:pPr>
            <w:r>
              <w:rPr>
                <w:rFonts w:ascii="Arial" w:cs="Arial" w:eastAsia="Arial" w:hAnsi="Arial"/>
                <w:sz w:val="13"/>
                <w:szCs w:val="13"/>
                <w:b w:val="1"/>
                <w:bCs w:val="1"/>
                <w:color w:val="017B52"/>
              </w:rPr>
              <w:t>Patrick M. Webster</w:t>
            </w:r>
          </w:p>
        </w:tc>
        <w:tc>
          <w:tcPr>
            <w:tcW w:w="1260" w:type="dxa"/>
            <w:vAlign w:val="bottom"/>
          </w:tcPr>
          <w:p>
            <w:pPr>
              <w:jc w:val="center"/>
              <w:spacing w:after="0"/>
              <w:rPr>
                <w:sz w:val="20"/>
                <w:szCs w:val="20"/>
                <w:color w:val="auto"/>
              </w:rPr>
            </w:pPr>
            <w:r>
              <w:rPr>
                <w:rFonts w:ascii="Arial" w:cs="Arial" w:eastAsia="Arial" w:hAnsi="Arial"/>
                <w:sz w:val="13"/>
                <w:szCs w:val="13"/>
                <w:color w:val="333333"/>
                <w:w w:val="97"/>
              </w:rPr>
              <w:t>29.4%</w:t>
            </w:r>
          </w:p>
        </w:tc>
        <w:tc>
          <w:tcPr>
            <w:tcW w:w="1840" w:type="dxa"/>
            <w:vAlign w:val="bottom"/>
          </w:tcPr>
          <w:p>
            <w:pPr>
              <w:jc w:val="center"/>
              <w:ind w:right="62"/>
              <w:spacing w:after="0"/>
              <w:rPr>
                <w:sz w:val="20"/>
                <w:szCs w:val="20"/>
                <w:color w:val="auto"/>
              </w:rPr>
            </w:pPr>
            <w:r>
              <w:rPr>
                <w:rFonts w:ascii="Arial" w:cs="Arial" w:eastAsia="Arial" w:hAnsi="Arial"/>
                <w:sz w:val="13"/>
                <w:szCs w:val="13"/>
                <w:color w:val="333333"/>
                <w:w w:val="94"/>
              </w:rPr>
              <w:t>6.5%</w:t>
            </w:r>
          </w:p>
        </w:tc>
        <w:tc>
          <w:tcPr>
            <w:tcW w:w="2040" w:type="dxa"/>
            <w:vAlign w:val="bottom"/>
          </w:tcPr>
          <w:p>
            <w:pPr>
              <w:jc w:val="center"/>
              <w:ind w:left="22"/>
              <w:spacing w:after="0"/>
              <w:rPr>
                <w:sz w:val="20"/>
                <w:szCs w:val="20"/>
                <w:color w:val="auto"/>
              </w:rPr>
            </w:pPr>
            <w:r>
              <w:rPr>
                <w:rFonts w:ascii="Arial" w:cs="Arial" w:eastAsia="Arial" w:hAnsi="Arial"/>
                <w:sz w:val="13"/>
                <w:szCs w:val="13"/>
                <w:color w:val="333333"/>
                <w:w w:val="97"/>
              </w:rPr>
              <w:t>9.05%</w:t>
            </w:r>
          </w:p>
        </w:tc>
        <w:tc>
          <w:tcPr>
            <w:tcW w:w="1520" w:type="dxa"/>
            <w:vAlign w:val="bottom"/>
          </w:tcPr>
          <w:p>
            <w:pPr>
              <w:jc w:val="center"/>
              <w:ind w:left="20"/>
              <w:spacing w:after="0"/>
              <w:rPr>
                <w:sz w:val="20"/>
                <w:szCs w:val="20"/>
                <w:color w:val="auto"/>
              </w:rPr>
            </w:pPr>
            <w:r>
              <w:rPr>
                <w:rFonts w:ascii="Arial" w:cs="Arial" w:eastAsia="Arial" w:hAnsi="Arial"/>
                <w:sz w:val="13"/>
                <w:szCs w:val="13"/>
                <w:color w:val="333333"/>
                <w:w w:val="95"/>
              </w:rPr>
              <w:t>$983,416</w:t>
            </w:r>
          </w:p>
        </w:tc>
        <w:tc>
          <w:tcPr>
            <w:tcW w:w="1460" w:type="dxa"/>
            <w:vAlign w:val="bottom"/>
          </w:tcPr>
          <w:p>
            <w:pPr>
              <w:jc w:val="center"/>
              <w:spacing w:after="0"/>
              <w:rPr>
                <w:sz w:val="20"/>
                <w:szCs w:val="20"/>
                <w:color w:val="auto"/>
              </w:rPr>
            </w:pPr>
            <w:r>
              <w:rPr>
                <w:rFonts w:ascii="Arial" w:cs="Arial" w:eastAsia="Arial" w:hAnsi="Arial"/>
                <w:sz w:val="13"/>
                <w:szCs w:val="13"/>
                <w:color w:val="333333"/>
                <w:w w:val="98"/>
              </w:rPr>
              <w:t>$6,016,125</w:t>
            </w:r>
          </w:p>
        </w:tc>
        <w:tc>
          <w:tcPr>
            <w:tcW w:w="0" w:type="dxa"/>
            <w:vAlign w:val="bottom"/>
          </w:tcPr>
          <w:p>
            <w:pPr>
              <w:spacing w:after="0"/>
              <w:rPr>
                <w:sz w:val="1"/>
                <w:szCs w:val="1"/>
                <w:color w:val="auto"/>
              </w:rPr>
            </w:pPr>
          </w:p>
        </w:tc>
      </w:tr>
      <w:tr>
        <w:trPr>
          <w:trHeight w:val="62"/>
        </w:trPr>
        <w:tc>
          <w:tcPr>
            <w:tcW w:w="160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840" w:type="dxa"/>
            <w:vAlign w:val="bottom"/>
            <w:tcBorders>
              <w:bottom w:val="single" w:sz="8" w:color="017B52"/>
            </w:tcBorders>
          </w:tcPr>
          <w:p>
            <w:pPr>
              <w:spacing w:after="0"/>
              <w:rPr>
                <w:sz w:val="5"/>
                <w:szCs w:val="5"/>
                <w:color w:val="auto"/>
              </w:rPr>
            </w:pPr>
          </w:p>
        </w:tc>
        <w:tc>
          <w:tcPr>
            <w:tcW w:w="2040" w:type="dxa"/>
            <w:vAlign w:val="bottom"/>
            <w:tcBorders>
              <w:bottom w:val="single" w:sz="8" w:color="017B52"/>
            </w:tcBorders>
          </w:tcPr>
          <w:p>
            <w:pPr>
              <w:spacing w:after="0"/>
              <w:rPr>
                <w:sz w:val="5"/>
                <w:szCs w:val="5"/>
                <w:color w:val="auto"/>
              </w:rPr>
            </w:pPr>
          </w:p>
        </w:tc>
        <w:tc>
          <w:tcPr>
            <w:tcW w:w="1520" w:type="dxa"/>
            <w:vAlign w:val="bottom"/>
            <w:tcBorders>
              <w:bottom w:val="single" w:sz="8" w:color="017B52"/>
            </w:tcBorders>
          </w:tcPr>
          <w:p>
            <w:pPr>
              <w:spacing w:after="0"/>
              <w:rPr>
                <w:sz w:val="5"/>
                <w:szCs w:val="5"/>
                <w:color w:val="auto"/>
              </w:rPr>
            </w:pPr>
          </w:p>
        </w:tc>
        <w:tc>
          <w:tcPr>
            <w:tcW w:w="1460" w:type="dxa"/>
            <w:vAlign w:val="bottom"/>
            <w:tcBorders>
              <w:bottom w:val="single" w:sz="8" w:color="017B52"/>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600" w:type="dxa"/>
            <w:vAlign w:val="bottom"/>
          </w:tcPr>
          <w:p>
            <w:pPr>
              <w:ind w:left="100"/>
              <w:spacing w:after="0"/>
              <w:rPr>
                <w:sz w:val="20"/>
                <w:szCs w:val="20"/>
                <w:color w:val="auto"/>
              </w:rPr>
            </w:pPr>
            <w:r>
              <w:rPr>
                <w:rFonts w:ascii="Arial" w:cs="Arial" w:eastAsia="Arial" w:hAnsi="Arial"/>
                <w:sz w:val="13"/>
                <w:szCs w:val="13"/>
                <w:b w:val="1"/>
                <w:bCs w:val="1"/>
                <w:color w:val="017B52"/>
              </w:rPr>
              <w:t>Patrick M. Benton</w:t>
            </w:r>
          </w:p>
        </w:tc>
        <w:tc>
          <w:tcPr>
            <w:tcW w:w="1260" w:type="dxa"/>
            <w:vAlign w:val="bottom"/>
          </w:tcPr>
          <w:p>
            <w:pPr>
              <w:jc w:val="center"/>
              <w:spacing w:after="0"/>
              <w:rPr>
                <w:sz w:val="20"/>
                <w:szCs w:val="20"/>
                <w:color w:val="auto"/>
              </w:rPr>
            </w:pPr>
            <w:r>
              <w:rPr>
                <w:rFonts w:ascii="Arial" w:cs="Arial" w:eastAsia="Arial" w:hAnsi="Arial"/>
                <w:sz w:val="13"/>
                <w:szCs w:val="13"/>
                <w:color w:val="333333"/>
                <w:w w:val="99"/>
              </w:rPr>
              <w:t>51.23%</w:t>
            </w:r>
          </w:p>
        </w:tc>
        <w:tc>
          <w:tcPr>
            <w:tcW w:w="1840" w:type="dxa"/>
            <w:vAlign w:val="bottom"/>
          </w:tcPr>
          <w:p>
            <w:pPr>
              <w:jc w:val="center"/>
              <w:ind w:right="62"/>
              <w:spacing w:after="0"/>
              <w:rPr>
                <w:sz w:val="20"/>
                <w:szCs w:val="20"/>
                <w:color w:val="auto"/>
              </w:rPr>
            </w:pPr>
            <w:r>
              <w:rPr>
                <w:rFonts w:ascii="Arial" w:cs="Arial" w:eastAsia="Arial" w:hAnsi="Arial"/>
                <w:sz w:val="13"/>
                <w:szCs w:val="13"/>
                <w:color w:val="333333"/>
                <w:w w:val="96"/>
              </w:rPr>
              <w:t>2.2%(3)</w:t>
            </w:r>
          </w:p>
        </w:tc>
        <w:tc>
          <w:tcPr>
            <w:tcW w:w="2040" w:type="dxa"/>
            <w:vAlign w:val="bottom"/>
          </w:tcPr>
          <w:p>
            <w:pPr>
              <w:jc w:val="center"/>
              <w:ind w:left="2"/>
              <w:spacing w:after="0"/>
              <w:rPr>
                <w:sz w:val="20"/>
                <w:szCs w:val="20"/>
                <w:color w:val="auto"/>
              </w:rPr>
            </w:pPr>
            <w:r>
              <w:rPr>
                <w:rFonts w:ascii="Arial" w:cs="Arial" w:eastAsia="Arial" w:hAnsi="Arial"/>
                <w:sz w:val="13"/>
                <w:szCs w:val="13"/>
                <w:color w:val="333333"/>
                <w:w w:val="96"/>
              </w:rPr>
              <w:t>39.09%(3)</w:t>
            </w:r>
          </w:p>
        </w:tc>
        <w:tc>
          <w:tcPr>
            <w:tcW w:w="1520" w:type="dxa"/>
            <w:vAlign w:val="bottom"/>
          </w:tcPr>
          <w:p>
            <w:pPr>
              <w:jc w:val="center"/>
              <w:ind w:left="20"/>
              <w:spacing w:after="0"/>
              <w:rPr>
                <w:sz w:val="20"/>
                <w:szCs w:val="20"/>
                <w:color w:val="auto"/>
              </w:rPr>
            </w:pPr>
            <w:r>
              <w:rPr>
                <w:rFonts w:ascii="Arial" w:cs="Arial" w:eastAsia="Arial" w:hAnsi="Arial"/>
                <w:sz w:val="13"/>
                <w:szCs w:val="13"/>
                <w:color w:val="333333"/>
                <w:w w:val="95"/>
              </w:rPr>
              <w:t>$800,000</w:t>
            </w:r>
          </w:p>
        </w:tc>
        <w:tc>
          <w:tcPr>
            <w:tcW w:w="1460" w:type="dxa"/>
            <w:vAlign w:val="bottom"/>
          </w:tcPr>
          <w:p>
            <w:pPr>
              <w:jc w:val="center"/>
              <w:spacing w:after="0"/>
              <w:rPr>
                <w:sz w:val="20"/>
                <w:szCs w:val="20"/>
                <w:color w:val="auto"/>
              </w:rPr>
            </w:pPr>
            <w:r>
              <w:rPr>
                <w:rFonts w:ascii="Arial" w:cs="Arial" w:eastAsia="Arial" w:hAnsi="Arial"/>
                <w:sz w:val="13"/>
                <w:szCs w:val="13"/>
                <w:color w:val="333333"/>
                <w:w w:val="98"/>
              </w:rPr>
              <w:t>$2,468,652</w:t>
            </w:r>
          </w:p>
        </w:tc>
        <w:tc>
          <w:tcPr>
            <w:tcW w:w="0" w:type="dxa"/>
            <w:vAlign w:val="bottom"/>
          </w:tcPr>
          <w:p>
            <w:pPr>
              <w:spacing w:after="0"/>
              <w:rPr>
                <w:sz w:val="1"/>
                <w:szCs w:val="1"/>
                <w:color w:val="auto"/>
              </w:rPr>
            </w:pPr>
          </w:p>
        </w:tc>
      </w:tr>
      <w:tr>
        <w:trPr>
          <w:trHeight w:val="62"/>
        </w:trPr>
        <w:tc>
          <w:tcPr>
            <w:tcW w:w="160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840" w:type="dxa"/>
            <w:vAlign w:val="bottom"/>
            <w:tcBorders>
              <w:bottom w:val="single" w:sz="8" w:color="017B52"/>
            </w:tcBorders>
          </w:tcPr>
          <w:p>
            <w:pPr>
              <w:spacing w:after="0"/>
              <w:rPr>
                <w:sz w:val="5"/>
                <w:szCs w:val="5"/>
                <w:color w:val="auto"/>
              </w:rPr>
            </w:pPr>
          </w:p>
        </w:tc>
        <w:tc>
          <w:tcPr>
            <w:tcW w:w="2040" w:type="dxa"/>
            <w:vAlign w:val="bottom"/>
            <w:tcBorders>
              <w:bottom w:val="single" w:sz="8" w:color="017B52"/>
            </w:tcBorders>
          </w:tcPr>
          <w:p>
            <w:pPr>
              <w:spacing w:after="0"/>
              <w:rPr>
                <w:sz w:val="5"/>
                <w:szCs w:val="5"/>
                <w:color w:val="auto"/>
              </w:rPr>
            </w:pPr>
          </w:p>
        </w:tc>
        <w:tc>
          <w:tcPr>
            <w:tcW w:w="1520" w:type="dxa"/>
            <w:vAlign w:val="bottom"/>
            <w:tcBorders>
              <w:bottom w:val="single" w:sz="8" w:color="017B52"/>
            </w:tcBorders>
          </w:tcPr>
          <w:p>
            <w:pPr>
              <w:spacing w:after="0"/>
              <w:rPr>
                <w:sz w:val="5"/>
                <w:szCs w:val="5"/>
                <w:color w:val="auto"/>
              </w:rPr>
            </w:pPr>
          </w:p>
        </w:tc>
        <w:tc>
          <w:tcPr>
            <w:tcW w:w="1460" w:type="dxa"/>
            <w:vAlign w:val="bottom"/>
            <w:tcBorders>
              <w:bottom w:val="single" w:sz="8" w:color="017B52"/>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600" w:type="dxa"/>
            <w:vAlign w:val="bottom"/>
          </w:tcPr>
          <w:p>
            <w:pPr>
              <w:ind w:left="100"/>
              <w:spacing w:after="0"/>
              <w:rPr>
                <w:sz w:val="20"/>
                <w:szCs w:val="20"/>
                <w:color w:val="auto"/>
              </w:rPr>
            </w:pPr>
            <w:r>
              <w:rPr>
                <w:rFonts w:ascii="Arial" w:cs="Arial" w:eastAsia="Arial" w:hAnsi="Arial"/>
                <w:sz w:val="13"/>
                <w:szCs w:val="13"/>
                <w:b w:val="1"/>
                <w:bCs w:val="1"/>
                <w:color w:val="017B52"/>
              </w:rPr>
              <w:t>Scott A. Worthington</w:t>
            </w:r>
          </w:p>
        </w:tc>
        <w:tc>
          <w:tcPr>
            <w:tcW w:w="1260" w:type="dxa"/>
            <w:vAlign w:val="bottom"/>
          </w:tcPr>
          <w:p>
            <w:pPr>
              <w:jc w:val="center"/>
              <w:spacing w:after="0"/>
              <w:rPr>
                <w:sz w:val="20"/>
                <w:szCs w:val="20"/>
                <w:color w:val="auto"/>
              </w:rPr>
            </w:pPr>
            <w:r>
              <w:rPr>
                <w:rFonts w:ascii="Arial" w:cs="Arial" w:eastAsia="Arial" w:hAnsi="Arial"/>
                <w:sz w:val="13"/>
                <w:szCs w:val="13"/>
                <w:color w:val="333333"/>
                <w:w w:val="99"/>
              </w:rPr>
              <w:t>39.34%</w:t>
            </w:r>
          </w:p>
        </w:tc>
        <w:tc>
          <w:tcPr>
            <w:tcW w:w="1840" w:type="dxa"/>
            <w:vAlign w:val="bottom"/>
          </w:tcPr>
          <w:p>
            <w:pPr>
              <w:jc w:val="center"/>
              <w:ind w:right="62"/>
              <w:spacing w:after="0"/>
              <w:rPr>
                <w:sz w:val="20"/>
                <w:szCs w:val="20"/>
                <w:color w:val="auto"/>
              </w:rPr>
            </w:pPr>
            <w:r>
              <w:rPr>
                <w:rFonts w:ascii="Arial" w:cs="Arial" w:eastAsia="Arial" w:hAnsi="Arial"/>
                <w:sz w:val="13"/>
                <w:szCs w:val="13"/>
                <w:color w:val="333333"/>
                <w:w w:val="96"/>
              </w:rPr>
              <w:t>2.2%(3)</w:t>
            </w:r>
          </w:p>
        </w:tc>
        <w:tc>
          <w:tcPr>
            <w:tcW w:w="2040" w:type="dxa"/>
            <w:vAlign w:val="bottom"/>
          </w:tcPr>
          <w:p>
            <w:pPr>
              <w:jc w:val="center"/>
              <w:ind w:left="2"/>
              <w:spacing w:after="0"/>
              <w:rPr>
                <w:sz w:val="20"/>
                <w:szCs w:val="20"/>
                <w:color w:val="auto"/>
              </w:rPr>
            </w:pPr>
            <w:r>
              <w:rPr>
                <w:rFonts w:ascii="Arial" w:cs="Arial" w:eastAsia="Arial" w:hAnsi="Arial"/>
                <w:sz w:val="13"/>
                <w:szCs w:val="13"/>
                <w:color w:val="333333"/>
                <w:w w:val="96"/>
              </w:rPr>
              <w:t>39.08%(3)</w:t>
            </w:r>
          </w:p>
        </w:tc>
        <w:tc>
          <w:tcPr>
            <w:tcW w:w="1520" w:type="dxa"/>
            <w:vAlign w:val="bottom"/>
          </w:tcPr>
          <w:p>
            <w:pPr>
              <w:jc w:val="center"/>
              <w:ind w:left="20"/>
              <w:spacing w:after="0"/>
              <w:rPr>
                <w:sz w:val="20"/>
                <w:szCs w:val="20"/>
                <w:color w:val="auto"/>
              </w:rPr>
            </w:pPr>
            <w:r>
              <w:rPr>
                <w:rFonts w:ascii="Arial" w:cs="Arial" w:eastAsia="Arial" w:hAnsi="Arial"/>
                <w:sz w:val="13"/>
                <w:szCs w:val="13"/>
                <w:color w:val="333333"/>
                <w:w w:val="95"/>
              </w:rPr>
              <w:t>$800,000</w:t>
            </w:r>
          </w:p>
        </w:tc>
        <w:tc>
          <w:tcPr>
            <w:tcW w:w="1460" w:type="dxa"/>
            <w:vAlign w:val="bottom"/>
          </w:tcPr>
          <w:p>
            <w:pPr>
              <w:jc w:val="center"/>
              <w:spacing w:after="0"/>
              <w:rPr>
                <w:sz w:val="20"/>
                <w:szCs w:val="20"/>
                <w:color w:val="auto"/>
              </w:rPr>
            </w:pPr>
            <w:r>
              <w:rPr>
                <w:rFonts w:ascii="Arial" w:cs="Arial" w:eastAsia="Arial" w:hAnsi="Arial"/>
                <w:sz w:val="13"/>
                <w:szCs w:val="13"/>
                <w:color w:val="333333"/>
                <w:w w:val="98"/>
              </w:rPr>
              <w:t>$2,288,246</w:t>
            </w:r>
          </w:p>
        </w:tc>
        <w:tc>
          <w:tcPr>
            <w:tcW w:w="0" w:type="dxa"/>
            <w:vAlign w:val="bottom"/>
          </w:tcPr>
          <w:p>
            <w:pPr>
              <w:spacing w:after="0"/>
              <w:rPr>
                <w:sz w:val="1"/>
                <w:szCs w:val="1"/>
                <w:color w:val="auto"/>
              </w:rPr>
            </w:pPr>
          </w:p>
        </w:tc>
      </w:tr>
      <w:tr>
        <w:trPr>
          <w:trHeight w:val="62"/>
        </w:trPr>
        <w:tc>
          <w:tcPr>
            <w:tcW w:w="160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840" w:type="dxa"/>
            <w:vAlign w:val="bottom"/>
            <w:tcBorders>
              <w:bottom w:val="single" w:sz="8" w:color="017B52"/>
            </w:tcBorders>
          </w:tcPr>
          <w:p>
            <w:pPr>
              <w:spacing w:after="0"/>
              <w:rPr>
                <w:sz w:val="5"/>
                <w:szCs w:val="5"/>
                <w:color w:val="auto"/>
              </w:rPr>
            </w:pPr>
          </w:p>
        </w:tc>
        <w:tc>
          <w:tcPr>
            <w:tcW w:w="2040" w:type="dxa"/>
            <w:vAlign w:val="bottom"/>
            <w:tcBorders>
              <w:bottom w:val="single" w:sz="8" w:color="017B52"/>
            </w:tcBorders>
          </w:tcPr>
          <w:p>
            <w:pPr>
              <w:spacing w:after="0"/>
              <w:rPr>
                <w:sz w:val="5"/>
                <w:szCs w:val="5"/>
                <w:color w:val="auto"/>
              </w:rPr>
            </w:pPr>
          </w:p>
        </w:tc>
        <w:tc>
          <w:tcPr>
            <w:tcW w:w="1520" w:type="dxa"/>
            <w:vAlign w:val="bottom"/>
            <w:tcBorders>
              <w:bottom w:val="single" w:sz="8" w:color="017B52"/>
            </w:tcBorders>
          </w:tcPr>
          <w:p>
            <w:pPr>
              <w:spacing w:after="0"/>
              <w:rPr>
                <w:sz w:val="5"/>
                <w:szCs w:val="5"/>
                <w:color w:val="auto"/>
              </w:rPr>
            </w:pPr>
          </w:p>
        </w:tc>
        <w:tc>
          <w:tcPr>
            <w:tcW w:w="1460" w:type="dxa"/>
            <w:vAlign w:val="bottom"/>
            <w:tcBorders>
              <w:bottom w:val="single" w:sz="8" w:color="017B52"/>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60" w:hanging="256"/>
        <w:spacing w:after="0"/>
        <w:tabs>
          <w:tab w:leader="none" w:pos="260" w:val="left"/>
        </w:tabs>
        <w:numPr>
          <w:ilvl w:val="0"/>
          <w:numId w:val="42"/>
        </w:numPr>
        <w:rPr>
          <w:rFonts w:ascii="Arial" w:cs="Arial" w:eastAsia="Arial" w:hAnsi="Arial"/>
          <w:sz w:val="13"/>
          <w:szCs w:val="13"/>
          <w:color w:val="58595B"/>
        </w:rPr>
      </w:pPr>
      <w:r>
        <w:rPr>
          <w:rFonts w:ascii="Arial" w:cs="Arial" w:eastAsia="Arial" w:hAnsi="Arial"/>
          <w:sz w:val="13"/>
          <w:szCs w:val="13"/>
          <w:color w:val="58595B"/>
        </w:rPr>
        <w:t>The Committee periodically establishes ROI threshold achievement levels for each Profit Center, which may vary among the different Profit Centers.</w:t>
      </w:r>
    </w:p>
    <w:p>
      <w:pPr>
        <w:spacing w:after="0" w:line="93" w:lineRule="exact"/>
        <w:rPr>
          <w:rFonts w:ascii="Arial" w:cs="Arial" w:eastAsia="Arial" w:hAnsi="Arial"/>
          <w:sz w:val="13"/>
          <w:szCs w:val="13"/>
          <w:color w:val="58595B"/>
        </w:rPr>
      </w:pPr>
    </w:p>
    <w:p>
      <w:pPr>
        <w:ind w:left="260" w:right="460" w:hanging="256"/>
        <w:spacing w:after="0" w:line="243" w:lineRule="auto"/>
        <w:tabs>
          <w:tab w:leader="none" w:pos="260" w:val="left"/>
        </w:tabs>
        <w:numPr>
          <w:ilvl w:val="0"/>
          <w:numId w:val="42"/>
        </w:numPr>
        <w:rPr>
          <w:rFonts w:ascii="Arial" w:cs="Arial" w:eastAsia="Arial" w:hAnsi="Arial"/>
          <w:sz w:val="13"/>
          <w:szCs w:val="13"/>
          <w:color w:val="58595B"/>
        </w:rPr>
      </w:pPr>
      <w:r>
        <w:rPr>
          <w:rFonts w:ascii="Arial" w:cs="Arial" w:eastAsia="Arial" w:hAnsi="Arial"/>
          <w:sz w:val="13"/>
          <w:szCs w:val="13"/>
          <w:color w:val="58595B"/>
        </w:rPr>
        <w:t>For 2022, the incentive compensation for Messrs. Missad, Cole, Webster, Benton and Worthington equaled $9,332,721; $3,833,088; $6,999,541; $3,268,652; and $3,088,246, respectively.</w:t>
      </w:r>
    </w:p>
    <w:p>
      <w:pPr>
        <w:spacing w:after="0" w:line="75" w:lineRule="exact"/>
        <w:rPr>
          <w:rFonts w:ascii="Arial" w:cs="Arial" w:eastAsia="Arial" w:hAnsi="Arial"/>
          <w:sz w:val="13"/>
          <w:szCs w:val="13"/>
          <w:color w:val="58595B"/>
        </w:rPr>
      </w:pPr>
    </w:p>
    <w:p>
      <w:pPr>
        <w:ind w:left="260" w:right="60" w:hanging="256"/>
        <w:spacing w:after="0" w:line="243" w:lineRule="auto"/>
        <w:tabs>
          <w:tab w:leader="none" w:pos="260" w:val="left"/>
        </w:tabs>
        <w:numPr>
          <w:ilvl w:val="0"/>
          <w:numId w:val="42"/>
        </w:numPr>
        <w:rPr>
          <w:rFonts w:ascii="Arial" w:cs="Arial" w:eastAsia="Arial" w:hAnsi="Arial"/>
          <w:sz w:val="13"/>
          <w:szCs w:val="13"/>
          <w:color w:val="58595B"/>
        </w:rPr>
      </w:pPr>
      <w:r>
        <w:rPr>
          <w:rFonts w:ascii="Arial" w:cs="Arial" w:eastAsia="Arial" w:hAnsi="Arial"/>
          <w:sz w:val="13"/>
          <w:szCs w:val="13"/>
          <w:color w:val="58595B"/>
        </w:rPr>
        <w:t>For 2022, Messrs. Benton and Worthington did not participate in the Corporate Profit Center incentive compensation pool. Rather, the incentive compensation for each of them was based upon the ROI of their respective Segments/Profit Centers.</w:t>
      </w:r>
    </w:p>
    <w:p>
      <w:pPr>
        <w:spacing w:after="0" w:line="133"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b w:val="1"/>
          <w:bCs w:val="1"/>
          <w:i w:val="1"/>
          <w:iCs w:val="1"/>
          <w:color w:val="auto"/>
        </w:rPr>
        <w:t xml:space="preserve">Chief Executive Officer. </w:t>
      </w:r>
      <w:r>
        <w:rPr>
          <w:rFonts w:ascii="Arial" w:cs="Arial" w:eastAsia="Arial" w:hAnsi="Arial"/>
          <w:sz w:val="16"/>
          <w:szCs w:val="16"/>
          <w:color w:val="auto"/>
        </w:rPr>
        <w:t>The Committee annually reviews, and recommends for Board approval, our Chief Executive Officer's base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salary. Mr. Missad's salary is based on comparable compensation data, the Committee's assessment of his past performance, and its expectation as to his future contributions in leading our Company. Mr. Missad's base salary fell in the mid-range of the salaries of comparable executives in our peer group. The Committee has complete discretion in recommending the base salary for Mr. Missad (who does not have an employment agreement with our Company). For 2023, Mr. Missad is eligible to receive an allocation of 20% of the Corporate Profit Center incentive compensation pool.</w:t>
      </w:r>
    </w:p>
    <w:p>
      <w:pPr>
        <w:spacing w:after="0" w:line="12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i w:val="1"/>
          <w:iCs w:val="1"/>
          <w:color w:val="auto"/>
        </w:rPr>
        <w:t xml:space="preserve">Long-Term Stock Incentive Plan. </w:t>
      </w:r>
      <w:r>
        <w:rPr>
          <w:rFonts w:ascii="Arial" w:cs="Arial" w:eastAsia="Arial" w:hAnsi="Arial"/>
          <w:sz w:val="16"/>
          <w:szCs w:val="16"/>
          <w:color w:val="auto"/>
        </w:rPr>
        <w:t>We provide long-term incentive compensation to our executive officers and key employees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grants of restricted shares, conditional stock grants and other equity-based awards under the terms of our Long-Term Stock Incentive Plan (the “LTSIP”). The Committee has complete discretion in determining eligibility for participation and the type and number of shares subject to awards made under the LTSIP, except for those awarded to our CEO, which are determined by the Board.</w:t>
      </w:r>
    </w:p>
    <w:p>
      <w:pPr>
        <w:spacing w:after="0" w:line="309"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29</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351"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Based upon the formula described above, our Named Executives received restricted stock awards and performance units in the following amounts for 2022 performance under our long-term incentive compensation program:</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97"/>
              </w:rPr>
              <w:t>SCOTT A.</w:t>
            </w:r>
          </w:p>
        </w:tc>
      </w:tr>
      <w:tr>
        <w:trPr>
          <w:trHeight w:val="148"/>
        </w:trPr>
        <w:tc>
          <w:tcPr>
            <w:tcW w:w="2560" w:type="dxa"/>
            <w:vAlign w:val="bottom"/>
          </w:tcPr>
          <w:p>
            <w:pPr>
              <w:spacing w:after="0"/>
              <w:rPr>
                <w:sz w:val="12"/>
                <w:szCs w:val="12"/>
                <w:color w:val="auto"/>
              </w:rPr>
            </w:pPr>
          </w:p>
        </w:tc>
        <w:tc>
          <w:tcPr>
            <w:tcW w:w="1460" w:type="dxa"/>
            <w:vAlign w:val="bottom"/>
          </w:tcPr>
          <w:p>
            <w:pPr>
              <w:ind w:left="120"/>
              <w:spacing w:after="0"/>
              <w:rPr>
                <w:sz w:val="20"/>
                <w:szCs w:val="20"/>
                <w:color w:val="auto"/>
              </w:rPr>
            </w:pPr>
            <w:r>
              <w:rPr>
                <w:rFonts w:ascii="Arial" w:cs="Arial" w:eastAsia="Arial" w:hAnsi="Arial"/>
                <w:sz w:val="11"/>
                <w:szCs w:val="11"/>
                <w:b w:val="1"/>
                <w:bCs w:val="1"/>
                <w:color w:val="auto"/>
              </w:rPr>
              <w:t>MATTHEW J. MISSAD</w:t>
            </w:r>
          </w:p>
        </w:tc>
        <w:tc>
          <w:tcPr>
            <w:tcW w:w="1360" w:type="dxa"/>
            <w:vAlign w:val="bottom"/>
          </w:tcPr>
          <w:p>
            <w:pPr>
              <w:ind w:left="200"/>
              <w:spacing w:after="0"/>
              <w:rPr>
                <w:sz w:val="20"/>
                <w:szCs w:val="20"/>
                <w:color w:val="auto"/>
              </w:rPr>
            </w:pPr>
            <w:r>
              <w:rPr>
                <w:rFonts w:ascii="Arial" w:cs="Arial" w:eastAsia="Arial" w:hAnsi="Arial"/>
                <w:sz w:val="11"/>
                <w:szCs w:val="11"/>
                <w:b w:val="1"/>
                <w:bCs w:val="1"/>
                <w:color w:val="auto"/>
              </w:rPr>
              <w:t>MICHAEL R. COLE</w:t>
            </w:r>
          </w:p>
        </w:tc>
        <w:tc>
          <w:tcPr>
            <w:tcW w:w="1520" w:type="dxa"/>
            <w:vAlign w:val="bottom"/>
          </w:tcPr>
          <w:p>
            <w:pPr>
              <w:ind w:left="180"/>
              <w:spacing w:after="0"/>
              <w:rPr>
                <w:sz w:val="20"/>
                <w:szCs w:val="20"/>
                <w:color w:val="auto"/>
              </w:rPr>
            </w:pPr>
            <w:r>
              <w:rPr>
                <w:rFonts w:ascii="Arial" w:cs="Arial" w:eastAsia="Arial" w:hAnsi="Arial"/>
                <w:sz w:val="11"/>
                <w:szCs w:val="11"/>
                <w:b w:val="1"/>
                <w:bCs w:val="1"/>
                <w:color w:val="auto"/>
              </w:rPr>
              <w:t>PATRICK M. WEBSTER</w:t>
            </w:r>
          </w:p>
        </w:tc>
        <w:tc>
          <w:tcPr>
            <w:tcW w:w="1500" w:type="dxa"/>
            <w:vAlign w:val="bottom"/>
          </w:tcPr>
          <w:p>
            <w:pPr>
              <w:ind w:left="160"/>
              <w:spacing w:after="0"/>
              <w:rPr>
                <w:sz w:val="20"/>
                <w:szCs w:val="20"/>
                <w:color w:val="auto"/>
              </w:rPr>
            </w:pPr>
            <w:r>
              <w:rPr>
                <w:rFonts w:ascii="Arial" w:cs="Arial" w:eastAsia="Arial" w:hAnsi="Arial"/>
                <w:sz w:val="11"/>
                <w:szCs w:val="11"/>
                <w:b w:val="1"/>
                <w:bCs w:val="1"/>
                <w:color w:val="auto"/>
              </w:rPr>
              <w:t>PATRICK M. BENTON</w:t>
            </w: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97"/>
              </w:rPr>
              <w:t>WORTHINGTON</w:t>
            </w:r>
          </w:p>
        </w:tc>
      </w:tr>
      <w:tr>
        <w:trPr>
          <w:trHeight w:val="41"/>
        </w:trPr>
        <w:tc>
          <w:tcPr>
            <w:tcW w:w="2560" w:type="dxa"/>
            <w:vAlign w:val="bottom"/>
            <w:tcBorders>
              <w:bottom w:val="single" w:sz="8" w:color="017B52"/>
            </w:tcBorders>
          </w:tcPr>
          <w:p>
            <w:pPr>
              <w:spacing w:after="0"/>
              <w:rPr>
                <w:sz w:val="3"/>
                <w:szCs w:val="3"/>
                <w:color w:val="auto"/>
              </w:rPr>
            </w:pPr>
          </w:p>
        </w:tc>
        <w:tc>
          <w:tcPr>
            <w:tcW w:w="1460" w:type="dxa"/>
            <w:vAlign w:val="bottom"/>
            <w:tcBorders>
              <w:bottom w:val="single" w:sz="8" w:color="017B52"/>
            </w:tcBorders>
          </w:tcPr>
          <w:p>
            <w:pPr>
              <w:spacing w:after="0"/>
              <w:rPr>
                <w:sz w:val="3"/>
                <w:szCs w:val="3"/>
                <w:color w:val="auto"/>
              </w:rPr>
            </w:pPr>
          </w:p>
        </w:tc>
        <w:tc>
          <w:tcPr>
            <w:tcW w:w="1360" w:type="dxa"/>
            <w:vAlign w:val="bottom"/>
            <w:tcBorders>
              <w:bottom w:val="single" w:sz="8" w:color="017B52"/>
            </w:tcBorders>
          </w:tcPr>
          <w:p>
            <w:pPr>
              <w:spacing w:after="0"/>
              <w:rPr>
                <w:sz w:val="3"/>
                <w:szCs w:val="3"/>
                <w:color w:val="auto"/>
              </w:rPr>
            </w:pPr>
          </w:p>
        </w:tc>
        <w:tc>
          <w:tcPr>
            <w:tcW w:w="1520" w:type="dxa"/>
            <w:vAlign w:val="bottom"/>
            <w:tcBorders>
              <w:bottom w:val="single" w:sz="8" w:color="017B52"/>
            </w:tcBorders>
          </w:tcPr>
          <w:p>
            <w:pPr>
              <w:spacing w:after="0"/>
              <w:rPr>
                <w:sz w:val="3"/>
                <w:szCs w:val="3"/>
                <w:color w:val="auto"/>
              </w:rPr>
            </w:pPr>
          </w:p>
        </w:tc>
        <w:tc>
          <w:tcPr>
            <w:tcW w:w="1500" w:type="dxa"/>
            <w:vAlign w:val="bottom"/>
            <w:tcBorders>
              <w:bottom w:val="single" w:sz="8" w:color="017B52"/>
            </w:tcBorders>
          </w:tcPr>
          <w:p>
            <w:pPr>
              <w:spacing w:after="0"/>
              <w:rPr>
                <w:sz w:val="3"/>
                <w:szCs w:val="3"/>
                <w:color w:val="auto"/>
              </w:rPr>
            </w:pPr>
          </w:p>
        </w:tc>
        <w:tc>
          <w:tcPr>
            <w:tcW w:w="1320" w:type="dxa"/>
            <w:vAlign w:val="bottom"/>
            <w:tcBorders>
              <w:bottom w:val="single" w:sz="8" w:color="017B52"/>
            </w:tcBorders>
          </w:tcPr>
          <w:p>
            <w:pPr>
              <w:spacing w:after="0"/>
              <w:rPr>
                <w:sz w:val="3"/>
                <w:szCs w:val="3"/>
                <w:color w:val="auto"/>
              </w:rPr>
            </w:pPr>
          </w:p>
        </w:tc>
      </w:tr>
      <w:tr>
        <w:trPr>
          <w:trHeight w:val="228"/>
        </w:trPr>
        <w:tc>
          <w:tcPr>
            <w:tcW w:w="2560" w:type="dxa"/>
            <w:vAlign w:val="bottom"/>
          </w:tcPr>
          <w:p>
            <w:pPr>
              <w:ind w:left="100"/>
              <w:spacing w:after="0"/>
              <w:rPr>
                <w:sz w:val="20"/>
                <w:szCs w:val="20"/>
                <w:color w:val="auto"/>
              </w:rPr>
            </w:pPr>
            <w:r>
              <w:rPr>
                <w:rFonts w:ascii="Arial" w:cs="Arial" w:eastAsia="Arial" w:hAnsi="Arial"/>
                <w:sz w:val="13"/>
                <w:szCs w:val="13"/>
                <w:b w:val="1"/>
                <w:bCs w:val="1"/>
                <w:color w:val="017B52"/>
              </w:rPr>
              <w:t>Shares subject to five-year cliff vesting</w:t>
            </w:r>
          </w:p>
        </w:tc>
        <w:tc>
          <w:tcPr>
            <w:tcW w:w="1460" w:type="dxa"/>
            <w:vAlign w:val="bottom"/>
          </w:tcPr>
          <w:p>
            <w:pPr>
              <w:jc w:val="right"/>
              <w:ind w:right="540"/>
              <w:spacing w:after="0"/>
              <w:rPr>
                <w:sz w:val="20"/>
                <w:szCs w:val="20"/>
                <w:color w:val="auto"/>
              </w:rPr>
            </w:pPr>
            <w:r>
              <w:rPr>
                <w:rFonts w:ascii="Arial" w:cs="Arial" w:eastAsia="Arial" w:hAnsi="Arial"/>
                <w:sz w:val="13"/>
                <w:szCs w:val="13"/>
                <w:color w:val="333333"/>
              </w:rPr>
              <w:t>79,480</w:t>
            </w:r>
          </w:p>
        </w:tc>
        <w:tc>
          <w:tcPr>
            <w:tcW w:w="1360" w:type="dxa"/>
            <w:vAlign w:val="bottom"/>
          </w:tcPr>
          <w:p>
            <w:pPr>
              <w:jc w:val="right"/>
              <w:ind w:right="420"/>
              <w:spacing w:after="0"/>
              <w:rPr>
                <w:sz w:val="20"/>
                <w:szCs w:val="20"/>
                <w:color w:val="auto"/>
              </w:rPr>
            </w:pPr>
            <w:r>
              <w:rPr>
                <w:rFonts w:ascii="Arial" w:cs="Arial" w:eastAsia="Arial" w:hAnsi="Arial"/>
                <w:sz w:val="13"/>
                <w:szCs w:val="13"/>
                <w:color w:val="333333"/>
              </w:rPr>
              <w:t>30,335</w:t>
            </w:r>
          </w:p>
        </w:tc>
        <w:tc>
          <w:tcPr>
            <w:tcW w:w="1520" w:type="dxa"/>
            <w:vAlign w:val="bottom"/>
          </w:tcPr>
          <w:p>
            <w:pPr>
              <w:jc w:val="right"/>
              <w:ind w:right="480"/>
              <w:spacing w:after="0"/>
              <w:rPr>
                <w:sz w:val="20"/>
                <w:szCs w:val="20"/>
                <w:color w:val="auto"/>
              </w:rPr>
            </w:pPr>
            <w:r>
              <w:rPr>
                <w:rFonts w:ascii="Arial" w:cs="Arial" w:eastAsia="Arial" w:hAnsi="Arial"/>
                <w:sz w:val="13"/>
                <w:szCs w:val="13"/>
                <w:color w:val="333333"/>
              </w:rPr>
              <w:t>62,864</w:t>
            </w:r>
          </w:p>
        </w:tc>
        <w:tc>
          <w:tcPr>
            <w:tcW w:w="1500" w:type="dxa"/>
            <w:vAlign w:val="bottom"/>
          </w:tcPr>
          <w:p>
            <w:pPr>
              <w:jc w:val="right"/>
              <w:ind w:right="540"/>
              <w:spacing w:after="0"/>
              <w:rPr>
                <w:sz w:val="20"/>
                <w:szCs w:val="20"/>
                <w:color w:val="auto"/>
              </w:rPr>
            </w:pPr>
            <w:r>
              <w:rPr>
                <w:rFonts w:ascii="Arial" w:cs="Arial" w:eastAsia="Arial" w:hAnsi="Arial"/>
                <w:sz w:val="13"/>
                <w:szCs w:val="13"/>
                <w:color w:val="333333"/>
              </w:rPr>
              <w:t>25,795</w:t>
            </w:r>
          </w:p>
        </w:tc>
        <w:tc>
          <w:tcPr>
            <w:tcW w:w="1320" w:type="dxa"/>
            <w:vAlign w:val="bottom"/>
          </w:tcPr>
          <w:p>
            <w:pPr>
              <w:jc w:val="right"/>
              <w:ind w:right="422"/>
              <w:spacing w:after="0"/>
              <w:rPr>
                <w:sz w:val="20"/>
                <w:szCs w:val="20"/>
                <w:color w:val="auto"/>
              </w:rPr>
            </w:pPr>
            <w:r>
              <w:rPr>
                <w:rFonts w:ascii="Arial" w:cs="Arial" w:eastAsia="Arial" w:hAnsi="Arial"/>
                <w:sz w:val="13"/>
                <w:szCs w:val="13"/>
                <w:color w:val="333333"/>
              </w:rPr>
              <w:t>23,910</w:t>
            </w:r>
          </w:p>
        </w:tc>
      </w:tr>
      <w:tr>
        <w:trPr>
          <w:trHeight w:val="62"/>
        </w:trPr>
        <w:tc>
          <w:tcPr>
            <w:tcW w:w="2560" w:type="dxa"/>
            <w:vAlign w:val="bottom"/>
            <w:tcBorders>
              <w:bottom w:val="single" w:sz="8" w:color="017B52"/>
            </w:tcBorders>
          </w:tcPr>
          <w:p>
            <w:pPr>
              <w:spacing w:after="0"/>
              <w:rPr>
                <w:sz w:val="5"/>
                <w:szCs w:val="5"/>
                <w:color w:val="auto"/>
              </w:rPr>
            </w:pPr>
          </w:p>
        </w:tc>
        <w:tc>
          <w:tcPr>
            <w:tcW w:w="1460" w:type="dxa"/>
            <w:vAlign w:val="bottom"/>
            <w:tcBorders>
              <w:bottom w:val="single" w:sz="8" w:color="017B52"/>
            </w:tcBorders>
          </w:tcPr>
          <w:p>
            <w:pPr>
              <w:spacing w:after="0"/>
              <w:rPr>
                <w:sz w:val="5"/>
                <w:szCs w:val="5"/>
                <w:color w:val="auto"/>
              </w:rPr>
            </w:pPr>
          </w:p>
        </w:tc>
        <w:tc>
          <w:tcPr>
            <w:tcW w:w="1360" w:type="dxa"/>
            <w:vAlign w:val="bottom"/>
            <w:tcBorders>
              <w:bottom w:val="single" w:sz="8" w:color="017B52"/>
            </w:tcBorders>
          </w:tcPr>
          <w:p>
            <w:pPr>
              <w:spacing w:after="0"/>
              <w:rPr>
                <w:sz w:val="5"/>
                <w:szCs w:val="5"/>
                <w:color w:val="auto"/>
              </w:rPr>
            </w:pPr>
          </w:p>
        </w:tc>
        <w:tc>
          <w:tcPr>
            <w:tcW w:w="1520" w:type="dxa"/>
            <w:vAlign w:val="bottom"/>
            <w:tcBorders>
              <w:bottom w:val="single" w:sz="8" w:color="017B52"/>
            </w:tcBorders>
          </w:tcPr>
          <w:p>
            <w:pPr>
              <w:spacing w:after="0"/>
              <w:rPr>
                <w:sz w:val="5"/>
                <w:szCs w:val="5"/>
                <w:color w:val="auto"/>
              </w:rPr>
            </w:pPr>
          </w:p>
        </w:tc>
        <w:tc>
          <w:tcPr>
            <w:tcW w:w="1500" w:type="dxa"/>
            <w:vAlign w:val="bottom"/>
            <w:tcBorders>
              <w:bottom w:val="single" w:sz="8" w:color="017B52"/>
            </w:tcBorders>
          </w:tcPr>
          <w:p>
            <w:pPr>
              <w:spacing w:after="0"/>
              <w:rPr>
                <w:sz w:val="5"/>
                <w:szCs w:val="5"/>
                <w:color w:val="auto"/>
              </w:rPr>
            </w:pPr>
          </w:p>
        </w:tc>
        <w:tc>
          <w:tcPr>
            <w:tcW w:w="1320" w:type="dxa"/>
            <w:vAlign w:val="bottom"/>
            <w:tcBorders>
              <w:bottom w:val="single" w:sz="8" w:color="017B52"/>
            </w:tcBorders>
          </w:tcPr>
          <w:p>
            <w:pPr>
              <w:spacing w:after="0"/>
              <w:rPr>
                <w:sz w:val="5"/>
                <w:szCs w:val="5"/>
                <w:color w:val="auto"/>
              </w:rPr>
            </w:pPr>
          </w:p>
        </w:tc>
      </w:tr>
      <w:tr>
        <w:trPr>
          <w:trHeight w:val="228"/>
        </w:trPr>
        <w:tc>
          <w:tcPr>
            <w:tcW w:w="2560" w:type="dxa"/>
            <w:vAlign w:val="bottom"/>
          </w:tcPr>
          <w:p>
            <w:pPr>
              <w:ind w:left="100"/>
              <w:spacing w:after="0"/>
              <w:rPr>
                <w:sz w:val="20"/>
                <w:szCs w:val="20"/>
                <w:color w:val="auto"/>
              </w:rPr>
            </w:pPr>
            <w:r>
              <w:rPr>
                <w:rFonts w:ascii="Arial" w:cs="Arial" w:eastAsia="Arial" w:hAnsi="Arial"/>
                <w:sz w:val="13"/>
                <w:szCs w:val="13"/>
                <w:b w:val="1"/>
                <w:bCs w:val="1"/>
                <w:color w:val="017B52"/>
              </w:rPr>
              <w:t>Performance Units</w:t>
            </w:r>
          </w:p>
        </w:tc>
        <w:tc>
          <w:tcPr>
            <w:tcW w:w="1460" w:type="dxa"/>
            <w:vAlign w:val="bottom"/>
          </w:tcPr>
          <w:p>
            <w:pPr>
              <w:jc w:val="right"/>
              <w:ind w:right="560"/>
              <w:spacing w:after="0"/>
              <w:rPr>
                <w:sz w:val="20"/>
                <w:szCs w:val="20"/>
                <w:color w:val="auto"/>
              </w:rPr>
            </w:pPr>
            <w:r>
              <w:rPr>
                <w:rFonts w:ascii="Arial" w:cs="Arial" w:eastAsia="Arial" w:hAnsi="Arial"/>
                <w:sz w:val="13"/>
                <w:szCs w:val="13"/>
                <w:color w:val="333333"/>
              </w:rPr>
              <w:t>8,831</w:t>
            </w:r>
          </w:p>
        </w:tc>
        <w:tc>
          <w:tcPr>
            <w:tcW w:w="1360" w:type="dxa"/>
            <w:vAlign w:val="bottom"/>
          </w:tcPr>
          <w:p>
            <w:pPr>
              <w:jc w:val="right"/>
              <w:ind w:right="460"/>
              <w:spacing w:after="0"/>
              <w:rPr>
                <w:sz w:val="20"/>
                <w:szCs w:val="20"/>
                <w:color w:val="auto"/>
              </w:rPr>
            </w:pPr>
            <w:r>
              <w:rPr>
                <w:rFonts w:ascii="Arial" w:cs="Arial" w:eastAsia="Arial" w:hAnsi="Arial"/>
                <w:sz w:val="13"/>
                <w:szCs w:val="13"/>
                <w:color w:val="333333"/>
              </w:rPr>
              <w:t>3,370</w:t>
            </w:r>
          </w:p>
        </w:tc>
        <w:tc>
          <w:tcPr>
            <w:tcW w:w="1520" w:type="dxa"/>
            <w:vAlign w:val="bottom"/>
          </w:tcPr>
          <w:p>
            <w:pPr>
              <w:jc w:val="right"/>
              <w:ind w:right="520"/>
              <w:spacing w:after="0"/>
              <w:rPr>
                <w:sz w:val="20"/>
                <w:szCs w:val="20"/>
                <w:color w:val="auto"/>
              </w:rPr>
            </w:pPr>
            <w:r>
              <w:rPr>
                <w:rFonts w:ascii="Arial" w:cs="Arial" w:eastAsia="Arial" w:hAnsi="Arial"/>
                <w:sz w:val="13"/>
                <w:szCs w:val="13"/>
                <w:color w:val="333333"/>
              </w:rPr>
              <w:t>6,984</w:t>
            </w:r>
          </w:p>
        </w:tc>
        <w:tc>
          <w:tcPr>
            <w:tcW w:w="1500" w:type="dxa"/>
            <w:vAlign w:val="bottom"/>
          </w:tcPr>
          <w:p>
            <w:pPr>
              <w:jc w:val="right"/>
              <w:ind w:right="580"/>
              <w:spacing w:after="0"/>
              <w:rPr>
                <w:sz w:val="20"/>
                <w:szCs w:val="20"/>
                <w:color w:val="auto"/>
              </w:rPr>
            </w:pPr>
            <w:r>
              <w:rPr>
                <w:rFonts w:ascii="Arial" w:cs="Arial" w:eastAsia="Arial" w:hAnsi="Arial"/>
                <w:sz w:val="13"/>
                <w:szCs w:val="13"/>
                <w:color w:val="333333"/>
              </w:rPr>
              <w:t>2,866</w:t>
            </w:r>
          </w:p>
        </w:tc>
        <w:tc>
          <w:tcPr>
            <w:tcW w:w="1320" w:type="dxa"/>
            <w:vAlign w:val="bottom"/>
          </w:tcPr>
          <w:p>
            <w:pPr>
              <w:jc w:val="right"/>
              <w:ind w:right="462"/>
              <w:spacing w:after="0"/>
              <w:rPr>
                <w:sz w:val="20"/>
                <w:szCs w:val="20"/>
                <w:color w:val="auto"/>
              </w:rPr>
            </w:pPr>
            <w:r>
              <w:rPr>
                <w:rFonts w:ascii="Arial" w:cs="Arial" w:eastAsia="Arial" w:hAnsi="Arial"/>
                <w:sz w:val="13"/>
                <w:szCs w:val="13"/>
                <w:color w:val="333333"/>
              </w:rPr>
              <w:t>2,656</w:t>
            </w:r>
          </w:p>
        </w:tc>
      </w:tr>
      <w:tr>
        <w:trPr>
          <w:trHeight w:val="62"/>
        </w:trPr>
        <w:tc>
          <w:tcPr>
            <w:tcW w:w="2560" w:type="dxa"/>
            <w:vAlign w:val="bottom"/>
            <w:tcBorders>
              <w:bottom w:val="single" w:sz="8" w:color="017B52"/>
            </w:tcBorders>
          </w:tcPr>
          <w:p>
            <w:pPr>
              <w:spacing w:after="0"/>
              <w:rPr>
                <w:sz w:val="5"/>
                <w:szCs w:val="5"/>
                <w:color w:val="auto"/>
              </w:rPr>
            </w:pPr>
          </w:p>
        </w:tc>
        <w:tc>
          <w:tcPr>
            <w:tcW w:w="1460" w:type="dxa"/>
            <w:vAlign w:val="bottom"/>
            <w:tcBorders>
              <w:bottom w:val="single" w:sz="8" w:color="017B52"/>
            </w:tcBorders>
          </w:tcPr>
          <w:p>
            <w:pPr>
              <w:spacing w:after="0"/>
              <w:rPr>
                <w:sz w:val="5"/>
                <w:szCs w:val="5"/>
                <w:color w:val="auto"/>
              </w:rPr>
            </w:pPr>
          </w:p>
        </w:tc>
        <w:tc>
          <w:tcPr>
            <w:tcW w:w="1360" w:type="dxa"/>
            <w:vAlign w:val="bottom"/>
            <w:tcBorders>
              <w:bottom w:val="single" w:sz="8" w:color="017B52"/>
            </w:tcBorders>
          </w:tcPr>
          <w:p>
            <w:pPr>
              <w:spacing w:after="0"/>
              <w:rPr>
                <w:sz w:val="5"/>
                <w:szCs w:val="5"/>
                <w:color w:val="auto"/>
              </w:rPr>
            </w:pPr>
          </w:p>
        </w:tc>
        <w:tc>
          <w:tcPr>
            <w:tcW w:w="1520" w:type="dxa"/>
            <w:vAlign w:val="bottom"/>
            <w:tcBorders>
              <w:bottom w:val="single" w:sz="8" w:color="017B52"/>
            </w:tcBorders>
          </w:tcPr>
          <w:p>
            <w:pPr>
              <w:spacing w:after="0"/>
              <w:rPr>
                <w:sz w:val="5"/>
                <w:szCs w:val="5"/>
                <w:color w:val="auto"/>
              </w:rPr>
            </w:pPr>
          </w:p>
        </w:tc>
        <w:tc>
          <w:tcPr>
            <w:tcW w:w="1500" w:type="dxa"/>
            <w:vAlign w:val="bottom"/>
            <w:tcBorders>
              <w:bottom w:val="single" w:sz="8" w:color="017B52"/>
            </w:tcBorders>
          </w:tcPr>
          <w:p>
            <w:pPr>
              <w:spacing w:after="0"/>
              <w:rPr>
                <w:sz w:val="5"/>
                <w:szCs w:val="5"/>
                <w:color w:val="auto"/>
              </w:rPr>
            </w:pPr>
          </w:p>
        </w:tc>
        <w:tc>
          <w:tcPr>
            <w:tcW w:w="1320" w:type="dxa"/>
            <w:vAlign w:val="bottom"/>
            <w:tcBorders>
              <w:bottom w:val="single" w:sz="8" w:color="017B52"/>
            </w:tcBorders>
          </w:tcPr>
          <w:p>
            <w:pPr>
              <w:spacing w:after="0"/>
              <w:rPr>
                <w:sz w:val="5"/>
                <w:szCs w:val="5"/>
                <w:color w:val="auto"/>
              </w:rPr>
            </w:pPr>
          </w:p>
        </w:tc>
      </w:tr>
    </w:tbl>
    <w:p>
      <w:pPr>
        <w:spacing w:after="0" w:line="148"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We encourage and promote ownership of Company stock by our employees and directors, and have a Minimum Stock Ownership Policy that sets requirements for ownership of our common stock by our key employees and independent directors,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80" w:type="dxa"/>
            <w:vAlign w:val="bottom"/>
            <w:tcBorders>
              <w:bottom w:val="single" w:sz="8" w:color="017B52"/>
            </w:tcBorders>
          </w:tcPr>
          <w:p>
            <w:pPr>
              <w:ind w:left="100"/>
              <w:spacing w:after="0"/>
              <w:rPr>
                <w:sz w:val="20"/>
                <w:szCs w:val="20"/>
                <w:color w:val="auto"/>
              </w:rPr>
            </w:pPr>
            <w:r>
              <w:rPr>
                <w:rFonts w:ascii="Arial" w:cs="Arial" w:eastAsia="Arial" w:hAnsi="Arial"/>
                <w:sz w:val="11"/>
                <w:szCs w:val="11"/>
                <w:b w:val="1"/>
                <w:bCs w:val="1"/>
                <w:color w:val="auto"/>
              </w:rPr>
              <w:t>TITLE</w:t>
            </w:r>
          </w:p>
        </w:tc>
        <w:tc>
          <w:tcPr>
            <w:tcW w:w="3040" w:type="dxa"/>
            <w:vAlign w:val="bottom"/>
            <w:tcBorders>
              <w:bottom w:val="single" w:sz="8" w:color="017B52"/>
            </w:tcBorders>
          </w:tcPr>
          <w:p>
            <w:pPr>
              <w:jc w:val="right"/>
              <w:ind w:right="19"/>
              <w:spacing w:after="0"/>
              <w:rPr>
                <w:sz w:val="20"/>
                <w:szCs w:val="20"/>
                <w:color w:val="auto"/>
              </w:rPr>
            </w:pPr>
            <w:r>
              <w:rPr>
                <w:rFonts w:ascii="Arial" w:cs="Arial" w:eastAsia="Arial" w:hAnsi="Arial"/>
                <w:sz w:val="11"/>
                <w:szCs w:val="11"/>
                <w:b w:val="1"/>
                <w:bCs w:val="1"/>
                <w:color w:val="auto"/>
              </w:rPr>
              <w:t>COMPANY STOCK OWNERSHIP REQUIREMENT</w:t>
            </w:r>
          </w:p>
        </w:tc>
        <w:tc>
          <w:tcPr>
            <w:tcW w:w="0" w:type="dxa"/>
            <w:vAlign w:val="bottom"/>
          </w:tcPr>
          <w:p>
            <w:pPr>
              <w:spacing w:after="0"/>
              <w:rPr>
                <w:sz w:val="1"/>
                <w:szCs w:val="1"/>
                <w:color w:val="auto"/>
              </w:rPr>
            </w:pPr>
          </w:p>
        </w:tc>
      </w:tr>
      <w:tr>
        <w:trPr>
          <w:trHeight w:val="279"/>
        </w:trPr>
        <w:tc>
          <w:tcPr>
            <w:tcW w:w="6680" w:type="dxa"/>
            <w:vAlign w:val="bottom"/>
            <w:tcBorders>
              <w:bottom w:val="single" w:sz="8" w:color="017B52"/>
            </w:tcBorders>
          </w:tcPr>
          <w:p>
            <w:pPr>
              <w:ind w:left="100"/>
              <w:spacing w:after="0"/>
              <w:rPr>
                <w:sz w:val="20"/>
                <w:szCs w:val="20"/>
                <w:color w:val="auto"/>
              </w:rPr>
            </w:pPr>
            <w:r>
              <w:rPr>
                <w:rFonts w:ascii="Arial" w:cs="Arial" w:eastAsia="Arial" w:hAnsi="Arial"/>
                <w:sz w:val="13"/>
                <w:szCs w:val="13"/>
                <w:b w:val="1"/>
                <w:bCs w:val="1"/>
                <w:color w:val="017B52"/>
              </w:rPr>
              <w:t>Officers</w:t>
            </w:r>
          </w:p>
        </w:tc>
        <w:tc>
          <w:tcPr>
            <w:tcW w:w="3040" w:type="dxa"/>
            <w:vAlign w:val="bottom"/>
            <w:tcBorders>
              <w:bottom w:val="single" w:sz="8" w:color="017B52"/>
            </w:tcBorders>
          </w:tcPr>
          <w:p>
            <w:pPr>
              <w:jc w:val="right"/>
              <w:ind w:right="19"/>
              <w:spacing w:after="0"/>
              <w:rPr>
                <w:sz w:val="20"/>
                <w:szCs w:val="20"/>
                <w:color w:val="auto"/>
              </w:rPr>
            </w:pPr>
            <w:r>
              <w:rPr>
                <w:rFonts w:ascii="Arial" w:cs="Arial" w:eastAsia="Arial" w:hAnsi="Arial"/>
                <w:sz w:val="13"/>
                <w:szCs w:val="13"/>
                <w:color w:val="333333"/>
              </w:rPr>
              <w:t>$200,000</w:t>
            </w:r>
          </w:p>
        </w:tc>
        <w:tc>
          <w:tcPr>
            <w:tcW w:w="0" w:type="dxa"/>
            <w:vAlign w:val="bottom"/>
          </w:tcPr>
          <w:p>
            <w:pPr>
              <w:spacing w:after="0"/>
              <w:rPr>
                <w:sz w:val="1"/>
                <w:szCs w:val="1"/>
                <w:color w:val="auto"/>
              </w:rPr>
            </w:pPr>
          </w:p>
        </w:tc>
      </w:tr>
      <w:tr>
        <w:trPr>
          <w:trHeight w:val="236"/>
        </w:trPr>
        <w:tc>
          <w:tcPr>
            <w:tcW w:w="6680" w:type="dxa"/>
            <w:vAlign w:val="bottom"/>
          </w:tcPr>
          <w:p>
            <w:pPr>
              <w:ind w:left="100"/>
              <w:spacing w:after="0"/>
              <w:rPr>
                <w:sz w:val="20"/>
                <w:szCs w:val="20"/>
                <w:color w:val="auto"/>
              </w:rPr>
            </w:pPr>
            <w:r>
              <w:rPr>
                <w:rFonts w:ascii="Arial" w:cs="Arial" w:eastAsia="Arial" w:hAnsi="Arial"/>
                <w:sz w:val="13"/>
                <w:szCs w:val="13"/>
                <w:b w:val="1"/>
                <w:bCs w:val="1"/>
                <w:color w:val="017B52"/>
              </w:rPr>
              <w:t>General Manager of Operations, Managing Directors, Regional Sales Managers, Operations Managers,</w:t>
            </w:r>
          </w:p>
        </w:tc>
        <w:tc>
          <w:tcPr>
            <w:tcW w:w="3040" w:type="dxa"/>
            <w:vAlign w:val="bottom"/>
            <w:vMerge w:val="restart"/>
          </w:tcPr>
          <w:p>
            <w:pPr>
              <w:jc w:val="right"/>
              <w:ind w:right="19"/>
              <w:spacing w:after="0"/>
              <w:rPr>
                <w:sz w:val="20"/>
                <w:szCs w:val="20"/>
                <w:color w:val="auto"/>
              </w:rPr>
            </w:pPr>
            <w:r>
              <w:rPr>
                <w:rFonts w:ascii="Arial" w:cs="Arial" w:eastAsia="Arial" w:hAnsi="Arial"/>
                <w:sz w:val="13"/>
                <w:szCs w:val="13"/>
                <w:color w:val="333333"/>
              </w:rPr>
              <w:t>$100,000</w:t>
            </w:r>
          </w:p>
        </w:tc>
        <w:tc>
          <w:tcPr>
            <w:tcW w:w="0" w:type="dxa"/>
            <w:vAlign w:val="bottom"/>
          </w:tcPr>
          <w:p>
            <w:pPr>
              <w:spacing w:after="0"/>
              <w:rPr>
                <w:sz w:val="1"/>
                <w:szCs w:val="1"/>
                <w:color w:val="auto"/>
              </w:rPr>
            </w:pPr>
          </w:p>
        </w:tc>
      </w:tr>
      <w:tr>
        <w:trPr>
          <w:trHeight w:val="98"/>
        </w:trPr>
        <w:tc>
          <w:tcPr>
            <w:tcW w:w="6680" w:type="dxa"/>
            <w:vAlign w:val="bottom"/>
            <w:vMerge w:val="restart"/>
          </w:tcPr>
          <w:p>
            <w:pPr>
              <w:ind w:left="100"/>
              <w:spacing w:after="0"/>
              <w:rPr>
                <w:sz w:val="20"/>
                <w:szCs w:val="20"/>
                <w:color w:val="auto"/>
              </w:rPr>
            </w:pPr>
            <w:r>
              <w:rPr>
                <w:rFonts w:ascii="Arial" w:cs="Arial" w:eastAsia="Arial" w:hAnsi="Arial"/>
                <w:sz w:val="13"/>
                <w:szCs w:val="13"/>
                <w:b w:val="1"/>
                <w:bCs w:val="1"/>
                <w:color w:val="017B52"/>
              </w:rPr>
              <w:t>Corporate Directors, National Sales Directors, Segment/ Business Unit Directors, Segment Controllers</w:t>
            </w:r>
          </w:p>
        </w:tc>
        <w:tc>
          <w:tcPr>
            <w:tcW w:w="3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6680" w:type="dxa"/>
            <w:vAlign w:val="bottom"/>
            <w:tcBorders>
              <w:bottom w:val="single" w:sz="8" w:color="017B52"/>
            </w:tcBorders>
            <w:vMerge w:val="continue"/>
          </w:tcPr>
          <w:p>
            <w:pPr>
              <w:spacing w:after="0"/>
              <w:rPr>
                <w:sz w:val="6"/>
                <w:szCs w:val="6"/>
                <w:color w:val="auto"/>
              </w:rPr>
            </w:pPr>
          </w:p>
        </w:tc>
        <w:tc>
          <w:tcPr>
            <w:tcW w:w="3040" w:type="dxa"/>
            <w:vAlign w:val="bottom"/>
            <w:tcBorders>
              <w:bottom w:val="single" w:sz="8" w:color="017B52"/>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6680" w:type="dxa"/>
            <w:vAlign w:val="bottom"/>
          </w:tcPr>
          <w:p>
            <w:pPr>
              <w:ind w:left="100"/>
              <w:spacing w:after="0"/>
              <w:rPr>
                <w:sz w:val="20"/>
                <w:szCs w:val="20"/>
                <w:color w:val="auto"/>
              </w:rPr>
            </w:pPr>
            <w:r>
              <w:rPr>
                <w:rFonts w:ascii="Arial" w:cs="Arial" w:eastAsia="Arial" w:hAnsi="Arial"/>
                <w:sz w:val="13"/>
                <w:szCs w:val="13"/>
                <w:b w:val="1"/>
                <w:bCs w:val="1"/>
                <w:color w:val="017B52"/>
              </w:rPr>
              <w:t>Plant Managers, Corporate Senior Managers, Purchasing/ Transportation Managers, Regional Safety</w:t>
            </w:r>
          </w:p>
        </w:tc>
        <w:tc>
          <w:tcPr>
            <w:tcW w:w="3040" w:type="dxa"/>
            <w:vAlign w:val="bottom"/>
            <w:vMerge w:val="restart"/>
          </w:tcPr>
          <w:p>
            <w:pPr>
              <w:jc w:val="right"/>
              <w:ind w:right="19"/>
              <w:spacing w:after="0"/>
              <w:rPr>
                <w:sz w:val="20"/>
                <w:szCs w:val="20"/>
                <w:color w:val="auto"/>
              </w:rPr>
            </w:pPr>
            <w:r>
              <w:rPr>
                <w:rFonts w:ascii="Arial" w:cs="Arial" w:eastAsia="Arial" w:hAnsi="Arial"/>
                <w:sz w:val="13"/>
                <w:szCs w:val="13"/>
                <w:color w:val="333333"/>
              </w:rPr>
              <w:t>$50,000</w:t>
            </w:r>
          </w:p>
        </w:tc>
        <w:tc>
          <w:tcPr>
            <w:tcW w:w="0" w:type="dxa"/>
            <w:vAlign w:val="bottom"/>
          </w:tcPr>
          <w:p>
            <w:pPr>
              <w:spacing w:after="0"/>
              <w:rPr>
                <w:sz w:val="1"/>
                <w:szCs w:val="1"/>
                <w:color w:val="auto"/>
              </w:rPr>
            </w:pPr>
          </w:p>
        </w:tc>
      </w:tr>
      <w:tr>
        <w:trPr>
          <w:trHeight w:val="98"/>
        </w:trPr>
        <w:tc>
          <w:tcPr>
            <w:tcW w:w="6680" w:type="dxa"/>
            <w:vAlign w:val="bottom"/>
            <w:vMerge w:val="restart"/>
          </w:tcPr>
          <w:p>
            <w:pPr>
              <w:ind w:left="100"/>
              <w:spacing w:after="0"/>
              <w:rPr>
                <w:sz w:val="20"/>
                <w:szCs w:val="20"/>
                <w:color w:val="auto"/>
              </w:rPr>
            </w:pPr>
            <w:r>
              <w:rPr>
                <w:rFonts w:ascii="Arial" w:cs="Arial" w:eastAsia="Arial" w:hAnsi="Arial"/>
                <w:sz w:val="13"/>
                <w:szCs w:val="13"/>
                <w:b w:val="1"/>
                <w:bCs w:val="1"/>
                <w:color w:val="017B52"/>
              </w:rPr>
              <w:t>Directors</w:t>
            </w:r>
          </w:p>
        </w:tc>
        <w:tc>
          <w:tcPr>
            <w:tcW w:w="3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6680" w:type="dxa"/>
            <w:vAlign w:val="bottom"/>
            <w:tcBorders>
              <w:bottom w:val="single" w:sz="8" w:color="017B52"/>
            </w:tcBorders>
            <w:vMerge w:val="continue"/>
          </w:tcPr>
          <w:p>
            <w:pPr>
              <w:spacing w:after="0"/>
              <w:rPr>
                <w:sz w:val="6"/>
                <w:szCs w:val="6"/>
                <w:color w:val="auto"/>
              </w:rPr>
            </w:pPr>
          </w:p>
        </w:tc>
        <w:tc>
          <w:tcPr>
            <w:tcW w:w="3040" w:type="dxa"/>
            <w:vAlign w:val="bottom"/>
            <w:tcBorders>
              <w:bottom w:val="single" w:sz="8" w:color="017B52"/>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6680" w:type="dxa"/>
            <w:vAlign w:val="bottom"/>
            <w:tcBorders>
              <w:bottom w:val="single" w:sz="8" w:color="017B52"/>
            </w:tcBorders>
          </w:tcPr>
          <w:p>
            <w:pPr>
              <w:ind w:left="100"/>
              <w:spacing w:after="0"/>
              <w:rPr>
                <w:sz w:val="20"/>
                <w:szCs w:val="20"/>
                <w:color w:val="auto"/>
              </w:rPr>
            </w:pPr>
            <w:r>
              <w:rPr>
                <w:rFonts w:ascii="Arial" w:cs="Arial" w:eastAsia="Arial" w:hAnsi="Arial"/>
                <w:sz w:val="13"/>
                <w:szCs w:val="13"/>
                <w:b w:val="1"/>
                <w:bCs w:val="1"/>
                <w:color w:val="017B52"/>
              </w:rPr>
              <w:t>Independent Directors</w:t>
            </w:r>
          </w:p>
        </w:tc>
        <w:tc>
          <w:tcPr>
            <w:tcW w:w="3040" w:type="dxa"/>
            <w:vAlign w:val="bottom"/>
            <w:tcBorders>
              <w:bottom w:val="single" w:sz="8" w:color="017B52"/>
            </w:tcBorders>
          </w:tcPr>
          <w:p>
            <w:pPr>
              <w:jc w:val="right"/>
              <w:ind w:right="19"/>
              <w:spacing w:after="0"/>
              <w:rPr>
                <w:sz w:val="20"/>
                <w:szCs w:val="20"/>
                <w:color w:val="auto"/>
              </w:rPr>
            </w:pPr>
            <w:r>
              <w:rPr>
                <w:rFonts w:ascii="Arial" w:cs="Arial" w:eastAsia="Arial" w:hAnsi="Arial"/>
                <w:sz w:val="13"/>
                <w:szCs w:val="13"/>
                <w:color w:val="333333"/>
              </w:rPr>
              <w:t>7,500 shares</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Company maintains an Executive Stock Grant Program (the “ESGP”) pursuant to which we grant shares of restricted Company common stock to eligible employees who invest in shares of the Company's common stock under our Deferred Compensation Plan (the “DCP”). Under the ESGP, approximately $1.00 worth of Company stock is awarded for each $1.00 deferred and invested in Company stock under the DCP (the “Match Shares”). The Match Shares vest in full on the fifth anniversary of the grant date, subject to certain acceleration events.</w:t>
      </w:r>
    </w:p>
    <w:p>
      <w:pPr>
        <w:spacing w:after="0" w:line="126"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Our DCP allows key employees to defer a portion of their salary and/or cash incentive compensation. Our Named Executives may not defer more than $15,000 of salary or more than $100,000 of incentive compensation per year. Participants in the DCP may elect to invest the deferred amounts in certain investment alternatives, including our common stock. Also, under the DCP, if a key employee's ownership of our common stock is below certain targeted thresholds, the amount of the deferral must be used to invest in shares of our common stock. In general, each employee receives a payout of his or her DCP account one year from the date he or she terminates employment with our Company, unless termination of employment is due to retirement, death or change in control, in which case the employee or his or her beneficiary may receive the distribution earlier, subject to DCP provisions.</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have a shareholder-approved Employee Stock Purchase Plan (the “ESPP”) which allows our employees to make payroll deductions or lump sum contributions, or both, for the purchase of our common stock. Shares of our common stock are purchased with the money in the employee's account on the last trading day of the quarter, at a 15% discount from the then prevailing market price of our common stock. All eligible employees with at least one year of service may participate in the ESPP. Under the ESPP, an employee may not acquire more than $25,000 of our common stock in any one plan year, based upon the fair market value of our stock as of the date of purchase.</w:t>
      </w:r>
    </w:p>
    <w:p>
      <w:pPr>
        <w:spacing w:after="0" w:line="128"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We have a Stock Gift Plan under which eligible employees receive a modest amount of our common stock on specified service anniversaries with us.</w:t>
      </w:r>
    </w:p>
    <w:p>
      <w:pPr>
        <w:spacing w:after="0" w:line="10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i w:val="1"/>
          <w:iCs w:val="1"/>
          <w:color w:val="auto"/>
        </w:rPr>
        <w:t xml:space="preserve">Executive Retirement Plan. </w:t>
      </w:r>
      <w:r>
        <w:rPr>
          <w:rFonts w:ascii="Arial" w:cs="Arial" w:eastAsia="Arial" w:hAnsi="Arial"/>
          <w:sz w:val="16"/>
          <w:szCs w:val="16"/>
          <w:color w:val="auto"/>
        </w:rPr>
        <w:t>Under our Executive Retirement Plan (the “ERP”), officers with twenty or more years of Company service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at least ten years of service as an officer are entitled to certain retirement benefits. The ERP provides for a retirement benefit at age 62 or later of 150% of base salary (based upon the executive's highest annual base salary during the three-year period preceding retirement), and is payable over three years after retirement, death or disability. Our CEO does not participate in the ERP.</w:t>
      </w:r>
    </w:p>
    <w:p>
      <w:pPr>
        <w:spacing w:after="0" w:line="124" w:lineRule="exact"/>
        <w:rPr>
          <w:sz w:val="20"/>
          <w:szCs w:val="20"/>
          <w:color w:val="auto"/>
        </w:rPr>
      </w:pPr>
    </w:p>
    <w:p>
      <w:pPr>
        <w:jc w:val="both"/>
        <w:ind w:right="340"/>
        <w:spacing w:after="0" w:line="266" w:lineRule="auto"/>
        <w:rPr>
          <w:sz w:val="20"/>
          <w:szCs w:val="20"/>
          <w:color w:val="auto"/>
        </w:rPr>
      </w:pPr>
      <w:r>
        <w:rPr>
          <w:rFonts w:ascii="Arial" w:cs="Arial" w:eastAsia="Arial" w:hAnsi="Arial"/>
          <w:sz w:val="16"/>
          <w:szCs w:val="16"/>
          <w:b w:val="1"/>
          <w:bCs w:val="1"/>
          <w:i w:val="1"/>
          <w:iCs w:val="1"/>
          <w:color w:val="auto"/>
        </w:rPr>
        <w:t xml:space="preserve">Impact of Restatements Retroactively Impacting Financial Goods. </w:t>
      </w:r>
      <w:r>
        <w:rPr>
          <w:rFonts w:ascii="Arial" w:cs="Arial" w:eastAsia="Arial" w:hAnsi="Arial"/>
          <w:sz w:val="16"/>
          <w:szCs w:val="16"/>
          <w:color w:val="auto"/>
        </w:rPr>
        <w:t>The Company has not had any material restatement of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results. If such restatements were to occur, the Committee and Board would review the matter and determine what, if any, adjustment to current or prior compensation might be appropriate.</w:t>
      </w:r>
    </w:p>
    <w:p>
      <w:pPr>
        <w:spacing w:after="0" w:line="302"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30</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351"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Our Board has adopted a Clawback Policy that allows the Company to recoup or otherwise recover certain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paid to the Company's executive officers in the event of a restatement of the Company's financial statements or due to certain improper conduct by those officers.</w:t>
      </w:r>
    </w:p>
    <w:p>
      <w:pPr>
        <w:spacing w:after="0" w:line="117"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b w:val="1"/>
          <w:bCs w:val="1"/>
          <w:i w:val="1"/>
          <w:iCs w:val="1"/>
          <w:color w:val="auto"/>
        </w:rPr>
        <w:t xml:space="preserve">Say on Pay Results and Shareholder Engagement. </w:t>
      </w:r>
      <w:r>
        <w:rPr>
          <w:rFonts w:ascii="Arial" w:cs="Arial" w:eastAsia="Arial" w:hAnsi="Arial"/>
          <w:sz w:val="16"/>
          <w:szCs w:val="16"/>
          <w:color w:val="auto"/>
        </w:rPr>
        <w:t>Historically, our shareholders have expressed meaningful support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executive compensation practices and programs. As noted above, we have favored a practice of providing modest base salaries, relative to our peers and the market, in return for a greater emphasis on performance-based compensation. Our financial performance over the past several years indicates that this practice has yielded significant benefits for our shareholders (from 2020 through 2022, the Company's share price has increased 66% and its compound annual growth rate over that three-year period has been 18%).</w:t>
      </w:r>
    </w:p>
    <w:p>
      <w:pPr>
        <w:spacing w:after="0" w:line="313"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31</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660"/>
          </w:cols>
          <w:pgMar w:left="1080" w:top="229" w:right="11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32"/>
          <w:szCs w:val="32"/>
          <w:b w:val="1"/>
          <w:bCs w:val="1"/>
          <w:color w:val="017B52"/>
        </w:rPr>
        <w:t>Personnel and 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3086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primary purpose of the Personnel and Compensation Committee (the “Committee”) is to assist the Board in discharging its responsibilities related to the compensation of our Company’s executives. The Committee’s responsibilities are more fully described in its Charter, which is available on our website.</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Committee reviewed and discussed with management the Compensation Discussion and Analysis included in this proxy statement. Effective as of March 14, 2023, based upon that review and those discussions, the Committee recommended to our Board of Directors that the Compensation Discussion and Analysis be included in this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Thomas W. Rhodes, Chairman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Joan A. Budden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Bruce A. Merino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Michael G. Wooldridge</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report of the Committee shall not be deemed to be soliciting material filed or by reference in any general statement incorporating by reference this proxy statement into any filing under the Securities Act of 1933 or under the Securities Exchange Act of 1934.</w:t>
      </w:r>
    </w:p>
    <w:p>
      <w:pPr>
        <w:spacing w:after="0" w:line="287"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32</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Summary Compensation Table</w:t>
      </w:r>
    </w:p>
    <w:p>
      <w:pPr>
        <w:spacing w:after="0" w:line="166"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The following table includes information regarding the compensation for our Chief Executive Officer, Chief Financial Officer and our three other most highly compensated executive officers for each of our last three fiscal years (the “Named Executives”).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0" w:type="dxa"/>
            <w:vAlign w:val="bottom"/>
          </w:tcPr>
          <w:p>
            <w:pPr>
              <w:jc w:val="right"/>
              <w:ind w:right="359"/>
              <w:spacing w:after="0"/>
              <w:rPr>
                <w:sz w:val="20"/>
                <w:szCs w:val="20"/>
                <w:color w:val="auto"/>
              </w:rPr>
            </w:pPr>
            <w:r>
              <w:rPr>
                <w:rFonts w:ascii="Arial" w:cs="Arial" w:eastAsia="Arial" w:hAnsi="Arial"/>
                <w:sz w:val="11"/>
                <w:szCs w:val="11"/>
                <w:b w:val="1"/>
                <w:bCs w:val="1"/>
                <w:color w:val="auto"/>
              </w:rPr>
              <w:t>NON-EQUITY</w:t>
            </w:r>
          </w:p>
        </w:tc>
        <w:tc>
          <w:tcPr>
            <w:tcW w:w="1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20" w:type="dxa"/>
            <w:vAlign w:val="bottom"/>
          </w:tcPr>
          <w:p>
            <w:pPr>
              <w:jc w:val="right"/>
              <w:ind w:right="298"/>
              <w:spacing w:after="0"/>
              <w:rPr>
                <w:sz w:val="20"/>
                <w:szCs w:val="20"/>
                <w:color w:val="auto"/>
              </w:rPr>
            </w:pPr>
            <w:r>
              <w:rPr>
                <w:rFonts w:ascii="Arial" w:cs="Arial" w:eastAsia="Arial" w:hAnsi="Arial"/>
                <w:sz w:val="11"/>
                <w:szCs w:val="11"/>
                <w:b w:val="1"/>
                <w:bCs w:val="1"/>
                <w:color w:val="auto"/>
              </w:rPr>
              <w:t>STOCK</w:t>
            </w:r>
          </w:p>
        </w:tc>
        <w:tc>
          <w:tcPr>
            <w:tcW w:w="1800" w:type="dxa"/>
            <w:vAlign w:val="bottom"/>
          </w:tcPr>
          <w:p>
            <w:pPr>
              <w:jc w:val="right"/>
              <w:ind w:right="359"/>
              <w:spacing w:after="0"/>
              <w:rPr>
                <w:sz w:val="20"/>
                <w:szCs w:val="20"/>
                <w:color w:val="auto"/>
              </w:rPr>
            </w:pPr>
            <w:r>
              <w:rPr>
                <w:rFonts w:ascii="Arial" w:cs="Arial" w:eastAsia="Arial" w:hAnsi="Arial"/>
                <w:sz w:val="11"/>
                <w:szCs w:val="11"/>
                <w:b w:val="1"/>
                <w:bCs w:val="1"/>
                <w:color w:val="auto"/>
              </w:rPr>
              <w:t>INCENTIVE PLAN</w:t>
            </w:r>
          </w:p>
        </w:tc>
        <w:tc>
          <w:tcPr>
            <w:tcW w:w="1580" w:type="dxa"/>
            <w:vAlign w:val="bottom"/>
          </w:tcPr>
          <w:p>
            <w:pPr>
              <w:jc w:val="right"/>
              <w:ind w:right="198"/>
              <w:spacing w:after="0"/>
              <w:rPr>
                <w:sz w:val="20"/>
                <w:szCs w:val="20"/>
                <w:color w:val="auto"/>
              </w:rPr>
            </w:pPr>
            <w:r>
              <w:rPr>
                <w:rFonts w:ascii="Arial" w:cs="Arial" w:eastAsia="Arial" w:hAnsi="Arial"/>
                <w:sz w:val="11"/>
                <w:szCs w:val="11"/>
                <w:b w:val="1"/>
                <w:bCs w:val="1"/>
                <w:color w:val="auto"/>
              </w:rPr>
              <w:t>ALL OTHER</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100" w:type="dxa"/>
            <w:vAlign w:val="bottom"/>
            <w:tcBorders>
              <w:bottom w:val="single" w:sz="8" w:color="007B51"/>
            </w:tcBorders>
          </w:tcPr>
          <w:p>
            <w:pPr>
              <w:ind w:left="100"/>
              <w:spacing w:after="0"/>
              <w:rPr>
                <w:sz w:val="20"/>
                <w:szCs w:val="20"/>
                <w:color w:val="auto"/>
              </w:rPr>
            </w:pPr>
            <w:r>
              <w:rPr>
                <w:rFonts w:ascii="Arial" w:cs="Arial" w:eastAsia="Arial" w:hAnsi="Arial"/>
                <w:sz w:val="11"/>
                <w:szCs w:val="11"/>
                <w:b w:val="1"/>
                <w:bCs w:val="1"/>
                <w:color w:val="auto"/>
              </w:rPr>
              <w:t>NAME AND PRINCIPAL POSITION</w:t>
            </w:r>
          </w:p>
        </w:tc>
        <w:tc>
          <w:tcPr>
            <w:tcW w:w="880" w:type="dxa"/>
            <w:vAlign w:val="bottom"/>
            <w:tcBorders>
              <w:bottom w:val="single" w:sz="8" w:color="007B51"/>
            </w:tcBorders>
          </w:tcPr>
          <w:p>
            <w:pPr>
              <w:ind w:left="300"/>
              <w:spacing w:after="0"/>
              <w:rPr>
                <w:sz w:val="20"/>
                <w:szCs w:val="20"/>
                <w:color w:val="auto"/>
              </w:rPr>
            </w:pPr>
            <w:r>
              <w:rPr>
                <w:rFonts w:ascii="Arial" w:cs="Arial" w:eastAsia="Arial" w:hAnsi="Arial"/>
                <w:sz w:val="11"/>
                <w:szCs w:val="11"/>
                <w:b w:val="1"/>
                <w:bCs w:val="1"/>
                <w:color w:val="auto"/>
              </w:rPr>
              <w:t>YEAR</w:t>
            </w:r>
          </w:p>
        </w:tc>
        <w:tc>
          <w:tcPr>
            <w:tcW w:w="1120" w:type="dxa"/>
            <w:vAlign w:val="bottom"/>
            <w:tcBorders>
              <w:bottom w:val="single" w:sz="8" w:color="007B51"/>
            </w:tcBorders>
          </w:tcPr>
          <w:p>
            <w:pPr>
              <w:jc w:val="right"/>
              <w:ind w:right="218"/>
              <w:spacing w:after="0"/>
              <w:rPr>
                <w:sz w:val="20"/>
                <w:szCs w:val="20"/>
                <w:color w:val="auto"/>
              </w:rPr>
            </w:pPr>
            <w:r>
              <w:rPr>
                <w:rFonts w:ascii="Arial" w:cs="Arial" w:eastAsia="Arial" w:hAnsi="Arial"/>
                <w:sz w:val="11"/>
                <w:szCs w:val="11"/>
                <w:b w:val="1"/>
                <w:bCs w:val="1"/>
                <w:color w:val="auto"/>
              </w:rPr>
              <w:t>SALARY</w:t>
            </w:r>
            <w:r>
              <w:rPr>
                <w:rFonts w:ascii="Arial" w:cs="Arial" w:eastAsia="Arial" w:hAnsi="Arial"/>
                <w:sz w:val="17"/>
                <w:szCs w:val="17"/>
                <w:b w:val="1"/>
                <w:bCs w:val="1"/>
                <w:color w:val="auto"/>
                <w:vertAlign w:val="superscript"/>
              </w:rPr>
              <w:t>(1)</w:t>
            </w:r>
          </w:p>
        </w:tc>
        <w:tc>
          <w:tcPr>
            <w:tcW w:w="1220" w:type="dxa"/>
            <w:vAlign w:val="bottom"/>
            <w:tcBorders>
              <w:bottom w:val="single" w:sz="8" w:color="007B51"/>
            </w:tcBorders>
          </w:tcPr>
          <w:p>
            <w:pPr>
              <w:jc w:val="right"/>
              <w:ind w:right="258"/>
              <w:spacing w:after="0"/>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(2)</w:t>
            </w:r>
          </w:p>
        </w:tc>
        <w:tc>
          <w:tcPr>
            <w:tcW w:w="1800" w:type="dxa"/>
            <w:vAlign w:val="bottom"/>
            <w:tcBorders>
              <w:bottom w:val="single" w:sz="8" w:color="007B51"/>
            </w:tcBorders>
          </w:tcPr>
          <w:p>
            <w:pPr>
              <w:jc w:val="right"/>
              <w:ind w:right="319"/>
              <w:spacing w:after="0"/>
              <w:rPr>
                <w:sz w:val="20"/>
                <w:szCs w:val="20"/>
                <w:color w:val="auto"/>
              </w:rPr>
            </w:pPr>
            <w:r>
              <w:rPr>
                <w:rFonts w:ascii="Arial" w:cs="Arial" w:eastAsia="Arial" w:hAnsi="Arial"/>
                <w:sz w:val="11"/>
                <w:szCs w:val="11"/>
                <w:b w:val="1"/>
                <w:bCs w:val="1"/>
                <w:color w:val="auto"/>
              </w:rPr>
              <w:t>COMPENSATION</w:t>
            </w:r>
            <w:r>
              <w:rPr>
                <w:rFonts w:ascii="Arial" w:cs="Arial" w:eastAsia="Arial" w:hAnsi="Arial"/>
                <w:sz w:val="17"/>
                <w:szCs w:val="17"/>
                <w:b w:val="1"/>
                <w:bCs w:val="1"/>
                <w:color w:val="auto"/>
                <w:vertAlign w:val="superscript"/>
              </w:rPr>
              <w:t>(1)(3)</w:t>
            </w:r>
          </w:p>
        </w:tc>
        <w:tc>
          <w:tcPr>
            <w:tcW w:w="1580" w:type="dxa"/>
            <w:vAlign w:val="bottom"/>
            <w:tcBorders>
              <w:bottom w:val="single" w:sz="8" w:color="007B51"/>
            </w:tcBorders>
          </w:tcPr>
          <w:p>
            <w:pPr>
              <w:jc w:val="right"/>
              <w:ind w:right="158"/>
              <w:spacing w:after="0"/>
              <w:rPr>
                <w:sz w:val="20"/>
                <w:szCs w:val="20"/>
                <w:color w:val="auto"/>
              </w:rPr>
            </w:pPr>
            <w:r>
              <w:rPr>
                <w:rFonts w:ascii="Arial" w:cs="Arial" w:eastAsia="Arial" w:hAnsi="Arial"/>
                <w:sz w:val="11"/>
                <w:szCs w:val="11"/>
                <w:b w:val="1"/>
                <w:bCs w:val="1"/>
                <w:color w:val="auto"/>
              </w:rPr>
              <w:t>COMPENSATION</w:t>
            </w:r>
            <w:r>
              <w:rPr>
                <w:rFonts w:ascii="Arial" w:cs="Arial" w:eastAsia="Arial" w:hAnsi="Arial"/>
                <w:sz w:val="17"/>
                <w:szCs w:val="17"/>
                <w:b w:val="1"/>
                <w:bCs w:val="1"/>
                <w:color w:val="auto"/>
                <w:vertAlign w:val="superscript"/>
              </w:rPr>
              <w:t>(4)</w:t>
            </w:r>
          </w:p>
        </w:tc>
        <w:tc>
          <w:tcPr>
            <w:tcW w:w="1020" w:type="dxa"/>
            <w:vAlign w:val="bottom"/>
            <w:tcBorders>
              <w:bottom w:val="single" w:sz="8" w:color="007B51"/>
            </w:tcBorders>
          </w:tcPr>
          <w:p>
            <w:pPr>
              <w:jc w:val="right"/>
              <w:ind w:right="1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46"/>
        </w:trPr>
        <w:tc>
          <w:tcPr>
            <w:tcW w:w="2100" w:type="dxa"/>
            <w:vAlign w:val="bottom"/>
          </w:tcPr>
          <w:p>
            <w:pPr>
              <w:ind w:left="100"/>
              <w:spacing w:after="0"/>
              <w:rPr>
                <w:sz w:val="20"/>
                <w:szCs w:val="20"/>
                <w:color w:val="auto"/>
              </w:rPr>
            </w:pPr>
            <w:r>
              <w:rPr>
                <w:rFonts w:ascii="Arial" w:cs="Arial" w:eastAsia="Arial" w:hAnsi="Arial"/>
                <w:sz w:val="13"/>
                <w:szCs w:val="13"/>
                <w:b w:val="1"/>
                <w:bCs w:val="1"/>
                <w:color w:val="017B52"/>
              </w:rPr>
              <w:t>Matthew J. Missad,</w:t>
            </w:r>
          </w:p>
        </w:tc>
        <w:tc>
          <w:tcPr>
            <w:tcW w:w="880" w:type="dxa"/>
            <w:vAlign w:val="bottom"/>
          </w:tcPr>
          <w:p>
            <w:pPr>
              <w:ind w:left="300"/>
              <w:spacing w:after="0"/>
              <w:rPr>
                <w:sz w:val="20"/>
                <w:szCs w:val="20"/>
                <w:color w:val="auto"/>
              </w:rPr>
            </w:pPr>
            <w:r>
              <w:rPr>
                <w:rFonts w:ascii="Arial" w:cs="Arial" w:eastAsia="Arial" w:hAnsi="Arial"/>
                <w:sz w:val="13"/>
                <w:szCs w:val="13"/>
                <w:color w:val="58595B"/>
              </w:rPr>
              <w:t>2022</w:t>
            </w:r>
          </w:p>
        </w:tc>
        <w:tc>
          <w:tcPr>
            <w:tcW w:w="1120" w:type="dxa"/>
            <w:vAlign w:val="bottom"/>
          </w:tcPr>
          <w:p>
            <w:pPr>
              <w:jc w:val="right"/>
              <w:ind w:right="218"/>
              <w:spacing w:after="0"/>
              <w:rPr>
                <w:sz w:val="20"/>
                <w:szCs w:val="20"/>
                <w:color w:val="auto"/>
              </w:rPr>
            </w:pPr>
            <w:r>
              <w:rPr>
                <w:rFonts w:ascii="Arial" w:cs="Arial" w:eastAsia="Arial" w:hAnsi="Arial"/>
                <w:sz w:val="13"/>
                <w:szCs w:val="13"/>
                <w:color w:val="58595B"/>
              </w:rPr>
              <w:t>$823,574</w:t>
            </w:r>
          </w:p>
        </w:tc>
        <w:tc>
          <w:tcPr>
            <w:tcW w:w="1220" w:type="dxa"/>
            <w:vAlign w:val="bottom"/>
          </w:tcPr>
          <w:p>
            <w:pPr>
              <w:jc w:val="right"/>
              <w:ind w:right="258"/>
              <w:spacing w:after="0"/>
              <w:rPr>
                <w:sz w:val="20"/>
                <w:szCs w:val="20"/>
                <w:color w:val="auto"/>
              </w:rPr>
            </w:pPr>
            <w:r>
              <w:rPr>
                <w:rFonts w:ascii="Arial" w:cs="Arial" w:eastAsia="Arial" w:hAnsi="Arial"/>
                <w:sz w:val="13"/>
                <w:szCs w:val="13"/>
                <w:color w:val="58595B"/>
              </w:rPr>
              <w:t>$7,697,562</w:t>
            </w:r>
          </w:p>
        </w:tc>
        <w:tc>
          <w:tcPr>
            <w:tcW w:w="1800" w:type="dxa"/>
            <w:vAlign w:val="bottom"/>
          </w:tcPr>
          <w:p>
            <w:pPr>
              <w:jc w:val="right"/>
              <w:ind w:right="319"/>
              <w:spacing w:after="0"/>
              <w:rPr>
                <w:sz w:val="20"/>
                <w:szCs w:val="20"/>
                <w:color w:val="auto"/>
              </w:rPr>
            </w:pPr>
            <w:r>
              <w:rPr>
                <w:rFonts w:ascii="Arial" w:cs="Arial" w:eastAsia="Arial" w:hAnsi="Arial"/>
                <w:sz w:val="13"/>
                <w:szCs w:val="13"/>
                <w:color w:val="58595B"/>
              </w:rPr>
              <w:t>$1,726,482</w:t>
            </w:r>
          </w:p>
        </w:tc>
        <w:tc>
          <w:tcPr>
            <w:tcW w:w="1580" w:type="dxa"/>
            <w:vAlign w:val="bottom"/>
          </w:tcPr>
          <w:p>
            <w:pPr>
              <w:jc w:val="right"/>
              <w:ind w:right="158"/>
              <w:spacing w:after="0"/>
              <w:rPr>
                <w:sz w:val="20"/>
                <w:szCs w:val="20"/>
                <w:color w:val="auto"/>
              </w:rPr>
            </w:pPr>
            <w:r>
              <w:rPr>
                <w:rFonts w:ascii="Arial" w:cs="Arial" w:eastAsia="Arial" w:hAnsi="Arial"/>
                <w:sz w:val="13"/>
                <w:szCs w:val="13"/>
                <w:color w:val="58595B"/>
              </w:rPr>
              <w:t>$51,656</w:t>
            </w:r>
          </w:p>
        </w:tc>
        <w:tc>
          <w:tcPr>
            <w:tcW w:w="1020" w:type="dxa"/>
            <w:vAlign w:val="bottom"/>
          </w:tcPr>
          <w:p>
            <w:pPr>
              <w:jc w:val="right"/>
              <w:ind w:right="18"/>
              <w:spacing w:after="0"/>
              <w:rPr>
                <w:sz w:val="20"/>
                <w:szCs w:val="20"/>
                <w:color w:val="auto"/>
              </w:rPr>
            </w:pPr>
            <w:r>
              <w:rPr>
                <w:rFonts w:ascii="Arial" w:cs="Arial" w:eastAsia="Arial" w:hAnsi="Arial"/>
                <w:sz w:val="13"/>
                <w:szCs w:val="13"/>
                <w:color w:val="58595B"/>
              </w:rPr>
              <w:t>$10,299,274</w:t>
            </w:r>
          </w:p>
        </w:tc>
        <w:tc>
          <w:tcPr>
            <w:tcW w:w="0" w:type="dxa"/>
            <w:vAlign w:val="bottom"/>
          </w:tcPr>
          <w:p>
            <w:pPr>
              <w:spacing w:after="0"/>
              <w:rPr>
                <w:sz w:val="1"/>
                <w:szCs w:val="1"/>
                <w:color w:val="auto"/>
              </w:rPr>
            </w:pPr>
          </w:p>
        </w:tc>
      </w:tr>
      <w:tr>
        <w:trPr>
          <w:trHeight w:val="166"/>
        </w:trPr>
        <w:tc>
          <w:tcPr>
            <w:tcW w:w="2100" w:type="dxa"/>
            <w:vAlign w:val="bottom"/>
          </w:tcPr>
          <w:p>
            <w:pPr>
              <w:ind w:left="100"/>
              <w:spacing w:after="0"/>
              <w:rPr>
                <w:sz w:val="20"/>
                <w:szCs w:val="20"/>
                <w:color w:val="auto"/>
              </w:rPr>
            </w:pPr>
            <w:r>
              <w:rPr>
                <w:rFonts w:ascii="Arial" w:cs="Arial" w:eastAsia="Arial" w:hAnsi="Arial"/>
                <w:sz w:val="13"/>
                <w:szCs w:val="13"/>
                <w:color w:val="58595B"/>
              </w:rPr>
              <w:t>Chief Executive Officer</w:t>
            </w:r>
          </w:p>
        </w:tc>
        <w:tc>
          <w:tcPr>
            <w:tcW w:w="880" w:type="dxa"/>
            <w:vAlign w:val="bottom"/>
            <w:vMerge w:val="restart"/>
          </w:tcPr>
          <w:p>
            <w:pPr>
              <w:ind w:left="300"/>
              <w:spacing w:after="0"/>
              <w:rPr>
                <w:sz w:val="20"/>
                <w:szCs w:val="20"/>
                <w:color w:val="auto"/>
              </w:rPr>
            </w:pPr>
            <w:r>
              <w:rPr>
                <w:rFonts w:ascii="Arial" w:cs="Arial" w:eastAsia="Arial" w:hAnsi="Arial"/>
                <w:sz w:val="13"/>
                <w:szCs w:val="13"/>
                <w:color w:val="58595B"/>
              </w:rPr>
              <w:t>2021</w:t>
            </w:r>
          </w:p>
        </w:tc>
        <w:tc>
          <w:tcPr>
            <w:tcW w:w="1120" w:type="dxa"/>
            <w:vAlign w:val="bottom"/>
            <w:vMerge w:val="restart"/>
          </w:tcPr>
          <w:p>
            <w:pPr>
              <w:jc w:val="right"/>
              <w:ind w:right="218"/>
              <w:spacing w:after="0"/>
              <w:rPr>
                <w:sz w:val="20"/>
                <w:szCs w:val="20"/>
                <w:color w:val="auto"/>
              </w:rPr>
            </w:pPr>
            <w:r>
              <w:rPr>
                <w:rFonts w:ascii="Arial" w:cs="Arial" w:eastAsia="Arial" w:hAnsi="Arial"/>
                <w:sz w:val="13"/>
                <w:szCs w:val="13"/>
                <w:color w:val="58595B"/>
              </w:rPr>
              <w:t>$815,419</w:t>
            </w:r>
          </w:p>
        </w:tc>
        <w:tc>
          <w:tcPr>
            <w:tcW w:w="1220" w:type="dxa"/>
            <w:vAlign w:val="bottom"/>
            <w:vMerge w:val="restart"/>
          </w:tcPr>
          <w:p>
            <w:pPr>
              <w:jc w:val="right"/>
              <w:ind w:right="258"/>
              <w:spacing w:after="0"/>
              <w:rPr>
                <w:sz w:val="20"/>
                <w:szCs w:val="20"/>
                <w:color w:val="auto"/>
              </w:rPr>
            </w:pPr>
            <w:r>
              <w:rPr>
                <w:rFonts w:ascii="Arial" w:cs="Arial" w:eastAsia="Arial" w:hAnsi="Arial"/>
                <w:sz w:val="13"/>
                <w:szCs w:val="13"/>
                <w:color w:val="58595B"/>
              </w:rPr>
              <w:t>$7,244,629</w:t>
            </w:r>
          </w:p>
        </w:tc>
        <w:tc>
          <w:tcPr>
            <w:tcW w:w="1800" w:type="dxa"/>
            <w:vAlign w:val="bottom"/>
            <w:vMerge w:val="restart"/>
          </w:tcPr>
          <w:p>
            <w:pPr>
              <w:jc w:val="right"/>
              <w:ind w:right="319"/>
              <w:spacing w:after="0"/>
              <w:rPr>
                <w:sz w:val="20"/>
                <w:szCs w:val="20"/>
                <w:color w:val="auto"/>
              </w:rPr>
            </w:pPr>
            <w:r>
              <w:rPr>
                <w:rFonts w:ascii="Arial" w:cs="Arial" w:eastAsia="Arial" w:hAnsi="Arial"/>
                <w:sz w:val="13"/>
                <w:szCs w:val="13"/>
                <w:color w:val="58595B"/>
              </w:rPr>
              <w:t>$1,648,508</w:t>
            </w:r>
          </w:p>
        </w:tc>
        <w:tc>
          <w:tcPr>
            <w:tcW w:w="1580" w:type="dxa"/>
            <w:vAlign w:val="bottom"/>
            <w:vMerge w:val="restart"/>
          </w:tcPr>
          <w:p>
            <w:pPr>
              <w:jc w:val="right"/>
              <w:ind w:right="158"/>
              <w:spacing w:after="0"/>
              <w:rPr>
                <w:sz w:val="20"/>
                <w:szCs w:val="20"/>
                <w:color w:val="auto"/>
              </w:rPr>
            </w:pPr>
            <w:r>
              <w:rPr>
                <w:rFonts w:ascii="Arial" w:cs="Arial" w:eastAsia="Arial" w:hAnsi="Arial"/>
                <w:sz w:val="13"/>
                <w:szCs w:val="13"/>
                <w:color w:val="58595B"/>
              </w:rPr>
              <w:t>$49,252</w:t>
            </w:r>
          </w:p>
        </w:tc>
        <w:tc>
          <w:tcPr>
            <w:tcW w:w="1020" w:type="dxa"/>
            <w:vAlign w:val="bottom"/>
            <w:vMerge w:val="restart"/>
          </w:tcPr>
          <w:p>
            <w:pPr>
              <w:jc w:val="right"/>
              <w:ind w:right="18"/>
              <w:spacing w:after="0"/>
              <w:rPr>
                <w:sz w:val="20"/>
                <w:szCs w:val="20"/>
                <w:color w:val="auto"/>
              </w:rPr>
            </w:pPr>
            <w:r>
              <w:rPr>
                <w:rFonts w:ascii="Arial" w:cs="Arial" w:eastAsia="Arial" w:hAnsi="Arial"/>
                <w:sz w:val="13"/>
                <w:szCs w:val="13"/>
                <w:color w:val="58595B"/>
              </w:rPr>
              <w:t>$9,757,808</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880" w:type="dxa"/>
            <w:vAlign w:val="bottom"/>
          </w:tcPr>
          <w:p>
            <w:pPr>
              <w:ind w:left="300"/>
              <w:spacing w:after="0"/>
              <w:rPr>
                <w:sz w:val="20"/>
                <w:szCs w:val="20"/>
                <w:color w:val="auto"/>
              </w:rPr>
            </w:pPr>
            <w:r>
              <w:rPr>
                <w:rFonts w:ascii="Arial" w:cs="Arial" w:eastAsia="Arial" w:hAnsi="Arial"/>
                <w:sz w:val="13"/>
                <w:szCs w:val="13"/>
                <w:color w:val="58595B"/>
              </w:rPr>
              <w:t>2020</w:t>
            </w:r>
          </w:p>
        </w:tc>
        <w:tc>
          <w:tcPr>
            <w:tcW w:w="1120" w:type="dxa"/>
            <w:vAlign w:val="bottom"/>
          </w:tcPr>
          <w:p>
            <w:pPr>
              <w:jc w:val="right"/>
              <w:ind w:right="218"/>
              <w:spacing w:after="0"/>
              <w:rPr>
                <w:sz w:val="20"/>
                <w:szCs w:val="20"/>
                <w:color w:val="auto"/>
              </w:rPr>
            </w:pPr>
            <w:r>
              <w:rPr>
                <w:rFonts w:ascii="Arial" w:cs="Arial" w:eastAsia="Arial" w:hAnsi="Arial"/>
                <w:sz w:val="13"/>
                <w:szCs w:val="13"/>
                <w:color w:val="58595B"/>
              </w:rPr>
              <w:t>$806,822</w:t>
            </w:r>
          </w:p>
        </w:tc>
        <w:tc>
          <w:tcPr>
            <w:tcW w:w="1220" w:type="dxa"/>
            <w:vAlign w:val="bottom"/>
          </w:tcPr>
          <w:p>
            <w:pPr>
              <w:jc w:val="right"/>
              <w:ind w:right="258"/>
              <w:spacing w:after="0"/>
              <w:rPr>
                <w:sz w:val="20"/>
                <w:szCs w:val="20"/>
                <w:color w:val="auto"/>
              </w:rPr>
            </w:pPr>
            <w:r>
              <w:rPr>
                <w:rFonts w:ascii="Arial" w:cs="Arial" w:eastAsia="Arial" w:hAnsi="Arial"/>
                <w:sz w:val="13"/>
                <w:szCs w:val="13"/>
                <w:color w:val="58595B"/>
              </w:rPr>
              <w:t>$3,720,191</w:t>
            </w:r>
          </w:p>
        </w:tc>
        <w:tc>
          <w:tcPr>
            <w:tcW w:w="1800" w:type="dxa"/>
            <w:vAlign w:val="bottom"/>
          </w:tcPr>
          <w:p>
            <w:pPr>
              <w:jc w:val="right"/>
              <w:ind w:right="319"/>
              <w:spacing w:after="0"/>
              <w:rPr>
                <w:sz w:val="20"/>
                <w:szCs w:val="20"/>
                <w:color w:val="auto"/>
              </w:rPr>
            </w:pPr>
            <w:r>
              <w:rPr>
                <w:rFonts w:ascii="Arial" w:cs="Arial" w:eastAsia="Arial" w:hAnsi="Arial"/>
                <w:sz w:val="13"/>
                <w:szCs w:val="13"/>
                <w:color w:val="58595B"/>
              </w:rPr>
              <w:t>$1,632,186</w:t>
            </w:r>
          </w:p>
        </w:tc>
        <w:tc>
          <w:tcPr>
            <w:tcW w:w="1580" w:type="dxa"/>
            <w:vAlign w:val="bottom"/>
          </w:tcPr>
          <w:p>
            <w:pPr>
              <w:jc w:val="right"/>
              <w:ind w:right="158"/>
              <w:spacing w:after="0"/>
              <w:rPr>
                <w:sz w:val="20"/>
                <w:szCs w:val="20"/>
                <w:color w:val="auto"/>
              </w:rPr>
            </w:pPr>
            <w:r>
              <w:rPr>
                <w:rFonts w:ascii="Arial" w:cs="Arial" w:eastAsia="Arial" w:hAnsi="Arial"/>
                <w:sz w:val="13"/>
                <w:szCs w:val="13"/>
                <w:color w:val="58595B"/>
              </w:rPr>
              <w:t>$61,462</w:t>
            </w:r>
          </w:p>
        </w:tc>
        <w:tc>
          <w:tcPr>
            <w:tcW w:w="1020" w:type="dxa"/>
            <w:vAlign w:val="bottom"/>
          </w:tcPr>
          <w:p>
            <w:pPr>
              <w:jc w:val="right"/>
              <w:ind w:right="18"/>
              <w:spacing w:after="0"/>
              <w:rPr>
                <w:sz w:val="20"/>
                <w:szCs w:val="20"/>
                <w:color w:val="auto"/>
              </w:rPr>
            </w:pPr>
            <w:r>
              <w:rPr>
                <w:rFonts w:ascii="Arial" w:cs="Arial" w:eastAsia="Arial" w:hAnsi="Arial"/>
                <w:sz w:val="13"/>
                <w:szCs w:val="13"/>
                <w:color w:val="58595B"/>
              </w:rPr>
              <w:t>$6,220,661</w:t>
            </w:r>
          </w:p>
        </w:tc>
        <w:tc>
          <w:tcPr>
            <w:tcW w:w="0" w:type="dxa"/>
            <w:vAlign w:val="bottom"/>
          </w:tcPr>
          <w:p>
            <w:pPr>
              <w:spacing w:after="0"/>
              <w:rPr>
                <w:sz w:val="1"/>
                <w:szCs w:val="1"/>
                <w:color w:val="auto"/>
              </w:rPr>
            </w:pPr>
          </w:p>
        </w:tc>
      </w:tr>
      <w:tr>
        <w:trPr>
          <w:trHeight w:val="122"/>
        </w:trPr>
        <w:tc>
          <w:tcPr>
            <w:tcW w:w="2100" w:type="dxa"/>
            <w:vAlign w:val="bottom"/>
            <w:tcBorders>
              <w:bottom w:val="single" w:sz="8" w:color="007B51"/>
            </w:tcBorders>
          </w:tcPr>
          <w:p>
            <w:pPr>
              <w:spacing w:after="0"/>
              <w:rPr>
                <w:sz w:val="10"/>
                <w:szCs w:val="10"/>
                <w:color w:val="auto"/>
              </w:rPr>
            </w:pPr>
          </w:p>
        </w:tc>
        <w:tc>
          <w:tcPr>
            <w:tcW w:w="880" w:type="dxa"/>
            <w:vAlign w:val="bottom"/>
            <w:tcBorders>
              <w:bottom w:val="single" w:sz="8" w:color="007B51"/>
            </w:tcBorders>
          </w:tcPr>
          <w:p>
            <w:pPr>
              <w:spacing w:after="0"/>
              <w:rPr>
                <w:sz w:val="10"/>
                <w:szCs w:val="10"/>
                <w:color w:val="auto"/>
              </w:rPr>
            </w:pPr>
          </w:p>
        </w:tc>
        <w:tc>
          <w:tcPr>
            <w:tcW w:w="1120" w:type="dxa"/>
            <w:vAlign w:val="bottom"/>
            <w:tcBorders>
              <w:bottom w:val="single" w:sz="8" w:color="007B51"/>
            </w:tcBorders>
          </w:tcPr>
          <w:p>
            <w:pPr>
              <w:spacing w:after="0"/>
              <w:rPr>
                <w:sz w:val="10"/>
                <w:szCs w:val="10"/>
                <w:color w:val="auto"/>
              </w:rPr>
            </w:pPr>
          </w:p>
        </w:tc>
        <w:tc>
          <w:tcPr>
            <w:tcW w:w="1220" w:type="dxa"/>
            <w:vAlign w:val="bottom"/>
            <w:tcBorders>
              <w:bottom w:val="single" w:sz="8" w:color="007B51"/>
            </w:tcBorders>
          </w:tcPr>
          <w:p>
            <w:pPr>
              <w:spacing w:after="0"/>
              <w:rPr>
                <w:sz w:val="10"/>
                <w:szCs w:val="10"/>
                <w:color w:val="auto"/>
              </w:rPr>
            </w:pPr>
          </w:p>
        </w:tc>
        <w:tc>
          <w:tcPr>
            <w:tcW w:w="1800" w:type="dxa"/>
            <w:vAlign w:val="bottom"/>
            <w:tcBorders>
              <w:bottom w:val="single" w:sz="8" w:color="007B51"/>
            </w:tcBorders>
          </w:tcPr>
          <w:p>
            <w:pPr>
              <w:spacing w:after="0"/>
              <w:rPr>
                <w:sz w:val="10"/>
                <w:szCs w:val="10"/>
                <w:color w:val="auto"/>
              </w:rPr>
            </w:pPr>
          </w:p>
        </w:tc>
        <w:tc>
          <w:tcPr>
            <w:tcW w:w="1580" w:type="dxa"/>
            <w:vAlign w:val="bottom"/>
            <w:tcBorders>
              <w:bottom w:val="single" w:sz="8" w:color="007B51"/>
            </w:tcBorders>
          </w:tcPr>
          <w:p>
            <w:pPr>
              <w:spacing w:after="0"/>
              <w:rPr>
                <w:sz w:val="10"/>
                <w:szCs w:val="10"/>
                <w:color w:val="auto"/>
              </w:rPr>
            </w:pPr>
          </w:p>
        </w:tc>
        <w:tc>
          <w:tcPr>
            <w:tcW w:w="1020" w:type="dxa"/>
            <w:vAlign w:val="bottom"/>
            <w:tcBorders>
              <w:bottom w:val="single" w:sz="8" w:color="007B51"/>
            </w:tcBorders>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100" w:type="dxa"/>
            <w:vAlign w:val="bottom"/>
          </w:tcPr>
          <w:p>
            <w:pPr>
              <w:ind w:left="100"/>
              <w:spacing w:after="0"/>
              <w:rPr>
                <w:sz w:val="20"/>
                <w:szCs w:val="20"/>
                <w:color w:val="auto"/>
              </w:rPr>
            </w:pPr>
            <w:r>
              <w:rPr>
                <w:rFonts w:ascii="Arial" w:cs="Arial" w:eastAsia="Arial" w:hAnsi="Arial"/>
                <w:sz w:val="13"/>
                <w:szCs w:val="13"/>
                <w:b w:val="1"/>
                <w:bCs w:val="1"/>
                <w:color w:val="017B52"/>
              </w:rPr>
              <w:t>Michael R. Cole,</w:t>
            </w:r>
          </w:p>
        </w:tc>
        <w:tc>
          <w:tcPr>
            <w:tcW w:w="880" w:type="dxa"/>
            <w:vAlign w:val="bottom"/>
          </w:tcPr>
          <w:p>
            <w:pPr>
              <w:ind w:left="300"/>
              <w:spacing w:after="0"/>
              <w:rPr>
                <w:sz w:val="20"/>
                <w:szCs w:val="20"/>
                <w:color w:val="auto"/>
              </w:rPr>
            </w:pPr>
            <w:r>
              <w:rPr>
                <w:rFonts w:ascii="Arial" w:cs="Arial" w:eastAsia="Arial" w:hAnsi="Arial"/>
                <w:sz w:val="13"/>
                <w:szCs w:val="13"/>
                <w:color w:val="58595B"/>
              </w:rPr>
              <w:t>2022</w:t>
            </w:r>
          </w:p>
        </w:tc>
        <w:tc>
          <w:tcPr>
            <w:tcW w:w="1120" w:type="dxa"/>
            <w:vAlign w:val="bottom"/>
          </w:tcPr>
          <w:p>
            <w:pPr>
              <w:jc w:val="right"/>
              <w:ind w:right="218"/>
              <w:spacing w:after="0"/>
              <w:rPr>
                <w:sz w:val="20"/>
                <w:szCs w:val="20"/>
                <w:color w:val="auto"/>
              </w:rPr>
            </w:pPr>
            <w:r>
              <w:rPr>
                <w:rFonts w:ascii="Arial" w:cs="Arial" w:eastAsia="Arial" w:hAnsi="Arial"/>
                <w:sz w:val="13"/>
                <w:szCs w:val="13"/>
                <w:color w:val="58595B"/>
              </w:rPr>
              <w:t>$444,684</w:t>
            </w:r>
          </w:p>
        </w:tc>
        <w:tc>
          <w:tcPr>
            <w:tcW w:w="1220" w:type="dxa"/>
            <w:vAlign w:val="bottom"/>
          </w:tcPr>
          <w:p>
            <w:pPr>
              <w:jc w:val="right"/>
              <w:ind w:right="258"/>
              <w:spacing w:after="0"/>
              <w:rPr>
                <w:sz w:val="20"/>
                <w:szCs w:val="20"/>
                <w:color w:val="auto"/>
              </w:rPr>
            </w:pPr>
            <w:r>
              <w:rPr>
                <w:rFonts w:ascii="Arial" w:cs="Arial" w:eastAsia="Arial" w:hAnsi="Arial"/>
                <w:sz w:val="13"/>
                <w:szCs w:val="13"/>
                <w:color w:val="58595B"/>
              </w:rPr>
              <w:t>$2,951,424</w:t>
            </w:r>
          </w:p>
        </w:tc>
        <w:tc>
          <w:tcPr>
            <w:tcW w:w="1800" w:type="dxa"/>
            <w:vAlign w:val="bottom"/>
          </w:tcPr>
          <w:p>
            <w:pPr>
              <w:jc w:val="right"/>
              <w:ind w:right="319"/>
              <w:spacing w:after="0"/>
              <w:rPr>
                <w:sz w:val="20"/>
                <w:szCs w:val="20"/>
                <w:color w:val="auto"/>
              </w:rPr>
            </w:pPr>
            <w:r>
              <w:rPr>
                <w:rFonts w:ascii="Arial" w:cs="Arial" w:eastAsia="Arial" w:hAnsi="Arial"/>
                <w:sz w:val="13"/>
                <w:szCs w:val="13"/>
                <w:color w:val="58595B"/>
              </w:rPr>
              <w:t>$930,000</w:t>
            </w:r>
          </w:p>
        </w:tc>
        <w:tc>
          <w:tcPr>
            <w:tcW w:w="1580" w:type="dxa"/>
            <w:vAlign w:val="bottom"/>
          </w:tcPr>
          <w:p>
            <w:pPr>
              <w:jc w:val="right"/>
              <w:ind w:right="158"/>
              <w:spacing w:after="0"/>
              <w:rPr>
                <w:sz w:val="20"/>
                <w:szCs w:val="20"/>
                <w:color w:val="auto"/>
              </w:rPr>
            </w:pPr>
            <w:r>
              <w:rPr>
                <w:rFonts w:ascii="Arial" w:cs="Arial" w:eastAsia="Arial" w:hAnsi="Arial"/>
                <w:sz w:val="13"/>
                <w:szCs w:val="13"/>
                <w:color w:val="58595B"/>
              </w:rPr>
              <w:t>$29,920</w:t>
            </w:r>
          </w:p>
        </w:tc>
        <w:tc>
          <w:tcPr>
            <w:tcW w:w="1020" w:type="dxa"/>
            <w:vAlign w:val="bottom"/>
          </w:tcPr>
          <w:p>
            <w:pPr>
              <w:jc w:val="right"/>
              <w:ind w:right="18"/>
              <w:spacing w:after="0"/>
              <w:rPr>
                <w:sz w:val="20"/>
                <w:szCs w:val="20"/>
                <w:color w:val="auto"/>
              </w:rPr>
            </w:pPr>
            <w:r>
              <w:rPr>
                <w:rFonts w:ascii="Arial" w:cs="Arial" w:eastAsia="Arial" w:hAnsi="Arial"/>
                <w:sz w:val="13"/>
                <w:szCs w:val="13"/>
                <w:color w:val="58595B"/>
              </w:rPr>
              <w:t>$4,356,028</w:t>
            </w:r>
          </w:p>
        </w:tc>
        <w:tc>
          <w:tcPr>
            <w:tcW w:w="0" w:type="dxa"/>
            <w:vAlign w:val="bottom"/>
          </w:tcPr>
          <w:p>
            <w:pPr>
              <w:spacing w:after="0"/>
              <w:rPr>
                <w:sz w:val="1"/>
                <w:szCs w:val="1"/>
                <w:color w:val="auto"/>
              </w:rPr>
            </w:pPr>
          </w:p>
        </w:tc>
      </w:tr>
      <w:tr>
        <w:trPr>
          <w:trHeight w:val="166"/>
        </w:trPr>
        <w:tc>
          <w:tcPr>
            <w:tcW w:w="2100" w:type="dxa"/>
            <w:vAlign w:val="bottom"/>
          </w:tcPr>
          <w:p>
            <w:pPr>
              <w:ind w:left="100"/>
              <w:spacing w:after="0"/>
              <w:rPr>
                <w:sz w:val="20"/>
                <w:szCs w:val="20"/>
                <w:color w:val="auto"/>
              </w:rPr>
            </w:pPr>
            <w:r>
              <w:rPr>
                <w:rFonts w:ascii="Arial" w:cs="Arial" w:eastAsia="Arial" w:hAnsi="Arial"/>
                <w:sz w:val="13"/>
                <w:szCs w:val="13"/>
                <w:color w:val="58595B"/>
              </w:rPr>
              <w:t>Chief Financial Officer</w:t>
            </w:r>
          </w:p>
        </w:tc>
        <w:tc>
          <w:tcPr>
            <w:tcW w:w="880" w:type="dxa"/>
            <w:vAlign w:val="bottom"/>
            <w:vMerge w:val="restart"/>
          </w:tcPr>
          <w:p>
            <w:pPr>
              <w:ind w:left="300"/>
              <w:spacing w:after="0"/>
              <w:rPr>
                <w:sz w:val="20"/>
                <w:szCs w:val="20"/>
                <w:color w:val="auto"/>
              </w:rPr>
            </w:pPr>
            <w:r>
              <w:rPr>
                <w:rFonts w:ascii="Arial" w:cs="Arial" w:eastAsia="Arial" w:hAnsi="Arial"/>
                <w:sz w:val="13"/>
                <w:szCs w:val="13"/>
                <w:color w:val="58595B"/>
              </w:rPr>
              <w:t>2021</w:t>
            </w:r>
          </w:p>
        </w:tc>
        <w:tc>
          <w:tcPr>
            <w:tcW w:w="1120" w:type="dxa"/>
            <w:vAlign w:val="bottom"/>
            <w:vMerge w:val="restart"/>
          </w:tcPr>
          <w:p>
            <w:pPr>
              <w:jc w:val="right"/>
              <w:ind w:right="218"/>
              <w:spacing w:after="0"/>
              <w:rPr>
                <w:sz w:val="20"/>
                <w:szCs w:val="20"/>
                <w:color w:val="auto"/>
              </w:rPr>
            </w:pPr>
            <w:r>
              <w:rPr>
                <w:rFonts w:ascii="Arial" w:cs="Arial" w:eastAsia="Arial" w:hAnsi="Arial"/>
                <w:sz w:val="13"/>
                <w:szCs w:val="13"/>
                <w:color w:val="58595B"/>
              </w:rPr>
              <w:t>$434,683</w:t>
            </w:r>
          </w:p>
        </w:tc>
        <w:tc>
          <w:tcPr>
            <w:tcW w:w="1220" w:type="dxa"/>
            <w:vAlign w:val="bottom"/>
            <w:vMerge w:val="restart"/>
          </w:tcPr>
          <w:p>
            <w:pPr>
              <w:jc w:val="right"/>
              <w:ind w:right="258"/>
              <w:spacing w:after="0"/>
              <w:rPr>
                <w:sz w:val="20"/>
                <w:szCs w:val="20"/>
                <w:color w:val="auto"/>
              </w:rPr>
            </w:pPr>
            <w:r>
              <w:rPr>
                <w:rFonts w:ascii="Arial" w:cs="Arial" w:eastAsia="Arial" w:hAnsi="Arial"/>
                <w:sz w:val="13"/>
                <w:szCs w:val="13"/>
                <w:color w:val="58595B"/>
              </w:rPr>
              <w:t>$3,275,877</w:t>
            </w:r>
          </w:p>
        </w:tc>
        <w:tc>
          <w:tcPr>
            <w:tcW w:w="1800" w:type="dxa"/>
            <w:vAlign w:val="bottom"/>
            <w:vMerge w:val="restart"/>
          </w:tcPr>
          <w:p>
            <w:pPr>
              <w:jc w:val="right"/>
              <w:ind w:right="319"/>
              <w:spacing w:after="0"/>
              <w:rPr>
                <w:sz w:val="20"/>
                <w:szCs w:val="20"/>
                <w:color w:val="auto"/>
              </w:rPr>
            </w:pPr>
            <w:r>
              <w:rPr>
                <w:rFonts w:ascii="Arial" w:cs="Arial" w:eastAsia="Arial" w:hAnsi="Arial"/>
                <w:sz w:val="13"/>
                <w:szCs w:val="13"/>
                <w:color w:val="58595B"/>
              </w:rPr>
              <w:t>$891,034</w:t>
            </w:r>
          </w:p>
        </w:tc>
        <w:tc>
          <w:tcPr>
            <w:tcW w:w="1580" w:type="dxa"/>
            <w:vAlign w:val="bottom"/>
            <w:vMerge w:val="restart"/>
          </w:tcPr>
          <w:p>
            <w:pPr>
              <w:jc w:val="right"/>
              <w:ind w:right="158"/>
              <w:spacing w:after="0"/>
              <w:rPr>
                <w:sz w:val="20"/>
                <w:szCs w:val="20"/>
                <w:color w:val="auto"/>
              </w:rPr>
            </w:pPr>
            <w:r>
              <w:rPr>
                <w:rFonts w:ascii="Arial" w:cs="Arial" w:eastAsia="Arial" w:hAnsi="Arial"/>
                <w:sz w:val="13"/>
                <w:szCs w:val="13"/>
                <w:color w:val="58595B"/>
              </w:rPr>
              <w:t>$31,652</w:t>
            </w:r>
          </w:p>
        </w:tc>
        <w:tc>
          <w:tcPr>
            <w:tcW w:w="1020" w:type="dxa"/>
            <w:vAlign w:val="bottom"/>
            <w:vMerge w:val="restart"/>
          </w:tcPr>
          <w:p>
            <w:pPr>
              <w:jc w:val="right"/>
              <w:ind w:right="18"/>
              <w:spacing w:after="0"/>
              <w:rPr>
                <w:sz w:val="20"/>
                <w:szCs w:val="20"/>
                <w:color w:val="auto"/>
              </w:rPr>
            </w:pPr>
            <w:r>
              <w:rPr>
                <w:rFonts w:ascii="Arial" w:cs="Arial" w:eastAsia="Arial" w:hAnsi="Arial"/>
                <w:sz w:val="13"/>
                <w:szCs w:val="13"/>
                <w:color w:val="58595B"/>
              </w:rPr>
              <w:t>$4,633,246</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880" w:type="dxa"/>
            <w:vAlign w:val="bottom"/>
          </w:tcPr>
          <w:p>
            <w:pPr>
              <w:ind w:left="300"/>
              <w:spacing w:after="0"/>
              <w:rPr>
                <w:sz w:val="20"/>
                <w:szCs w:val="20"/>
                <w:color w:val="auto"/>
              </w:rPr>
            </w:pPr>
            <w:r>
              <w:rPr>
                <w:rFonts w:ascii="Arial" w:cs="Arial" w:eastAsia="Arial" w:hAnsi="Arial"/>
                <w:sz w:val="13"/>
                <w:szCs w:val="13"/>
                <w:color w:val="58595B"/>
              </w:rPr>
              <w:t>2020</w:t>
            </w:r>
          </w:p>
        </w:tc>
        <w:tc>
          <w:tcPr>
            <w:tcW w:w="1120" w:type="dxa"/>
            <w:vAlign w:val="bottom"/>
          </w:tcPr>
          <w:p>
            <w:pPr>
              <w:jc w:val="right"/>
              <w:ind w:right="218"/>
              <w:spacing w:after="0"/>
              <w:rPr>
                <w:sz w:val="20"/>
                <w:szCs w:val="20"/>
                <w:color w:val="auto"/>
              </w:rPr>
            </w:pPr>
            <w:r>
              <w:rPr>
                <w:rFonts w:ascii="Arial" w:cs="Arial" w:eastAsia="Arial" w:hAnsi="Arial"/>
                <w:sz w:val="13"/>
                <w:szCs w:val="13"/>
                <w:color w:val="58595B"/>
              </w:rPr>
              <w:t>$424,517</w:t>
            </w:r>
          </w:p>
        </w:tc>
        <w:tc>
          <w:tcPr>
            <w:tcW w:w="1220" w:type="dxa"/>
            <w:vAlign w:val="bottom"/>
          </w:tcPr>
          <w:p>
            <w:pPr>
              <w:jc w:val="right"/>
              <w:ind w:right="258"/>
              <w:spacing w:after="0"/>
              <w:rPr>
                <w:sz w:val="20"/>
                <w:szCs w:val="20"/>
                <w:color w:val="auto"/>
              </w:rPr>
            </w:pPr>
            <w:r>
              <w:rPr>
                <w:rFonts w:ascii="Arial" w:cs="Arial" w:eastAsia="Arial" w:hAnsi="Arial"/>
                <w:sz w:val="13"/>
                <w:szCs w:val="13"/>
                <w:color w:val="58595B"/>
              </w:rPr>
              <w:t>$1,282,486</w:t>
            </w:r>
          </w:p>
        </w:tc>
        <w:tc>
          <w:tcPr>
            <w:tcW w:w="1800" w:type="dxa"/>
            <w:vAlign w:val="bottom"/>
          </w:tcPr>
          <w:p>
            <w:pPr>
              <w:jc w:val="right"/>
              <w:ind w:right="319"/>
              <w:spacing w:after="0"/>
              <w:rPr>
                <w:sz w:val="20"/>
                <w:szCs w:val="20"/>
                <w:color w:val="auto"/>
              </w:rPr>
            </w:pPr>
            <w:r>
              <w:rPr>
                <w:rFonts w:ascii="Arial" w:cs="Arial" w:eastAsia="Arial" w:hAnsi="Arial"/>
                <w:sz w:val="13"/>
                <w:szCs w:val="13"/>
                <w:color w:val="58595B"/>
              </w:rPr>
              <w:t>$871,034</w:t>
            </w:r>
          </w:p>
        </w:tc>
        <w:tc>
          <w:tcPr>
            <w:tcW w:w="1580" w:type="dxa"/>
            <w:vAlign w:val="bottom"/>
          </w:tcPr>
          <w:p>
            <w:pPr>
              <w:jc w:val="right"/>
              <w:ind w:right="158"/>
              <w:spacing w:after="0"/>
              <w:rPr>
                <w:sz w:val="20"/>
                <w:szCs w:val="20"/>
                <w:color w:val="auto"/>
              </w:rPr>
            </w:pPr>
            <w:r>
              <w:rPr>
                <w:rFonts w:ascii="Arial" w:cs="Arial" w:eastAsia="Arial" w:hAnsi="Arial"/>
                <w:sz w:val="13"/>
                <w:szCs w:val="13"/>
                <w:color w:val="58595B"/>
              </w:rPr>
              <w:t>$29,675</w:t>
            </w:r>
          </w:p>
        </w:tc>
        <w:tc>
          <w:tcPr>
            <w:tcW w:w="1020" w:type="dxa"/>
            <w:vAlign w:val="bottom"/>
          </w:tcPr>
          <w:p>
            <w:pPr>
              <w:jc w:val="right"/>
              <w:ind w:right="18"/>
              <w:spacing w:after="0"/>
              <w:rPr>
                <w:sz w:val="20"/>
                <w:szCs w:val="20"/>
                <w:color w:val="auto"/>
              </w:rPr>
            </w:pPr>
            <w:r>
              <w:rPr>
                <w:rFonts w:ascii="Arial" w:cs="Arial" w:eastAsia="Arial" w:hAnsi="Arial"/>
                <w:sz w:val="13"/>
                <w:szCs w:val="13"/>
                <w:color w:val="58595B"/>
              </w:rPr>
              <w:t>$2,607,712</w:t>
            </w:r>
          </w:p>
        </w:tc>
        <w:tc>
          <w:tcPr>
            <w:tcW w:w="0" w:type="dxa"/>
            <w:vAlign w:val="bottom"/>
          </w:tcPr>
          <w:p>
            <w:pPr>
              <w:spacing w:after="0"/>
              <w:rPr>
                <w:sz w:val="1"/>
                <w:szCs w:val="1"/>
                <w:color w:val="auto"/>
              </w:rPr>
            </w:pPr>
          </w:p>
        </w:tc>
      </w:tr>
      <w:tr>
        <w:trPr>
          <w:trHeight w:val="122"/>
        </w:trPr>
        <w:tc>
          <w:tcPr>
            <w:tcW w:w="2100" w:type="dxa"/>
            <w:vAlign w:val="bottom"/>
            <w:tcBorders>
              <w:bottom w:val="single" w:sz="8" w:color="007B51"/>
            </w:tcBorders>
          </w:tcPr>
          <w:p>
            <w:pPr>
              <w:spacing w:after="0"/>
              <w:rPr>
                <w:sz w:val="10"/>
                <w:szCs w:val="10"/>
                <w:color w:val="auto"/>
              </w:rPr>
            </w:pPr>
          </w:p>
        </w:tc>
        <w:tc>
          <w:tcPr>
            <w:tcW w:w="880" w:type="dxa"/>
            <w:vAlign w:val="bottom"/>
            <w:tcBorders>
              <w:bottom w:val="single" w:sz="8" w:color="007B51"/>
            </w:tcBorders>
          </w:tcPr>
          <w:p>
            <w:pPr>
              <w:spacing w:after="0"/>
              <w:rPr>
                <w:sz w:val="10"/>
                <w:szCs w:val="10"/>
                <w:color w:val="auto"/>
              </w:rPr>
            </w:pPr>
          </w:p>
        </w:tc>
        <w:tc>
          <w:tcPr>
            <w:tcW w:w="1120" w:type="dxa"/>
            <w:vAlign w:val="bottom"/>
            <w:tcBorders>
              <w:bottom w:val="single" w:sz="8" w:color="007B51"/>
            </w:tcBorders>
          </w:tcPr>
          <w:p>
            <w:pPr>
              <w:spacing w:after="0"/>
              <w:rPr>
                <w:sz w:val="10"/>
                <w:szCs w:val="10"/>
                <w:color w:val="auto"/>
              </w:rPr>
            </w:pPr>
          </w:p>
        </w:tc>
        <w:tc>
          <w:tcPr>
            <w:tcW w:w="1220" w:type="dxa"/>
            <w:vAlign w:val="bottom"/>
            <w:tcBorders>
              <w:bottom w:val="single" w:sz="8" w:color="007B51"/>
            </w:tcBorders>
          </w:tcPr>
          <w:p>
            <w:pPr>
              <w:spacing w:after="0"/>
              <w:rPr>
                <w:sz w:val="10"/>
                <w:szCs w:val="10"/>
                <w:color w:val="auto"/>
              </w:rPr>
            </w:pPr>
          </w:p>
        </w:tc>
        <w:tc>
          <w:tcPr>
            <w:tcW w:w="1800" w:type="dxa"/>
            <w:vAlign w:val="bottom"/>
            <w:tcBorders>
              <w:bottom w:val="single" w:sz="8" w:color="007B51"/>
            </w:tcBorders>
          </w:tcPr>
          <w:p>
            <w:pPr>
              <w:spacing w:after="0"/>
              <w:rPr>
                <w:sz w:val="10"/>
                <w:szCs w:val="10"/>
                <w:color w:val="auto"/>
              </w:rPr>
            </w:pPr>
          </w:p>
        </w:tc>
        <w:tc>
          <w:tcPr>
            <w:tcW w:w="1580" w:type="dxa"/>
            <w:vAlign w:val="bottom"/>
            <w:tcBorders>
              <w:bottom w:val="single" w:sz="8" w:color="007B51"/>
            </w:tcBorders>
          </w:tcPr>
          <w:p>
            <w:pPr>
              <w:spacing w:after="0"/>
              <w:rPr>
                <w:sz w:val="10"/>
                <w:szCs w:val="10"/>
                <w:color w:val="auto"/>
              </w:rPr>
            </w:pPr>
          </w:p>
        </w:tc>
        <w:tc>
          <w:tcPr>
            <w:tcW w:w="1020" w:type="dxa"/>
            <w:vAlign w:val="bottom"/>
            <w:tcBorders>
              <w:bottom w:val="single" w:sz="8" w:color="007B51"/>
            </w:tcBorders>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100" w:type="dxa"/>
            <w:vAlign w:val="bottom"/>
          </w:tcPr>
          <w:p>
            <w:pPr>
              <w:ind w:left="100"/>
              <w:spacing w:after="0"/>
              <w:rPr>
                <w:sz w:val="20"/>
                <w:szCs w:val="20"/>
                <w:color w:val="auto"/>
              </w:rPr>
            </w:pPr>
            <w:r>
              <w:rPr>
                <w:rFonts w:ascii="Arial" w:cs="Arial" w:eastAsia="Arial" w:hAnsi="Arial"/>
                <w:sz w:val="13"/>
                <w:szCs w:val="13"/>
                <w:b w:val="1"/>
                <w:bCs w:val="1"/>
                <w:color w:val="017B52"/>
              </w:rPr>
              <w:t>Patrick M. Webster,</w:t>
            </w:r>
          </w:p>
        </w:tc>
        <w:tc>
          <w:tcPr>
            <w:tcW w:w="880" w:type="dxa"/>
            <w:vAlign w:val="bottom"/>
          </w:tcPr>
          <w:p>
            <w:pPr>
              <w:ind w:left="300"/>
              <w:spacing w:after="0"/>
              <w:rPr>
                <w:sz w:val="20"/>
                <w:szCs w:val="20"/>
                <w:color w:val="auto"/>
              </w:rPr>
            </w:pPr>
            <w:r>
              <w:rPr>
                <w:rFonts w:ascii="Arial" w:cs="Arial" w:eastAsia="Arial" w:hAnsi="Arial"/>
                <w:sz w:val="13"/>
                <w:szCs w:val="13"/>
                <w:color w:val="58595B"/>
              </w:rPr>
              <w:t>2022</w:t>
            </w:r>
          </w:p>
        </w:tc>
        <w:tc>
          <w:tcPr>
            <w:tcW w:w="1120" w:type="dxa"/>
            <w:vAlign w:val="bottom"/>
          </w:tcPr>
          <w:p>
            <w:pPr>
              <w:jc w:val="right"/>
              <w:ind w:right="218"/>
              <w:spacing w:after="0"/>
              <w:rPr>
                <w:sz w:val="20"/>
                <w:szCs w:val="20"/>
                <w:color w:val="auto"/>
              </w:rPr>
            </w:pPr>
            <w:r>
              <w:rPr>
                <w:rFonts w:ascii="Arial" w:cs="Arial" w:eastAsia="Arial" w:hAnsi="Arial"/>
                <w:sz w:val="13"/>
                <w:szCs w:val="13"/>
                <w:color w:val="58595B"/>
              </w:rPr>
              <w:t>$491,302</w:t>
            </w:r>
          </w:p>
        </w:tc>
        <w:tc>
          <w:tcPr>
            <w:tcW w:w="1220" w:type="dxa"/>
            <w:vAlign w:val="bottom"/>
          </w:tcPr>
          <w:p>
            <w:pPr>
              <w:jc w:val="right"/>
              <w:ind w:right="258"/>
              <w:spacing w:after="0"/>
              <w:rPr>
                <w:sz w:val="20"/>
                <w:szCs w:val="20"/>
                <w:color w:val="auto"/>
              </w:rPr>
            </w:pPr>
            <w:r>
              <w:rPr>
                <w:rFonts w:ascii="Arial" w:cs="Arial" w:eastAsia="Arial" w:hAnsi="Arial"/>
                <w:sz w:val="13"/>
                <w:szCs w:val="13"/>
                <w:color w:val="58595B"/>
              </w:rPr>
              <w:t>$6,107,344</w:t>
            </w:r>
          </w:p>
        </w:tc>
        <w:tc>
          <w:tcPr>
            <w:tcW w:w="1800" w:type="dxa"/>
            <w:vAlign w:val="bottom"/>
          </w:tcPr>
          <w:p>
            <w:pPr>
              <w:jc w:val="right"/>
              <w:ind w:right="319"/>
              <w:spacing w:after="0"/>
              <w:rPr>
                <w:sz w:val="20"/>
                <w:szCs w:val="20"/>
                <w:color w:val="auto"/>
              </w:rPr>
            </w:pPr>
            <w:r>
              <w:rPr>
                <w:rFonts w:ascii="Arial" w:cs="Arial" w:eastAsia="Arial" w:hAnsi="Arial"/>
                <w:sz w:val="13"/>
                <w:szCs w:val="13"/>
                <w:color w:val="58595B"/>
              </w:rPr>
              <w:t>$983,416</w:t>
            </w:r>
          </w:p>
        </w:tc>
        <w:tc>
          <w:tcPr>
            <w:tcW w:w="1580" w:type="dxa"/>
            <w:vAlign w:val="bottom"/>
          </w:tcPr>
          <w:p>
            <w:pPr>
              <w:jc w:val="right"/>
              <w:ind w:right="158"/>
              <w:spacing w:after="0"/>
              <w:rPr>
                <w:sz w:val="20"/>
                <w:szCs w:val="20"/>
                <w:color w:val="auto"/>
              </w:rPr>
            </w:pPr>
            <w:r>
              <w:rPr>
                <w:rFonts w:ascii="Arial" w:cs="Arial" w:eastAsia="Arial" w:hAnsi="Arial"/>
                <w:sz w:val="13"/>
                <w:szCs w:val="13"/>
                <w:color w:val="58595B"/>
              </w:rPr>
              <w:t>$34,148</w:t>
            </w:r>
          </w:p>
        </w:tc>
        <w:tc>
          <w:tcPr>
            <w:tcW w:w="1020" w:type="dxa"/>
            <w:vAlign w:val="bottom"/>
          </w:tcPr>
          <w:p>
            <w:pPr>
              <w:jc w:val="right"/>
              <w:ind w:right="18"/>
              <w:spacing w:after="0"/>
              <w:rPr>
                <w:sz w:val="20"/>
                <w:szCs w:val="20"/>
                <w:color w:val="auto"/>
              </w:rPr>
            </w:pPr>
            <w:r>
              <w:rPr>
                <w:rFonts w:ascii="Arial" w:cs="Arial" w:eastAsia="Arial" w:hAnsi="Arial"/>
                <w:sz w:val="13"/>
                <w:szCs w:val="13"/>
                <w:color w:val="58595B"/>
              </w:rPr>
              <w:t>$7,616,210</w:t>
            </w:r>
          </w:p>
        </w:tc>
        <w:tc>
          <w:tcPr>
            <w:tcW w:w="0" w:type="dxa"/>
            <w:vAlign w:val="bottom"/>
          </w:tcPr>
          <w:p>
            <w:pPr>
              <w:spacing w:after="0"/>
              <w:rPr>
                <w:sz w:val="1"/>
                <w:szCs w:val="1"/>
                <w:color w:val="auto"/>
              </w:rPr>
            </w:pPr>
          </w:p>
        </w:tc>
      </w:tr>
      <w:tr>
        <w:trPr>
          <w:trHeight w:val="143"/>
        </w:trPr>
        <w:tc>
          <w:tcPr>
            <w:tcW w:w="2100" w:type="dxa"/>
            <w:vAlign w:val="bottom"/>
          </w:tcPr>
          <w:p>
            <w:pPr>
              <w:ind w:left="100"/>
              <w:spacing w:after="0" w:line="143" w:lineRule="exact"/>
              <w:rPr>
                <w:sz w:val="20"/>
                <w:szCs w:val="20"/>
                <w:color w:val="auto"/>
              </w:rPr>
            </w:pPr>
            <w:r>
              <w:rPr>
                <w:rFonts w:ascii="Arial" w:cs="Arial" w:eastAsia="Arial" w:hAnsi="Arial"/>
                <w:sz w:val="13"/>
                <w:szCs w:val="13"/>
                <w:color w:val="58595B"/>
              </w:rPr>
              <w:t>President and Chief</w:t>
            </w:r>
          </w:p>
        </w:tc>
        <w:tc>
          <w:tcPr>
            <w:tcW w:w="880" w:type="dxa"/>
            <w:vAlign w:val="bottom"/>
            <w:vMerge w:val="restart"/>
          </w:tcPr>
          <w:p>
            <w:pPr>
              <w:ind w:left="300"/>
              <w:spacing w:after="0"/>
              <w:rPr>
                <w:sz w:val="20"/>
                <w:szCs w:val="20"/>
                <w:color w:val="auto"/>
              </w:rPr>
            </w:pPr>
            <w:r>
              <w:rPr>
                <w:rFonts w:ascii="Arial" w:cs="Arial" w:eastAsia="Arial" w:hAnsi="Arial"/>
                <w:sz w:val="13"/>
                <w:szCs w:val="13"/>
                <w:color w:val="58595B"/>
              </w:rPr>
              <w:t>2021</w:t>
            </w:r>
          </w:p>
        </w:tc>
        <w:tc>
          <w:tcPr>
            <w:tcW w:w="1120" w:type="dxa"/>
            <w:vAlign w:val="bottom"/>
            <w:vMerge w:val="restart"/>
          </w:tcPr>
          <w:p>
            <w:pPr>
              <w:jc w:val="right"/>
              <w:ind w:right="218"/>
              <w:spacing w:after="0"/>
              <w:rPr>
                <w:sz w:val="20"/>
                <w:szCs w:val="20"/>
                <w:color w:val="auto"/>
              </w:rPr>
            </w:pPr>
            <w:r>
              <w:rPr>
                <w:rFonts w:ascii="Arial" w:cs="Arial" w:eastAsia="Arial" w:hAnsi="Arial"/>
                <w:sz w:val="13"/>
                <w:szCs w:val="13"/>
                <w:color w:val="58595B"/>
              </w:rPr>
              <w:t>$486,423</w:t>
            </w:r>
          </w:p>
        </w:tc>
        <w:tc>
          <w:tcPr>
            <w:tcW w:w="1220" w:type="dxa"/>
            <w:vAlign w:val="bottom"/>
            <w:vMerge w:val="restart"/>
          </w:tcPr>
          <w:p>
            <w:pPr>
              <w:jc w:val="right"/>
              <w:ind w:right="258"/>
              <w:spacing w:after="0"/>
              <w:rPr>
                <w:sz w:val="20"/>
                <w:szCs w:val="20"/>
                <w:color w:val="auto"/>
              </w:rPr>
            </w:pPr>
            <w:r>
              <w:rPr>
                <w:rFonts w:ascii="Arial" w:cs="Arial" w:eastAsia="Arial" w:hAnsi="Arial"/>
                <w:sz w:val="13"/>
                <w:szCs w:val="13"/>
                <w:color w:val="58595B"/>
              </w:rPr>
              <w:t>$5,147,364</w:t>
            </w:r>
          </w:p>
        </w:tc>
        <w:tc>
          <w:tcPr>
            <w:tcW w:w="1800" w:type="dxa"/>
            <w:vAlign w:val="bottom"/>
            <w:vMerge w:val="restart"/>
          </w:tcPr>
          <w:p>
            <w:pPr>
              <w:jc w:val="right"/>
              <w:ind w:right="319"/>
              <w:spacing w:after="0"/>
              <w:rPr>
                <w:sz w:val="20"/>
                <w:szCs w:val="20"/>
                <w:color w:val="auto"/>
              </w:rPr>
            </w:pPr>
            <w:r>
              <w:rPr>
                <w:rFonts w:ascii="Arial" w:cs="Arial" w:eastAsia="Arial" w:hAnsi="Arial"/>
                <w:sz w:val="13"/>
                <w:szCs w:val="13"/>
                <w:color w:val="58595B"/>
              </w:rPr>
              <w:t>$983,416</w:t>
            </w:r>
          </w:p>
        </w:tc>
        <w:tc>
          <w:tcPr>
            <w:tcW w:w="1580" w:type="dxa"/>
            <w:vAlign w:val="bottom"/>
            <w:vMerge w:val="restart"/>
          </w:tcPr>
          <w:p>
            <w:pPr>
              <w:jc w:val="right"/>
              <w:ind w:right="158"/>
              <w:spacing w:after="0"/>
              <w:rPr>
                <w:sz w:val="20"/>
                <w:szCs w:val="20"/>
                <w:color w:val="auto"/>
              </w:rPr>
            </w:pPr>
            <w:r>
              <w:rPr>
                <w:rFonts w:ascii="Arial" w:cs="Arial" w:eastAsia="Arial" w:hAnsi="Arial"/>
                <w:sz w:val="13"/>
                <w:szCs w:val="13"/>
                <w:color w:val="58595B"/>
              </w:rPr>
              <w:t>$36,960</w:t>
            </w:r>
          </w:p>
        </w:tc>
        <w:tc>
          <w:tcPr>
            <w:tcW w:w="1020" w:type="dxa"/>
            <w:vAlign w:val="bottom"/>
            <w:vMerge w:val="restart"/>
          </w:tcPr>
          <w:p>
            <w:pPr>
              <w:jc w:val="right"/>
              <w:ind w:right="18"/>
              <w:spacing w:after="0"/>
              <w:rPr>
                <w:sz w:val="20"/>
                <w:szCs w:val="20"/>
                <w:color w:val="auto"/>
              </w:rPr>
            </w:pPr>
            <w:r>
              <w:rPr>
                <w:rFonts w:ascii="Arial" w:cs="Arial" w:eastAsia="Arial" w:hAnsi="Arial"/>
                <w:sz w:val="13"/>
                <w:szCs w:val="13"/>
                <w:color w:val="58595B"/>
              </w:rPr>
              <w:t>$6,654,164</w:t>
            </w:r>
          </w:p>
        </w:tc>
        <w:tc>
          <w:tcPr>
            <w:tcW w:w="0" w:type="dxa"/>
            <w:vAlign w:val="bottom"/>
          </w:tcPr>
          <w:p>
            <w:pPr>
              <w:spacing w:after="0"/>
              <w:rPr>
                <w:sz w:val="1"/>
                <w:szCs w:val="1"/>
                <w:color w:val="auto"/>
              </w:rPr>
            </w:pPr>
          </w:p>
        </w:tc>
      </w:tr>
      <w:tr>
        <w:trPr>
          <w:trHeight w:val="262"/>
        </w:trPr>
        <w:tc>
          <w:tcPr>
            <w:tcW w:w="2100" w:type="dxa"/>
            <w:vAlign w:val="bottom"/>
          </w:tcPr>
          <w:p>
            <w:pPr>
              <w:ind w:left="100"/>
              <w:spacing w:after="0"/>
              <w:rPr>
                <w:sz w:val="20"/>
                <w:szCs w:val="20"/>
                <w:color w:val="auto"/>
              </w:rPr>
            </w:pPr>
            <w:r>
              <w:rPr>
                <w:rFonts w:ascii="Arial" w:cs="Arial" w:eastAsia="Arial" w:hAnsi="Arial"/>
                <w:sz w:val="13"/>
                <w:szCs w:val="13"/>
                <w:color w:val="58595B"/>
              </w:rPr>
              <w:t>Operating Officer</w:t>
            </w:r>
            <w:r>
              <w:rPr>
                <w:rFonts w:ascii="Arial" w:cs="Arial" w:eastAsia="Arial" w:hAnsi="Arial"/>
                <w:sz w:val="20"/>
                <w:szCs w:val="20"/>
                <w:color w:val="58595B"/>
                <w:vertAlign w:val="superscript"/>
              </w:rPr>
              <w:t>(5)</w:t>
            </w:r>
          </w:p>
        </w:tc>
        <w:tc>
          <w:tcPr>
            <w:tcW w:w="8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800" w:type="dxa"/>
            <w:vAlign w:val="bottom"/>
            <w:vMerge w:val="continue"/>
          </w:tcPr>
          <w:p>
            <w:pPr>
              <w:spacing w:after="0"/>
              <w:rPr>
                <w:sz w:val="22"/>
                <w:szCs w:val="22"/>
                <w:color w:val="auto"/>
              </w:rPr>
            </w:pPr>
          </w:p>
        </w:tc>
        <w:tc>
          <w:tcPr>
            <w:tcW w:w="158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100" w:type="dxa"/>
            <w:vAlign w:val="bottom"/>
          </w:tcPr>
          <w:p>
            <w:pPr>
              <w:spacing w:after="0"/>
              <w:rPr>
                <w:sz w:val="14"/>
                <w:szCs w:val="14"/>
                <w:color w:val="auto"/>
              </w:rPr>
            </w:pPr>
          </w:p>
        </w:tc>
        <w:tc>
          <w:tcPr>
            <w:tcW w:w="880" w:type="dxa"/>
            <w:vAlign w:val="bottom"/>
          </w:tcPr>
          <w:p>
            <w:pPr>
              <w:ind w:left="300"/>
              <w:spacing w:after="0"/>
              <w:rPr>
                <w:sz w:val="20"/>
                <w:szCs w:val="20"/>
                <w:color w:val="auto"/>
              </w:rPr>
            </w:pPr>
            <w:r>
              <w:rPr>
                <w:rFonts w:ascii="Arial" w:cs="Arial" w:eastAsia="Arial" w:hAnsi="Arial"/>
                <w:sz w:val="13"/>
                <w:szCs w:val="13"/>
                <w:color w:val="58595B"/>
              </w:rPr>
              <w:t>2020</w:t>
            </w:r>
          </w:p>
        </w:tc>
        <w:tc>
          <w:tcPr>
            <w:tcW w:w="1120" w:type="dxa"/>
            <w:vAlign w:val="bottom"/>
          </w:tcPr>
          <w:p>
            <w:pPr>
              <w:jc w:val="right"/>
              <w:ind w:right="218"/>
              <w:spacing w:after="0"/>
              <w:rPr>
                <w:sz w:val="20"/>
                <w:szCs w:val="20"/>
                <w:color w:val="auto"/>
              </w:rPr>
            </w:pPr>
            <w:r>
              <w:rPr>
                <w:rFonts w:ascii="Arial" w:cs="Arial" w:eastAsia="Arial" w:hAnsi="Arial"/>
                <w:sz w:val="13"/>
                <w:szCs w:val="13"/>
                <w:color w:val="58595B"/>
              </w:rPr>
              <w:t>$481,129</w:t>
            </w:r>
          </w:p>
        </w:tc>
        <w:tc>
          <w:tcPr>
            <w:tcW w:w="1220" w:type="dxa"/>
            <w:vAlign w:val="bottom"/>
          </w:tcPr>
          <w:p>
            <w:pPr>
              <w:jc w:val="right"/>
              <w:ind w:right="258"/>
              <w:spacing w:after="0"/>
              <w:rPr>
                <w:sz w:val="20"/>
                <w:szCs w:val="20"/>
                <w:color w:val="auto"/>
              </w:rPr>
            </w:pPr>
            <w:r>
              <w:rPr>
                <w:rFonts w:ascii="Arial" w:cs="Arial" w:eastAsia="Arial" w:hAnsi="Arial"/>
                <w:sz w:val="13"/>
                <w:szCs w:val="13"/>
                <w:color w:val="58595B"/>
              </w:rPr>
              <w:t>$3,063,526</w:t>
            </w:r>
          </w:p>
        </w:tc>
        <w:tc>
          <w:tcPr>
            <w:tcW w:w="1800" w:type="dxa"/>
            <w:vAlign w:val="bottom"/>
          </w:tcPr>
          <w:p>
            <w:pPr>
              <w:jc w:val="right"/>
              <w:ind w:right="319"/>
              <w:spacing w:after="0"/>
              <w:rPr>
                <w:sz w:val="20"/>
                <w:szCs w:val="20"/>
                <w:color w:val="auto"/>
              </w:rPr>
            </w:pPr>
            <w:r>
              <w:rPr>
                <w:rFonts w:ascii="Arial" w:cs="Arial" w:eastAsia="Arial" w:hAnsi="Arial"/>
                <w:sz w:val="13"/>
                <w:szCs w:val="13"/>
                <w:color w:val="58595B"/>
              </w:rPr>
              <w:t>$973,680</w:t>
            </w:r>
          </w:p>
        </w:tc>
        <w:tc>
          <w:tcPr>
            <w:tcW w:w="1580" w:type="dxa"/>
            <w:vAlign w:val="bottom"/>
          </w:tcPr>
          <w:p>
            <w:pPr>
              <w:jc w:val="right"/>
              <w:ind w:right="158"/>
              <w:spacing w:after="0"/>
              <w:rPr>
                <w:sz w:val="20"/>
                <w:szCs w:val="20"/>
                <w:color w:val="auto"/>
              </w:rPr>
            </w:pPr>
            <w:r>
              <w:rPr>
                <w:rFonts w:ascii="Arial" w:cs="Arial" w:eastAsia="Arial" w:hAnsi="Arial"/>
                <w:sz w:val="13"/>
                <w:szCs w:val="13"/>
                <w:color w:val="58595B"/>
              </w:rPr>
              <w:t>$24,587</w:t>
            </w:r>
          </w:p>
        </w:tc>
        <w:tc>
          <w:tcPr>
            <w:tcW w:w="1020" w:type="dxa"/>
            <w:vAlign w:val="bottom"/>
          </w:tcPr>
          <w:p>
            <w:pPr>
              <w:jc w:val="right"/>
              <w:ind w:right="18"/>
              <w:spacing w:after="0"/>
              <w:rPr>
                <w:sz w:val="20"/>
                <w:szCs w:val="20"/>
                <w:color w:val="auto"/>
              </w:rPr>
            </w:pPr>
            <w:r>
              <w:rPr>
                <w:rFonts w:ascii="Arial" w:cs="Arial" w:eastAsia="Arial" w:hAnsi="Arial"/>
                <w:sz w:val="13"/>
                <w:szCs w:val="13"/>
                <w:color w:val="58595B"/>
              </w:rPr>
              <w:t>$4,542,922</w:t>
            </w:r>
          </w:p>
        </w:tc>
        <w:tc>
          <w:tcPr>
            <w:tcW w:w="0" w:type="dxa"/>
            <w:vAlign w:val="bottom"/>
          </w:tcPr>
          <w:p>
            <w:pPr>
              <w:spacing w:after="0"/>
              <w:rPr>
                <w:sz w:val="1"/>
                <w:szCs w:val="1"/>
                <w:color w:val="auto"/>
              </w:rPr>
            </w:pPr>
          </w:p>
        </w:tc>
      </w:tr>
      <w:tr>
        <w:trPr>
          <w:trHeight w:val="122"/>
        </w:trPr>
        <w:tc>
          <w:tcPr>
            <w:tcW w:w="2100" w:type="dxa"/>
            <w:vAlign w:val="bottom"/>
            <w:tcBorders>
              <w:bottom w:val="single" w:sz="8" w:color="007B51"/>
            </w:tcBorders>
          </w:tcPr>
          <w:p>
            <w:pPr>
              <w:spacing w:after="0"/>
              <w:rPr>
                <w:sz w:val="10"/>
                <w:szCs w:val="10"/>
                <w:color w:val="auto"/>
              </w:rPr>
            </w:pPr>
          </w:p>
        </w:tc>
        <w:tc>
          <w:tcPr>
            <w:tcW w:w="880" w:type="dxa"/>
            <w:vAlign w:val="bottom"/>
            <w:tcBorders>
              <w:bottom w:val="single" w:sz="8" w:color="007B51"/>
            </w:tcBorders>
          </w:tcPr>
          <w:p>
            <w:pPr>
              <w:spacing w:after="0"/>
              <w:rPr>
                <w:sz w:val="10"/>
                <w:szCs w:val="10"/>
                <w:color w:val="auto"/>
              </w:rPr>
            </w:pPr>
          </w:p>
        </w:tc>
        <w:tc>
          <w:tcPr>
            <w:tcW w:w="1120" w:type="dxa"/>
            <w:vAlign w:val="bottom"/>
            <w:tcBorders>
              <w:bottom w:val="single" w:sz="8" w:color="007B51"/>
            </w:tcBorders>
          </w:tcPr>
          <w:p>
            <w:pPr>
              <w:spacing w:after="0"/>
              <w:rPr>
                <w:sz w:val="10"/>
                <w:szCs w:val="10"/>
                <w:color w:val="auto"/>
              </w:rPr>
            </w:pPr>
          </w:p>
        </w:tc>
        <w:tc>
          <w:tcPr>
            <w:tcW w:w="1220" w:type="dxa"/>
            <w:vAlign w:val="bottom"/>
            <w:tcBorders>
              <w:bottom w:val="single" w:sz="8" w:color="007B51"/>
            </w:tcBorders>
          </w:tcPr>
          <w:p>
            <w:pPr>
              <w:spacing w:after="0"/>
              <w:rPr>
                <w:sz w:val="10"/>
                <w:szCs w:val="10"/>
                <w:color w:val="auto"/>
              </w:rPr>
            </w:pPr>
          </w:p>
        </w:tc>
        <w:tc>
          <w:tcPr>
            <w:tcW w:w="1800" w:type="dxa"/>
            <w:vAlign w:val="bottom"/>
            <w:tcBorders>
              <w:bottom w:val="single" w:sz="8" w:color="007B51"/>
            </w:tcBorders>
          </w:tcPr>
          <w:p>
            <w:pPr>
              <w:spacing w:after="0"/>
              <w:rPr>
                <w:sz w:val="10"/>
                <w:szCs w:val="10"/>
                <w:color w:val="auto"/>
              </w:rPr>
            </w:pPr>
          </w:p>
        </w:tc>
        <w:tc>
          <w:tcPr>
            <w:tcW w:w="1580" w:type="dxa"/>
            <w:vAlign w:val="bottom"/>
            <w:tcBorders>
              <w:bottom w:val="single" w:sz="8" w:color="007B51"/>
            </w:tcBorders>
          </w:tcPr>
          <w:p>
            <w:pPr>
              <w:spacing w:after="0"/>
              <w:rPr>
                <w:sz w:val="10"/>
                <w:szCs w:val="10"/>
                <w:color w:val="auto"/>
              </w:rPr>
            </w:pPr>
          </w:p>
        </w:tc>
        <w:tc>
          <w:tcPr>
            <w:tcW w:w="1020" w:type="dxa"/>
            <w:vAlign w:val="bottom"/>
            <w:tcBorders>
              <w:bottom w:val="single" w:sz="8" w:color="007B51"/>
            </w:tcBorders>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100" w:type="dxa"/>
            <w:vAlign w:val="bottom"/>
          </w:tcPr>
          <w:p>
            <w:pPr>
              <w:ind w:left="100"/>
              <w:spacing w:after="0"/>
              <w:rPr>
                <w:sz w:val="20"/>
                <w:szCs w:val="20"/>
                <w:color w:val="auto"/>
              </w:rPr>
            </w:pPr>
            <w:r>
              <w:rPr>
                <w:rFonts w:ascii="Arial" w:cs="Arial" w:eastAsia="Arial" w:hAnsi="Arial"/>
                <w:sz w:val="13"/>
                <w:szCs w:val="13"/>
                <w:b w:val="1"/>
                <w:bCs w:val="1"/>
                <w:color w:val="017B52"/>
              </w:rPr>
              <w:t>Patrick M. Benton,</w:t>
            </w:r>
          </w:p>
        </w:tc>
        <w:tc>
          <w:tcPr>
            <w:tcW w:w="880" w:type="dxa"/>
            <w:vAlign w:val="bottom"/>
          </w:tcPr>
          <w:p>
            <w:pPr>
              <w:ind w:left="300"/>
              <w:spacing w:after="0"/>
              <w:rPr>
                <w:sz w:val="20"/>
                <w:szCs w:val="20"/>
                <w:color w:val="auto"/>
              </w:rPr>
            </w:pPr>
            <w:r>
              <w:rPr>
                <w:rFonts w:ascii="Arial" w:cs="Arial" w:eastAsia="Arial" w:hAnsi="Arial"/>
                <w:sz w:val="13"/>
                <w:szCs w:val="13"/>
                <w:color w:val="58595B"/>
              </w:rPr>
              <w:t>2022</w:t>
            </w:r>
          </w:p>
        </w:tc>
        <w:tc>
          <w:tcPr>
            <w:tcW w:w="1120" w:type="dxa"/>
            <w:vAlign w:val="bottom"/>
          </w:tcPr>
          <w:p>
            <w:pPr>
              <w:jc w:val="right"/>
              <w:ind w:right="218"/>
              <w:spacing w:after="0"/>
              <w:rPr>
                <w:sz w:val="20"/>
                <w:szCs w:val="20"/>
                <w:color w:val="auto"/>
              </w:rPr>
            </w:pPr>
            <w:r>
              <w:rPr>
                <w:rFonts w:ascii="Arial" w:cs="Arial" w:eastAsia="Arial" w:hAnsi="Arial"/>
                <w:sz w:val="13"/>
                <w:szCs w:val="13"/>
                <w:color w:val="58595B"/>
              </w:rPr>
              <w:t>$303,166</w:t>
            </w:r>
          </w:p>
        </w:tc>
        <w:tc>
          <w:tcPr>
            <w:tcW w:w="1220" w:type="dxa"/>
            <w:vAlign w:val="bottom"/>
          </w:tcPr>
          <w:p>
            <w:pPr>
              <w:jc w:val="right"/>
              <w:ind w:right="258"/>
              <w:spacing w:after="0"/>
              <w:rPr>
                <w:sz w:val="20"/>
                <w:szCs w:val="20"/>
                <w:color w:val="auto"/>
              </w:rPr>
            </w:pPr>
            <w:r>
              <w:rPr>
                <w:rFonts w:ascii="Arial" w:cs="Arial" w:eastAsia="Arial" w:hAnsi="Arial"/>
                <w:sz w:val="13"/>
                <w:szCs w:val="13"/>
                <w:color w:val="58595B"/>
              </w:rPr>
              <w:t>$2,515,788</w:t>
            </w:r>
          </w:p>
        </w:tc>
        <w:tc>
          <w:tcPr>
            <w:tcW w:w="1800" w:type="dxa"/>
            <w:vAlign w:val="bottom"/>
          </w:tcPr>
          <w:p>
            <w:pPr>
              <w:jc w:val="right"/>
              <w:ind w:right="319"/>
              <w:spacing w:after="0"/>
              <w:rPr>
                <w:sz w:val="20"/>
                <w:szCs w:val="20"/>
                <w:color w:val="auto"/>
              </w:rPr>
            </w:pPr>
            <w:r>
              <w:rPr>
                <w:rFonts w:ascii="Arial" w:cs="Arial" w:eastAsia="Arial" w:hAnsi="Arial"/>
                <w:sz w:val="13"/>
                <w:szCs w:val="13"/>
                <w:color w:val="58595B"/>
              </w:rPr>
              <w:t>$800,000</w:t>
            </w:r>
          </w:p>
        </w:tc>
        <w:tc>
          <w:tcPr>
            <w:tcW w:w="1580" w:type="dxa"/>
            <w:vAlign w:val="bottom"/>
          </w:tcPr>
          <w:p>
            <w:pPr>
              <w:jc w:val="right"/>
              <w:ind w:right="158"/>
              <w:spacing w:after="0"/>
              <w:rPr>
                <w:sz w:val="20"/>
                <w:szCs w:val="20"/>
                <w:color w:val="auto"/>
              </w:rPr>
            </w:pPr>
            <w:r>
              <w:rPr>
                <w:rFonts w:ascii="Arial" w:cs="Arial" w:eastAsia="Arial" w:hAnsi="Arial"/>
                <w:sz w:val="13"/>
                <w:szCs w:val="13"/>
                <w:color w:val="58595B"/>
              </w:rPr>
              <w:t>$20,424</w:t>
            </w:r>
          </w:p>
        </w:tc>
        <w:tc>
          <w:tcPr>
            <w:tcW w:w="1020" w:type="dxa"/>
            <w:vAlign w:val="bottom"/>
          </w:tcPr>
          <w:p>
            <w:pPr>
              <w:jc w:val="right"/>
              <w:ind w:right="18"/>
              <w:spacing w:after="0"/>
              <w:rPr>
                <w:sz w:val="20"/>
                <w:szCs w:val="20"/>
                <w:color w:val="auto"/>
              </w:rPr>
            </w:pPr>
            <w:r>
              <w:rPr>
                <w:rFonts w:ascii="Arial" w:cs="Arial" w:eastAsia="Arial" w:hAnsi="Arial"/>
                <w:sz w:val="13"/>
                <w:szCs w:val="13"/>
                <w:color w:val="58595B"/>
              </w:rPr>
              <w:t>$3,639,378</w:t>
            </w:r>
          </w:p>
        </w:tc>
        <w:tc>
          <w:tcPr>
            <w:tcW w:w="0" w:type="dxa"/>
            <w:vAlign w:val="bottom"/>
          </w:tcPr>
          <w:p>
            <w:pPr>
              <w:spacing w:after="0"/>
              <w:rPr>
                <w:sz w:val="1"/>
                <w:szCs w:val="1"/>
                <w:color w:val="auto"/>
              </w:rPr>
            </w:pPr>
          </w:p>
        </w:tc>
      </w:tr>
      <w:tr>
        <w:trPr>
          <w:trHeight w:val="135"/>
        </w:trPr>
        <w:tc>
          <w:tcPr>
            <w:tcW w:w="2100" w:type="dxa"/>
            <w:vAlign w:val="bottom"/>
          </w:tcPr>
          <w:p>
            <w:pPr>
              <w:ind w:left="100"/>
              <w:spacing w:after="0" w:line="135" w:lineRule="exact"/>
              <w:rPr>
                <w:sz w:val="20"/>
                <w:szCs w:val="20"/>
                <w:color w:val="auto"/>
              </w:rPr>
            </w:pPr>
            <w:r>
              <w:rPr>
                <w:rFonts w:ascii="Arial" w:cs="Arial" w:eastAsia="Arial" w:hAnsi="Arial"/>
                <w:sz w:val="13"/>
                <w:szCs w:val="13"/>
                <w:color w:val="58595B"/>
              </w:rPr>
              <w:t>President, UFP</w:t>
            </w: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100" w:type="dxa"/>
            <w:vAlign w:val="bottom"/>
          </w:tcPr>
          <w:p>
            <w:pPr>
              <w:ind w:left="100"/>
              <w:spacing w:after="0"/>
              <w:rPr>
                <w:sz w:val="20"/>
                <w:szCs w:val="20"/>
                <w:color w:val="auto"/>
              </w:rPr>
            </w:pPr>
            <w:r>
              <w:rPr>
                <w:rFonts w:ascii="Arial" w:cs="Arial" w:eastAsia="Arial" w:hAnsi="Arial"/>
                <w:sz w:val="13"/>
                <w:szCs w:val="13"/>
                <w:color w:val="58595B"/>
              </w:rPr>
              <w:t>Construction, LLC</w:t>
            </w:r>
          </w:p>
        </w:tc>
        <w:tc>
          <w:tcPr>
            <w:tcW w:w="880" w:type="dxa"/>
            <w:vAlign w:val="bottom"/>
          </w:tcPr>
          <w:p>
            <w:pPr>
              <w:ind w:left="300"/>
              <w:spacing w:after="0"/>
              <w:rPr>
                <w:sz w:val="20"/>
                <w:szCs w:val="20"/>
                <w:color w:val="auto"/>
              </w:rPr>
            </w:pPr>
            <w:r>
              <w:rPr>
                <w:rFonts w:ascii="Arial" w:cs="Arial" w:eastAsia="Arial" w:hAnsi="Arial"/>
                <w:sz w:val="13"/>
                <w:szCs w:val="13"/>
                <w:color w:val="58595B"/>
              </w:rPr>
              <w:t>2021</w:t>
            </w:r>
          </w:p>
        </w:tc>
        <w:tc>
          <w:tcPr>
            <w:tcW w:w="1120" w:type="dxa"/>
            <w:vAlign w:val="bottom"/>
          </w:tcPr>
          <w:p>
            <w:pPr>
              <w:jc w:val="right"/>
              <w:ind w:right="218"/>
              <w:spacing w:after="0"/>
              <w:rPr>
                <w:sz w:val="20"/>
                <w:szCs w:val="20"/>
                <w:color w:val="auto"/>
              </w:rPr>
            </w:pPr>
            <w:r>
              <w:rPr>
                <w:rFonts w:ascii="Arial" w:cs="Arial" w:eastAsia="Arial" w:hAnsi="Arial"/>
                <w:sz w:val="13"/>
                <w:szCs w:val="13"/>
                <w:color w:val="58595B"/>
              </w:rPr>
              <w:t>$298,565</w:t>
            </w:r>
          </w:p>
        </w:tc>
        <w:tc>
          <w:tcPr>
            <w:tcW w:w="1220" w:type="dxa"/>
            <w:vAlign w:val="bottom"/>
          </w:tcPr>
          <w:p>
            <w:pPr>
              <w:jc w:val="right"/>
              <w:ind w:right="258"/>
              <w:spacing w:after="0"/>
              <w:rPr>
                <w:sz w:val="20"/>
                <w:szCs w:val="20"/>
                <w:color w:val="auto"/>
              </w:rPr>
            </w:pPr>
            <w:r>
              <w:rPr>
                <w:rFonts w:ascii="Arial" w:cs="Arial" w:eastAsia="Arial" w:hAnsi="Arial"/>
                <w:sz w:val="13"/>
                <w:szCs w:val="13"/>
                <w:color w:val="58595B"/>
              </w:rPr>
              <w:t>$2,928,835</w:t>
            </w:r>
          </w:p>
        </w:tc>
        <w:tc>
          <w:tcPr>
            <w:tcW w:w="1800" w:type="dxa"/>
            <w:vAlign w:val="bottom"/>
          </w:tcPr>
          <w:p>
            <w:pPr>
              <w:jc w:val="right"/>
              <w:ind w:right="319"/>
              <w:spacing w:after="0"/>
              <w:rPr>
                <w:sz w:val="20"/>
                <w:szCs w:val="20"/>
                <w:color w:val="auto"/>
              </w:rPr>
            </w:pPr>
            <w:r>
              <w:rPr>
                <w:rFonts w:ascii="Arial" w:cs="Arial" w:eastAsia="Arial" w:hAnsi="Arial"/>
                <w:sz w:val="13"/>
                <w:szCs w:val="13"/>
                <w:color w:val="58595B"/>
              </w:rPr>
              <w:t>$607,080</w:t>
            </w:r>
          </w:p>
        </w:tc>
        <w:tc>
          <w:tcPr>
            <w:tcW w:w="1580" w:type="dxa"/>
            <w:vAlign w:val="bottom"/>
          </w:tcPr>
          <w:p>
            <w:pPr>
              <w:jc w:val="right"/>
              <w:ind w:right="158"/>
              <w:spacing w:after="0"/>
              <w:rPr>
                <w:sz w:val="20"/>
                <w:szCs w:val="20"/>
                <w:color w:val="auto"/>
              </w:rPr>
            </w:pPr>
            <w:r>
              <w:rPr>
                <w:rFonts w:ascii="Arial" w:cs="Arial" w:eastAsia="Arial" w:hAnsi="Arial"/>
                <w:sz w:val="13"/>
                <w:szCs w:val="13"/>
                <w:color w:val="58595B"/>
              </w:rPr>
              <w:t>$20,668</w:t>
            </w:r>
          </w:p>
        </w:tc>
        <w:tc>
          <w:tcPr>
            <w:tcW w:w="1020" w:type="dxa"/>
            <w:vAlign w:val="bottom"/>
          </w:tcPr>
          <w:p>
            <w:pPr>
              <w:jc w:val="right"/>
              <w:ind w:right="18"/>
              <w:spacing w:after="0"/>
              <w:rPr>
                <w:sz w:val="20"/>
                <w:szCs w:val="20"/>
                <w:color w:val="auto"/>
              </w:rPr>
            </w:pPr>
            <w:r>
              <w:rPr>
                <w:rFonts w:ascii="Arial" w:cs="Arial" w:eastAsia="Arial" w:hAnsi="Arial"/>
                <w:sz w:val="13"/>
                <w:szCs w:val="13"/>
                <w:color w:val="58595B"/>
              </w:rPr>
              <w:t>$3,855,148</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880" w:type="dxa"/>
            <w:vAlign w:val="bottom"/>
          </w:tcPr>
          <w:p>
            <w:pPr>
              <w:ind w:left="300"/>
              <w:spacing w:after="0"/>
              <w:rPr>
                <w:sz w:val="20"/>
                <w:szCs w:val="20"/>
                <w:color w:val="auto"/>
              </w:rPr>
            </w:pPr>
            <w:r>
              <w:rPr>
                <w:rFonts w:ascii="Arial" w:cs="Arial" w:eastAsia="Arial" w:hAnsi="Arial"/>
                <w:sz w:val="13"/>
                <w:szCs w:val="13"/>
                <w:color w:val="58595B"/>
              </w:rPr>
              <w:t>2020</w:t>
            </w:r>
          </w:p>
        </w:tc>
        <w:tc>
          <w:tcPr>
            <w:tcW w:w="1120" w:type="dxa"/>
            <w:vAlign w:val="bottom"/>
          </w:tcPr>
          <w:p>
            <w:pPr>
              <w:jc w:val="right"/>
              <w:ind w:right="218"/>
              <w:spacing w:after="0"/>
              <w:rPr>
                <w:sz w:val="20"/>
                <w:szCs w:val="20"/>
                <w:color w:val="auto"/>
              </w:rPr>
            </w:pPr>
            <w:r>
              <w:rPr>
                <w:rFonts w:ascii="Arial" w:cs="Arial" w:eastAsia="Arial" w:hAnsi="Arial"/>
                <w:sz w:val="13"/>
                <w:szCs w:val="13"/>
                <w:color w:val="58595B"/>
              </w:rPr>
              <w:t>$292,690</w:t>
            </w:r>
          </w:p>
        </w:tc>
        <w:tc>
          <w:tcPr>
            <w:tcW w:w="1220" w:type="dxa"/>
            <w:vAlign w:val="bottom"/>
          </w:tcPr>
          <w:p>
            <w:pPr>
              <w:jc w:val="right"/>
              <w:ind w:right="258"/>
              <w:spacing w:after="0"/>
              <w:rPr>
                <w:sz w:val="20"/>
                <w:szCs w:val="20"/>
                <w:color w:val="auto"/>
              </w:rPr>
            </w:pPr>
            <w:r>
              <w:rPr>
                <w:rFonts w:ascii="Arial" w:cs="Arial" w:eastAsia="Arial" w:hAnsi="Arial"/>
                <w:sz w:val="13"/>
                <w:szCs w:val="13"/>
                <w:color w:val="58595B"/>
              </w:rPr>
              <w:t>$1,390,881</w:t>
            </w:r>
          </w:p>
        </w:tc>
        <w:tc>
          <w:tcPr>
            <w:tcW w:w="1800" w:type="dxa"/>
            <w:vAlign w:val="bottom"/>
          </w:tcPr>
          <w:p>
            <w:pPr>
              <w:jc w:val="right"/>
              <w:ind w:right="319"/>
              <w:spacing w:after="0"/>
              <w:rPr>
                <w:sz w:val="20"/>
                <w:szCs w:val="20"/>
                <w:color w:val="auto"/>
              </w:rPr>
            </w:pPr>
            <w:r>
              <w:rPr>
                <w:rFonts w:ascii="Arial" w:cs="Arial" w:eastAsia="Arial" w:hAnsi="Arial"/>
                <w:sz w:val="13"/>
                <w:szCs w:val="13"/>
                <w:color w:val="58595B"/>
              </w:rPr>
              <w:t>$598,108</w:t>
            </w:r>
          </w:p>
        </w:tc>
        <w:tc>
          <w:tcPr>
            <w:tcW w:w="1580" w:type="dxa"/>
            <w:vAlign w:val="bottom"/>
          </w:tcPr>
          <w:p>
            <w:pPr>
              <w:jc w:val="right"/>
              <w:ind w:right="158"/>
              <w:spacing w:after="0"/>
              <w:rPr>
                <w:sz w:val="20"/>
                <w:szCs w:val="20"/>
                <w:color w:val="auto"/>
              </w:rPr>
            </w:pPr>
            <w:r>
              <w:rPr>
                <w:rFonts w:ascii="Arial" w:cs="Arial" w:eastAsia="Arial" w:hAnsi="Arial"/>
                <w:sz w:val="13"/>
                <w:szCs w:val="13"/>
                <w:color w:val="58595B"/>
              </w:rPr>
              <w:t>$ 20,119</w:t>
            </w:r>
          </w:p>
        </w:tc>
        <w:tc>
          <w:tcPr>
            <w:tcW w:w="1020" w:type="dxa"/>
            <w:vAlign w:val="bottom"/>
          </w:tcPr>
          <w:p>
            <w:pPr>
              <w:jc w:val="right"/>
              <w:ind w:right="18"/>
              <w:spacing w:after="0"/>
              <w:rPr>
                <w:sz w:val="20"/>
                <w:szCs w:val="20"/>
                <w:color w:val="auto"/>
              </w:rPr>
            </w:pPr>
            <w:r>
              <w:rPr>
                <w:rFonts w:ascii="Arial" w:cs="Arial" w:eastAsia="Arial" w:hAnsi="Arial"/>
                <w:sz w:val="13"/>
                <w:szCs w:val="13"/>
                <w:color w:val="58595B"/>
              </w:rPr>
              <w:t>$2,301,798</w:t>
            </w:r>
          </w:p>
        </w:tc>
        <w:tc>
          <w:tcPr>
            <w:tcW w:w="0" w:type="dxa"/>
            <w:vAlign w:val="bottom"/>
          </w:tcPr>
          <w:p>
            <w:pPr>
              <w:spacing w:after="0"/>
              <w:rPr>
                <w:sz w:val="1"/>
                <w:szCs w:val="1"/>
                <w:color w:val="auto"/>
              </w:rPr>
            </w:pPr>
          </w:p>
        </w:tc>
      </w:tr>
      <w:tr>
        <w:trPr>
          <w:trHeight w:val="122"/>
        </w:trPr>
        <w:tc>
          <w:tcPr>
            <w:tcW w:w="2100" w:type="dxa"/>
            <w:vAlign w:val="bottom"/>
            <w:tcBorders>
              <w:bottom w:val="single" w:sz="8" w:color="007B51"/>
            </w:tcBorders>
          </w:tcPr>
          <w:p>
            <w:pPr>
              <w:spacing w:after="0"/>
              <w:rPr>
                <w:sz w:val="10"/>
                <w:szCs w:val="10"/>
                <w:color w:val="auto"/>
              </w:rPr>
            </w:pPr>
          </w:p>
        </w:tc>
        <w:tc>
          <w:tcPr>
            <w:tcW w:w="880" w:type="dxa"/>
            <w:vAlign w:val="bottom"/>
            <w:tcBorders>
              <w:bottom w:val="single" w:sz="8" w:color="007B51"/>
            </w:tcBorders>
          </w:tcPr>
          <w:p>
            <w:pPr>
              <w:spacing w:after="0"/>
              <w:rPr>
                <w:sz w:val="10"/>
                <w:szCs w:val="10"/>
                <w:color w:val="auto"/>
              </w:rPr>
            </w:pPr>
          </w:p>
        </w:tc>
        <w:tc>
          <w:tcPr>
            <w:tcW w:w="1120" w:type="dxa"/>
            <w:vAlign w:val="bottom"/>
            <w:tcBorders>
              <w:bottom w:val="single" w:sz="8" w:color="007B51"/>
            </w:tcBorders>
          </w:tcPr>
          <w:p>
            <w:pPr>
              <w:spacing w:after="0"/>
              <w:rPr>
                <w:sz w:val="10"/>
                <w:szCs w:val="10"/>
                <w:color w:val="auto"/>
              </w:rPr>
            </w:pPr>
          </w:p>
        </w:tc>
        <w:tc>
          <w:tcPr>
            <w:tcW w:w="1220" w:type="dxa"/>
            <w:vAlign w:val="bottom"/>
            <w:tcBorders>
              <w:bottom w:val="single" w:sz="8" w:color="007B51"/>
            </w:tcBorders>
          </w:tcPr>
          <w:p>
            <w:pPr>
              <w:spacing w:after="0"/>
              <w:rPr>
                <w:sz w:val="10"/>
                <w:szCs w:val="10"/>
                <w:color w:val="auto"/>
              </w:rPr>
            </w:pPr>
          </w:p>
        </w:tc>
        <w:tc>
          <w:tcPr>
            <w:tcW w:w="1800" w:type="dxa"/>
            <w:vAlign w:val="bottom"/>
            <w:tcBorders>
              <w:bottom w:val="single" w:sz="8" w:color="007B51"/>
            </w:tcBorders>
          </w:tcPr>
          <w:p>
            <w:pPr>
              <w:spacing w:after="0"/>
              <w:rPr>
                <w:sz w:val="10"/>
                <w:szCs w:val="10"/>
                <w:color w:val="auto"/>
              </w:rPr>
            </w:pPr>
          </w:p>
        </w:tc>
        <w:tc>
          <w:tcPr>
            <w:tcW w:w="1580" w:type="dxa"/>
            <w:vAlign w:val="bottom"/>
            <w:tcBorders>
              <w:bottom w:val="single" w:sz="8" w:color="007B51"/>
            </w:tcBorders>
          </w:tcPr>
          <w:p>
            <w:pPr>
              <w:spacing w:after="0"/>
              <w:rPr>
                <w:sz w:val="10"/>
                <w:szCs w:val="10"/>
                <w:color w:val="auto"/>
              </w:rPr>
            </w:pPr>
          </w:p>
        </w:tc>
        <w:tc>
          <w:tcPr>
            <w:tcW w:w="1020" w:type="dxa"/>
            <w:vAlign w:val="bottom"/>
            <w:tcBorders>
              <w:bottom w:val="single" w:sz="8" w:color="007B51"/>
            </w:tcBorders>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100" w:type="dxa"/>
            <w:vAlign w:val="bottom"/>
          </w:tcPr>
          <w:p>
            <w:pPr>
              <w:ind w:left="100"/>
              <w:spacing w:after="0"/>
              <w:rPr>
                <w:sz w:val="20"/>
                <w:szCs w:val="20"/>
                <w:color w:val="auto"/>
              </w:rPr>
            </w:pPr>
            <w:r>
              <w:rPr>
                <w:rFonts w:ascii="Arial" w:cs="Arial" w:eastAsia="Arial" w:hAnsi="Arial"/>
                <w:sz w:val="13"/>
                <w:szCs w:val="13"/>
                <w:b w:val="1"/>
                <w:bCs w:val="1"/>
                <w:color w:val="017B52"/>
              </w:rPr>
              <w:t>Scott A. Worthington,</w:t>
            </w:r>
          </w:p>
        </w:tc>
        <w:tc>
          <w:tcPr>
            <w:tcW w:w="880" w:type="dxa"/>
            <w:vAlign w:val="bottom"/>
          </w:tcPr>
          <w:p>
            <w:pPr>
              <w:ind w:left="300"/>
              <w:spacing w:after="0"/>
              <w:rPr>
                <w:sz w:val="20"/>
                <w:szCs w:val="20"/>
                <w:color w:val="auto"/>
              </w:rPr>
            </w:pPr>
            <w:r>
              <w:rPr>
                <w:rFonts w:ascii="Arial" w:cs="Arial" w:eastAsia="Arial" w:hAnsi="Arial"/>
                <w:sz w:val="13"/>
                <w:szCs w:val="13"/>
                <w:color w:val="58595B"/>
              </w:rPr>
              <w:t>2022</w:t>
            </w:r>
          </w:p>
        </w:tc>
        <w:tc>
          <w:tcPr>
            <w:tcW w:w="1120" w:type="dxa"/>
            <w:vAlign w:val="bottom"/>
          </w:tcPr>
          <w:p>
            <w:pPr>
              <w:jc w:val="right"/>
              <w:ind w:right="218"/>
              <w:spacing w:after="0"/>
              <w:rPr>
                <w:sz w:val="20"/>
                <w:szCs w:val="20"/>
                <w:color w:val="auto"/>
              </w:rPr>
            </w:pPr>
            <w:r>
              <w:rPr>
                <w:rFonts w:ascii="Arial" w:cs="Arial" w:eastAsia="Arial" w:hAnsi="Arial"/>
                <w:sz w:val="13"/>
                <w:szCs w:val="13"/>
                <w:color w:val="58595B"/>
              </w:rPr>
              <w:t>$274,583</w:t>
            </w:r>
          </w:p>
        </w:tc>
        <w:tc>
          <w:tcPr>
            <w:tcW w:w="1220" w:type="dxa"/>
            <w:vAlign w:val="bottom"/>
          </w:tcPr>
          <w:p>
            <w:pPr>
              <w:jc w:val="right"/>
              <w:ind w:right="258"/>
              <w:spacing w:after="0"/>
              <w:rPr>
                <w:sz w:val="20"/>
                <w:szCs w:val="20"/>
                <w:color w:val="auto"/>
              </w:rPr>
            </w:pPr>
            <w:r>
              <w:rPr>
                <w:rFonts w:ascii="Arial" w:cs="Arial" w:eastAsia="Arial" w:hAnsi="Arial"/>
                <w:sz w:val="13"/>
                <w:szCs w:val="13"/>
                <w:color w:val="58595B"/>
              </w:rPr>
              <w:t>$2,336,542</w:t>
            </w:r>
          </w:p>
        </w:tc>
        <w:tc>
          <w:tcPr>
            <w:tcW w:w="1800" w:type="dxa"/>
            <w:vAlign w:val="bottom"/>
          </w:tcPr>
          <w:p>
            <w:pPr>
              <w:jc w:val="right"/>
              <w:ind w:right="319"/>
              <w:spacing w:after="0"/>
              <w:rPr>
                <w:sz w:val="20"/>
                <w:szCs w:val="20"/>
                <w:color w:val="auto"/>
              </w:rPr>
            </w:pPr>
            <w:r>
              <w:rPr>
                <w:rFonts w:ascii="Arial" w:cs="Arial" w:eastAsia="Arial" w:hAnsi="Arial"/>
                <w:sz w:val="13"/>
                <w:szCs w:val="13"/>
                <w:color w:val="58595B"/>
              </w:rPr>
              <w:t>$800,000</w:t>
            </w:r>
          </w:p>
        </w:tc>
        <w:tc>
          <w:tcPr>
            <w:tcW w:w="1580" w:type="dxa"/>
            <w:vAlign w:val="bottom"/>
          </w:tcPr>
          <w:p>
            <w:pPr>
              <w:jc w:val="right"/>
              <w:ind w:right="158"/>
              <w:spacing w:after="0"/>
              <w:rPr>
                <w:sz w:val="20"/>
                <w:szCs w:val="20"/>
                <w:color w:val="auto"/>
              </w:rPr>
            </w:pPr>
            <w:r>
              <w:rPr>
                <w:rFonts w:ascii="Arial" w:cs="Arial" w:eastAsia="Arial" w:hAnsi="Arial"/>
                <w:sz w:val="13"/>
                <w:szCs w:val="13"/>
                <w:color w:val="58595B"/>
              </w:rPr>
              <w:t>$21,439</w:t>
            </w:r>
          </w:p>
        </w:tc>
        <w:tc>
          <w:tcPr>
            <w:tcW w:w="1020" w:type="dxa"/>
            <w:vAlign w:val="bottom"/>
          </w:tcPr>
          <w:p>
            <w:pPr>
              <w:jc w:val="right"/>
              <w:ind w:right="18"/>
              <w:spacing w:after="0"/>
              <w:rPr>
                <w:sz w:val="20"/>
                <w:szCs w:val="20"/>
                <w:color w:val="auto"/>
              </w:rPr>
            </w:pPr>
            <w:r>
              <w:rPr>
                <w:rFonts w:ascii="Arial" w:cs="Arial" w:eastAsia="Arial" w:hAnsi="Arial"/>
                <w:sz w:val="13"/>
                <w:szCs w:val="13"/>
                <w:color w:val="58595B"/>
              </w:rPr>
              <w:t>$3,432,564</w:t>
            </w:r>
          </w:p>
        </w:tc>
        <w:tc>
          <w:tcPr>
            <w:tcW w:w="0" w:type="dxa"/>
            <w:vAlign w:val="bottom"/>
          </w:tcPr>
          <w:p>
            <w:pPr>
              <w:spacing w:after="0"/>
              <w:rPr>
                <w:sz w:val="1"/>
                <w:szCs w:val="1"/>
                <w:color w:val="auto"/>
              </w:rPr>
            </w:pPr>
          </w:p>
        </w:tc>
      </w:tr>
      <w:tr>
        <w:trPr>
          <w:trHeight w:val="143"/>
        </w:trPr>
        <w:tc>
          <w:tcPr>
            <w:tcW w:w="2100" w:type="dxa"/>
            <w:vAlign w:val="bottom"/>
          </w:tcPr>
          <w:p>
            <w:pPr>
              <w:ind w:left="100"/>
              <w:spacing w:after="0" w:line="143" w:lineRule="exact"/>
              <w:rPr>
                <w:sz w:val="20"/>
                <w:szCs w:val="20"/>
                <w:color w:val="auto"/>
              </w:rPr>
            </w:pPr>
            <w:r>
              <w:rPr>
                <w:rFonts w:ascii="Arial" w:cs="Arial" w:eastAsia="Arial" w:hAnsi="Arial"/>
                <w:sz w:val="13"/>
                <w:szCs w:val="13"/>
                <w:color w:val="58595B"/>
              </w:rPr>
              <w:t>President, UFP</w:t>
            </w:r>
          </w:p>
        </w:tc>
        <w:tc>
          <w:tcPr>
            <w:tcW w:w="880" w:type="dxa"/>
            <w:vAlign w:val="bottom"/>
            <w:vMerge w:val="restart"/>
          </w:tcPr>
          <w:p>
            <w:pPr>
              <w:ind w:left="300"/>
              <w:spacing w:after="0"/>
              <w:rPr>
                <w:sz w:val="20"/>
                <w:szCs w:val="20"/>
                <w:color w:val="auto"/>
              </w:rPr>
            </w:pPr>
            <w:r>
              <w:rPr>
                <w:rFonts w:ascii="Arial" w:cs="Arial" w:eastAsia="Arial" w:hAnsi="Arial"/>
                <w:sz w:val="13"/>
                <w:szCs w:val="13"/>
                <w:color w:val="58595B"/>
              </w:rPr>
              <w:t>2021</w:t>
            </w:r>
          </w:p>
        </w:tc>
        <w:tc>
          <w:tcPr>
            <w:tcW w:w="1120" w:type="dxa"/>
            <w:vAlign w:val="bottom"/>
            <w:vMerge w:val="restart"/>
          </w:tcPr>
          <w:p>
            <w:pPr>
              <w:jc w:val="right"/>
              <w:ind w:right="218"/>
              <w:spacing w:after="0"/>
              <w:rPr>
                <w:sz w:val="20"/>
                <w:szCs w:val="20"/>
                <w:color w:val="auto"/>
              </w:rPr>
            </w:pPr>
            <w:r>
              <w:rPr>
                <w:rFonts w:ascii="Arial" w:cs="Arial" w:eastAsia="Arial" w:hAnsi="Arial"/>
                <w:sz w:val="13"/>
                <w:szCs w:val="13"/>
                <w:color w:val="58595B"/>
              </w:rPr>
              <w:t>$254,583</w:t>
            </w:r>
          </w:p>
        </w:tc>
        <w:tc>
          <w:tcPr>
            <w:tcW w:w="1220" w:type="dxa"/>
            <w:vAlign w:val="bottom"/>
            <w:vMerge w:val="restart"/>
          </w:tcPr>
          <w:p>
            <w:pPr>
              <w:jc w:val="right"/>
              <w:ind w:right="258"/>
              <w:spacing w:after="0"/>
              <w:rPr>
                <w:sz w:val="20"/>
                <w:szCs w:val="20"/>
                <w:color w:val="auto"/>
              </w:rPr>
            </w:pPr>
            <w:r>
              <w:rPr>
                <w:rFonts w:ascii="Arial" w:cs="Arial" w:eastAsia="Arial" w:hAnsi="Arial"/>
                <w:sz w:val="13"/>
                <w:szCs w:val="13"/>
                <w:color w:val="58595B"/>
              </w:rPr>
              <w:t>$2,967,245</w:t>
            </w:r>
          </w:p>
        </w:tc>
        <w:tc>
          <w:tcPr>
            <w:tcW w:w="1800" w:type="dxa"/>
            <w:vAlign w:val="bottom"/>
            <w:vMerge w:val="restart"/>
          </w:tcPr>
          <w:p>
            <w:pPr>
              <w:jc w:val="right"/>
              <w:ind w:right="319"/>
              <w:spacing w:after="0"/>
              <w:rPr>
                <w:sz w:val="20"/>
                <w:szCs w:val="20"/>
                <w:color w:val="auto"/>
              </w:rPr>
            </w:pPr>
            <w:r>
              <w:rPr>
                <w:rFonts w:ascii="Arial" w:cs="Arial" w:eastAsia="Arial" w:hAnsi="Arial"/>
                <w:sz w:val="13"/>
                <w:szCs w:val="13"/>
                <w:color w:val="58595B"/>
              </w:rPr>
              <w:t>$530,000</w:t>
            </w:r>
          </w:p>
        </w:tc>
        <w:tc>
          <w:tcPr>
            <w:tcW w:w="1580" w:type="dxa"/>
            <w:vAlign w:val="bottom"/>
            <w:vMerge w:val="restart"/>
          </w:tcPr>
          <w:p>
            <w:pPr>
              <w:jc w:val="right"/>
              <w:ind w:right="158"/>
              <w:spacing w:after="0"/>
              <w:rPr>
                <w:sz w:val="20"/>
                <w:szCs w:val="20"/>
                <w:color w:val="auto"/>
              </w:rPr>
            </w:pPr>
            <w:r>
              <w:rPr>
                <w:rFonts w:ascii="Arial" w:cs="Arial" w:eastAsia="Arial" w:hAnsi="Arial"/>
                <w:sz w:val="13"/>
                <w:szCs w:val="13"/>
                <w:color w:val="58595B"/>
              </w:rPr>
              <w:t>$21,496</w:t>
            </w:r>
          </w:p>
        </w:tc>
        <w:tc>
          <w:tcPr>
            <w:tcW w:w="1020" w:type="dxa"/>
            <w:vAlign w:val="bottom"/>
            <w:vMerge w:val="restart"/>
          </w:tcPr>
          <w:p>
            <w:pPr>
              <w:jc w:val="right"/>
              <w:ind w:right="18"/>
              <w:spacing w:after="0"/>
              <w:rPr>
                <w:sz w:val="20"/>
                <w:szCs w:val="20"/>
                <w:color w:val="auto"/>
              </w:rPr>
            </w:pPr>
            <w:r>
              <w:rPr>
                <w:rFonts w:ascii="Arial" w:cs="Arial" w:eastAsia="Arial" w:hAnsi="Arial"/>
                <w:sz w:val="13"/>
                <w:szCs w:val="13"/>
                <w:color w:val="58595B"/>
              </w:rPr>
              <w:t>$3,773,324</w:t>
            </w:r>
          </w:p>
        </w:tc>
        <w:tc>
          <w:tcPr>
            <w:tcW w:w="0" w:type="dxa"/>
            <w:vAlign w:val="bottom"/>
          </w:tcPr>
          <w:p>
            <w:pPr>
              <w:spacing w:after="0"/>
              <w:rPr>
                <w:sz w:val="1"/>
                <w:szCs w:val="1"/>
                <w:color w:val="auto"/>
              </w:rPr>
            </w:pPr>
          </w:p>
        </w:tc>
      </w:tr>
      <w:tr>
        <w:trPr>
          <w:trHeight w:val="280"/>
        </w:trPr>
        <w:tc>
          <w:tcPr>
            <w:tcW w:w="2100" w:type="dxa"/>
            <w:vAlign w:val="bottom"/>
            <w:tcBorders>
              <w:bottom w:val="single" w:sz="8" w:color="007B51"/>
            </w:tcBorders>
          </w:tcPr>
          <w:p>
            <w:pPr>
              <w:ind w:left="100"/>
              <w:spacing w:after="0"/>
              <w:rPr>
                <w:sz w:val="20"/>
                <w:szCs w:val="20"/>
                <w:color w:val="auto"/>
              </w:rPr>
            </w:pPr>
            <w:r>
              <w:rPr>
                <w:rFonts w:ascii="Arial" w:cs="Arial" w:eastAsia="Arial" w:hAnsi="Arial"/>
                <w:sz w:val="13"/>
                <w:szCs w:val="13"/>
                <w:color w:val="58595B"/>
              </w:rPr>
              <w:t>Industrial, LLC</w:t>
            </w:r>
            <w:r>
              <w:rPr>
                <w:rFonts w:ascii="Arial" w:cs="Arial" w:eastAsia="Arial" w:hAnsi="Arial"/>
                <w:sz w:val="20"/>
                <w:szCs w:val="20"/>
                <w:color w:val="58595B"/>
                <w:vertAlign w:val="superscript"/>
              </w:rPr>
              <w:t>(6)</w:t>
            </w:r>
          </w:p>
        </w:tc>
        <w:tc>
          <w:tcPr>
            <w:tcW w:w="880" w:type="dxa"/>
            <w:vAlign w:val="bottom"/>
            <w:tcBorders>
              <w:bottom w:val="single" w:sz="8" w:color="007B51"/>
            </w:tcBorders>
            <w:vMerge w:val="continue"/>
          </w:tcPr>
          <w:p>
            <w:pPr>
              <w:spacing w:after="0"/>
              <w:rPr>
                <w:sz w:val="24"/>
                <w:szCs w:val="24"/>
                <w:color w:val="auto"/>
              </w:rPr>
            </w:pPr>
          </w:p>
        </w:tc>
        <w:tc>
          <w:tcPr>
            <w:tcW w:w="1120" w:type="dxa"/>
            <w:vAlign w:val="bottom"/>
            <w:tcBorders>
              <w:bottom w:val="single" w:sz="8" w:color="007B51"/>
            </w:tcBorders>
            <w:vMerge w:val="continue"/>
          </w:tcPr>
          <w:p>
            <w:pPr>
              <w:spacing w:after="0"/>
              <w:rPr>
                <w:sz w:val="24"/>
                <w:szCs w:val="24"/>
                <w:color w:val="auto"/>
              </w:rPr>
            </w:pPr>
          </w:p>
        </w:tc>
        <w:tc>
          <w:tcPr>
            <w:tcW w:w="1220" w:type="dxa"/>
            <w:vAlign w:val="bottom"/>
            <w:tcBorders>
              <w:bottom w:val="single" w:sz="8" w:color="007B51"/>
            </w:tcBorders>
            <w:vMerge w:val="continue"/>
          </w:tcPr>
          <w:p>
            <w:pPr>
              <w:spacing w:after="0"/>
              <w:rPr>
                <w:sz w:val="24"/>
                <w:szCs w:val="24"/>
                <w:color w:val="auto"/>
              </w:rPr>
            </w:pPr>
          </w:p>
        </w:tc>
        <w:tc>
          <w:tcPr>
            <w:tcW w:w="1800" w:type="dxa"/>
            <w:vAlign w:val="bottom"/>
            <w:tcBorders>
              <w:bottom w:val="single" w:sz="8" w:color="007B51"/>
            </w:tcBorders>
            <w:vMerge w:val="continue"/>
          </w:tcPr>
          <w:p>
            <w:pPr>
              <w:spacing w:after="0"/>
              <w:rPr>
                <w:sz w:val="24"/>
                <w:szCs w:val="24"/>
                <w:color w:val="auto"/>
              </w:rPr>
            </w:pPr>
          </w:p>
        </w:tc>
        <w:tc>
          <w:tcPr>
            <w:tcW w:w="1580" w:type="dxa"/>
            <w:vAlign w:val="bottom"/>
            <w:tcBorders>
              <w:bottom w:val="single" w:sz="8" w:color="007B51"/>
            </w:tcBorders>
            <w:vMerge w:val="continue"/>
          </w:tcPr>
          <w:p>
            <w:pPr>
              <w:spacing w:after="0"/>
              <w:rPr>
                <w:sz w:val="24"/>
                <w:szCs w:val="24"/>
                <w:color w:val="auto"/>
              </w:rPr>
            </w:pPr>
          </w:p>
        </w:tc>
        <w:tc>
          <w:tcPr>
            <w:tcW w:w="1020" w:type="dxa"/>
            <w:vAlign w:val="bottom"/>
            <w:tcBorders>
              <w:bottom w:val="single" w:sz="8" w:color="007B51"/>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60" w:right="80" w:hanging="256"/>
        <w:spacing w:after="0" w:line="229" w:lineRule="auto"/>
        <w:tabs>
          <w:tab w:leader="none" w:pos="260" w:val="left"/>
        </w:tabs>
        <w:numPr>
          <w:ilvl w:val="0"/>
          <w:numId w:val="43"/>
        </w:numPr>
        <w:rPr>
          <w:rFonts w:ascii="Arial" w:cs="Arial" w:eastAsia="Arial" w:hAnsi="Arial"/>
          <w:sz w:val="13"/>
          <w:szCs w:val="13"/>
          <w:color w:val="58595B"/>
        </w:rPr>
      </w:pPr>
      <w:r>
        <w:rPr>
          <w:rFonts w:ascii="Arial" w:cs="Arial" w:eastAsia="Arial" w:hAnsi="Arial"/>
          <w:sz w:val="13"/>
          <w:szCs w:val="13"/>
          <w:color w:val="58595B"/>
        </w:rPr>
        <w:t>Includes amounts deferred by the Named Executives under our Profit Sharing and 401(k) Plan and DCP. The 2022 amounts include deferrals under the DCP in the amount of $115,000 for Messrs. Missad and Webster, and $55,000 for Messrs. Benton, Cole and Worthington. The 2021 amounts include deferrals under the DCP in the amount of $115,000 for Messrs. Missad and Webster, and $55,000 for Messrs. Benton, Cole and Worthington. The 2020 amounts include deferrals under the DCP in the amount of $115,000 for Messrs. Missad and Webster, and $55,000 for Messrs. Benton and Cole.</w:t>
      </w:r>
    </w:p>
    <w:p>
      <w:pPr>
        <w:spacing w:after="0" w:line="77" w:lineRule="exact"/>
        <w:rPr>
          <w:rFonts w:ascii="Arial" w:cs="Arial" w:eastAsia="Arial" w:hAnsi="Arial"/>
          <w:sz w:val="13"/>
          <w:szCs w:val="13"/>
          <w:color w:val="58595B"/>
        </w:rPr>
      </w:pPr>
    </w:p>
    <w:p>
      <w:pPr>
        <w:ind w:left="260" w:right="640" w:hanging="256"/>
        <w:spacing w:after="0" w:line="283" w:lineRule="auto"/>
        <w:tabs>
          <w:tab w:leader="none" w:pos="260" w:val="left"/>
        </w:tabs>
        <w:numPr>
          <w:ilvl w:val="0"/>
          <w:numId w:val="43"/>
        </w:numPr>
        <w:rPr>
          <w:rFonts w:ascii="Arial" w:cs="Arial" w:eastAsia="Arial" w:hAnsi="Arial"/>
          <w:sz w:val="12"/>
          <w:szCs w:val="12"/>
          <w:color w:val="58595B"/>
        </w:rPr>
      </w:pPr>
      <w:r>
        <w:rPr>
          <w:rFonts w:ascii="Arial" w:cs="Arial" w:eastAsia="Arial" w:hAnsi="Arial"/>
          <w:sz w:val="12"/>
          <w:szCs w:val="12"/>
          <w:color w:val="58595B"/>
        </w:rPr>
        <w:t>The amount set forth in this column represents the aggregate fair value of the awards as of the grant date, computed in accordance with FASB ASC Topic 718, “Compensation-Stock Compensation.” The assumptions used in calculating these amounts are based on a vesting period of either three, five or eight years.</w:t>
      </w:r>
    </w:p>
    <w:p>
      <w:pPr>
        <w:spacing w:after="0" w:line="52" w:lineRule="exact"/>
        <w:rPr>
          <w:rFonts w:ascii="Arial" w:cs="Arial" w:eastAsia="Arial" w:hAnsi="Arial"/>
          <w:sz w:val="12"/>
          <w:szCs w:val="12"/>
          <w:color w:val="58595B"/>
        </w:rPr>
      </w:pPr>
    </w:p>
    <w:p>
      <w:pPr>
        <w:ind w:left="260" w:hanging="256"/>
        <w:spacing w:after="0"/>
        <w:tabs>
          <w:tab w:leader="none" w:pos="260" w:val="left"/>
        </w:tabs>
        <w:numPr>
          <w:ilvl w:val="0"/>
          <w:numId w:val="43"/>
        </w:numPr>
        <w:rPr>
          <w:rFonts w:ascii="Arial" w:cs="Arial" w:eastAsia="Arial" w:hAnsi="Arial"/>
          <w:sz w:val="13"/>
          <w:szCs w:val="13"/>
          <w:color w:val="58595B"/>
        </w:rPr>
      </w:pPr>
      <w:r>
        <w:rPr>
          <w:rFonts w:ascii="Arial" w:cs="Arial" w:eastAsia="Arial" w:hAnsi="Arial"/>
          <w:sz w:val="13"/>
          <w:szCs w:val="13"/>
          <w:color w:val="58595B"/>
        </w:rPr>
        <w:t>Represents annual cash bonus payments under incentive compensation plans tied to our operating profit and ROI, which cover substantially all salaried employees.</w:t>
      </w:r>
    </w:p>
    <w:p>
      <w:pPr>
        <w:spacing w:after="0" w:line="93" w:lineRule="exact"/>
        <w:rPr>
          <w:rFonts w:ascii="Arial" w:cs="Arial" w:eastAsia="Arial" w:hAnsi="Arial"/>
          <w:sz w:val="13"/>
          <w:szCs w:val="13"/>
          <w:color w:val="58595B"/>
        </w:rPr>
      </w:pPr>
    </w:p>
    <w:p>
      <w:pPr>
        <w:ind w:left="260" w:right="20" w:hanging="256"/>
        <w:spacing w:after="0" w:line="223" w:lineRule="auto"/>
        <w:tabs>
          <w:tab w:leader="none" w:pos="260" w:val="left"/>
        </w:tabs>
        <w:numPr>
          <w:ilvl w:val="0"/>
          <w:numId w:val="43"/>
        </w:numPr>
        <w:rPr>
          <w:rFonts w:ascii="Arial" w:cs="Arial" w:eastAsia="Arial" w:hAnsi="Arial"/>
          <w:sz w:val="13"/>
          <w:szCs w:val="13"/>
          <w:color w:val="58595B"/>
        </w:rPr>
      </w:pPr>
      <w:r>
        <w:rPr>
          <w:rFonts w:ascii="Arial" w:cs="Arial" w:eastAsia="Arial" w:hAnsi="Arial"/>
          <w:sz w:val="13"/>
          <w:szCs w:val="13"/>
          <w:color w:val="58595B"/>
        </w:rPr>
        <w:t>The amounts in this column include Company contributions to our Profit Sharing and 401(k) Plan for 2022 in the amount of $4,575 for Messrs. Missad, Cole, Webster and Worthington; and $3,520 for Mr. Benton. Subject to certain requirements, including age and service requirements, all employees are eligible to participate in our Profit Sharing and 401(k) Plan.</w:t>
      </w:r>
    </w:p>
    <w:p>
      <w:pPr>
        <w:ind w:left="260" w:right="140"/>
        <w:spacing w:after="0" w:line="234" w:lineRule="auto"/>
        <w:rPr>
          <w:rFonts w:ascii="Arial" w:cs="Arial" w:eastAsia="Arial" w:hAnsi="Arial"/>
          <w:sz w:val="13"/>
          <w:szCs w:val="13"/>
          <w:color w:val="58595B"/>
        </w:rPr>
      </w:pPr>
      <w:r>
        <w:rPr>
          <w:rFonts w:ascii="Arial" w:cs="Arial" w:eastAsia="Arial" w:hAnsi="Arial"/>
          <w:sz w:val="12"/>
          <w:szCs w:val="12"/>
          <w:color w:val="58595B"/>
        </w:rPr>
        <w:t>Also included in this column is personal use of corporate aircraft for 2022 in the amount of $29,785.12 for Mr. Missad, and $9,005.41 for Mr. Webster. We permit limited personal use of corporate aircraft by our Named Executives, and personal use of our aircraft requires approval by our Chief Executive Officer. We calculate the incremental cost to our Company for personal use of our aircraft based on the cost of fuel and oil per hour of flight; trip-related inspections, repairs and maintenance; landing, parking and hangar fees; supplies; and other variable costs. Since our aircraft is used primarily for business travel, we do not include the fixed costs that do not change based on personal usage, such as pilots’ salaries, the purchase or leasing costs of our aircraft, and the cost of maintenance not related to specific trips.</w:t>
      </w:r>
    </w:p>
    <w:p>
      <w:pPr>
        <w:spacing w:after="0" w:line="2" w:lineRule="exact"/>
        <w:rPr>
          <w:rFonts w:ascii="Arial" w:cs="Arial" w:eastAsia="Arial" w:hAnsi="Arial"/>
          <w:sz w:val="13"/>
          <w:szCs w:val="13"/>
          <w:color w:val="58595B"/>
        </w:rPr>
      </w:pPr>
    </w:p>
    <w:p>
      <w:pPr>
        <w:ind w:left="260" w:right="100"/>
        <w:spacing w:after="0" w:line="231" w:lineRule="auto"/>
        <w:rPr>
          <w:rFonts w:ascii="Arial" w:cs="Arial" w:eastAsia="Arial" w:hAnsi="Arial"/>
          <w:sz w:val="13"/>
          <w:szCs w:val="13"/>
          <w:color w:val="58595B"/>
        </w:rPr>
      </w:pPr>
      <w:r>
        <w:rPr>
          <w:rFonts w:ascii="Arial" w:cs="Arial" w:eastAsia="Arial" w:hAnsi="Arial"/>
          <w:sz w:val="13"/>
          <w:szCs w:val="13"/>
          <w:color w:val="58595B"/>
        </w:rPr>
        <w:t>The amount in this column also includes the following fringe benefits, none of which exceeded the greater of $25,000 or 10% of the Named Executive’s aggregate fringe benefits: use of Company-owned property; a convenience allowance; and taxes paid on behalf of the Named Executive.</w:t>
      </w:r>
    </w:p>
    <w:p>
      <w:pPr>
        <w:spacing w:after="0" w:line="78" w:lineRule="exact"/>
        <w:rPr>
          <w:rFonts w:ascii="Arial" w:cs="Arial" w:eastAsia="Arial" w:hAnsi="Arial"/>
          <w:sz w:val="13"/>
          <w:szCs w:val="13"/>
          <w:color w:val="58595B"/>
        </w:rPr>
      </w:pPr>
    </w:p>
    <w:p>
      <w:pPr>
        <w:ind w:left="260" w:hanging="256"/>
        <w:spacing w:after="0"/>
        <w:tabs>
          <w:tab w:leader="none" w:pos="260" w:val="left"/>
        </w:tabs>
        <w:numPr>
          <w:ilvl w:val="0"/>
          <w:numId w:val="43"/>
        </w:numPr>
        <w:rPr>
          <w:rFonts w:ascii="Arial" w:cs="Arial" w:eastAsia="Arial" w:hAnsi="Arial"/>
          <w:sz w:val="13"/>
          <w:szCs w:val="13"/>
          <w:color w:val="58595B"/>
        </w:rPr>
      </w:pPr>
      <w:r>
        <w:rPr>
          <w:rFonts w:ascii="Arial" w:cs="Arial" w:eastAsia="Arial" w:hAnsi="Arial"/>
          <w:sz w:val="13"/>
          <w:szCs w:val="13"/>
          <w:color w:val="58595B"/>
        </w:rPr>
        <w:t>Mr. Webster retired from the Company effective as of December 31, 2022.</w:t>
      </w:r>
    </w:p>
    <w:p>
      <w:pPr>
        <w:spacing w:after="0" w:line="93" w:lineRule="exact"/>
        <w:rPr>
          <w:rFonts w:ascii="Arial" w:cs="Arial" w:eastAsia="Arial" w:hAnsi="Arial"/>
          <w:sz w:val="13"/>
          <w:szCs w:val="13"/>
          <w:color w:val="58595B"/>
        </w:rPr>
      </w:pPr>
    </w:p>
    <w:p>
      <w:pPr>
        <w:ind w:left="260" w:hanging="256"/>
        <w:spacing w:after="0"/>
        <w:tabs>
          <w:tab w:leader="none" w:pos="260" w:val="left"/>
        </w:tabs>
        <w:numPr>
          <w:ilvl w:val="0"/>
          <w:numId w:val="43"/>
        </w:numPr>
        <w:rPr>
          <w:rFonts w:ascii="Arial" w:cs="Arial" w:eastAsia="Arial" w:hAnsi="Arial"/>
          <w:sz w:val="13"/>
          <w:szCs w:val="13"/>
          <w:color w:val="58595B"/>
        </w:rPr>
      </w:pPr>
      <w:r>
        <w:rPr>
          <w:rFonts w:ascii="Arial" w:cs="Arial" w:eastAsia="Arial" w:hAnsi="Arial"/>
          <w:sz w:val="13"/>
          <w:szCs w:val="13"/>
          <w:color w:val="58595B"/>
        </w:rPr>
        <w:t>Mr. Worthington first became a Named Executive in 2021.</w:t>
      </w:r>
    </w:p>
    <w:p>
      <w:pPr>
        <w:spacing w:after="0" w:line="337"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33</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Narrative Disclosure of Perquisites and Benefits</w:t>
      </w:r>
    </w:p>
    <w:p>
      <w:pPr>
        <w:spacing w:after="0" w:line="16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provide benefit programs to executive officers and other employees. The following table generally identifies such benefit plans and those employees who may be eligible to participate: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500" w:type="dxa"/>
            <w:vAlign w:val="bottom"/>
          </w:tcPr>
          <w:p>
            <w:pPr>
              <w:jc w:val="center"/>
              <w:ind w:left="14"/>
              <w:spacing w:after="0"/>
              <w:rPr>
                <w:sz w:val="20"/>
                <w:szCs w:val="20"/>
                <w:color w:val="auto"/>
              </w:rPr>
            </w:pPr>
            <w:r>
              <w:rPr>
                <w:rFonts w:ascii="Arial" w:cs="Arial" w:eastAsia="Arial" w:hAnsi="Arial"/>
                <w:sz w:val="11"/>
                <w:szCs w:val="11"/>
                <w:b w:val="1"/>
                <w:bCs w:val="1"/>
                <w:color w:val="auto"/>
                <w:w w:val="97"/>
              </w:rPr>
              <w:t>FULL-TIME EXEMPT</w:t>
            </w:r>
          </w:p>
        </w:tc>
        <w:tc>
          <w:tcPr>
            <w:tcW w:w="1620" w:type="dxa"/>
            <w:vAlign w:val="bottom"/>
          </w:tcPr>
          <w:p>
            <w:pPr>
              <w:jc w:val="center"/>
              <w:spacing w:after="0"/>
              <w:rPr>
                <w:sz w:val="20"/>
                <w:szCs w:val="20"/>
                <w:color w:val="auto"/>
              </w:rPr>
            </w:pPr>
            <w:r>
              <w:rPr>
                <w:rFonts w:ascii="Arial" w:cs="Arial" w:eastAsia="Arial" w:hAnsi="Arial"/>
                <w:sz w:val="11"/>
                <w:szCs w:val="11"/>
                <w:b w:val="1"/>
                <w:bCs w:val="1"/>
                <w:color w:val="auto"/>
                <w:w w:val="98"/>
              </w:rPr>
              <w:t>FULL-TIME NON-EXEMPT</w:t>
            </w:r>
          </w:p>
        </w:tc>
      </w:tr>
      <w:tr>
        <w:trPr>
          <w:trHeight w:val="148"/>
        </w:trPr>
        <w:tc>
          <w:tcPr>
            <w:tcW w:w="3100" w:type="dxa"/>
            <w:vAlign w:val="bottom"/>
            <w:tcBorders>
              <w:bottom w:val="single" w:sz="8" w:color="007B51"/>
            </w:tcBorders>
          </w:tcPr>
          <w:p>
            <w:pPr>
              <w:ind w:left="100"/>
              <w:spacing w:after="0"/>
              <w:rPr>
                <w:sz w:val="20"/>
                <w:szCs w:val="20"/>
                <w:color w:val="auto"/>
              </w:rPr>
            </w:pPr>
            <w:r>
              <w:rPr>
                <w:rFonts w:ascii="Arial" w:cs="Arial" w:eastAsia="Arial" w:hAnsi="Arial"/>
                <w:sz w:val="11"/>
                <w:szCs w:val="11"/>
                <w:b w:val="1"/>
                <w:bCs w:val="1"/>
                <w:color w:val="auto"/>
              </w:rPr>
              <w:t>BENEFIT PLAN</w:t>
            </w:r>
          </w:p>
        </w:tc>
        <w:tc>
          <w:tcPr>
            <w:tcW w:w="1700" w:type="dxa"/>
            <w:vAlign w:val="bottom"/>
            <w:tcBorders>
              <w:bottom w:val="single" w:sz="8" w:color="007B51"/>
            </w:tcBorders>
          </w:tcPr>
          <w:p>
            <w:pPr>
              <w:jc w:val="center"/>
              <w:ind w:left="180"/>
              <w:spacing w:after="0"/>
              <w:rPr>
                <w:sz w:val="20"/>
                <w:szCs w:val="20"/>
                <w:color w:val="auto"/>
              </w:rPr>
            </w:pPr>
            <w:r>
              <w:rPr>
                <w:rFonts w:ascii="Arial" w:cs="Arial" w:eastAsia="Arial" w:hAnsi="Arial"/>
                <w:sz w:val="11"/>
                <w:szCs w:val="11"/>
                <w:b w:val="1"/>
                <w:bCs w:val="1"/>
                <w:color w:val="auto"/>
                <w:w w:val="97"/>
              </w:rPr>
              <w:t>OFFICERS</w:t>
            </w:r>
          </w:p>
        </w:tc>
        <w:tc>
          <w:tcPr>
            <w:tcW w:w="1800" w:type="dxa"/>
            <w:vAlign w:val="bottom"/>
            <w:tcBorders>
              <w:bottom w:val="single" w:sz="8" w:color="007B51"/>
            </w:tcBorders>
          </w:tcPr>
          <w:p>
            <w:pPr>
              <w:jc w:val="center"/>
              <w:ind w:left="4"/>
              <w:spacing w:after="0"/>
              <w:rPr>
                <w:sz w:val="20"/>
                <w:szCs w:val="20"/>
                <w:color w:val="auto"/>
              </w:rPr>
            </w:pPr>
            <w:r>
              <w:rPr>
                <w:rFonts w:ascii="Arial" w:cs="Arial" w:eastAsia="Arial" w:hAnsi="Arial"/>
                <w:sz w:val="11"/>
                <w:szCs w:val="11"/>
                <w:b w:val="1"/>
                <w:bCs w:val="1"/>
                <w:color w:val="auto"/>
                <w:w w:val="98"/>
              </w:rPr>
              <w:t>CERTAIN MANAGERS</w:t>
            </w:r>
          </w:p>
        </w:tc>
        <w:tc>
          <w:tcPr>
            <w:tcW w:w="1500" w:type="dxa"/>
            <w:vAlign w:val="bottom"/>
            <w:tcBorders>
              <w:bottom w:val="single" w:sz="8" w:color="007B51"/>
            </w:tcBorders>
          </w:tcPr>
          <w:p>
            <w:pPr>
              <w:jc w:val="center"/>
              <w:ind w:left="14"/>
              <w:spacing w:after="0"/>
              <w:rPr>
                <w:sz w:val="20"/>
                <w:szCs w:val="20"/>
                <w:color w:val="auto"/>
              </w:rPr>
            </w:pPr>
            <w:r>
              <w:rPr>
                <w:rFonts w:ascii="Arial" w:cs="Arial" w:eastAsia="Arial" w:hAnsi="Arial"/>
                <w:sz w:val="11"/>
                <w:szCs w:val="11"/>
                <w:b w:val="1"/>
                <w:bCs w:val="1"/>
                <w:color w:val="auto"/>
                <w:w w:val="99"/>
              </w:rPr>
              <w:t>EMPLOYEES</w:t>
            </w:r>
          </w:p>
        </w:tc>
        <w:tc>
          <w:tcPr>
            <w:tcW w:w="1620" w:type="dxa"/>
            <w:vAlign w:val="bottom"/>
            <w:tcBorders>
              <w:bottom w:val="single" w:sz="8" w:color="007B51"/>
            </w:tcBorders>
          </w:tcPr>
          <w:p>
            <w:pPr>
              <w:jc w:val="center"/>
              <w:spacing w:after="0"/>
              <w:rPr>
                <w:sz w:val="20"/>
                <w:szCs w:val="20"/>
                <w:color w:val="auto"/>
              </w:rPr>
            </w:pPr>
            <w:r>
              <w:rPr>
                <w:rFonts w:ascii="Arial" w:cs="Arial" w:eastAsia="Arial" w:hAnsi="Arial"/>
                <w:sz w:val="11"/>
                <w:szCs w:val="11"/>
                <w:b w:val="1"/>
                <w:bCs w:val="1"/>
                <w:color w:val="auto"/>
                <w:w w:val="96"/>
              </w:rPr>
              <w:t>EMPLOYEES</w:t>
            </w:r>
          </w:p>
        </w:tc>
      </w:tr>
      <w:tr>
        <w:trPr>
          <w:trHeight w:val="316"/>
        </w:trPr>
        <w:tc>
          <w:tcPr>
            <w:tcW w:w="3100" w:type="dxa"/>
            <w:vAlign w:val="bottom"/>
          </w:tcPr>
          <w:p>
            <w:pPr>
              <w:ind w:left="100"/>
              <w:spacing w:after="0"/>
              <w:rPr>
                <w:sz w:val="20"/>
                <w:szCs w:val="20"/>
                <w:color w:val="auto"/>
              </w:rPr>
            </w:pPr>
            <w:r>
              <w:rPr>
                <w:rFonts w:ascii="Arial" w:cs="Arial" w:eastAsia="Arial" w:hAnsi="Arial"/>
                <w:sz w:val="13"/>
                <w:szCs w:val="13"/>
                <w:b w:val="1"/>
                <w:bCs w:val="1"/>
                <w:color w:val="017B52"/>
              </w:rPr>
              <w:t>401(k) Plan</w:t>
            </w:r>
          </w:p>
        </w:tc>
        <w:tc>
          <w:tcPr>
            <w:tcW w:w="1700" w:type="dxa"/>
            <w:vAlign w:val="bottom"/>
          </w:tcPr>
          <w:p>
            <w:pPr>
              <w:jc w:val="center"/>
              <w:ind w:left="200"/>
              <w:spacing w:after="0"/>
              <w:rPr>
                <w:sz w:val="20"/>
                <w:szCs w:val="20"/>
                <w:color w:val="auto"/>
              </w:rPr>
            </w:pPr>
            <w:r>
              <w:rPr>
                <w:rFonts w:ascii="Times New Roman" w:cs="Times New Roman" w:eastAsia="Times New Roman" w:hAnsi="Times New Roman"/>
                <w:sz w:val="22"/>
                <w:szCs w:val="22"/>
                <w:color w:val="auto"/>
                <w:w w:val="98"/>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1500" w:type="dxa"/>
            <w:vAlign w:val="bottom"/>
          </w:tcPr>
          <w:p>
            <w:pPr>
              <w:jc w:val="center"/>
              <w:ind w:left="14"/>
              <w:spacing w:after="0"/>
              <w:rPr>
                <w:sz w:val="20"/>
                <w:szCs w:val="20"/>
                <w:color w:val="auto"/>
              </w:rPr>
            </w:pPr>
            <w:r>
              <w:rPr>
                <w:rFonts w:ascii="Times New Roman" w:cs="Times New Roman" w:eastAsia="Times New Roman" w:hAnsi="Times New Roman"/>
                <w:sz w:val="22"/>
                <w:szCs w:val="22"/>
                <w:color w:val="auto"/>
                <w:w w:val="98"/>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55"/>
        </w:trPr>
        <w:tc>
          <w:tcPr>
            <w:tcW w:w="3100" w:type="dxa"/>
            <w:vAlign w:val="bottom"/>
            <w:tcBorders>
              <w:bottom w:val="single" w:sz="8" w:color="007B51"/>
            </w:tcBorders>
          </w:tcPr>
          <w:p>
            <w:pPr>
              <w:spacing w:after="0"/>
              <w:rPr>
                <w:sz w:val="4"/>
                <w:szCs w:val="4"/>
                <w:color w:val="auto"/>
              </w:rPr>
            </w:pPr>
          </w:p>
        </w:tc>
        <w:tc>
          <w:tcPr>
            <w:tcW w:w="1700" w:type="dxa"/>
            <w:vAlign w:val="bottom"/>
            <w:tcBorders>
              <w:bottom w:val="single" w:sz="8" w:color="007B51"/>
            </w:tcBorders>
          </w:tcPr>
          <w:p>
            <w:pPr>
              <w:spacing w:after="0"/>
              <w:rPr>
                <w:sz w:val="4"/>
                <w:szCs w:val="4"/>
                <w:color w:val="auto"/>
              </w:rPr>
            </w:pPr>
          </w:p>
        </w:tc>
        <w:tc>
          <w:tcPr>
            <w:tcW w:w="1800" w:type="dxa"/>
            <w:vAlign w:val="bottom"/>
            <w:tcBorders>
              <w:bottom w:val="single" w:sz="8" w:color="007B51"/>
            </w:tcBorders>
          </w:tcPr>
          <w:p>
            <w:pPr>
              <w:spacing w:after="0"/>
              <w:rPr>
                <w:sz w:val="4"/>
                <w:szCs w:val="4"/>
                <w:color w:val="auto"/>
              </w:rPr>
            </w:pPr>
          </w:p>
        </w:tc>
        <w:tc>
          <w:tcPr>
            <w:tcW w:w="1500" w:type="dxa"/>
            <w:vAlign w:val="bottom"/>
            <w:tcBorders>
              <w:bottom w:val="single" w:sz="8" w:color="007B51"/>
            </w:tcBorders>
          </w:tcPr>
          <w:p>
            <w:pPr>
              <w:spacing w:after="0"/>
              <w:rPr>
                <w:sz w:val="4"/>
                <w:szCs w:val="4"/>
                <w:color w:val="auto"/>
              </w:rPr>
            </w:pPr>
          </w:p>
        </w:tc>
        <w:tc>
          <w:tcPr>
            <w:tcW w:w="1620" w:type="dxa"/>
            <w:vAlign w:val="bottom"/>
            <w:tcBorders>
              <w:bottom w:val="single" w:sz="8" w:color="007B51"/>
            </w:tcBorders>
          </w:tcPr>
          <w:p>
            <w:pPr>
              <w:spacing w:after="0"/>
              <w:rPr>
                <w:sz w:val="4"/>
                <w:szCs w:val="4"/>
                <w:color w:val="auto"/>
              </w:rPr>
            </w:pPr>
          </w:p>
        </w:tc>
      </w:tr>
      <w:tr>
        <w:trPr>
          <w:trHeight w:val="316"/>
        </w:trPr>
        <w:tc>
          <w:tcPr>
            <w:tcW w:w="3100" w:type="dxa"/>
            <w:vAlign w:val="bottom"/>
          </w:tcPr>
          <w:p>
            <w:pPr>
              <w:ind w:left="100"/>
              <w:spacing w:after="0"/>
              <w:rPr>
                <w:sz w:val="20"/>
                <w:szCs w:val="20"/>
                <w:color w:val="auto"/>
              </w:rPr>
            </w:pPr>
            <w:r>
              <w:rPr>
                <w:rFonts w:ascii="Arial" w:cs="Arial" w:eastAsia="Arial" w:hAnsi="Arial"/>
                <w:sz w:val="13"/>
                <w:szCs w:val="13"/>
                <w:b w:val="1"/>
                <w:bCs w:val="1"/>
                <w:color w:val="017B52"/>
              </w:rPr>
              <w:t>Medical/Dental/Vision Plans</w:t>
            </w:r>
          </w:p>
        </w:tc>
        <w:tc>
          <w:tcPr>
            <w:tcW w:w="1700" w:type="dxa"/>
            <w:vAlign w:val="bottom"/>
          </w:tcPr>
          <w:p>
            <w:pPr>
              <w:jc w:val="center"/>
              <w:ind w:left="200"/>
              <w:spacing w:after="0"/>
              <w:rPr>
                <w:sz w:val="20"/>
                <w:szCs w:val="20"/>
                <w:color w:val="auto"/>
              </w:rPr>
            </w:pPr>
            <w:r>
              <w:rPr>
                <w:rFonts w:ascii="Times New Roman" w:cs="Times New Roman" w:eastAsia="Times New Roman" w:hAnsi="Times New Roman"/>
                <w:sz w:val="22"/>
                <w:szCs w:val="22"/>
                <w:color w:val="auto"/>
                <w:w w:val="98"/>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1500" w:type="dxa"/>
            <w:vAlign w:val="bottom"/>
          </w:tcPr>
          <w:p>
            <w:pPr>
              <w:jc w:val="center"/>
              <w:ind w:left="14"/>
              <w:spacing w:after="0"/>
              <w:rPr>
                <w:sz w:val="20"/>
                <w:szCs w:val="20"/>
                <w:color w:val="auto"/>
              </w:rPr>
            </w:pPr>
            <w:r>
              <w:rPr>
                <w:rFonts w:ascii="Times New Roman" w:cs="Times New Roman" w:eastAsia="Times New Roman" w:hAnsi="Times New Roman"/>
                <w:sz w:val="22"/>
                <w:szCs w:val="22"/>
                <w:color w:val="auto"/>
                <w:w w:val="98"/>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56"/>
        </w:trPr>
        <w:tc>
          <w:tcPr>
            <w:tcW w:w="3100" w:type="dxa"/>
            <w:vAlign w:val="bottom"/>
            <w:tcBorders>
              <w:bottom w:val="single" w:sz="8" w:color="007B51"/>
            </w:tcBorders>
          </w:tcPr>
          <w:p>
            <w:pPr>
              <w:spacing w:after="0"/>
              <w:rPr>
                <w:sz w:val="4"/>
                <w:szCs w:val="4"/>
                <w:color w:val="auto"/>
              </w:rPr>
            </w:pPr>
          </w:p>
        </w:tc>
        <w:tc>
          <w:tcPr>
            <w:tcW w:w="1700" w:type="dxa"/>
            <w:vAlign w:val="bottom"/>
            <w:tcBorders>
              <w:bottom w:val="single" w:sz="8" w:color="007B51"/>
            </w:tcBorders>
          </w:tcPr>
          <w:p>
            <w:pPr>
              <w:spacing w:after="0"/>
              <w:rPr>
                <w:sz w:val="4"/>
                <w:szCs w:val="4"/>
                <w:color w:val="auto"/>
              </w:rPr>
            </w:pPr>
          </w:p>
        </w:tc>
        <w:tc>
          <w:tcPr>
            <w:tcW w:w="1800" w:type="dxa"/>
            <w:vAlign w:val="bottom"/>
            <w:tcBorders>
              <w:bottom w:val="single" w:sz="8" w:color="007B51"/>
            </w:tcBorders>
          </w:tcPr>
          <w:p>
            <w:pPr>
              <w:spacing w:after="0"/>
              <w:rPr>
                <w:sz w:val="4"/>
                <w:szCs w:val="4"/>
                <w:color w:val="auto"/>
              </w:rPr>
            </w:pPr>
          </w:p>
        </w:tc>
        <w:tc>
          <w:tcPr>
            <w:tcW w:w="1500" w:type="dxa"/>
            <w:vAlign w:val="bottom"/>
            <w:tcBorders>
              <w:bottom w:val="single" w:sz="8" w:color="007B51"/>
            </w:tcBorders>
          </w:tcPr>
          <w:p>
            <w:pPr>
              <w:spacing w:after="0"/>
              <w:rPr>
                <w:sz w:val="4"/>
                <w:szCs w:val="4"/>
                <w:color w:val="auto"/>
              </w:rPr>
            </w:pPr>
          </w:p>
        </w:tc>
        <w:tc>
          <w:tcPr>
            <w:tcW w:w="1620" w:type="dxa"/>
            <w:vAlign w:val="bottom"/>
            <w:tcBorders>
              <w:bottom w:val="single" w:sz="8" w:color="007B51"/>
            </w:tcBorders>
          </w:tcPr>
          <w:p>
            <w:pPr>
              <w:spacing w:after="0"/>
              <w:rPr>
                <w:sz w:val="4"/>
                <w:szCs w:val="4"/>
                <w:color w:val="auto"/>
              </w:rPr>
            </w:pPr>
          </w:p>
        </w:tc>
      </w:tr>
      <w:tr>
        <w:trPr>
          <w:trHeight w:val="316"/>
        </w:trPr>
        <w:tc>
          <w:tcPr>
            <w:tcW w:w="3100" w:type="dxa"/>
            <w:vAlign w:val="bottom"/>
          </w:tcPr>
          <w:p>
            <w:pPr>
              <w:ind w:left="100"/>
              <w:spacing w:after="0"/>
              <w:rPr>
                <w:sz w:val="20"/>
                <w:szCs w:val="20"/>
                <w:color w:val="auto"/>
              </w:rPr>
            </w:pPr>
            <w:r>
              <w:rPr>
                <w:rFonts w:ascii="Arial" w:cs="Arial" w:eastAsia="Arial" w:hAnsi="Arial"/>
                <w:sz w:val="13"/>
                <w:szCs w:val="13"/>
                <w:b w:val="1"/>
                <w:bCs w:val="1"/>
                <w:color w:val="017B52"/>
              </w:rPr>
              <w:t>Life and Disability Insurance</w:t>
            </w:r>
          </w:p>
        </w:tc>
        <w:tc>
          <w:tcPr>
            <w:tcW w:w="1700" w:type="dxa"/>
            <w:vAlign w:val="bottom"/>
          </w:tcPr>
          <w:p>
            <w:pPr>
              <w:jc w:val="center"/>
              <w:ind w:left="200"/>
              <w:spacing w:after="0"/>
              <w:rPr>
                <w:sz w:val="20"/>
                <w:szCs w:val="20"/>
                <w:color w:val="auto"/>
              </w:rPr>
            </w:pPr>
            <w:r>
              <w:rPr>
                <w:rFonts w:ascii="Times New Roman" w:cs="Times New Roman" w:eastAsia="Times New Roman" w:hAnsi="Times New Roman"/>
                <w:sz w:val="22"/>
                <w:szCs w:val="22"/>
                <w:color w:val="auto"/>
                <w:w w:val="98"/>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1500" w:type="dxa"/>
            <w:vAlign w:val="bottom"/>
          </w:tcPr>
          <w:p>
            <w:pPr>
              <w:jc w:val="center"/>
              <w:ind w:left="14"/>
              <w:spacing w:after="0"/>
              <w:rPr>
                <w:sz w:val="20"/>
                <w:szCs w:val="20"/>
                <w:color w:val="auto"/>
              </w:rPr>
            </w:pPr>
            <w:r>
              <w:rPr>
                <w:rFonts w:ascii="Times New Roman" w:cs="Times New Roman" w:eastAsia="Times New Roman" w:hAnsi="Times New Roman"/>
                <w:sz w:val="22"/>
                <w:szCs w:val="22"/>
                <w:color w:val="auto"/>
                <w:w w:val="98"/>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56"/>
        </w:trPr>
        <w:tc>
          <w:tcPr>
            <w:tcW w:w="3100" w:type="dxa"/>
            <w:vAlign w:val="bottom"/>
            <w:tcBorders>
              <w:bottom w:val="single" w:sz="8" w:color="007B51"/>
            </w:tcBorders>
          </w:tcPr>
          <w:p>
            <w:pPr>
              <w:spacing w:after="0"/>
              <w:rPr>
                <w:sz w:val="4"/>
                <w:szCs w:val="4"/>
                <w:color w:val="auto"/>
              </w:rPr>
            </w:pPr>
          </w:p>
        </w:tc>
        <w:tc>
          <w:tcPr>
            <w:tcW w:w="1700" w:type="dxa"/>
            <w:vAlign w:val="bottom"/>
            <w:tcBorders>
              <w:bottom w:val="single" w:sz="8" w:color="007B51"/>
            </w:tcBorders>
          </w:tcPr>
          <w:p>
            <w:pPr>
              <w:spacing w:after="0"/>
              <w:rPr>
                <w:sz w:val="4"/>
                <w:szCs w:val="4"/>
                <w:color w:val="auto"/>
              </w:rPr>
            </w:pPr>
          </w:p>
        </w:tc>
        <w:tc>
          <w:tcPr>
            <w:tcW w:w="1800" w:type="dxa"/>
            <w:vAlign w:val="bottom"/>
            <w:tcBorders>
              <w:bottom w:val="single" w:sz="8" w:color="007B51"/>
            </w:tcBorders>
          </w:tcPr>
          <w:p>
            <w:pPr>
              <w:spacing w:after="0"/>
              <w:rPr>
                <w:sz w:val="4"/>
                <w:szCs w:val="4"/>
                <w:color w:val="auto"/>
              </w:rPr>
            </w:pPr>
          </w:p>
        </w:tc>
        <w:tc>
          <w:tcPr>
            <w:tcW w:w="1500" w:type="dxa"/>
            <w:vAlign w:val="bottom"/>
            <w:tcBorders>
              <w:bottom w:val="single" w:sz="8" w:color="007B51"/>
            </w:tcBorders>
          </w:tcPr>
          <w:p>
            <w:pPr>
              <w:spacing w:after="0"/>
              <w:rPr>
                <w:sz w:val="4"/>
                <w:szCs w:val="4"/>
                <w:color w:val="auto"/>
              </w:rPr>
            </w:pPr>
          </w:p>
        </w:tc>
        <w:tc>
          <w:tcPr>
            <w:tcW w:w="1620" w:type="dxa"/>
            <w:vAlign w:val="bottom"/>
            <w:tcBorders>
              <w:bottom w:val="single" w:sz="8" w:color="007B51"/>
            </w:tcBorders>
          </w:tcPr>
          <w:p>
            <w:pPr>
              <w:spacing w:after="0"/>
              <w:rPr>
                <w:sz w:val="4"/>
                <w:szCs w:val="4"/>
                <w:color w:val="auto"/>
              </w:rPr>
            </w:pPr>
          </w:p>
        </w:tc>
      </w:tr>
      <w:tr>
        <w:trPr>
          <w:trHeight w:val="316"/>
        </w:trPr>
        <w:tc>
          <w:tcPr>
            <w:tcW w:w="3100" w:type="dxa"/>
            <w:vAlign w:val="bottom"/>
          </w:tcPr>
          <w:p>
            <w:pPr>
              <w:ind w:left="100"/>
              <w:spacing w:after="0"/>
              <w:rPr>
                <w:sz w:val="20"/>
                <w:szCs w:val="20"/>
                <w:color w:val="auto"/>
              </w:rPr>
            </w:pPr>
            <w:r>
              <w:rPr>
                <w:rFonts w:ascii="Arial" w:cs="Arial" w:eastAsia="Arial" w:hAnsi="Arial"/>
                <w:sz w:val="13"/>
                <w:szCs w:val="13"/>
                <w:b w:val="1"/>
                <w:bCs w:val="1"/>
                <w:color w:val="017B52"/>
              </w:rPr>
              <w:t>Employee Stock Purchase Plan</w:t>
            </w:r>
          </w:p>
        </w:tc>
        <w:tc>
          <w:tcPr>
            <w:tcW w:w="1700" w:type="dxa"/>
            <w:vAlign w:val="bottom"/>
          </w:tcPr>
          <w:p>
            <w:pPr>
              <w:jc w:val="center"/>
              <w:ind w:left="200"/>
              <w:spacing w:after="0"/>
              <w:rPr>
                <w:sz w:val="20"/>
                <w:szCs w:val="20"/>
                <w:color w:val="auto"/>
              </w:rPr>
            </w:pPr>
            <w:r>
              <w:rPr>
                <w:rFonts w:ascii="Times New Roman" w:cs="Times New Roman" w:eastAsia="Times New Roman" w:hAnsi="Times New Roman"/>
                <w:sz w:val="22"/>
                <w:szCs w:val="22"/>
                <w:color w:val="auto"/>
                <w:w w:val="98"/>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1500" w:type="dxa"/>
            <w:vAlign w:val="bottom"/>
          </w:tcPr>
          <w:p>
            <w:pPr>
              <w:jc w:val="center"/>
              <w:ind w:left="14"/>
              <w:spacing w:after="0"/>
              <w:rPr>
                <w:sz w:val="20"/>
                <w:szCs w:val="20"/>
                <w:color w:val="auto"/>
              </w:rPr>
            </w:pPr>
            <w:r>
              <w:rPr>
                <w:rFonts w:ascii="Times New Roman" w:cs="Times New Roman" w:eastAsia="Times New Roman" w:hAnsi="Times New Roman"/>
                <w:sz w:val="22"/>
                <w:szCs w:val="22"/>
                <w:color w:val="auto"/>
                <w:w w:val="98"/>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56"/>
        </w:trPr>
        <w:tc>
          <w:tcPr>
            <w:tcW w:w="3100" w:type="dxa"/>
            <w:vAlign w:val="bottom"/>
            <w:tcBorders>
              <w:bottom w:val="single" w:sz="8" w:color="007B51"/>
            </w:tcBorders>
          </w:tcPr>
          <w:p>
            <w:pPr>
              <w:spacing w:after="0"/>
              <w:rPr>
                <w:sz w:val="4"/>
                <w:szCs w:val="4"/>
                <w:color w:val="auto"/>
              </w:rPr>
            </w:pPr>
          </w:p>
        </w:tc>
        <w:tc>
          <w:tcPr>
            <w:tcW w:w="1700" w:type="dxa"/>
            <w:vAlign w:val="bottom"/>
            <w:tcBorders>
              <w:bottom w:val="single" w:sz="8" w:color="007B51"/>
            </w:tcBorders>
          </w:tcPr>
          <w:p>
            <w:pPr>
              <w:spacing w:after="0"/>
              <w:rPr>
                <w:sz w:val="4"/>
                <w:szCs w:val="4"/>
                <w:color w:val="auto"/>
              </w:rPr>
            </w:pPr>
          </w:p>
        </w:tc>
        <w:tc>
          <w:tcPr>
            <w:tcW w:w="1800" w:type="dxa"/>
            <w:vAlign w:val="bottom"/>
            <w:tcBorders>
              <w:bottom w:val="single" w:sz="8" w:color="007B51"/>
            </w:tcBorders>
          </w:tcPr>
          <w:p>
            <w:pPr>
              <w:spacing w:after="0"/>
              <w:rPr>
                <w:sz w:val="4"/>
                <w:szCs w:val="4"/>
                <w:color w:val="auto"/>
              </w:rPr>
            </w:pPr>
          </w:p>
        </w:tc>
        <w:tc>
          <w:tcPr>
            <w:tcW w:w="1500" w:type="dxa"/>
            <w:vAlign w:val="bottom"/>
            <w:tcBorders>
              <w:bottom w:val="single" w:sz="8" w:color="007B51"/>
            </w:tcBorders>
          </w:tcPr>
          <w:p>
            <w:pPr>
              <w:spacing w:after="0"/>
              <w:rPr>
                <w:sz w:val="4"/>
                <w:szCs w:val="4"/>
                <w:color w:val="auto"/>
              </w:rPr>
            </w:pPr>
          </w:p>
        </w:tc>
        <w:tc>
          <w:tcPr>
            <w:tcW w:w="1620" w:type="dxa"/>
            <w:vAlign w:val="bottom"/>
            <w:tcBorders>
              <w:bottom w:val="single" w:sz="8" w:color="007B51"/>
            </w:tcBorders>
          </w:tcPr>
          <w:p>
            <w:pPr>
              <w:spacing w:after="0"/>
              <w:rPr>
                <w:sz w:val="4"/>
                <w:szCs w:val="4"/>
                <w:color w:val="auto"/>
              </w:rPr>
            </w:pPr>
          </w:p>
        </w:tc>
      </w:tr>
      <w:tr>
        <w:trPr>
          <w:trHeight w:val="316"/>
        </w:trPr>
        <w:tc>
          <w:tcPr>
            <w:tcW w:w="3100" w:type="dxa"/>
            <w:vAlign w:val="bottom"/>
          </w:tcPr>
          <w:p>
            <w:pPr>
              <w:ind w:left="100"/>
              <w:spacing w:after="0"/>
              <w:rPr>
                <w:sz w:val="20"/>
                <w:szCs w:val="20"/>
                <w:color w:val="auto"/>
              </w:rPr>
            </w:pPr>
            <w:r>
              <w:rPr>
                <w:rFonts w:ascii="Arial" w:cs="Arial" w:eastAsia="Arial" w:hAnsi="Arial"/>
                <w:sz w:val="13"/>
                <w:szCs w:val="13"/>
                <w:b w:val="1"/>
                <w:bCs w:val="1"/>
                <w:color w:val="017B52"/>
              </w:rPr>
              <w:t>ROI Bonus Plan</w:t>
            </w:r>
          </w:p>
        </w:tc>
        <w:tc>
          <w:tcPr>
            <w:tcW w:w="1700" w:type="dxa"/>
            <w:vAlign w:val="bottom"/>
          </w:tcPr>
          <w:p>
            <w:pPr>
              <w:jc w:val="center"/>
              <w:ind w:left="200"/>
              <w:spacing w:after="0"/>
              <w:rPr>
                <w:sz w:val="20"/>
                <w:szCs w:val="20"/>
                <w:color w:val="auto"/>
              </w:rPr>
            </w:pPr>
            <w:r>
              <w:rPr>
                <w:rFonts w:ascii="Times New Roman" w:cs="Times New Roman" w:eastAsia="Times New Roman" w:hAnsi="Times New Roman"/>
                <w:sz w:val="22"/>
                <w:szCs w:val="22"/>
                <w:color w:val="auto"/>
                <w:w w:val="98"/>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1500" w:type="dxa"/>
            <w:vAlign w:val="bottom"/>
          </w:tcPr>
          <w:p>
            <w:pPr>
              <w:jc w:val="center"/>
              <w:ind w:left="14"/>
              <w:spacing w:after="0"/>
              <w:rPr>
                <w:sz w:val="20"/>
                <w:szCs w:val="20"/>
                <w:color w:val="auto"/>
              </w:rPr>
            </w:pPr>
            <w:r>
              <w:rPr>
                <w:rFonts w:ascii="Times New Roman" w:cs="Times New Roman" w:eastAsia="Times New Roman" w:hAnsi="Times New Roman"/>
                <w:sz w:val="22"/>
                <w:szCs w:val="22"/>
                <w:color w:val="auto"/>
                <w:w w:val="98"/>
              </w:rPr>
              <w:t>√</w:t>
            </w:r>
          </w:p>
        </w:tc>
        <w:tc>
          <w:tcPr>
            <w:tcW w:w="1620" w:type="dxa"/>
            <w:vAlign w:val="bottom"/>
          </w:tcPr>
          <w:p>
            <w:pPr>
              <w:jc w:val="center"/>
              <w:spacing w:after="0"/>
              <w:rPr>
                <w:sz w:val="20"/>
                <w:szCs w:val="20"/>
                <w:color w:val="auto"/>
              </w:rPr>
            </w:pPr>
            <w:r>
              <w:rPr>
                <w:rFonts w:ascii="Arial" w:cs="Arial" w:eastAsia="Arial" w:hAnsi="Arial"/>
                <w:sz w:val="13"/>
                <w:szCs w:val="13"/>
                <w:color w:val="58595B"/>
                <w:w w:val="98"/>
              </w:rPr>
              <w:t>Not Offered</w:t>
            </w:r>
          </w:p>
        </w:tc>
      </w:tr>
      <w:tr>
        <w:trPr>
          <w:trHeight w:val="55"/>
        </w:trPr>
        <w:tc>
          <w:tcPr>
            <w:tcW w:w="3100" w:type="dxa"/>
            <w:vAlign w:val="bottom"/>
            <w:tcBorders>
              <w:bottom w:val="single" w:sz="8" w:color="007B51"/>
            </w:tcBorders>
          </w:tcPr>
          <w:p>
            <w:pPr>
              <w:spacing w:after="0"/>
              <w:rPr>
                <w:sz w:val="4"/>
                <w:szCs w:val="4"/>
                <w:color w:val="auto"/>
              </w:rPr>
            </w:pPr>
          </w:p>
        </w:tc>
        <w:tc>
          <w:tcPr>
            <w:tcW w:w="1700" w:type="dxa"/>
            <w:vAlign w:val="bottom"/>
            <w:tcBorders>
              <w:bottom w:val="single" w:sz="8" w:color="007B51"/>
            </w:tcBorders>
          </w:tcPr>
          <w:p>
            <w:pPr>
              <w:spacing w:after="0"/>
              <w:rPr>
                <w:sz w:val="4"/>
                <w:szCs w:val="4"/>
                <w:color w:val="auto"/>
              </w:rPr>
            </w:pPr>
          </w:p>
        </w:tc>
        <w:tc>
          <w:tcPr>
            <w:tcW w:w="1800" w:type="dxa"/>
            <w:vAlign w:val="bottom"/>
            <w:tcBorders>
              <w:bottom w:val="single" w:sz="8" w:color="007B51"/>
            </w:tcBorders>
          </w:tcPr>
          <w:p>
            <w:pPr>
              <w:spacing w:after="0"/>
              <w:rPr>
                <w:sz w:val="4"/>
                <w:szCs w:val="4"/>
                <w:color w:val="auto"/>
              </w:rPr>
            </w:pPr>
          </w:p>
        </w:tc>
        <w:tc>
          <w:tcPr>
            <w:tcW w:w="1500" w:type="dxa"/>
            <w:vAlign w:val="bottom"/>
            <w:tcBorders>
              <w:bottom w:val="single" w:sz="8" w:color="007B51"/>
            </w:tcBorders>
          </w:tcPr>
          <w:p>
            <w:pPr>
              <w:spacing w:after="0"/>
              <w:rPr>
                <w:sz w:val="4"/>
                <w:szCs w:val="4"/>
                <w:color w:val="auto"/>
              </w:rPr>
            </w:pPr>
          </w:p>
        </w:tc>
        <w:tc>
          <w:tcPr>
            <w:tcW w:w="1620" w:type="dxa"/>
            <w:vAlign w:val="bottom"/>
            <w:tcBorders>
              <w:bottom w:val="single" w:sz="8" w:color="007B51"/>
            </w:tcBorders>
          </w:tcPr>
          <w:p>
            <w:pPr>
              <w:spacing w:after="0"/>
              <w:rPr>
                <w:sz w:val="4"/>
                <w:szCs w:val="4"/>
                <w:color w:val="auto"/>
              </w:rPr>
            </w:pPr>
          </w:p>
        </w:tc>
      </w:tr>
      <w:tr>
        <w:trPr>
          <w:trHeight w:val="316"/>
        </w:trPr>
        <w:tc>
          <w:tcPr>
            <w:tcW w:w="3100" w:type="dxa"/>
            <w:vAlign w:val="bottom"/>
          </w:tcPr>
          <w:p>
            <w:pPr>
              <w:ind w:left="100"/>
              <w:spacing w:after="0"/>
              <w:rPr>
                <w:sz w:val="20"/>
                <w:szCs w:val="20"/>
                <w:color w:val="auto"/>
              </w:rPr>
            </w:pPr>
            <w:r>
              <w:rPr>
                <w:rFonts w:ascii="Arial" w:cs="Arial" w:eastAsia="Arial" w:hAnsi="Arial"/>
                <w:sz w:val="13"/>
                <w:szCs w:val="13"/>
                <w:b w:val="1"/>
                <w:bCs w:val="1"/>
                <w:color w:val="017B52"/>
              </w:rPr>
              <w:t>Hourly ROI Bonus</w:t>
            </w:r>
          </w:p>
        </w:tc>
        <w:tc>
          <w:tcPr>
            <w:tcW w:w="1700" w:type="dxa"/>
            <w:vAlign w:val="bottom"/>
          </w:tcPr>
          <w:p>
            <w:pPr>
              <w:jc w:val="center"/>
              <w:ind w:left="200"/>
              <w:spacing w:after="0"/>
              <w:rPr>
                <w:sz w:val="20"/>
                <w:szCs w:val="20"/>
                <w:color w:val="auto"/>
              </w:rPr>
            </w:pPr>
            <w:r>
              <w:rPr>
                <w:rFonts w:ascii="Arial" w:cs="Arial" w:eastAsia="Arial" w:hAnsi="Arial"/>
                <w:sz w:val="13"/>
                <w:szCs w:val="13"/>
                <w:color w:val="58595B"/>
                <w:w w:val="95"/>
              </w:rPr>
              <w:t>Not Offered</w:t>
            </w:r>
          </w:p>
        </w:tc>
        <w:tc>
          <w:tcPr>
            <w:tcW w:w="1800" w:type="dxa"/>
            <w:vAlign w:val="bottom"/>
          </w:tcPr>
          <w:p>
            <w:pPr>
              <w:jc w:val="center"/>
              <w:ind w:left="4"/>
              <w:spacing w:after="0"/>
              <w:rPr>
                <w:sz w:val="20"/>
                <w:szCs w:val="20"/>
                <w:color w:val="auto"/>
              </w:rPr>
            </w:pPr>
            <w:r>
              <w:rPr>
                <w:rFonts w:ascii="Arial" w:cs="Arial" w:eastAsia="Arial" w:hAnsi="Arial"/>
                <w:sz w:val="13"/>
                <w:szCs w:val="13"/>
                <w:color w:val="58595B"/>
                <w:w w:val="98"/>
              </w:rPr>
              <w:t>Not Offered</w:t>
            </w:r>
          </w:p>
        </w:tc>
        <w:tc>
          <w:tcPr>
            <w:tcW w:w="1500" w:type="dxa"/>
            <w:vAlign w:val="bottom"/>
          </w:tcPr>
          <w:p>
            <w:pPr>
              <w:jc w:val="center"/>
              <w:ind w:left="14"/>
              <w:spacing w:after="0"/>
              <w:rPr>
                <w:sz w:val="20"/>
                <w:szCs w:val="20"/>
                <w:color w:val="auto"/>
              </w:rPr>
            </w:pPr>
            <w:r>
              <w:rPr>
                <w:rFonts w:ascii="Arial" w:cs="Arial" w:eastAsia="Arial" w:hAnsi="Arial"/>
                <w:sz w:val="13"/>
                <w:szCs w:val="13"/>
                <w:color w:val="58595B"/>
                <w:w w:val="95"/>
              </w:rPr>
              <w:t>Not Offered</w:t>
            </w:r>
          </w:p>
        </w:tc>
        <w:tc>
          <w:tcPr>
            <w:tcW w:w="1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56"/>
        </w:trPr>
        <w:tc>
          <w:tcPr>
            <w:tcW w:w="3100" w:type="dxa"/>
            <w:vAlign w:val="bottom"/>
            <w:tcBorders>
              <w:bottom w:val="single" w:sz="8" w:color="007B51"/>
            </w:tcBorders>
          </w:tcPr>
          <w:p>
            <w:pPr>
              <w:spacing w:after="0"/>
              <w:rPr>
                <w:sz w:val="4"/>
                <w:szCs w:val="4"/>
                <w:color w:val="auto"/>
              </w:rPr>
            </w:pPr>
          </w:p>
        </w:tc>
        <w:tc>
          <w:tcPr>
            <w:tcW w:w="1700" w:type="dxa"/>
            <w:vAlign w:val="bottom"/>
            <w:tcBorders>
              <w:bottom w:val="single" w:sz="8" w:color="007B51"/>
            </w:tcBorders>
          </w:tcPr>
          <w:p>
            <w:pPr>
              <w:spacing w:after="0"/>
              <w:rPr>
                <w:sz w:val="4"/>
                <w:szCs w:val="4"/>
                <w:color w:val="auto"/>
              </w:rPr>
            </w:pPr>
          </w:p>
        </w:tc>
        <w:tc>
          <w:tcPr>
            <w:tcW w:w="1800" w:type="dxa"/>
            <w:vAlign w:val="bottom"/>
            <w:tcBorders>
              <w:bottom w:val="single" w:sz="8" w:color="007B51"/>
            </w:tcBorders>
          </w:tcPr>
          <w:p>
            <w:pPr>
              <w:spacing w:after="0"/>
              <w:rPr>
                <w:sz w:val="4"/>
                <w:szCs w:val="4"/>
                <w:color w:val="auto"/>
              </w:rPr>
            </w:pPr>
          </w:p>
        </w:tc>
        <w:tc>
          <w:tcPr>
            <w:tcW w:w="1500" w:type="dxa"/>
            <w:vAlign w:val="bottom"/>
            <w:tcBorders>
              <w:bottom w:val="single" w:sz="8" w:color="007B51"/>
            </w:tcBorders>
          </w:tcPr>
          <w:p>
            <w:pPr>
              <w:spacing w:after="0"/>
              <w:rPr>
                <w:sz w:val="4"/>
                <w:szCs w:val="4"/>
                <w:color w:val="auto"/>
              </w:rPr>
            </w:pPr>
          </w:p>
        </w:tc>
        <w:tc>
          <w:tcPr>
            <w:tcW w:w="1620" w:type="dxa"/>
            <w:vAlign w:val="bottom"/>
            <w:tcBorders>
              <w:bottom w:val="single" w:sz="8" w:color="007B51"/>
            </w:tcBorders>
          </w:tcPr>
          <w:p>
            <w:pPr>
              <w:spacing w:after="0"/>
              <w:rPr>
                <w:sz w:val="4"/>
                <w:szCs w:val="4"/>
                <w:color w:val="auto"/>
              </w:rPr>
            </w:pPr>
          </w:p>
        </w:tc>
      </w:tr>
      <w:tr>
        <w:trPr>
          <w:trHeight w:val="316"/>
        </w:trPr>
        <w:tc>
          <w:tcPr>
            <w:tcW w:w="3100" w:type="dxa"/>
            <w:vAlign w:val="bottom"/>
          </w:tcPr>
          <w:p>
            <w:pPr>
              <w:ind w:left="100"/>
              <w:spacing w:after="0"/>
              <w:rPr>
                <w:sz w:val="20"/>
                <w:szCs w:val="20"/>
                <w:color w:val="auto"/>
              </w:rPr>
            </w:pPr>
            <w:r>
              <w:rPr>
                <w:rFonts w:ascii="Arial" w:cs="Arial" w:eastAsia="Arial" w:hAnsi="Arial"/>
                <w:sz w:val="13"/>
                <w:szCs w:val="13"/>
                <w:b w:val="1"/>
                <w:bCs w:val="1"/>
                <w:color w:val="017B52"/>
              </w:rPr>
              <w:t>Equity Incentive Plans</w:t>
            </w:r>
          </w:p>
        </w:tc>
        <w:tc>
          <w:tcPr>
            <w:tcW w:w="1700" w:type="dxa"/>
            <w:vAlign w:val="bottom"/>
          </w:tcPr>
          <w:p>
            <w:pPr>
              <w:jc w:val="center"/>
              <w:ind w:left="200"/>
              <w:spacing w:after="0"/>
              <w:rPr>
                <w:sz w:val="20"/>
                <w:szCs w:val="20"/>
                <w:color w:val="auto"/>
              </w:rPr>
            </w:pPr>
            <w:r>
              <w:rPr>
                <w:rFonts w:ascii="Times New Roman" w:cs="Times New Roman" w:eastAsia="Times New Roman" w:hAnsi="Times New Roman"/>
                <w:sz w:val="22"/>
                <w:szCs w:val="22"/>
                <w:color w:val="auto"/>
                <w:w w:val="98"/>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1500" w:type="dxa"/>
            <w:vAlign w:val="bottom"/>
          </w:tcPr>
          <w:p>
            <w:pPr>
              <w:jc w:val="center"/>
              <w:ind w:left="14"/>
              <w:spacing w:after="0"/>
              <w:rPr>
                <w:sz w:val="20"/>
                <w:szCs w:val="20"/>
                <w:color w:val="auto"/>
              </w:rPr>
            </w:pPr>
            <w:r>
              <w:rPr>
                <w:rFonts w:ascii="Times New Roman" w:cs="Times New Roman" w:eastAsia="Times New Roman" w:hAnsi="Times New Roman"/>
                <w:sz w:val="22"/>
                <w:szCs w:val="22"/>
                <w:color w:val="auto"/>
                <w:w w:val="98"/>
              </w:rPr>
              <w:t>√</w:t>
            </w:r>
          </w:p>
        </w:tc>
        <w:tc>
          <w:tcPr>
            <w:tcW w:w="1620" w:type="dxa"/>
            <w:vAlign w:val="bottom"/>
          </w:tcPr>
          <w:p>
            <w:pPr>
              <w:jc w:val="center"/>
              <w:spacing w:after="0"/>
              <w:rPr>
                <w:sz w:val="20"/>
                <w:szCs w:val="20"/>
                <w:color w:val="auto"/>
              </w:rPr>
            </w:pPr>
            <w:r>
              <w:rPr>
                <w:rFonts w:ascii="Arial" w:cs="Arial" w:eastAsia="Arial" w:hAnsi="Arial"/>
                <w:sz w:val="13"/>
                <w:szCs w:val="13"/>
                <w:color w:val="58595B"/>
                <w:w w:val="98"/>
              </w:rPr>
              <w:t>Not Offered</w:t>
            </w:r>
          </w:p>
        </w:tc>
      </w:tr>
      <w:tr>
        <w:trPr>
          <w:trHeight w:val="56"/>
        </w:trPr>
        <w:tc>
          <w:tcPr>
            <w:tcW w:w="3100" w:type="dxa"/>
            <w:vAlign w:val="bottom"/>
            <w:tcBorders>
              <w:bottom w:val="single" w:sz="8" w:color="007B51"/>
            </w:tcBorders>
          </w:tcPr>
          <w:p>
            <w:pPr>
              <w:spacing w:after="0"/>
              <w:rPr>
                <w:sz w:val="4"/>
                <w:szCs w:val="4"/>
                <w:color w:val="auto"/>
              </w:rPr>
            </w:pPr>
          </w:p>
        </w:tc>
        <w:tc>
          <w:tcPr>
            <w:tcW w:w="1700" w:type="dxa"/>
            <w:vAlign w:val="bottom"/>
            <w:tcBorders>
              <w:bottom w:val="single" w:sz="8" w:color="007B51"/>
            </w:tcBorders>
          </w:tcPr>
          <w:p>
            <w:pPr>
              <w:spacing w:after="0"/>
              <w:rPr>
                <w:sz w:val="4"/>
                <w:szCs w:val="4"/>
                <w:color w:val="auto"/>
              </w:rPr>
            </w:pPr>
          </w:p>
        </w:tc>
        <w:tc>
          <w:tcPr>
            <w:tcW w:w="1800" w:type="dxa"/>
            <w:vAlign w:val="bottom"/>
            <w:tcBorders>
              <w:bottom w:val="single" w:sz="8" w:color="007B51"/>
            </w:tcBorders>
          </w:tcPr>
          <w:p>
            <w:pPr>
              <w:spacing w:after="0"/>
              <w:rPr>
                <w:sz w:val="4"/>
                <w:szCs w:val="4"/>
                <w:color w:val="auto"/>
              </w:rPr>
            </w:pPr>
          </w:p>
        </w:tc>
        <w:tc>
          <w:tcPr>
            <w:tcW w:w="1500" w:type="dxa"/>
            <w:vAlign w:val="bottom"/>
            <w:tcBorders>
              <w:bottom w:val="single" w:sz="8" w:color="007B51"/>
            </w:tcBorders>
          </w:tcPr>
          <w:p>
            <w:pPr>
              <w:spacing w:after="0"/>
              <w:rPr>
                <w:sz w:val="4"/>
                <w:szCs w:val="4"/>
                <w:color w:val="auto"/>
              </w:rPr>
            </w:pPr>
          </w:p>
        </w:tc>
        <w:tc>
          <w:tcPr>
            <w:tcW w:w="1620" w:type="dxa"/>
            <w:vAlign w:val="bottom"/>
            <w:tcBorders>
              <w:bottom w:val="single" w:sz="8" w:color="007B51"/>
            </w:tcBorders>
          </w:tcPr>
          <w:p>
            <w:pPr>
              <w:spacing w:after="0"/>
              <w:rPr>
                <w:sz w:val="4"/>
                <w:szCs w:val="4"/>
                <w:color w:val="auto"/>
              </w:rPr>
            </w:pPr>
          </w:p>
        </w:tc>
      </w:tr>
      <w:tr>
        <w:trPr>
          <w:trHeight w:val="316"/>
        </w:trPr>
        <w:tc>
          <w:tcPr>
            <w:tcW w:w="3100" w:type="dxa"/>
            <w:vAlign w:val="bottom"/>
          </w:tcPr>
          <w:p>
            <w:pPr>
              <w:ind w:left="100"/>
              <w:spacing w:after="0"/>
              <w:rPr>
                <w:sz w:val="20"/>
                <w:szCs w:val="20"/>
                <w:color w:val="auto"/>
              </w:rPr>
            </w:pPr>
            <w:r>
              <w:rPr>
                <w:rFonts w:ascii="Arial" w:cs="Arial" w:eastAsia="Arial" w:hAnsi="Arial"/>
                <w:sz w:val="13"/>
                <w:szCs w:val="13"/>
                <w:b w:val="1"/>
                <w:bCs w:val="1"/>
                <w:color w:val="017B52"/>
              </w:rPr>
              <w:t>Change in Control and Severance Plan</w:t>
            </w:r>
          </w:p>
        </w:tc>
        <w:tc>
          <w:tcPr>
            <w:tcW w:w="1700" w:type="dxa"/>
            <w:vAlign w:val="bottom"/>
          </w:tcPr>
          <w:p>
            <w:pPr>
              <w:jc w:val="center"/>
              <w:ind w:left="200"/>
              <w:spacing w:after="0"/>
              <w:rPr>
                <w:sz w:val="20"/>
                <w:szCs w:val="20"/>
                <w:color w:val="auto"/>
              </w:rPr>
            </w:pPr>
            <w:r>
              <w:rPr>
                <w:rFonts w:ascii="Times New Roman" w:cs="Times New Roman" w:eastAsia="Times New Roman" w:hAnsi="Times New Roman"/>
                <w:sz w:val="22"/>
                <w:szCs w:val="22"/>
                <w:color w:val="auto"/>
                <w:w w:val="98"/>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1500" w:type="dxa"/>
            <w:vAlign w:val="bottom"/>
          </w:tcPr>
          <w:p>
            <w:pPr>
              <w:jc w:val="center"/>
              <w:ind w:left="14"/>
              <w:spacing w:after="0"/>
              <w:rPr>
                <w:sz w:val="20"/>
                <w:szCs w:val="20"/>
                <w:color w:val="auto"/>
              </w:rPr>
            </w:pPr>
            <w:r>
              <w:rPr>
                <w:rFonts w:ascii="Arial" w:cs="Arial" w:eastAsia="Arial" w:hAnsi="Arial"/>
                <w:sz w:val="13"/>
                <w:szCs w:val="13"/>
                <w:color w:val="58595B"/>
                <w:w w:val="95"/>
              </w:rPr>
              <w:t>Not Offered</w:t>
            </w:r>
          </w:p>
        </w:tc>
        <w:tc>
          <w:tcPr>
            <w:tcW w:w="1620" w:type="dxa"/>
            <w:vAlign w:val="bottom"/>
          </w:tcPr>
          <w:p>
            <w:pPr>
              <w:jc w:val="center"/>
              <w:spacing w:after="0"/>
              <w:rPr>
                <w:sz w:val="20"/>
                <w:szCs w:val="20"/>
                <w:color w:val="auto"/>
              </w:rPr>
            </w:pPr>
            <w:r>
              <w:rPr>
                <w:rFonts w:ascii="Arial" w:cs="Arial" w:eastAsia="Arial" w:hAnsi="Arial"/>
                <w:sz w:val="13"/>
                <w:szCs w:val="13"/>
                <w:color w:val="58595B"/>
                <w:w w:val="98"/>
              </w:rPr>
              <w:t>Not Offered</w:t>
            </w:r>
          </w:p>
        </w:tc>
      </w:tr>
      <w:tr>
        <w:trPr>
          <w:trHeight w:val="56"/>
        </w:trPr>
        <w:tc>
          <w:tcPr>
            <w:tcW w:w="3100" w:type="dxa"/>
            <w:vAlign w:val="bottom"/>
            <w:tcBorders>
              <w:bottom w:val="single" w:sz="8" w:color="007B51"/>
            </w:tcBorders>
          </w:tcPr>
          <w:p>
            <w:pPr>
              <w:spacing w:after="0"/>
              <w:rPr>
                <w:sz w:val="4"/>
                <w:szCs w:val="4"/>
                <w:color w:val="auto"/>
              </w:rPr>
            </w:pPr>
          </w:p>
        </w:tc>
        <w:tc>
          <w:tcPr>
            <w:tcW w:w="1700" w:type="dxa"/>
            <w:vAlign w:val="bottom"/>
            <w:tcBorders>
              <w:bottom w:val="single" w:sz="8" w:color="007B51"/>
            </w:tcBorders>
          </w:tcPr>
          <w:p>
            <w:pPr>
              <w:spacing w:after="0"/>
              <w:rPr>
                <w:sz w:val="4"/>
                <w:szCs w:val="4"/>
                <w:color w:val="auto"/>
              </w:rPr>
            </w:pPr>
          </w:p>
        </w:tc>
        <w:tc>
          <w:tcPr>
            <w:tcW w:w="1800" w:type="dxa"/>
            <w:vAlign w:val="bottom"/>
            <w:tcBorders>
              <w:bottom w:val="single" w:sz="8" w:color="007B51"/>
            </w:tcBorders>
          </w:tcPr>
          <w:p>
            <w:pPr>
              <w:spacing w:after="0"/>
              <w:rPr>
                <w:sz w:val="4"/>
                <w:szCs w:val="4"/>
                <w:color w:val="auto"/>
              </w:rPr>
            </w:pPr>
          </w:p>
        </w:tc>
        <w:tc>
          <w:tcPr>
            <w:tcW w:w="1500" w:type="dxa"/>
            <w:vAlign w:val="bottom"/>
            <w:tcBorders>
              <w:bottom w:val="single" w:sz="8" w:color="007B51"/>
            </w:tcBorders>
          </w:tcPr>
          <w:p>
            <w:pPr>
              <w:spacing w:after="0"/>
              <w:rPr>
                <w:sz w:val="4"/>
                <w:szCs w:val="4"/>
                <w:color w:val="auto"/>
              </w:rPr>
            </w:pPr>
          </w:p>
        </w:tc>
        <w:tc>
          <w:tcPr>
            <w:tcW w:w="1620" w:type="dxa"/>
            <w:vAlign w:val="bottom"/>
            <w:tcBorders>
              <w:bottom w:val="single" w:sz="8" w:color="007B51"/>
            </w:tcBorders>
          </w:tcPr>
          <w:p>
            <w:pPr>
              <w:spacing w:after="0"/>
              <w:rPr>
                <w:sz w:val="4"/>
                <w:szCs w:val="4"/>
                <w:color w:val="auto"/>
              </w:rPr>
            </w:pPr>
          </w:p>
        </w:tc>
      </w:tr>
      <w:tr>
        <w:trPr>
          <w:trHeight w:val="316"/>
        </w:trPr>
        <w:tc>
          <w:tcPr>
            <w:tcW w:w="3100" w:type="dxa"/>
            <w:vAlign w:val="bottom"/>
          </w:tcPr>
          <w:p>
            <w:pPr>
              <w:ind w:left="100"/>
              <w:spacing w:after="0"/>
              <w:rPr>
                <w:sz w:val="20"/>
                <w:szCs w:val="20"/>
                <w:color w:val="auto"/>
              </w:rPr>
            </w:pPr>
            <w:r>
              <w:rPr>
                <w:rFonts w:ascii="Arial" w:cs="Arial" w:eastAsia="Arial" w:hAnsi="Arial"/>
                <w:sz w:val="13"/>
                <w:szCs w:val="13"/>
                <w:b w:val="1"/>
                <w:bCs w:val="1"/>
                <w:color w:val="017B52"/>
              </w:rPr>
              <w:t>Deferred Compensation Plan</w:t>
            </w:r>
          </w:p>
        </w:tc>
        <w:tc>
          <w:tcPr>
            <w:tcW w:w="1700" w:type="dxa"/>
            <w:vAlign w:val="bottom"/>
          </w:tcPr>
          <w:p>
            <w:pPr>
              <w:jc w:val="center"/>
              <w:ind w:left="200"/>
              <w:spacing w:after="0"/>
              <w:rPr>
                <w:sz w:val="20"/>
                <w:szCs w:val="20"/>
                <w:color w:val="auto"/>
              </w:rPr>
            </w:pPr>
            <w:r>
              <w:rPr>
                <w:rFonts w:ascii="Times New Roman" w:cs="Times New Roman" w:eastAsia="Times New Roman" w:hAnsi="Times New Roman"/>
                <w:sz w:val="22"/>
                <w:szCs w:val="22"/>
                <w:color w:val="auto"/>
                <w:w w:val="98"/>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1500" w:type="dxa"/>
            <w:vAlign w:val="bottom"/>
          </w:tcPr>
          <w:p>
            <w:pPr>
              <w:jc w:val="center"/>
              <w:ind w:left="14"/>
              <w:spacing w:after="0"/>
              <w:rPr>
                <w:sz w:val="20"/>
                <w:szCs w:val="20"/>
                <w:color w:val="auto"/>
              </w:rPr>
            </w:pPr>
            <w:r>
              <w:rPr>
                <w:rFonts w:ascii="Arial" w:cs="Arial" w:eastAsia="Arial" w:hAnsi="Arial"/>
                <w:sz w:val="13"/>
                <w:szCs w:val="13"/>
                <w:color w:val="58595B"/>
                <w:w w:val="95"/>
              </w:rPr>
              <w:t>Not Offered</w:t>
            </w:r>
          </w:p>
        </w:tc>
        <w:tc>
          <w:tcPr>
            <w:tcW w:w="1620" w:type="dxa"/>
            <w:vAlign w:val="bottom"/>
          </w:tcPr>
          <w:p>
            <w:pPr>
              <w:jc w:val="center"/>
              <w:spacing w:after="0"/>
              <w:rPr>
                <w:sz w:val="20"/>
                <w:szCs w:val="20"/>
                <w:color w:val="auto"/>
              </w:rPr>
            </w:pPr>
            <w:r>
              <w:rPr>
                <w:rFonts w:ascii="Arial" w:cs="Arial" w:eastAsia="Arial" w:hAnsi="Arial"/>
                <w:sz w:val="13"/>
                <w:szCs w:val="13"/>
                <w:color w:val="58595B"/>
                <w:w w:val="98"/>
              </w:rPr>
              <w:t>Not Offered</w:t>
            </w:r>
          </w:p>
        </w:tc>
      </w:tr>
      <w:tr>
        <w:trPr>
          <w:trHeight w:val="55"/>
        </w:trPr>
        <w:tc>
          <w:tcPr>
            <w:tcW w:w="3100" w:type="dxa"/>
            <w:vAlign w:val="bottom"/>
            <w:tcBorders>
              <w:bottom w:val="single" w:sz="8" w:color="007B51"/>
            </w:tcBorders>
          </w:tcPr>
          <w:p>
            <w:pPr>
              <w:spacing w:after="0"/>
              <w:rPr>
                <w:sz w:val="4"/>
                <w:szCs w:val="4"/>
                <w:color w:val="auto"/>
              </w:rPr>
            </w:pPr>
          </w:p>
        </w:tc>
        <w:tc>
          <w:tcPr>
            <w:tcW w:w="1700" w:type="dxa"/>
            <w:vAlign w:val="bottom"/>
            <w:tcBorders>
              <w:bottom w:val="single" w:sz="8" w:color="007B51"/>
            </w:tcBorders>
          </w:tcPr>
          <w:p>
            <w:pPr>
              <w:spacing w:after="0"/>
              <w:rPr>
                <w:sz w:val="4"/>
                <w:szCs w:val="4"/>
                <w:color w:val="auto"/>
              </w:rPr>
            </w:pPr>
          </w:p>
        </w:tc>
        <w:tc>
          <w:tcPr>
            <w:tcW w:w="1800" w:type="dxa"/>
            <w:vAlign w:val="bottom"/>
            <w:tcBorders>
              <w:bottom w:val="single" w:sz="8" w:color="007B51"/>
            </w:tcBorders>
          </w:tcPr>
          <w:p>
            <w:pPr>
              <w:spacing w:after="0"/>
              <w:rPr>
                <w:sz w:val="4"/>
                <w:szCs w:val="4"/>
                <w:color w:val="auto"/>
              </w:rPr>
            </w:pPr>
          </w:p>
        </w:tc>
        <w:tc>
          <w:tcPr>
            <w:tcW w:w="1500" w:type="dxa"/>
            <w:vAlign w:val="bottom"/>
            <w:tcBorders>
              <w:bottom w:val="single" w:sz="8" w:color="007B51"/>
            </w:tcBorders>
          </w:tcPr>
          <w:p>
            <w:pPr>
              <w:spacing w:after="0"/>
              <w:rPr>
                <w:sz w:val="4"/>
                <w:szCs w:val="4"/>
                <w:color w:val="auto"/>
              </w:rPr>
            </w:pPr>
          </w:p>
        </w:tc>
        <w:tc>
          <w:tcPr>
            <w:tcW w:w="1620" w:type="dxa"/>
            <w:vAlign w:val="bottom"/>
            <w:tcBorders>
              <w:bottom w:val="single" w:sz="8" w:color="007B51"/>
            </w:tcBorders>
          </w:tcPr>
          <w:p>
            <w:pPr>
              <w:spacing w:after="0"/>
              <w:rPr>
                <w:sz w:val="4"/>
                <w:szCs w:val="4"/>
                <w:color w:val="auto"/>
              </w:rPr>
            </w:pPr>
          </w:p>
        </w:tc>
      </w:tr>
      <w:tr>
        <w:trPr>
          <w:trHeight w:val="316"/>
        </w:trPr>
        <w:tc>
          <w:tcPr>
            <w:tcW w:w="3100" w:type="dxa"/>
            <w:vAlign w:val="bottom"/>
          </w:tcPr>
          <w:p>
            <w:pPr>
              <w:ind w:left="100"/>
              <w:spacing w:after="0"/>
              <w:rPr>
                <w:sz w:val="20"/>
                <w:szCs w:val="20"/>
                <w:color w:val="auto"/>
              </w:rPr>
            </w:pPr>
            <w:r>
              <w:rPr>
                <w:rFonts w:ascii="Arial" w:cs="Arial" w:eastAsia="Arial" w:hAnsi="Arial"/>
                <w:sz w:val="13"/>
                <w:szCs w:val="13"/>
                <w:b w:val="1"/>
                <w:bCs w:val="1"/>
                <w:color w:val="017B52"/>
              </w:rPr>
              <w:t>Executive Retirement Plan</w:t>
            </w:r>
          </w:p>
        </w:tc>
        <w:tc>
          <w:tcPr>
            <w:tcW w:w="1700" w:type="dxa"/>
            <w:vAlign w:val="bottom"/>
          </w:tcPr>
          <w:p>
            <w:pPr>
              <w:jc w:val="center"/>
              <w:ind w:left="200"/>
              <w:spacing w:after="0"/>
              <w:rPr>
                <w:sz w:val="20"/>
                <w:szCs w:val="20"/>
                <w:color w:val="auto"/>
              </w:rPr>
            </w:pPr>
            <w:r>
              <w:rPr>
                <w:rFonts w:ascii="Times New Roman" w:cs="Times New Roman" w:eastAsia="Times New Roman" w:hAnsi="Times New Roman"/>
                <w:sz w:val="22"/>
                <w:szCs w:val="22"/>
                <w:color w:val="auto"/>
                <w:w w:val="98"/>
              </w:rPr>
              <w:t>√</w:t>
            </w:r>
          </w:p>
        </w:tc>
        <w:tc>
          <w:tcPr>
            <w:tcW w:w="1800" w:type="dxa"/>
            <w:vAlign w:val="bottom"/>
          </w:tcPr>
          <w:p>
            <w:pPr>
              <w:jc w:val="center"/>
              <w:ind w:left="4"/>
              <w:spacing w:after="0"/>
              <w:rPr>
                <w:sz w:val="20"/>
                <w:szCs w:val="20"/>
                <w:color w:val="auto"/>
              </w:rPr>
            </w:pPr>
            <w:r>
              <w:rPr>
                <w:rFonts w:ascii="Arial" w:cs="Arial" w:eastAsia="Arial" w:hAnsi="Arial"/>
                <w:sz w:val="13"/>
                <w:szCs w:val="13"/>
                <w:color w:val="58595B"/>
                <w:w w:val="98"/>
              </w:rPr>
              <w:t>Not Offered</w:t>
            </w:r>
          </w:p>
        </w:tc>
        <w:tc>
          <w:tcPr>
            <w:tcW w:w="1500" w:type="dxa"/>
            <w:vAlign w:val="bottom"/>
          </w:tcPr>
          <w:p>
            <w:pPr>
              <w:jc w:val="center"/>
              <w:ind w:left="14"/>
              <w:spacing w:after="0"/>
              <w:rPr>
                <w:sz w:val="20"/>
                <w:szCs w:val="20"/>
                <w:color w:val="auto"/>
              </w:rPr>
            </w:pPr>
            <w:r>
              <w:rPr>
                <w:rFonts w:ascii="Arial" w:cs="Arial" w:eastAsia="Arial" w:hAnsi="Arial"/>
                <w:sz w:val="13"/>
                <w:szCs w:val="13"/>
                <w:color w:val="58595B"/>
                <w:w w:val="95"/>
              </w:rPr>
              <w:t>Not Offered</w:t>
            </w:r>
          </w:p>
        </w:tc>
        <w:tc>
          <w:tcPr>
            <w:tcW w:w="1620" w:type="dxa"/>
            <w:vAlign w:val="bottom"/>
          </w:tcPr>
          <w:p>
            <w:pPr>
              <w:jc w:val="center"/>
              <w:spacing w:after="0"/>
              <w:rPr>
                <w:sz w:val="20"/>
                <w:szCs w:val="20"/>
                <w:color w:val="auto"/>
              </w:rPr>
            </w:pPr>
            <w:r>
              <w:rPr>
                <w:rFonts w:ascii="Arial" w:cs="Arial" w:eastAsia="Arial" w:hAnsi="Arial"/>
                <w:sz w:val="13"/>
                <w:szCs w:val="13"/>
                <w:color w:val="58595B"/>
                <w:w w:val="98"/>
              </w:rPr>
              <w:t>Not Offered</w:t>
            </w:r>
          </w:p>
        </w:tc>
      </w:tr>
      <w:tr>
        <w:trPr>
          <w:trHeight w:val="56"/>
        </w:trPr>
        <w:tc>
          <w:tcPr>
            <w:tcW w:w="3100" w:type="dxa"/>
            <w:vAlign w:val="bottom"/>
            <w:tcBorders>
              <w:bottom w:val="single" w:sz="8" w:color="007B51"/>
            </w:tcBorders>
          </w:tcPr>
          <w:p>
            <w:pPr>
              <w:spacing w:after="0"/>
              <w:rPr>
                <w:sz w:val="4"/>
                <w:szCs w:val="4"/>
                <w:color w:val="auto"/>
              </w:rPr>
            </w:pPr>
          </w:p>
        </w:tc>
        <w:tc>
          <w:tcPr>
            <w:tcW w:w="1700" w:type="dxa"/>
            <w:vAlign w:val="bottom"/>
            <w:tcBorders>
              <w:bottom w:val="single" w:sz="8" w:color="007B51"/>
            </w:tcBorders>
          </w:tcPr>
          <w:p>
            <w:pPr>
              <w:spacing w:after="0"/>
              <w:rPr>
                <w:sz w:val="4"/>
                <w:szCs w:val="4"/>
                <w:color w:val="auto"/>
              </w:rPr>
            </w:pPr>
          </w:p>
        </w:tc>
        <w:tc>
          <w:tcPr>
            <w:tcW w:w="1800" w:type="dxa"/>
            <w:vAlign w:val="bottom"/>
            <w:tcBorders>
              <w:bottom w:val="single" w:sz="8" w:color="007B51"/>
            </w:tcBorders>
          </w:tcPr>
          <w:p>
            <w:pPr>
              <w:spacing w:after="0"/>
              <w:rPr>
                <w:sz w:val="4"/>
                <w:szCs w:val="4"/>
                <w:color w:val="auto"/>
              </w:rPr>
            </w:pPr>
          </w:p>
        </w:tc>
        <w:tc>
          <w:tcPr>
            <w:tcW w:w="1500" w:type="dxa"/>
            <w:vAlign w:val="bottom"/>
            <w:tcBorders>
              <w:bottom w:val="single" w:sz="8" w:color="007B51"/>
            </w:tcBorders>
          </w:tcPr>
          <w:p>
            <w:pPr>
              <w:spacing w:after="0"/>
              <w:rPr>
                <w:sz w:val="4"/>
                <w:szCs w:val="4"/>
                <w:color w:val="auto"/>
              </w:rPr>
            </w:pPr>
          </w:p>
        </w:tc>
        <w:tc>
          <w:tcPr>
            <w:tcW w:w="1620" w:type="dxa"/>
            <w:vAlign w:val="bottom"/>
            <w:tcBorders>
              <w:bottom w:val="single" w:sz="8" w:color="007B51"/>
            </w:tcBorders>
          </w:tcPr>
          <w:p>
            <w:pPr>
              <w:spacing w:after="0"/>
              <w:rPr>
                <w:sz w:val="4"/>
                <w:szCs w:val="4"/>
                <w:color w:val="auto"/>
              </w:rPr>
            </w:pPr>
          </w:p>
        </w:tc>
      </w:tr>
      <w:tr>
        <w:trPr>
          <w:trHeight w:val="316"/>
        </w:trPr>
        <w:tc>
          <w:tcPr>
            <w:tcW w:w="3100" w:type="dxa"/>
            <w:vAlign w:val="bottom"/>
          </w:tcPr>
          <w:p>
            <w:pPr>
              <w:ind w:left="100"/>
              <w:spacing w:after="0"/>
              <w:rPr>
                <w:sz w:val="20"/>
                <w:szCs w:val="20"/>
                <w:color w:val="auto"/>
              </w:rPr>
            </w:pPr>
            <w:r>
              <w:rPr>
                <w:rFonts w:ascii="Arial" w:cs="Arial" w:eastAsia="Arial" w:hAnsi="Arial"/>
                <w:sz w:val="13"/>
                <w:szCs w:val="13"/>
                <w:b w:val="1"/>
                <w:bCs w:val="1"/>
                <w:color w:val="017B52"/>
              </w:rPr>
              <w:t>Holiday Gifts Not Exceeding $1,500</w:t>
            </w:r>
          </w:p>
        </w:tc>
        <w:tc>
          <w:tcPr>
            <w:tcW w:w="1700" w:type="dxa"/>
            <w:vAlign w:val="bottom"/>
          </w:tcPr>
          <w:p>
            <w:pPr>
              <w:jc w:val="center"/>
              <w:ind w:left="200"/>
              <w:spacing w:after="0"/>
              <w:rPr>
                <w:sz w:val="20"/>
                <w:szCs w:val="20"/>
                <w:color w:val="auto"/>
              </w:rPr>
            </w:pPr>
            <w:r>
              <w:rPr>
                <w:rFonts w:ascii="Times New Roman" w:cs="Times New Roman" w:eastAsia="Times New Roman" w:hAnsi="Times New Roman"/>
                <w:sz w:val="22"/>
                <w:szCs w:val="22"/>
                <w:color w:val="auto"/>
                <w:w w:val="98"/>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1500" w:type="dxa"/>
            <w:vAlign w:val="bottom"/>
          </w:tcPr>
          <w:p>
            <w:pPr>
              <w:jc w:val="center"/>
              <w:ind w:left="14"/>
              <w:spacing w:after="0"/>
              <w:rPr>
                <w:sz w:val="20"/>
                <w:szCs w:val="20"/>
                <w:color w:val="auto"/>
              </w:rPr>
            </w:pPr>
            <w:r>
              <w:rPr>
                <w:rFonts w:ascii="Times New Roman" w:cs="Times New Roman" w:eastAsia="Times New Roman" w:hAnsi="Times New Roman"/>
                <w:sz w:val="22"/>
                <w:szCs w:val="22"/>
                <w:color w:val="auto"/>
                <w:w w:val="98"/>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56"/>
        </w:trPr>
        <w:tc>
          <w:tcPr>
            <w:tcW w:w="3100" w:type="dxa"/>
            <w:vAlign w:val="bottom"/>
            <w:tcBorders>
              <w:bottom w:val="single" w:sz="8" w:color="007B51"/>
            </w:tcBorders>
          </w:tcPr>
          <w:p>
            <w:pPr>
              <w:spacing w:after="0"/>
              <w:rPr>
                <w:sz w:val="4"/>
                <w:szCs w:val="4"/>
                <w:color w:val="auto"/>
              </w:rPr>
            </w:pPr>
          </w:p>
        </w:tc>
        <w:tc>
          <w:tcPr>
            <w:tcW w:w="1700" w:type="dxa"/>
            <w:vAlign w:val="bottom"/>
            <w:tcBorders>
              <w:bottom w:val="single" w:sz="8" w:color="007B51"/>
            </w:tcBorders>
          </w:tcPr>
          <w:p>
            <w:pPr>
              <w:spacing w:after="0"/>
              <w:rPr>
                <w:sz w:val="4"/>
                <w:szCs w:val="4"/>
                <w:color w:val="auto"/>
              </w:rPr>
            </w:pPr>
          </w:p>
        </w:tc>
        <w:tc>
          <w:tcPr>
            <w:tcW w:w="1800" w:type="dxa"/>
            <w:vAlign w:val="bottom"/>
            <w:tcBorders>
              <w:bottom w:val="single" w:sz="8" w:color="007B51"/>
            </w:tcBorders>
          </w:tcPr>
          <w:p>
            <w:pPr>
              <w:spacing w:after="0"/>
              <w:rPr>
                <w:sz w:val="4"/>
                <w:szCs w:val="4"/>
                <w:color w:val="auto"/>
              </w:rPr>
            </w:pPr>
          </w:p>
        </w:tc>
        <w:tc>
          <w:tcPr>
            <w:tcW w:w="1500" w:type="dxa"/>
            <w:vAlign w:val="bottom"/>
            <w:tcBorders>
              <w:bottom w:val="single" w:sz="8" w:color="007B51"/>
            </w:tcBorders>
          </w:tcPr>
          <w:p>
            <w:pPr>
              <w:spacing w:after="0"/>
              <w:rPr>
                <w:sz w:val="4"/>
                <w:szCs w:val="4"/>
                <w:color w:val="auto"/>
              </w:rPr>
            </w:pPr>
          </w:p>
        </w:tc>
        <w:tc>
          <w:tcPr>
            <w:tcW w:w="1620" w:type="dxa"/>
            <w:vAlign w:val="bottom"/>
            <w:tcBorders>
              <w:bottom w:val="single" w:sz="8" w:color="007B51"/>
            </w:tcBorders>
          </w:tcPr>
          <w:p>
            <w:pPr>
              <w:spacing w:after="0"/>
              <w:rPr>
                <w:sz w:val="4"/>
                <w:szCs w:val="4"/>
                <w:color w:val="auto"/>
              </w:rPr>
            </w:pPr>
          </w:p>
        </w:tc>
      </w:tr>
    </w:tbl>
    <w:p>
      <w:pPr>
        <w:spacing w:after="0" w:line="14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We believe perquisites for executive officers should be limited in scope and value. As a result, we have historically provided nominal perquisites. The following table generally illustrates the perquisites we do and do not provide and identifies those employees who may be eligible to receive them.</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420" w:type="dxa"/>
            <w:vAlign w:val="bottom"/>
            <w:tcBorders>
              <w:bottom w:val="single" w:sz="8" w:color="007B51"/>
            </w:tcBorders>
          </w:tcPr>
          <w:p>
            <w:pPr>
              <w:ind w:left="100"/>
              <w:spacing w:after="0"/>
              <w:rPr>
                <w:sz w:val="20"/>
                <w:szCs w:val="20"/>
                <w:color w:val="auto"/>
              </w:rPr>
            </w:pPr>
            <w:r>
              <w:rPr>
                <w:rFonts w:ascii="Arial" w:cs="Arial" w:eastAsia="Arial" w:hAnsi="Arial"/>
                <w:sz w:val="11"/>
                <w:szCs w:val="11"/>
                <w:b w:val="1"/>
                <w:bCs w:val="1"/>
                <w:color w:val="auto"/>
              </w:rPr>
              <w:t>TYPE OF PERQUISITES</w:t>
            </w:r>
          </w:p>
        </w:tc>
        <w:tc>
          <w:tcPr>
            <w:tcW w:w="2820" w:type="dxa"/>
            <w:vAlign w:val="bottom"/>
            <w:tcBorders>
              <w:bottom w:val="single" w:sz="8" w:color="007B51"/>
            </w:tcBorders>
          </w:tcPr>
          <w:p>
            <w:pPr>
              <w:jc w:val="center"/>
              <w:ind w:left="992"/>
              <w:spacing w:after="0"/>
              <w:rPr>
                <w:sz w:val="20"/>
                <w:szCs w:val="20"/>
                <w:color w:val="auto"/>
              </w:rPr>
            </w:pPr>
            <w:r>
              <w:rPr>
                <w:rFonts w:ascii="Arial" w:cs="Arial" w:eastAsia="Arial" w:hAnsi="Arial"/>
                <w:sz w:val="11"/>
                <w:szCs w:val="11"/>
                <w:b w:val="1"/>
                <w:bCs w:val="1"/>
                <w:color w:val="auto"/>
                <w:w w:val="97"/>
              </w:rPr>
              <w:t>OFFICERS</w:t>
            </w:r>
          </w:p>
        </w:tc>
        <w:tc>
          <w:tcPr>
            <w:tcW w:w="1760" w:type="dxa"/>
            <w:vAlign w:val="bottom"/>
            <w:tcBorders>
              <w:bottom w:val="single" w:sz="8" w:color="007B51"/>
            </w:tcBorders>
          </w:tcPr>
          <w:p>
            <w:pPr>
              <w:jc w:val="center"/>
              <w:spacing w:after="0"/>
              <w:rPr>
                <w:sz w:val="20"/>
                <w:szCs w:val="20"/>
                <w:color w:val="auto"/>
              </w:rPr>
            </w:pPr>
            <w:r>
              <w:rPr>
                <w:rFonts w:ascii="Arial" w:cs="Arial" w:eastAsia="Arial" w:hAnsi="Arial"/>
                <w:sz w:val="11"/>
                <w:szCs w:val="11"/>
                <w:b w:val="1"/>
                <w:bCs w:val="1"/>
                <w:color w:val="auto"/>
                <w:w w:val="98"/>
              </w:rPr>
              <w:t>CERTAIN MANAGERS</w:t>
            </w:r>
          </w:p>
        </w:tc>
        <w:tc>
          <w:tcPr>
            <w:tcW w:w="1720" w:type="dxa"/>
            <w:vAlign w:val="bottom"/>
            <w:tcBorders>
              <w:bottom w:val="single" w:sz="8" w:color="007B51"/>
            </w:tcBorders>
          </w:tcPr>
          <w:p>
            <w:pPr>
              <w:jc w:val="center"/>
              <w:spacing w:after="0"/>
              <w:rPr>
                <w:sz w:val="20"/>
                <w:szCs w:val="20"/>
                <w:color w:val="auto"/>
              </w:rPr>
            </w:pPr>
            <w:r>
              <w:rPr>
                <w:rFonts w:ascii="Arial" w:cs="Arial" w:eastAsia="Arial" w:hAnsi="Arial"/>
                <w:sz w:val="11"/>
                <w:szCs w:val="11"/>
                <w:b w:val="1"/>
                <w:bCs w:val="1"/>
                <w:color w:val="auto"/>
                <w:w w:val="97"/>
              </w:rPr>
              <w:t>FULL-TIME EMPLOYEES</w:t>
            </w:r>
          </w:p>
        </w:tc>
      </w:tr>
      <w:tr>
        <w:trPr>
          <w:trHeight w:val="316"/>
        </w:trPr>
        <w:tc>
          <w:tcPr>
            <w:tcW w:w="3420" w:type="dxa"/>
            <w:vAlign w:val="bottom"/>
          </w:tcPr>
          <w:p>
            <w:pPr>
              <w:ind w:left="100"/>
              <w:spacing w:after="0"/>
              <w:rPr>
                <w:sz w:val="20"/>
                <w:szCs w:val="20"/>
                <w:color w:val="auto"/>
              </w:rPr>
            </w:pPr>
            <w:r>
              <w:rPr>
                <w:rFonts w:ascii="Arial" w:cs="Arial" w:eastAsia="Arial" w:hAnsi="Arial"/>
                <w:sz w:val="13"/>
                <w:szCs w:val="13"/>
                <w:b w:val="1"/>
                <w:bCs w:val="1"/>
                <w:color w:val="017B52"/>
              </w:rPr>
              <w:t>Employee Discount</w:t>
            </w:r>
          </w:p>
        </w:tc>
        <w:tc>
          <w:tcPr>
            <w:tcW w:w="2820" w:type="dxa"/>
            <w:vAlign w:val="bottom"/>
          </w:tcPr>
          <w:p>
            <w:pPr>
              <w:jc w:val="center"/>
              <w:ind w:left="972"/>
              <w:spacing w:after="0"/>
              <w:rPr>
                <w:sz w:val="20"/>
                <w:szCs w:val="20"/>
                <w:color w:val="auto"/>
              </w:rPr>
            </w:pPr>
            <w:r>
              <w:rPr>
                <w:rFonts w:ascii="Times New Roman" w:cs="Times New Roman" w:eastAsia="Times New Roman" w:hAnsi="Times New Roman"/>
                <w:sz w:val="22"/>
                <w:szCs w:val="22"/>
                <w:color w:val="auto"/>
                <w:w w:val="98"/>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56"/>
        </w:trPr>
        <w:tc>
          <w:tcPr>
            <w:tcW w:w="3420" w:type="dxa"/>
            <w:vAlign w:val="bottom"/>
            <w:tcBorders>
              <w:bottom w:val="single" w:sz="8" w:color="007B51"/>
            </w:tcBorders>
          </w:tcPr>
          <w:p>
            <w:pPr>
              <w:spacing w:after="0"/>
              <w:rPr>
                <w:sz w:val="4"/>
                <w:szCs w:val="4"/>
                <w:color w:val="auto"/>
              </w:rPr>
            </w:pPr>
          </w:p>
        </w:tc>
        <w:tc>
          <w:tcPr>
            <w:tcW w:w="2820" w:type="dxa"/>
            <w:vAlign w:val="bottom"/>
            <w:tcBorders>
              <w:bottom w:val="single" w:sz="8" w:color="007B51"/>
            </w:tcBorders>
          </w:tcPr>
          <w:p>
            <w:pPr>
              <w:spacing w:after="0"/>
              <w:rPr>
                <w:sz w:val="4"/>
                <w:szCs w:val="4"/>
                <w:color w:val="auto"/>
              </w:rPr>
            </w:pPr>
          </w:p>
        </w:tc>
        <w:tc>
          <w:tcPr>
            <w:tcW w:w="1760" w:type="dxa"/>
            <w:vAlign w:val="bottom"/>
            <w:tcBorders>
              <w:bottom w:val="single" w:sz="8" w:color="007B51"/>
            </w:tcBorders>
          </w:tcPr>
          <w:p>
            <w:pPr>
              <w:spacing w:after="0"/>
              <w:rPr>
                <w:sz w:val="4"/>
                <w:szCs w:val="4"/>
                <w:color w:val="auto"/>
              </w:rPr>
            </w:pPr>
          </w:p>
        </w:tc>
        <w:tc>
          <w:tcPr>
            <w:tcW w:w="1720" w:type="dxa"/>
            <w:vAlign w:val="bottom"/>
            <w:tcBorders>
              <w:bottom w:val="single" w:sz="8" w:color="007B51"/>
            </w:tcBorders>
          </w:tcPr>
          <w:p>
            <w:pPr>
              <w:spacing w:after="0"/>
              <w:rPr>
                <w:sz w:val="4"/>
                <w:szCs w:val="4"/>
                <w:color w:val="auto"/>
              </w:rPr>
            </w:pPr>
          </w:p>
        </w:tc>
      </w:tr>
      <w:tr>
        <w:trPr>
          <w:trHeight w:val="367"/>
        </w:trPr>
        <w:tc>
          <w:tcPr>
            <w:tcW w:w="3420" w:type="dxa"/>
            <w:vAlign w:val="bottom"/>
            <w:tcBorders>
              <w:bottom w:val="single" w:sz="8" w:color="007B51"/>
            </w:tcBorders>
          </w:tcPr>
          <w:p>
            <w:pPr>
              <w:ind w:left="100"/>
              <w:spacing w:after="0"/>
              <w:rPr>
                <w:sz w:val="20"/>
                <w:szCs w:val="20"/>
                <w:color w:val="auto"/>
              </w:rPr>
            </w:pPr>
            <w:r>
              <w:rPr>
                <w:rFonts w:ascii="Arial" w:cs="Arial" w:eastAsia="Arial" w:hAnsi="Arial"/>
                <w:sz w:val="13"/>
                <w:szCs w:val="13"/>
                <w:b w:val="1"/>
                <w:bCs w:val="1"/>
                <w:color w:val="017B52"/>
              </w:rPr>
              <w:t>Convenience Allowance</w:t>
            </w:r>
            <w:r>
              <w:rPr>
                <w:rFonts w:ascii="Arial" w:cs="Arial" w:eastAsia="Arial" w:hAnsi="Arial"/>
                <w:sz w:val="20"/>
                <w:szCs w:val="20"/>
                <w:b w:val="1"/>
                <w:bCs w:val="1"/>
                <w:color w:val="017B52"/>
                <w:vertAlign w:val="superscript"/>
              </w:rPr>
              <w:t>(1)</w:t>
            </w:r>
          </w:p>
        </w:tc>
        <w:tc>
          <w:tcPr>
            <w:tcW w:w="2820" w:type="dxa"/>
            <w:vAlign w:val="bottom"/>
            <w:tcBorders>
              <w:bottom w:val="single" w:sz="8" w:color="007B51"/>
            </w:tcBorders>
          </w:tcPr>
          <w:p>
            <w:pPr>
              <w:jc w:val="center"/>
              <w:ind w:left="972"/>
              <w:spacing w:after="0"/>
              <w:rPr>
                <w:sz w:val="20"/>
                <w:szCs w:val="20"/>
                <w:color w:val="auto"/>
              </w:rPr>
            </w:pPr>
            <w:r>
              <w:rPr>
                <w:rFonts w:ascii="Times New Roman" w:cs="Times New Roman" w:eastAsia="Times New Roman" w:hAnsi="Times New Roman"/>
                <w:sz w:val="22"/>
                <w:szCs w:val="22"/>
                <w:color w:val="auto"/>
                <w:w w:val="98"/>
              </w:rPr>
              <w:t>√</w:t>
            </w:r>
          </w:p>
        </w:tc>
        <w:tc>
          <w:tcPr>
            <w:tcW w:w="1760" w:type="dxa"/>
            <w:vAlign w:val="bottom"/>
            <w:tcBorders>
              <w:bottom w:val="single" w:sz="8" w:color="007B51"/>
            </w:tcBorders>
          </w:tcPr>
          <w:p>
            <w:pPr>
              <w:jc w:val="center"/>
              <w:spacing w:after="0"/>
              <w:rPr>
                <w:sz w:val="20"/>
                <w:szCs w:val="20"/>
                <w:color w:val="auto"/>
              </w:rPr>
            </w:pPr>
            <w:r>
              <w:rPr>
                <w:rFonts w:ascii="Arial" w:cs="Arial" w:eastAsia="Arial" w:hAnsi="Arial"/>
                <w:sz w:val="13"/>
                <w:szCs w:val="13"/>
                <w:color w:val="58595B"/>
                <w:w w:val="98"/>
              </w:rPr>
              <w:t>Not Offered</w:t>
            </w:r>
          </w:p>
        </w:tc>
        <w:tc>
          <w:tcPr>
            <w:tcW w:w="1720" w:type="dxa"/>
            <w:vAlign w:val="bottom"/>
            <w:tcBorders>
              <w:bottom w:val="single" w:sz="8" w:color="007B51"/>
            </w:tcBorders>
          </w:tcPr>
          <w:p>
            <w:pPr>
              <w:jc w:val="center"/>
              <w:spacing w:after="0"/>
              <w:rPr>
                <w:sz w:val="20"/>
                <w:szCs w:val="20"/>
                <w:color w:val="auto"/>
              </w:rPr>
            </w:pPr>
            <w:r>
              <w:rPr>
                <w:rFonts w:ascii="Arial" w:cs="Arial" w:eastAsia="Arial" w:hAnsi="Arial"/>
                <w:sz w:val="13"/>
                <w:szCs w:val="13"/>
                <w:color w:val="58595B"/>
                <w:w w:val="98"/>
              </w:rPr>
              <w:t>Not Offered</w:t>
            </w:r>
          </w:p>
        </w:tc>
      </w:tr>
      <w:tr>
        <w:trPr>
          <w:trHeight w:val="372"/>
        </w:trPr>
        <w:tc>
          <w:tcPr>
            <w:tcW w:w="3420" w:type="dxa"/>
            <w:vAlign w:val="bottom"/>
            <w:tcBorders>
              <w:bottom w:val="single" w:sz="8" w:color="007B51"/>
            </w:tcBorders>
          </w:tcPr>
          <w:p>
            <w:pPr>
              <w:ind w:left="100"/>
              <w:spacing w:after="0"/>
              <w:rPr>
                <w:sz w:val="20"/>
                <w:szCs w:val="20"/>
                <w:color w:val="auto"/>
              </w:rPr>
            </w:pPr>
            <w:r>
              <w:rPr>
                <w:rFonts w:ascii="Arial" w:cs="Arial" w:eastAsia="Arial" w:hAnsi="Arial"/>
                <w:sz w:val="13"/>
                <w:szCs w:val="13"/>
                <w:b w:val="1"/>
                <w:bCs w:val="1"/>
                <w:color w:val="017B52"/>
              </w:rPr>
              <w:t>Automobile Allowance</w:t>
            </w:r>
            <w:r>
              <w:rPr>
                <w:rFonts w:ascii="Arial" w:cs="Arial" w:eastAsia="Arial" w:hAnsi="Arial"/>
                <w:sz w:val="20"/>
                <w:szCs w:val="20"/>
                <w:b w:val="1"/>
                <w:bCs w:val="1"/>
                <w:color w:val="017B52"/>
                <w:vertAlign w:val="superscript"/>
              </w:rPr>
              <w:t>(2)</w:t>
            </w:r>
          </w:p>
        </w:tc>
        <w:tc>
          <w:tcPr>
            <w:tcW w:w="2820" w:type="dxa"/>
            <w:vAlign w:val="bottom"/>
            <w:tcBorders>
              <w:bottom w:val="single" w:sz="8" w:color="007B51"/>
            </w:tcBorders>
          </w:tcPr>
          <w:p>
            <w:pPr>
              <w:jc w:val="center"/>
              <w:ind w:left="972"/>
              <w:spacing w:after="0"/>
              <w:rPr>
                <w:sz w:val="20"/>
                <w:szCs w:val="20"/>
                <w:color w:val="auto"/>
              </w:rPr>
            </w:pPr>
            <w:r>
              <w:rPr>
                <w:rFonts w:ascii="Times New Roman" w:cs="Times New Roman" w:eastAsia="Times New Roman" w:hAnsi="Times New Roman"/>
                <w:sz w:val="22"/>
                <w:szCs w:val="22"/>
                <w:color w:val="auto"/>
                <w:w w:val="98"/>
              </w:rPr>
              <w:t>√</w:t>
            </w:r>
          </w:p>
        </w:tc>
        <w:tc>
          <w:tcPr>
            <w:tcW w:w="1760" w:type="dxa"/>
            <w:vAlign w:val="bottom"/>
            <w:tcBorders>
              <w:bottom w:val="single" w:sz="8" w:color="007B51"/>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1720" w:type="dxa"/>
            <w:vAlign w:val="bottom"/>
            <w:tcBorders>
              <w:bottom w:val="single" w:sz="8" w:color="007B51"/>
            </w:tcBorders>
          </w:tcPr>
          <w:p>
            <w:pPr>
              <w:jc w:val="center"/>
              <w:spacing w:after="0"/>
              <w:rPr>
                <w:sz w:val="20"/>
                <w:szCs w:val="20"/>
                <w:color w:val="auto"/>
              </w:rPr>
            </w:pPr>
            <w:r>
              <w:rPr>
                <w:rFonts w:ascii="Arial" w:cs="Arial" w:eastAsia="Arial" w:hAnsi="Arial"/>
                <w:sz w:val="13"/>
                <w:szCs w:val="13"/>
                <w:color w:val="58595B"/>
                <w:w w:val="93"/>
              </w:rPr>
              <w:t>Not Offered</w:t>
            </w:r>
            <w:r>
              <w:rPr>
                <w:rFonts w:ascii="Arial" w:cs="Arial" w:eastAsia="Arial" w:hAnsi="Arial"/>
                <w:sz w:val="20"/>
                <w:szCs w:val="20"/>
                <w:color w:val="58595B"/>
                <w:w w:val="93"/>
                <w:vertAlign w:val="superscript"/>
              </w:rPr>
              <w:t>(2)</w:t>
            </w:r>
          </w:p>
        </w:tc>
      </w:tr>
      <w:tr>
        <w:trPr>
          <w:trHeight w:val="219"/>
        </w:trPr>
        <w:tc>
          <w:tcPr>
            <w:tcW w:w="3420" w:type="dxa"/>
            <w:vAlign w:val="bottom"/>
          </w:tcPr>
          <w:p>
            <w:pPr>
              <w:ind w:left="100"/>
              <w:spacing w:after="0"/>
              <w:rPr>
                <w:sz w:val="20"/>
                <w:szCs w:val="20"/>
                <w:color w:val="auto"/>
              </w:rPr>
            </w:pPr>
            <w:r>
              <w:rPr>
                <w:rFonts w:ascii="Arial" w:cs="Arial" w:eastAsia="Arial" w:hAnsi="Arial"/>
                <w:sz w:val="13"/>
                <w:szCs w:val="13"/>
                <w:b w:val="1"/>
                <w:bCs w:val="1"/>
                <w:color w:val="017B52"/>
              </w:rPr>
              <w:t>Personal Use of Company Aircraft</w:t>
            </w:r>
          </w:p>
        </w:tc>
        <w:tc>
          <w:tcPr>
            <w:tcW w:w="2820" w:type="dxa"/>
            <w:vAlign w:val="bottom"/>
          </w:tcPr>
          <w:p>
            <w:pPr>
              <w:jc w:val="center"/>
              <w:ind w:left="972"/>
              <w:spacing w:after="0"/>
              <w:rPr>
                <w:sz w:val="20"/>
                <w:szCs w:val="20"/>
                <w:color w:val="auto"/>
              </w:rPr>
            </w:pPr>
            <w:r>
              <w:rPr>
                <w:rFonts w:ascii="Arial" w:cs="Arial" w:eastAsia="Arial" w:hAnsi="Arial"/>
                <w:sz w:val="13"/>
                <w:szCs w:val="13"/>
                <w:color w:val="58595B"/>
                <w:w w:val="97"/>
              </w:rPr>
              <w:t>Only with CEO Approval</w:t>
            </w:r>
          </w:p>
        </w:tc>
        <w:tc>
          <w:tcPr>
            <w:tcW w:w="1760" w:type="dxa"/>
            <w:vAlign w:val="bottom"/>
          </w:tcPr>
          <w:p>
            <w:pPr>
              <w:jc w:val="center"/>
              <w:spacing w:after="0"/>
              <w:rPr>
                <w:sz w:val="20"/>
                <w:szCs w:val="20"/>
                <w:color w:val="auto"/>
              </w:rPr>
            </w:pPr>
            <w:r>
              <w:rPr>
                <w:rFonts w:ascii="Arial" w:cs="Arial" w:eastAsia="Arial" w:hAnsi="Arial"/>
                <w:sz w:val="13"/>
                <w:szCs w:val="13"/>
                <w:color w:val="58595B"/>
                <w:w w:val="97"/>
              </w:rPr>
              <w:t>Only with CEO Approval</w:t>
            </w:r>
          </w:p>
        </w:tc>
        <w:tc>
          <w:tcPr>
            <w:tcW w:w="1720" w:type="dxa"/>
            <w:vAlign w:val="bottom"/>
          </w:tcPr>
          <w:p>
            <w:pPr>
              <w:jc w:val="center"/>
              <w:spacing w:after="0"/>
              <w:rPr>
                <w:sz w:val="20"/>
                <w:szCs w:val="20"/>
                <w:color w:val="auto"/>
              </w:rPr>
            </w:pPr>
            <w:r>
              <w:rPr>
                <w:rFonts w:ascii="Arial" w:cs="Arial" w:eastAsia="Arial" w:hAnsi="Arial"/>
                <w:sz w:val="13"/>
                <w:szCs w:val="13"/>
                <w:color w:val="58595B"/>
                <w:w w:val="98"/>
              </w:rPr>
              <w:t>Not Offered</w:t>
            </w:r>
          </w:p>
        </w:tc>
      </w:tr>
      <w:tr>
        <w:trPr>
          <w:trHeight w:val="48"/>
        </w:trPr>
        <w:tc>
          <w:tcPr>
            <w:tcW w:w="3420" w:type="dxa"/>
            <w:vAlign w:val="bottom"/>
            <w:tcBorders>
              <w:bottom w:val="single" w:sz="8" w:color="007B51"/>
            </w:tcBorders>
          </w:tcPr>
          <w:p>
            <w:pPr>
              <w:spacing w:after="0"/>
              <w:rPr>
                <w:sz w:val="4"/>
                <w:szCs w:val="4"/>
                <w:color w:val="auto"/>
              </w:rPr>
            </w:pPr>
          </w:p>
        </w:tc>
        <w:tc>
          <w:tcPr>
            <w:tcW w:w="2820" w:type="dxa"/>
            <w:vAlign w:val="bottom"/>
            <w:tcBorders>
              <w:bottom w:val="single" w:sz="8" w:color="007B51"/>
            </w:tcBorders>
          </w:tcPr>
          <w:p>
            <w:pPr>
              <w:spacing w:after="0"/>
              <w:rPr>
                <w:sz w:val="4"/>
                <w:szCs w:val="4"/>
                <w:color w:val="auto"/>
              </w:rPr>
            </w:pPr>
          </w:p>
        </w:tc>
        <w:tc>
          <w:tcPr>
            <w:tcW w:w="1760" w:type="dxa"/>
            <w:vAlign w:val="bottom"/>
            <w:tcBorders>
              <w:bottom w:val="single" w:sz="8" w:color="007B51"/>
            </w:tcBorders>
          </w:tcPr>
          <w:p>
            <w:pPr>
              <w:spacing w:after="0"/>
              <w:rPr>
                <w:sz w:val="4"/>
                <w:szCs w:val="4"/>
                <w:color w:val="auto"/>
              </w:rPr>
            </w:pPr>
          </w:p>
        </w:tc>
        <w:tc>
          <w:tcPr>
            <w:tcW w:w="1720" w:type="dxa"/>
            <w:vAlign w:val="bottom"/>
            <w:tcBorders>
              <w:bottom w:val="single" w:sz="8" w:color="007B51"/>
            </w:tcBorders>
          </w:tcPr>
          <w:p>
            <w:pPr>
              <w:spacing w:after="0"/>
              <w:rPr>
                <w:sz w:val="4"/>
                <w:szCs w:val="4"/>
                <w:color w:val="auto"/>
              </w:rPr>
            </w:pPr>
          </w:p>
        </w:tc>
      </w:tr>
    </w:tbl>
    <w:p>
      <w:pPr>
        <w:spacing w:after="0" w:line="225" w:lineRule="exact"/>
        <w:rPr>
          <w:sz w:val="20"/>
          <w:szCs w:val="20"/>
          <w:color w:val="auto"/>
        </w:rPr>
      </w:pPr>
    </w:p>
    <w:p>
      <w:pPr>
        <w:ind w:left="260" w:hanging="256"/>
        <w:spacing w:after="0"/>
        <w:tabs>
          <w:tab w:leader="none" w:pos="260" w:val="left"/>
        </w:tabs>
        <w:numPr>
          <w:ilvl w:val="0"/>
          <w:numId w:val="44"/>
        </w:numPr>
        <w:rPr>
          <w:rFonts w:ascii="Arial" w:cs="Arial" w:eastAsia="Arial" w:hAnsi="Arial"/>
          <w:sz w:val="13"/>
          <w:szCs w:val="13"/>
          <w:color w:val="58595B"/>
        </w:rPr>
      </w:pPr>
      <w:r>
        <w:rPr>
          <w:rFonts w:ascii="Arial" w:cs="Arial" w:eastAsia="Arial" w:hAnsi="Arial"/>
          <w:sz w:val="13"/>
          <w:szCs w:val="13"/>
          <w:color w:val="58595B"/>
        </w:rPr>
        <w:t>We provide our officers with a limited taxable convenience allowance which they may use for household management, health and wellbeing, and similar expenses.</w:t>
      </w:r>
    </w:p>
    <w:p>
      <w:pPr>
        <w:spacing w:after="0" w:line="93" w:lineRule="exact"/>
        <w:rPr>
          <w:rFonts w:ascii="Arial" w:cs="Arial" w:eastAsia="Arial" w:hAnsi="Arial"/>
          <w:sz w:val="13"/>
          <w:szCs w:val="13"/>
          <w:color w:val="58595B"/>
        </w:rPr>
      </w:pPr>
    </w:p>
    <w:p>
      <w:pPr>
        <w:ind w:left="260" w:right="180" w:hanging="256"/>
        <w:spacing w:after="0" w:line="233" w:lineRule="auto"/>
        <w:tabs>
          <w:tab w:leader="none" w:pos="260" w:val="left"/>
        </w:tabs>
        <w:numPr>
          <w:ilvl w:val="0"/>
          <w:numId w:val="44"/>
        </w:numPr>
        <w:rPr>
          <w:rFonts w:ascii="Arial" w:cs="Arial" w:eastAsia="Arial" w:hAnsi="Arial"/>
          <w:sz w:val="13"/>
          <w:szCs w:val="13"/>
          <w:color w:val="58595B"/>
        </w:rPr>
      </w:pPr>
      <w:r>
        <w:rPr>
          <w:rFonts w:ascii="Arial" w:cs="Arial" w:eastAsia="Arial" w:hAnsi="Arial"/>
          <w:sz w:val="13"/>
          <w:szCs w:val="13"/>
          <w:color w:val="58595B"/>
        </w:rPr>
        <w:t>The Company’s automobile expense reimbursement program limits participation to certain employees whose personal automobiles are used more than fifty percent for Company business travel. Other employees receive reimbursement, in accordance with the Internal Revenue Code, for expenses incurred in connection with the utilization of their personal vehicles for business travel.</w:t>
      </w:r>
    </w:p>
    <w:p>
      <w:pPr>
        <w:spacing w:after="0" w:line="321"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34</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Grants of Plan-Based Awards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grant of plan-based awards earned in fiscal 2022 by the Named Executives: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6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6"/>
              </w:rPr>
              <w:t>ESTIMATED FUTURE PAYOUTS</w:t>
            </w:r>
          </w:p>
        </w:tc>
        <w:tc>
          <w:tcPr>
            <w:tcW w:w="2380" w:type="dxa"/>
            <w:vAlign w:val="bottom"/>
            <w:gridSpan w:val="3"/>
          </w:tcPr>
          <w:p>
            <w:pPr>
              <w:jc w:val="center"/>
              <w:spacing w:after="0"/>
              <w:rPr>
                <w:sz w:val="20"/>
                <w:szCs w:val="20"/>
                <w:color w:val="auto"/>
              </w:rPr>
            </w:pPr>
            <w:r>
              <w:rPr>
                <w:rFonts w:ascii="Arial" w:cs="Arial" w:eastAsia="Arial" w:hAnsi="Arial"/>
                <w:sz w:val="11"/>
                <w:szCs w:val="11"/>
                <w:b w:val="1"/>
                <w:bCs w:val="1"/>
                <w:color w:val="auto"/>
                <w:w w:val="97"/>
              </w:rPr>
              <w:t>ESTIMATED FUTURE PAYOUTS UNDER</w:t>
            </w:r>
          </w:p>
        </w:tc>
        <w:tc>
          <w:tcPr>
            <w:tcW w:w="1180" w:type="dxa"/>
            <w:vAlign w:val="bottom"/>
          </w:tcPr>
          <w:p>
            <w:pPr>
              <w:jc w:val="center"/>
              <w:ind w:left="13"/>
              <w:spacing w:after="0"/>
              <w:rPr>
                <w:sz w:val="20"/>
                <w:szCs w:val="20"/>
                <w:color w:val="auto"/>
              </w:rPr>
            </w:pPr>
            <w:r>
              <w:rPr>
                <w:rFonts w:ascii="Arial" w:cs="Arial" w:eastAsia="Arial" w:hAnsi="Arial"/>
                <w:sz w:val="11"/>
                <w:szCs w:val="11"/>
                <w:b w:val="1"/>
                <w:bCs w:val="1"/>
                <w:color w:val="auto"/>
                <w:w w:val="98"/>
              </w:rPr>
              <w:t>ALL OTHER</w:t>
            </w:r>
          </w:p>
        </w:tc>
        <w:tc>
          <w:tcPr>
            <w:tcW w:w="820" w:type="dxa"/>
            <w:vAlign w:val="bottom"/>
          </w:tcPr>
          <w:p>
            <w:pPr>
              <w:jc w:val="center"/>
              <w:ind w:left="12"/>
              <w:spacing w:after="0"/>
              <w:rPr>
                <w:sz w:val="20"/>
                <w:szCs w:val="20"/>
                <w:color w:val="auto"/>
              </w:rPr>
            </w:pPr>
            <w:r>
              <w:rPr>
                <w:rFonts w:ascii="Arial" w:cs="Arial" w:eastAsia="Arial" w:hAnsi="Arial"/>
                <w:sz w:val="11"/>
                <w:szCs w:val="11"/>
                <w:b w:val="1"/>
                <w:bCs w:val="1"/>
                <w:color w:val="auto"/>
                <w:w w:val="97"/>
              </w:rPr>
              <w:t>GRANT DATE</w:t>
            </w:r>
          </w:p>
        </w:tc>
        <w:tc>
          <w:tcPr>
            <w:tcW w:w="0" w:type="dxa"/>
            <w:vAlign w:val="bottom"/>
          </w:tcPr>
          <w:p>
            <w:pPr>
              <w:spacing w:after="0"/>
              <w:rPr>
                <w:sz w:val="1"/>
                <w:szCs w:val="1"/>
                <w:color w:val="auto"/>
              </w:rPr>
            </w:pPr>
          </w:p>
        </w:tc>
      </w:tr>
      <w:tr>
        <w:trPr>
          <w:trHeight w:val="125"/>
        </w:trPr>
        <w:tc>
          <w:tcPr>
            <w:tcW w:w="20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60" w:type="dxa"/>
            <w:vAlign w:val="bottom"/>
            <w:gridSpan w:val="3"/>
          </w:tcPr>
          <w:p>
            <w:pPr>
              <w:jc w:val="center"/>
              <w:ind w:right="160"/>
              <w:spacing w:after="0" w:line="125" w:lineRule="exact"/>
              <w:rPr>
                <w:sz w:val="20"/>
                <w:szCs w:val="20"/>
                <w:color w:val="auto"/>
              </w:rPr>
            </w:pPr>
            <w:r>
              <w:rPr>
                <w:rFonts w:ascii="Arial" w:cs="Arial" w:eastAsia="Arial" w:hAnsi="Arial"/>
                <w:sz w:val="11"/>
                <w:szCs w:val="11"/>
                <w:b w:val="1"/>
                <w:bCs w:val="1"/>
                <w:color w:val="auto"/>
                <w:w w:val="98"/>
              </w:rPr>
              <w:t>UNDER NON-EQUITY INCENTIVE</w:t>
            </w:r>
          </w:p>
        </w:tc>
        <w:tc>
          <w:tcPr>
            <w:tcW w:w="2380" w:type="dxa"/>
            <w:vAlign w:val="bottom"/>
            <w:gridSpan w:val="3"/>
          </w:tcPr>
          <w:p>
            <w:pPr>
              <w:jc w:val="center"/>
              <w:spacing w:after="0" w:line="125" w:lineRule="exact"/>
              <w:rPr>
                <w:sz w:val="20"/>
                <w:szCs w:val="20"/>
                <w:color w:val="auto"/>
              </w:rPr>
            </w:pPr>
            <w:r>
              <w:rPr>
                <w:rFonts w:ascii="Arial" w:cs="Arial" w:eastAsia="Arial" w:hAnsi="Arial"/>
                <w:sz w:val="11"/>
                <w:szCs w:val="11"/>
                <w:b w:val="1"/>
                <w:bCs w:val="1"/>
                <w:color w:val="auto"/>
                <w:w w:val="97"/>
              </w:rPr>
              <w:t>EQUITY INCENTIVE PLAN</w:t>
            </w:r>
          </w:p>
        </w:tc>
        <w:tc>
          <w:tcPr>
            <w:tcW w:w="1180" w:type="dxa"/>
            <w:vAlign w:val="bottom"/>
          </w:tcPr>
          <w:p>
            <w:pPr>
              <w:jc w:val="center"/>
              <w:ind w:left="33"/>
              <w:spacing w:after="0" w:line="125" w:lineRule="exact"/>
              <w:rPr>
                <w:sz w:val="20"/>
                <w:szCs w:val="20"/>
                <w:color w:val="auto"/>
              </w:rPr>
            </w:pPr>
            <w:r>
              <w:rPr>
                <w:rFonts w:ascii="Arial" w:cs="Arial" w:eastAsia="Arial" w:hAnsi="Arial"/>
                <w:sz w:val="11"/>
                <w:szCs w:val="11"/>
                <w:b w:val="1"/>
                <w:bCs w:val="1"/>
                <w:color w:val="auto"/>
                <w:w w:val="97"/>
              </w:rPr>
              <w:t>STOCK AWARDS:</w:t>
            </w:r>
          </w:p>
        </w:tc>
        <w:tc>
          <w:tcPr>
            <w:tcW w:w="820" w:type="dxa"/>
            <w:vAlign w:val="bottom"/>
          </w:tcPr>
          <w:p>
            <w:pPr>
              <w:jc w:val="center"/>
              <w:ind w:left="32"/>
              <w:spacing w:after="0" w:line="125" w:lineRule="exact"/>
              <w:rPr>
                <w:sz w:val="20"/>
                <w:szCs w:val="20"/>
                <w:color w:val="auto"/>
              </w:rPr>
            </w:pPr>
            <w:r>
              <w:rPr>
                <w:rFonts w:ascii="Arial" w:cs="Arial" w:eastAsia="Arial" w:hAnsi="Arial"/>
                <w:sz w:val="11"/>
                <w:szCs w:val="11"/>
                <w:b w:val="1"/>
                <w:bCs w:val="1"/>
                <w:color w:val="auto"/>
                <w:w w:val="96"/>
              </w:rPr>
              <w:t>FAIR VALUE</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60" w:type="dxa"/>
            <w:vAlign w:val="bottom"/>
            <w:gridSpan w:val="3"/>
          </w:tcPr>
          <w:p>
            <w:pPr>
              <w:jc w:val="center"/>
              <w:ind w:right="160"/>
              <w:spacing w:after="0" w:line="135" w:lineRule="exact"/>
              <w:rPr>
                <w:sz w:val="20"/>
                <w:szCs w:val="20"/>
                <w:color w:val="auto"/>
              </w:rPr>
            </w:pPr>
            <w:r>
              <w:rPr>
                <w:rFonts w:ascii="Arial" w:cs="Arial" w:eastAsia="Arial" w:hAnsi="Arial"/>
                <w:sz w:val="10"/>
                <w:szCs w:val="10"/>
                <w:b w:val="1"/>
                <w:bCs w:val="1"/>
                <w:color w:val="auto"/>
              </w:rPr>
              <w:t>PLAN AWARDS</w:t>
            </w:r>
            <w:r>
              <w:rPr>
                <w:rFonts w:ascii="Arial" w:cs="Arial" w:eastAsia="Arial" w:hAnsi="Arial"/>
                <w:sz w:val="15"/>
                <w:szCs w:val="15"/>
                <w:b w:val="1"/>
                <w:bCs w:val="1"/>
                <w:color w:val="auto"/>
                <w:vertAlign w:val="superscript"/>
              </w:rPr>
              <w:t>(1)</w:t>
            </w:r>
          </w:p>
        </w:tc>
        <w:tc>
          <w:tcPr>
            <w:tcW w:w="8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(2)</w:t>
            </w:r>
          </w:p>
        </w:tc>
        <w:tc>
          <w:tcPr>
            <w:tcW w:w="740" w:type="dxa"/>
            <w:vAlign w:val="bottom"/>
          </w:tcPr>
          <w:p>
            <w:pPr>
              <w:spacing w:after="0"/>
              <w:rPr>
                <w:sz w:val="11"/>
                <w:szCs w:val="11"/>
                <w:color w:val="auto"/>
              </w:rPr>
            </w:pPr>
          </w:p>
        </w:tc>
        <w:tc>
          <w:tcPr>
            <w:tcW w:w="1180" w:type="dxa"/>
            <w:vAlign w:val="bottom"/>
          </w:tcPr>
          <w:p>
            <w:pPr>
              <w:jc w:val="center"/>
              <w:ind w:left="33"/>
              <w:spacing w:after="0"/>
              <w:rPr>
                <w:sz w:val="20"/>
                <w:szCs w:val="20"/>
                <w:color w:val="auto"/>
              </w:rPr>
            </w:pPr>
            <w:r>
              <w:rPr>
                <w:rFonts w:ascii="Arial" w:cs="Arial" w:eastAsia="Arial" w:hAnsi="Arial"/>
                <w:sz w:val="11"/>
                <w:szCs w:val="11"/>
                <w:b w:val="1"/>
                <w:bCs w:val="1"/>
                <w:color w:val="auto"/>
                <w:w w:val="96"/>
              </w:rPr>
              <w:t>NUMBER OF</w:t>
            </w:r>
          </w:p>
        </w:tc>
        <w:tc>
          <w:tcPr>
            <w:tcW w:w="820" w:type="dxa"/>
            <w:vAlign w:val="bottom"/>
          </w:tcPr>
          <w:p>
            <w:pPr>
              <w:jc w:val="center"/>
              <w:ind w:left="32"/>
              <w:spacing w:after="0"/>
              <w:rPr>
                <w:sz w:val="20"/>
                <w:szCs w:val="20"/>
                <w:color w:val="auto"/>
              </w:rPr>
            </w:pPr>
            <w:r>
              <w:rPr>
                <w:rFonts w:ascii="Arial" w:cs="Arial" w:eastAsia="Arial" w:hAnsi="Arial"/>
                <w:sz w:val="11"/>
                <w:szCs w:val="11"/>
                <w:b w:val="1"/>
                <w:bCs w:val="1"/>
                <w:color w:val="auto"/>
                <w:w w:val="98"/>
              </w:rPr>
              <w:t>OF STOCK</w:t>
            </w: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07B51"/>
            </w:tcBorders>
          </w:tcPr>
          <w:p>
            <w:pPr>
              <w:spacing w:after="0"/>
              <w:rPr>
                <w:sz w:val="4"/>
                <w:szCs w:val="4"/>
                <w:color w:val="auto"/>
              </w:rPr>
            </w:pPr>
          </w:p>
        </w:tc>
        <w:tc>
          <w:tcPr>
            <w:tcW w:w="840" w:type="dxa"/>
            <w:vAlign w:val="bottom"/>
            <w:tcBorders>
              <w:bottom w:val="single" w:sz="8" w:color="007B51"/>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Borders>
              <w:bottom w:val="single" w:sz="8" w:color="007B51"/>
            </w:tcBorders>
          </w:tcPr>
          <w:p>
            <w:pPr>
              <w:spacing w:after="0"/>
              <w:rPr>
                <w:sz w:val="4"/>
                <w:szCs w:val="4"/>
                <w:color w:val="auto"/>
              </w:rPr>
            </w:pPr>
          </w:p>
        </w:tc>
        <w:tc>
          <w:tcPr>
            <w:tcW w:w="840" w:type="dxa"/>
            <w:vAlign w:val="bottom"/>
            <w:tcBorders>
              <w:bottom w:val="single" w:sz="8" w:color="007B51"/>
            </w:tcBorders>
          </w:tcPr>
          <w:p>
            <w:pPr>
              <w:spacing w:after="0"/>
              <w:rPr>
                <w:sz w:val="4"/>
                <w:szCs w:val="4"/>
                <w:color w:val="auto"/>
              </w:rPr>
            </w:pPr>
          </w:p>
        </w:tc>
        <w:tc>
          <w:tcPr>
            <w:tcW w:w="740" w:type="dxa"/>
            <w:vAlign w:val="bottom"/>
            <w:tcBorders>
              <w:bottom w:val="single" w:sz="8" w:color="007B51"/>
            </w:tcBorders>
          </w:tcPr>
          <w:p>
            <w:pPr>
              <w:spacing w:after="0"/>
              <w:rPr>
                <w:sz w:val="4"/>
                <w:szCs w:val="4"/>
                <w:color w:val="auto"/>
              </w:rPr>
            </w:pPr>
          </w:p>
        </w:tc>
        <w:tc>
          <w:tcPr>
            <w:tcW w:w="1180" w:type="dxa"/>
            <w:vAlign w:val="bottom"/>
            <w:vMerge w:val="restart"/>
          </w:tcPr>
          <w:p>
            <w:pPr>
              <w:jc w:val="center"/>
              <w:ind w:left="33"/>
              <w:spacing w:after="0" w:line="108" w:lineRule="exact"/>
              <w:rPr>
                <w:sz w:val="20"/>
                <w:szCs w:val="20"/>
                <w:color w:val="auto"/>
              </w:rPr>
            </w:pPr>
            <w:r>
              <w:rPr>
                <w:rFonts w:ascii="Arial" w:cs="Arial" w:eastAsia="Arial" w:hAnsi="Arial"/>
                <w:sz w:val="11"/>
                <w:szCs w:val="11"/>
                <w:b w:val="1"/>
                <w:bCs w:val="1"/>
                <w:color w:val="auto"/>
                <w:w w:val="99"/>
              </w:rPr>
              <w:t>SHARES OF</w:t>
            </w:r>
          </w:p>
        </w:tc>
        <w:tc>
          <w:tcPr>
            <w:tcW w:w="820" w:type="dxa"/>
            <w:vAlign w:val="bottom"/>
            <w:vMerge w:val="restart"/>
          </w:tcPr>
          <w:p>
            <w:pPr>
              <w:jc w:val="center"/>
              <w:ind w:left="32"/>
              <w:spacing w:after="0" w:line="108" w:lineRule="exact"/>
              <w:rPr>
                <w:sz w:val="20"/>
                <w:szCs w:val="20"/>
                <w:color w:val="auto"/>
              </w:rPr>
            </w:pPr>
            <w:r>
              <w:rPr>
                <w:rFonts w:ascii="Arial" w:cs="Arial" w:eastAsia="Arial" w:hAnsi="Arial"/>
                <w:sz w:val="11"/>
                <w:szCs w:val="11"/>
                <w:b w:val="1"/>
                <w:bCs w:val="1"/>
                <w:color w:val="auto"/>
                <w:w w:val="98"/>
              </w:rPr>
              <w:t>AND OPTION</w:t>
            </w:r>
          </w:p>
        </w:tc>
        <w:tc>
          <w:tcPr>
            <w:tcW w:w="0" w:type="dxa"/>
            <w:vAlign w:val="bottom"/>
          </w:tcPr>
          <w:p>
            <w:pPr>
              <w:spacing w:after="0"/>
              <w:rPr>
                <w:sz w:val="1"/>
                <w:szCs w:val="1"/>
                <w:color w:val="auto"/>
              </w:rPr>
            </w:pPr>
          </w:p>
        </w:tc>
      </w:tr>
      <w:tr>
        <w:trPr>
          <w:trHeight w:val="34"/>
        </w:trPr>
        <w:tc>
          <w:tcPr>
            <w:tcW w:w="2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1"/>
                <w:szCs w:val="11"/>
                <w:b w:val="1"/>
                <w:bCs w:val="1"/>
                <w:color w:val="auto"/>
              </w:rPr>
              <w:t>THRESHOLD</w:t>
            </w: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THRESHOLD</w:t>
            </w:r>
          </w:p>
        </w:tc>
        <w:tc>
          <w:tcPr>
            <w:tcW w:w="8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TARGET</w:t>
            </w:r>
          </w:p>
        </w:tc>
        <w:tc>
          <w:tcPr>
            <w:tcW w:w="7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MAXIMUM</w:t>
            </w:r>
          </w:p>
        </w:tc>
        <w:tc>
          <w:tcPr>
            <w:tcW w:w="118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MAXIMUM</w:t>
            </w:r>
            <w:r>
              <w:rPr>
                <w:rFonts w:ascii="Arial" w:cs="Arial" w:eastAsia="Arial" w:hAnsi="Arial"/>
                <w:sz w:val="17"/>
                <w:szCs w:val="17"/>
                <w:b w:val="1"/>
                <w:bCs w:val="1"/>
                <w:color w:val="auto"/>
                <w:vertAlign w:val="superscript"/>
              </w:rPr>
              <w:t>(4)</w:t>
            </w:r>
          </w:p>
        </w:tc>
        <w:tc>
          <w:tcPr>
            <w:tcW w:w="8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tcPr>
          <w:p>
            <w:pPr>
              <w:jc w:val="center"/>
              <w:ind w:left="33"/>
              <w:spacing w:after="0" w:line="136" w:lineRule="exact"/>
              <w:rPr>
                <w:sz w:val="20"/>
                <w:szCs w:val="20"/>
                <w:color w:val="auto"/>
              </w:rPr>
            </w:pPr>
            <w:r>
              <w:rPr>
                <w:rFonts w:ascii="Arial" w:cs="Arial" w:eastAsia="Arial" w:hAnsi="Arial"/>
                <w:sz w:val="10"/>
                <w:szCs w:val="10"/>
                <w:b w:val="1"/>
                <w:bCs w:val="1"/>
                <w:color w:val="auto"/>
              </w:rPr>
              <w:t>STOCK</w:t>
            </w:r>
            <w:r>
              <w:rPr>
                <w:rFonts w:ascii="Arial" w:cs="Arial" w:eastAsia="Arial" w:hAnsi="Arial"/>
                <w:sz w:val="15"/>
                <w:szCs w:val="15"/>
                <w:b w:val="1"/>
                <w:bCs w:val="1"/>
                <w:color w:val="auto"/>
                <w:vertAlign w:val="superscript"/>
              </w:rPr>
              <w:t>(3)</w:t>
            </w:r>
          </w:p>
        </w:tc>
        <w:tc>
          <w:tcPr>
            <w:tcW w:w="820" w:type="dxa"/>
            <w:vAlign w:val="bottom"/>
          </w:tcPr>
          <w:p>
            <w:pPr>
              <w:jc w:val="center"/>
              <w:ind w:left="32"/>
              <w:spacing w:after="0"/>
              <w:rPr>
                <w:sz w:val="20"/>
                <w:szCs w:val="20"/>
                <w:color w:val="auto"/>
              </w:rPr>
            </w:pPr>
            <w:r>
              <w:rPr>
                <w:rFonts w:ascii="Arial" w:cs="Arial" w:eastAsia="Arial" w:hAnsi="Arial"/>
                <w:sz w:val="11"/>
                <w:szCs w:val="11"/>
                <w:b w:val="1"/>
                <w:bCs w:val="1"/>
                <w:color w:val="auto"/>
                <w:w w:val="96"/>
              </w:rPr>
              <w:t>AWARDS</w:t>
            </w:r>
          </w:p>
        </w:tc>
        <w:tc>
          <w:tcPr>
            <w:tcW w:w="0" w:type="dxa"/>
            <w:vAlign w:val="bottom"/>
          </w:tcPr>
          <w:p>
            <w:pPr>
              <w:spacing w:after="0"/>
              <w:rPr>
                <w:sz w:val="1"/>
                <w:szCs w:val="1"/>
                <w:color w:val="auto"/>
              </w:rPr>
            </w:pPr>
          </w:p>
        </w:tc>
      </w:tr>
      <w:tr>
        <w:trPr>
          <w:trHeight w:val="162"/>
        </w:trPr>
        <w:tc>
          <w:tcPr>
            <w:tcW w:w="2080" w:type="dxa"/>
            <w:vAlign w:val="bottom"/>
            <w:tcBorders>
              <w:bottom w:val="single" w:sz="8" w:color="007B51"/>
            </w:tcBorders>
          </w:tcPr>
          <w:p>
            <w:pPr>
              <w:ind w:left="100"/>
              <w:spacing w:after="0"/>
              <w:rPr>
                <w:sz w:val="20"/>
                <w:szCs w:val="20"/>
                <w:color w:val="auto"/>
              </w:rPr>
            </w:pPr>
            <w:r>
              <w:rPr>
                <w:rFonts w:ascii="Arial" w:cs="Arial" w:eastAsia="Arial" w:hAnsi="Arial"/>
                <w:sz w:val="11"/>
                <w:szCs w:val="11"/>
                <w:b w:val="1"/>
                <w:bCs w:val="1"/>
                <w:color w:val="auto"/>
              </w:rPr>
              <w:t>NAME</w:t>
            </w:r>
          </w:p>
        </w:tc>
        <w:tc>
          <w:tcPr>
            <w:tcW w:w="1400" w:type="dxa"/>
            <w:vAlign w:val="bottom"/>
            <w:tcBorders>
              <w:bottom w:val="single" w:sz="8" w:color="007B51"/>
            </w:tcBorders>
          </w:tcPr>
          <w:p>
            <w:pPr>
              <w:jc w:val="center"/>
              <w:ind w:left="309"/>
              <w:spacing w:after="0"/>
              <w:rPr>
                <w:sz w:val="20"/>
                <w:szCs w:val="20"/>
                <w:color w:val="auto"/>
              </w:rPr>
            </w:pPr>
            <w:r>
              <w:rPr>
                <w:rFonts w:ascii="Arial" w:cs="Arial" w:eastAsia="Arial" w:hAnsi="Arial"/>
                <w:sz w:val="11"/>
                <w:szCs w:val="11"/>
                <w:b w:val="1"/>
                <w:bCs w:val="1"/>
                <w:color w:val="auto"/>
                <w:w w:val="97"/>
              </w:rPr>
              <w:t>GRANT DATE</w:t>
            </w:r>
          </w:p>
        </w:tc>
        <w:tc>
          <w:tcPr>
            <w:tcW w:w="860" w:type="dxa"/>
            <w:vAlign w:val="bottom"/>
            <w:tcBorders>
              <w:bottom w:val="single" w:sz="8" w:color="007B51"/>
            </w:tcBorders>
          </w:tcPr>
          <w:p>
            <w:pPr>
              <w:jc w:val="right"/>
              <w:ind w:right="53"/>
              <w:spacing w:after="0"/>
              <w:rPr>
                <w:sz w:val="20"/>
                <w:szCs w:val="20"/>
                <w:color w:val="auto"/>
              </w:rPr>
            </w:pPr>
            <w:r>
              <w:rPr>
                <w:rFonts w:ascii="Arial" w:cs="Arial" w:eastAsia="Arial" w:hAnsi="Arial"/>
                <w:sz w:val="11"/>
                <w:szCs w:val="11"/>
                <w:b w:val="1"/>
                <w:bCs w:val="1"/>
                <w:color w:val="auto"/>
              </w:rPr>
              <w:t>($)</w:t>
            </w:r>
          </w:p>
        </w:tc>
        <w:tc>
          <w:tcPr>
            <w:tcW w:w="1000" w:type="dxa"/>
            <w:vAlign w:val="bottom"/>
            <w:tcBorders>
              <w:bottom w:val="single" w:sz="8" w:color="007B51"/>
            </w:tcBorders>
            <w:gridSpan w:val="2"/>
            <w:vMerge w:val="continue"/>
          </w:tcPr>
          <w:p>
            <w:pPr>
              <w:spacing w:after="0"/>
              <w:rPr>
                <w:sz w:val="14"/>
                <w:szCs w:val="14"/>
                <w:color w:val="auto"/>
              </w:rPr>
            </w:pPr>
          </w:p>
        </w:tc>
        <w:tc>
          <w:tcPr>
            <w:tcW w:w="800" w:type="dxa"/>
            <w:vAlign w:val="bottom"/>
            <w:tcBorders>
              <w:bottom w:val="single" w:sz="8" w:color="007B51"/>
            </w:tcBorders>
          </w:tcPr>
          <w:p>
            <w:pPr>
              <w:jc w:val="center"/>
              <w:ind w:right="32"/>
              <w:spacing w:after="0"/>
              <w:rPr>
                <w:sz w:val="20"/>
                <w:szCs w:val="20"/>
                <w:color w:val="auto"/>
              </w:rPr>
            </w:pPr>
            <w:r>
              <w:rPr>
                <w:rFonts w:ascii="Arial" w:cs="Arial" w:eastAsia="Arial" w:hAnsi="Arial"/>
                <w:sz w:val="11"/>
                <w:szCs w:val="11"/>
                <w:b w:val="1"/>
                <w:bCs w:val="1"/>
                <w:color w:val="auto"/>
              </w:rPr>
              <w:t>(#)</w:t>
            </w:r>
          </w:p>
        </w:tc>
        <w:tc>
          <w:tcPr>
            <w:tcW w:w="840" w:type="dxa"/>
            <w:vAlign w:val="bottom"/>
            <w:tcBorders>
              <w:bottom w:val="single" w:sz="8" w:color="007B51"/>
            </w:tcBorders>
          </w:tcPr>
          <w:p>
            <w:pPr>
              <w:jc w:val="center"/>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007B51"/>
            </w:tcBorders>
          </w:tcPr>
          <w:p>
            <w:pPr>
              <w:jc w:val="center"/>
              <w:ind w:left="10"/>
              <w:spacing w:after="0"/>
              <w:rPr>
                <w:sz w:val="20"/>
                <w:szCs w:val="20"/>
                <w:color w:val="auto"/>
              </w:rPr>
            </w:pPr>
            <w:r>
              <w:rPr>
                <w:rFonts w:ascii="Arial" w:cs="Arial" w:eastAsia="Arial" w:hAnsi="Arial"/>
                <w:sz w:val="11"/>
                <w:szCs w:val="11"/>
                <w:b w:val="1"/>
                <w:bCs w:val="1"/>
                <w:color w:val="auto"/>
              </w:rPr>
              <w:t>(#)</w:t>
            </w:r>
          </w:p>
        </w:tc>
        <w:tc>
          <w:tcPr>
            <w:tcW w:w="1180" w:type="dxa"/>
            <w:vAlign w:val="bottom"/>
            <w:tcBorders>
              <w:bottom w:val="single" w:sz="8" w:color="007B51"/>
            </w:tcBorders>
          </w:tcPr>
          <w:p>
            <w:pPr>
              <w:jc w:val="center"/>
              <w:ind w:left="33"/>
              <w:spacing w:after="0"/>
              <w:rPr>
                <w:sz w:val="20"/>
                <w:szCs w:val="20"/>
                <w:color w:val="auto"/>
              </w:rPr>
            </w:pPr>
            <w:r>
              <w:rPr>
                <w:rFonts w:ascii="Arial" w:cs="Arial" w:eastAsia="Arial" w:hAnsi="Arial"/>
                <w:sz w:val="11"/>
                <w:szCs w:val="11"/>
                <w:b w:val="1"/>
                <w:bCs w:val="1"/>
                <w:color w:val="auto"/>
                <w:w w:val="88"/>
              </w:rPr>
              <w:t>(#)</w:t>
            </w:r>
          </w:p>
        </w:tc>
        <w:tc>
          <w:tcPr>
            <w:tcW w:w="820" w:type="dxa"/>
            <w:vAlign w:val="bottom"/>
            <w:tcBorders>
              <w:bottom w:val="single" w:sz="8" w:color="007B51"/>
            </w:tcBorders>
          </w:tcPr>
          <w:p>
            <w:pPr>
              <w:jc w:val="center"/>
              <w:ind w:left="32"/>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202"/>
        </w:trPr>
        <w:tc>
          <w:tcPr>
            <w:tcW w:w="2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60" w:type="dxa"/>
            <w:vAlign w:val="bottom"/>
          </w:tcPr>
          <w:p>
            <w:pPr>
              <w:ind w:left="300"/>
              <w:spacing w:after="0"/>
              <w:rPr>
                <w:sz w:val="20"/>
                <w:szCs w:val="20"/>
                <w:color w:val="auto"/>
              </w:rPr>
            </w:pPr>
            <w:r>
              <w:rPr>
                <w:rFonts w:ascii="Arial" w:cs="Arial" w:eastAsia="Arial" w:hAnsi="Arial"/>
                <w:sz w:val="14"/>
                <w:szCs w:val="14"/>
                <w:color w:val="231F20"/>
              </w:rPr>
              <w:t>—</w:t>
            </w:r>
          </w:p>
        </w:tc>
        <w:tc>
          <w:tcPr>
            <w:tcW w:w="840" w:type="dxa"/>
            <w:vAlign w:val="bottom"/>
          </w:tcPr>
          <w:p>
            <w:pPr>
              <w:jc w:val="center"/>
              <w:ind w:left="9"/>
              <w:spacing w:after="0"/>
              <w:rPr>
                <w:sz w:val="20"/>
                <w:szCs w:val="20"/>
                <w:color w:val="auto"/>
              </w:rPr>
            </w:pPr>
            <w:r>
              <w:rPr>
                <w:rFonts w:ascii="Arial" w:cs="Arial" w:eastAsia="Arial" w:hAnsi="Arial"/>
                <w:sz w:val="14"/>
                <w:szCs w:val="14"/>
                <w:color w:val="231F20"/>
              </w:rPr>
              <w:t>$1,726,482</w:t>
            </w:r>
          </w:p>
        </w:tc>
        <w:tc>
          <w:tcPr>
            <w:tcW w:w="160" w:type="dxa"/>
            <w:vAlign w:val="bottom"/>
          </w:tcPr>
          <w:p>
            <w:pPr>
              <w:spacing w:after="0"/>
              <w:rPr>
                <w:sz w:val="17"/>
                <w:szCs w:val="17"/>
                <w:color w:val="auto"/>
              </w:rPr>
            </w:pPr>
          </w:p>
        </w:tc>
        <w:tc>
          <w:tcPr>
            <w:tcW w:w="800" w:type="dxa"/>
            <w:vAlign w:val="bottom"/>
          </w:tcPr>
          <w:p>
            <w:pPr>
              <w:jc w:val="center"/>
              <w:ind w:right="32"/>
              <w:spacing w:after="0"/>
              <w:rPr>
                <w:sz w:val="20"/>
                <w:szCs w:val="20"/>
                <w:color w:val="auto"/>
              </w:rPr>
            </w:pPr>
            <w:r>
              <w:rPr>
                <w:rFonts w:ascii="Arial" w:cs="Arial" w:eastAsia="Arial" w:hAnsi="Arial"/>
                <w:sz w:val="14"/>
                <w:szCs w:val="14"/>
                <w:color w:val="231F20"/>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231F20"/>
                <w:w w:val="99"/>
              </w:rPr>
              <w:t>—</w:t>
            </w:r>
          </w:p>
        </w:tc>
        <w:tc>
          <w:tcPr>
            <w:tcW w:w="740" w:type="dxa"/>
            <w:vAlign w:val="bottom"/>
          </w:tcPr>
          <w:p>
            <w:pPr>
              <w:jc w:val="center"/>
              <w:ind w:left="10"/>
              <w:spacing w:after="0"/>
              <w:rPr>
                <w:sz w:val="20"/>
                <w:szCs w:val="20"/>
                <w:color w:val="auto"/>
              </w:rPr>
            </w:pPr>
            <w:r>
              <w:rPr>
                <w:rFonts w:ascii="Arial" w:cs="Arial" w:eastAsia="Arial" w:hAnsi="Arial"/>
                <w:sz w:val="14"/>
                <w:szCs w:val="14"/>
                <w:color w:val="231F20"/>
                <w:w w:val="99"/>
              </w:rPr>
              <w:t>—</w:t>
            </w:r>
          </w:p>
        </w:tc>
        <w:tc>
          <w:tcPr>
            <w:tcW w:w="1180" w:type="dxa"/>
            <w:vAlign w:val="bottom"/>
          </w:tcPr>
          <w:p>
            <w:pPr>
              <w:jc w:val="center"/>
              <w:ind w:left="33"/>
              <w:spacing w:after="0"/>
              <w:rPr>
                <w:sz w:val="20"/>
                <w:szCs w:val="20"/>
                <w:color w:val="auto"/>
              </w:rPr>
            </w:pPr>
            <w:r>
              <w:rPr>
                <w:rFonts w:ascii="Arial" w:cs="Arial" w:eastAsia="Arial" w:hAnsi="Arial"/>
                <w:sz w:val="14"/>
                <w:szCs w:val="14"/>
                <w:color w:val="231F20"/>
              </w:rPr>
              <w:t>—</w:t>
            </w:r>
          </w:p>
        </w:tc>
        <w:tc>
          <w:tcPr>
            <w:tcW w:w="820" w:type="dxa"/>
            <w:vAlign w:val="bottom"/>
          </w:tcPr>
          <w:p>
            <w:pPr>
              <w:jc w:val="center"/>
              <w:ind w:left="32"/>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216"/>
        </w:trPr>
        <w:tc>
          <w:tcPr>
            <w:tcW w:w="2080" w:type="dxa"/>
            <w:vAlign w:val="bottom"/>
            <w:vMerge w:val="restart"/>
          </w:tcPr>
          <w:p>
            <w:pPr>
              <w:ind w:left="100"/>
              <w:spacing w:after="0"/>
              <w:rPr>
                <w:sz w:val="20"/>
                <w:szCs w:val="20"/>
                <w:color w:val="auto"/>
              </w:rPr>
            </w:pPr>
            <w:r>
              <w:rPr>
                <w:rFonts w:ascii="Arial" w:cs="Arial" w:eastAsia="Arial" w:hAnsi="Arial"/>
                <w:sz w:val="14"/>
                <w:szCs w:val="14"/>
                <w:b w:val="1"/>
                <w:bCs w:val="1"/>
                <w:color w:val="007B52"/>
              </w:rPr>
              <w:t>Matthew J. Missad</w:t>
            </w:r>
          </w:p>
        </w:tc>
        <w:tc>
          <w:tcPr>
            <w:tcW w:w="1400" w:type="dxa"/>
            <w:vAlign w:val="bottom"/>
          </w:tcPr>
          <w:p>
            <w:pPr>
              <w:jc w:val="center"/>
              <w:ind w:left="289"/>
              <w:spacing w:after="0"/>
              <w:rPr>
                <w:sz w:val="20"/>
                <w:szCs w:val="20"/>
                <w:color w:val="auto"/>
              </w:rPr>
            </w:pPr>
            <w:r>
              <w:rPr>
                <w:rFonts w:ascii="Arial" w:cs="Arial" w:eastAsia="Arial" w:hAnsi="Arial"/>
                <w:sz w:val="14"/>
                <w:szCs w:val="14"/>
                <w:color w:val="231F20"/>
              </w:rPr>
              <w:t>02/27/23</w:t>
            </w:r>
          </w:p>
        </w:tc>
        <w:tc>
          <w:tcPr>
            <w:tcW w:w="860" w:type="dxa"/>
            <w:vAlign w:val="bottom"/>
          </w:tcPr>
          <w:p>
            <w:pPr>
              <w:ind w:left="300"/>
              <w:spacing w:after="0"/>
              <w:rPr>
                <w:sz w:val="20"/>
                <w:szCs w:val="20"/>
                <w:color w:val="auto"/>
              </w:rPr>
            </w:pPr>
            <w:r>
              <w:rPr>
                <w:rFonts w:ascii="Arial" w:cs="Arial" w:eastAsia="Arial" w:hAnsi="Arial"/>
                <w:sz w:val="14"/>
                <w:szCs w:val="14"/>
                <w:color w:val="231F20"/>
              </w:rPr>
              <w:t>—</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color w:val="231F20"/>
                <w:w w:val="99"/>
              </w:rPr>
              <w:t>—</w:t>
            </w:r>
          </w:p>
        </w:tc>
        <w:tc>
          <w:tcPr>
            <w:tcW w:w="800" w:type="dxa"/>
            <w:vAlign w:val="bottom"/>
          </w:tcPr>
          <w:p>
            <w:pPr>
              <w:jc w:val="center"/>
              <w:ind w:right="52"/>
              <w:spacing w:after="0"/>
              <w:rPr>
                <w:sz w:val="20"/>
                <w:szCs w:val="20"/>
                <w:color w:val="auto"/>
              </w:rPr>
            </w:pPr>
            <w:r>
              <w:rPr>
                <w:rFonts w:ascii="Arial" w:cs="Arial" w:eastAsia="Arial" w:hAnsi="Arial"/>
                <w:sz w:val="14"/>
                <w:szCs w:val="14"/>
                <w:color w:val="231F20"/>
              </w:rPr>
              <w:t>4,415</w:t>
            </w:r>
          </w:p>
        </w:tc>
        <w:tc>
          <w:tcPr>
            <w:tcW w:w="840" w:type="dxa"/>
            <w:vAlign w:val="bottom"/>
          </w:tcPr>
          <w:p>
            <w:pPr>
              <w:jc w:val="center"/>
              <w:spacing w:after="0"/>
              <w:rPr>
                <w:sz w:val="20"/>
                <w:szCs w:val="20"/>
                <w:color w:val="auto"/>
              </w:rPr>
            </w:pPr>
            <w:r>
              <w:rPr>
                <w:rFonts w:ascii="Arial" w:cs="Arial" w:eastAsia="Arial" w:hAnsi="Arial"/>
                <w:sz w:val="14"/>
                <w:szCs w:val="14"/>
                <w:color w:val="231F20"/>
              </w:rPr>
              <w:t>8,831</w:t>
            </w:r>
          </w:p>
        </w:tc>
        <w:tc>
          <w:tcPr>
            <w:tcW w:w="740" w:type="dxa"/>
            <w:vAlign w:val="bottom"/>
          </w:tcPr>
          <w:p>
            <w:pPr>
              <w:jc w:val="center"/>
              <w:ind w:left="30"/>
              <w:spacing w:after="0"/>
              <w:rPr>
                <w:sz w:val="20"/>
                <w:szCs w:val="20"/>
                <w:color w:val="auto"/>
              </w:rPr>
            </w:pPr>
            <w:r>
              <w:rPr>
                <w:rFonts w:ascii="Arial" w:cs="Arial" w:eastAsia="Arial" w:hAnsi="Arial"/>
                <w:sz w:val="14"/>
                <w:szCs w:val="14"/>
                <w:color w:val="231F20"/>
              </w:rPr>
              <w:t>17,662</w:t>
            </w:r>
          </w:p>
        </w:tc>
        <w:tc>
          <w:tcPr>
            <w:tcW w:w="1180" w:type="dxa"/>
            <w:vAlign w:val="bottom"/>
          </w:tcPr>
          <w:p>
            <w:pPr>
              <w:jc w:val="center"/>
              <w:ind w:left="33"/>
              <w:spacing w:after="0"/>
              <w:rPr>
                <w:sz w:val="20"/>
                <w:szCs w:val="20"/>
                <w:color w:val="auto"/>
              </w:rPr>
            </w:pPr>
            <w:r>
              <w:rPr>
                <w:rFonts w:ascii="Arial" w:cs="Arial" w:eastAsia="Arial" w:hAnsi="Arial"/>
                <w:sz w:val="14"/>
                <w:szCs w:val="14"/>
                <w:color w:val="231F20"/>
              </w:rPr>
              <w:t>—</w:t>
            </w:r>
          </w:p>
        </w:tc>
        <w:tc>
          <w:tcPr>
            <w:tcW w:w="820" w:type="dxa"/>
            <w:vAlign w:val="bottom"/>
          </w:tcPr>
          <w:p>
            <w:pPr>
              <w:jc w:val="center"/>
              <w:ind w:left="32"/>
              <w:spacing w:after="0"/>
              <w:rPr>
                <w:sz w:val="20"/>
                <w:szCs w:val="20"/>
                <w:color w:val="auto"/>
              </w:rPr>
            </w:pPr>
            <w:r>
              <w:rPr>
                <w:rFonts w:ascii="Arial" w:cs="Arial" w:eastAsia="Arial" w:hAnsi="Arial"/>
                <w:sz w:val="14"/>
                <w:szCs w:val="14"/>
                <w:color w:val="231F20"/>
              </w:rPr>
              <w:t>$760,980</w:t>
            </w:r>
          </w:p>
        </w:tc>
        <w:tc>
          <w:tcPr>
            <w:tcW w:w="0" w:type="dxa"/>
            <w:vAlign w:val="bottom"/>
          </w:tcPr>
          <w:p>
            <w:pPr>
              <w:spacing w:after="0"/>
              <w:rPr>
                <w:sz w:val="1"/>
                <w:szCs w:val="1"/>
                <w:color w:val="auto"/>
              </w:rPr>
            </w:pPr>
          </w:p>
        </w:tc>
      </w:tr>
      <w:tr>
        <w:trPr>
          <w:trHeight w:val="114"/>
        </w:trPr>
        <w:tc>
          <w:tcPr>
            <w:tcW w:w="2080" w:type="dxa"/>
            <w:vAlign w:val="bottom"/>
            <w:vMerge w:val="continue"/>
          </w:tcPr>
          <w:p>
            <w:pPr>
              <w:spacing w:after="0"/>
              <w:rPr>
                <w:sz w:val="9"/>
                <w:szCs w:val="9"/>
                <w:color w:val="auto"/>
              </w:rPr>
            </w:pPr>
          </w:p>
        </w:tc>
        <w:tc>
          <w:tcPr>
            <w:tcW w:w="1400" w:type="dxa"/>
            <w:vAlign w:val="bottom"/>
            <w:vMerge w:val="restart"/>
          </w:tcPr>
          <w:p>
            <w:pPr>
              <w:jc w:val="center"/>
              <w:ind w:left="289"/>
              <w:spacing w:after="0"/>
              <w:rPr>
                <w:sz w:val="20"/>
                <w:szCs w:val="20"/>
                <w:color w:val="auto"/>
              </w:rPr>
            </w:pPr>
            <w:r>
              <w:rPr>
                <w:rFonts w:ascii="Arial" w:cs="Arial" w:eastAsia="Arial" w:hAnsi="Arial"/>
                <w:sz w:val="14"/>
                <w:szCs w:val="14"/>
                <w:color w:val="231F20"/>
              </w:rPr>
              <w:t>02/27/23</w:t>
            </w:r>
          </w:p>
        </w:tc>
        <w:tc>
          <w:tcPr>
            <w:tcW w:w="860" w:type="dxa"/>
            <w:vAlign w:val="bottom"/>
            <w:vMerge w:val="restart"/>
          </w:tcPr>
          <w:p>
            <w:pPr>
              <w:ind w:left="300"/>
              <w:spacing w:after="0"/>
              <w:rPr>
                <w:sz w:val="20"/>
                <w:szCs w:val="20"/>
                <w:color w:val="auto"/>
              </w:rPr>
            </w:pPr>
            <w:r>
              <w:rPr>
                <w:rFonts w:ascii="Arial" w:cs="Arial" w:eastAsia="Arial" w:hAnsi="Arial"/>
                <w:sz w:val="14"/>
                <w:szCs w:val="14"/>
                <w:color w:val="231F20"/>
              </w:rPr>
              <w:t>—</w:t>
            </w:r>
          </w:p>
        </w:tc>
        <w:tc>
          <w:tcPr>
            <w:tcW w:w="100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231F20"/>
                <w:w w:val="99"/>
              </w:rPr>
              <w:t>—</w:t>
            </w:r>
          </w:p>
        </w:tc>
        <w:tc>
          <w:tcPr>
            <w:tcW w:w="800" w:type="dxa"/>
            <w:vAlign w:val="bottom"/>
            <w:vMerge w:val="restart"/>
          </w:tcPr>
          <w:p>
            <w:pPr>
              <w:jc w:val="center"/>
              <w:ind w:right="32"/>
              <w:spacing w:after="0"/>
              <w:rPr>
                <w:sz w:val="20"/>
                <w:szCs w:val="20"/>
                <w:color w:val="auto"/>
              </w:rPr>
            </w:pPr>
            <w:r>
              <w:rPr>
                <w:rFonts w:ascii="Arial" w:cs="Arial" w:eastAsia="Arial" w:hAnsi="Arial"/>
                <w:sz w:val="14"/>
                <w:szCs w:val="14"/>
                <w:color w:val="231F20"/>
                <w:w w:val="99"/>
              </w:rPr>
              <w:t>—</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231F20"/>
                <w:w w:val="99"/>
              </w:rPr>
              <w:t>—</w:t>
            </w:r>
          </w:p>
        </w:tc>
        <w:tc>
          <w:tcPr>
            <w:tcW w:w="740" w:type="dxa"/>
            <w:vAlign w:val="bottom"/>
            <w:vMerge w:val="restart"/>
          </w:tcPr>
          <w:p>
            <w:pPr>
              <w:jc w:val="center"/>
              <w:ind w:left="10"/>
              <w:spacing w:after="0"/>
              <w:rPr>
                <w:sz w:val="20"/>
                <w:szCs w:val="20"/>
                <w:color w:val="auto"/>
              </w:rPr>
            </w:pPr>
            <w:r>
              <w:rPr>
                <w:rFonts w:ascii="Arial" w:cs="Arial" w:eastAsia="Arial" w:hAnsi="Arial"/>
                <w:sz w:val="14"/>
                <w:szCs w:val="14"/>
                <w:color w:val="231F20"/>
                <w:w w:val="99"/>
              </w:rPr>
              <w:t>—</w:t>
            </w:r>
          </w:p>
        </w:tc>
        <w:tc>
          <w:tcPr>
            <w:tcW w:w="1180" w:type="dxa"/>
            <w:vAlign w:val="bottom"/>
            <w:vMerge w:val="restart"/>
          </w:tcPr>
          <w:p>
            <w:pPr>
              <w:jc w:val="center"/>
              <w:ind w:left="33"/>
              <w:spacing w:after="0"/>
              <w:rPr>
                <w:sz w:val="20"/>
                <w:szCs w:val="20"/>
                <w:color w:val="auto"/>
              </w:rPr>
            </w:pPr>
            <w:r>
              <w:rPr>
                <w:rFonts w:ascii="Arial" w:cs="Arial" w:eastAsia="Arial" w:hAnsi="Arial"/>
                <w:sz w:val="14"/>
                <w:szCs w:val="14"/>
                <w:color w:val="231F20"/>
              </w:rPr>
              <w:t>79,480</w:t>
            </w:r>
          </w:p>
        </w:tc>
        <w:tc>
          <w:tcPr>
            <w:tcW w:w="820" w:type="dxa"/>
            <w:vAlign w:val="bottom"/>
            <w:vMerge w:val="restart"/>
          </w:tcPr>
          <w:p>
            <w:pPr>
              <w:jc w:val="center"/>
              <w:ind w:left="32"/>
              <w:spacing w:after="0"/>
              <w:rPr>
                <w:sz w:val="20"/>
                <w:szCs w:val="20"/>
                <w:color w:val="auto"/>
              </w:rPr>
            </w:pPr>
            <w:r>
              <w:rPr>
                <w:rFonts w:ascii="Arial" w:cs="Arial" w:eastAsia="Arial" w:hAnsi="Arial"/>
                <w:sz w:val="14"/>
                <w:szCs w:val="14"/>
                <w:color w:val="231F20"/>
              </w:rPr>
              <w:t>$6,845,612</w:t>
            </w:r>
          </w:p>
        </w:tc>
        <w:tc>
          <w:tcPr>
            <w:tcW w:w="0" w:type="dxa"/>
            <w:vAlign w:val="bottom"/>
          </w:tcPr>
          <w:p>
            <w:pPr>
              <w:spacing w:after="0"/>
              <w:rPr>
                <w:sz w:val="1"/>
                <w:szCs w:val="1"/>
                <w:color w:val="auto"/>
              </w:rPr>
            </w:pPr>
          </w:p>
        </w:tc>
      </w:tr>
      <w:tr>
        <w:trPr>
          <w:trHeight w:val="102"/>
        </w:trPr>
        <w:tc>
          <w:tcPr>
            <w:tcW w:w="208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080" w:type="dxa"/>
            <w:vAlign w:val="bottom"/>
            <w:tcBorders>
              <w:bottom w:val="single" w:sz="8" w:color="008000"/>
            </w:tcBorders>
          </w:tcPr>
          <w:p>
            <w:pPr>
              <w:spacing w:after="0"/>
              <w:rPr>
                <w:sz w:val="21"/>
                <w:szCs w:val="21"/>
                <w:color w:val="auto"/>
              </w:rPr>
            </w:pPr>
          </w:p>
        </w:tc>
        <w:tc>
          <w:tcPr>
            <w:tcW w:w="1400" w:type="dxa"/>
            <w:vAlign w:val="bottom"/>
            <w:tcBorders>
              <w:bottom w:val="single" w:sz="8" w:color="008000"/>
            </w:tcBorders>
          </w:tcPr>
          <w:p>
            <w:pPr>
              <w:jc w:val="center"/>
              <w:ind w:left="289"/>
              <w:spacing w:after="0"/>
              <w:rPr>
                <w:sz w:val="20"/>
                <w:szCs w:val="20"/>
                <w:color w:val="auto"/>
              </w:rPr>
            </w:pPr>
            <w:r>
              <w:rPr>
                <w:rFonts w:ascii="Arial" w:cs="Arial" w:eastAsia="Arial" w:hAnsi="Arial"/>
                <w:sz w:val="14"/>
                <w:szCs w:val="14"/>
                <w:color w:val="231F20"/>
              </w:rPr>
              <w:t>03/02/23</w:t>
            </w:r>
          </w:p>
        </w:tc>
        <w:tc>
          <w:tcPr>
            <w:tcW w:w="860" w:type="dxa"/>
            <w:vAlign w:val="bottom"/>
            <w:tcBorders>
              <w:bottom w:val="single" w:sz="8" w:color="008000"/>
            </w:tcBorders>
          </w:tcPr>
          <w:p>
            <w:pPr>
              <w:spacing w:after="0"/>
              <w:rPr>
                <w:sz w:val="21"/>
                <w:szCs w:val="21"/>
                <w:color w:val="auto"/>
              </w:rPr>
            </w:pPr>
          </w:p>
        </w:tc>
        <w:tc>
          <w:tcPr>
            <w:tcW w:w="840" w:type="dxa"/>
            <w:vAlign w:val="bottom"/>
            <w:tcBorders>
              <w:bottom w:val="single" w:sz="8" w:color="008000"/>
            </w:tcBorders>
          </w:tcPr>
          <w:p>
            <w:pPr>
              <w:spacing w:after="0"/>
              <w:rPr>
                <w:sz w:val="21"/>
                <w:szCs w:val="21"/>
                <w:color w:val="auto"/>
              </w:rPr>
            </w:pPr>
          </w:p>
        </w:tc>
        <w:tc>
          <w:tcPr>
            <w:tcW w:w="160" w:type="dxa"/>
            <w:vAlign w:val="bottom"/>
            <w:tcBorders>
              <w:bottom w:val="single" w:sz="8" w:color="008000"/>
            </w:tcBorders>
          </w:tcPr>
          <w:p>
            <w:pPr>
              <w:spacing w:after="0"/>
              <w:rPr>
                <w:sz w:val="21"/>
                <w:szCs w:val="21"/>
                <w:color w:val="auto"/>
              </w:rPr>
            </w:pPr>
          </w:p>
        </w:tc>
        <w:tc>
          <w:tcPr>
            <w:tcW w:w="800" w:type="dxa"/>
            <w:vAlign w:val="bottom"/>
            <w:tcBorders>
              <w:bottom w:val="single" w:sz="8" w:color="008000"/>
            </w:tcBorders>
          </w:tcPr>
          <w:p>
            <w:pPr>
              <w:spacing w:after="0"/>
              <w:rPr>
                <w:sz w:val="21"/>
                <w:szCs w:val="21"/>
                <w:color w:val="auto"/>
              </w:rPr>
            </w:pPr>
          </w:p>
        </w:tc>
        <w:tc>
          <w:tcPr>
            <w:tcW w:w="840" w:type="dxa"/>
            <w:vAlign w:val="bottom"/>
            <w:tcBorders>
              <w:bottom w:val="single" w:sz="8" w:color="008000"/>
            </w:tcBorders>
          </w:tcPr>
          <w:p>
            <w:pPr>
              <w:spacing w:after="0"/>
              <w:rPr>
                <w:sz w:val="21"/>
                <w:szCs w:val="21"/>
                <w:color w:val="auto"/>
              </w:rPr>
            </w:pPr>
          </w:p>
        </w:tc>
        <w:tc>
          <w:tcPr>
            <w:tcW w:w="740" w:type="dxa"/>
            <w:vAlign w:val="bottom"/>
            <w:tcBorders>
              <w:bottom w:val="single" w:sz="8" w:color="008000"/>
            </w:tcBorders>
          </w:tcPr>
          <w:p>
            <w:pPr>
              <w:spacing w:after="0"/>
              <w:rPr>
                <w:sz w:val="21"/>
                <w:szCs w:val="21"/>
                <w:color w:val="auto"/>
              </w:rPr>
            </w:pPr>
          </w:p>
        </w:tc>
        <w:tc>
          <w:tcPr>
            <w:tcW w:w="1180" w:type="dxa"/>
            <w:vAlign w:val="bottom"/>
            <w:tcBorders>
              <w:bottom w:val="single" w:sz="8" w:color="008000"/>
            </w:tcBorders>
          </w:tcPr>
          <w:p>
            <w:pPr>
              <w:jc w:val="center"/>
              <w:ind w:left="33"/>
              <w:spacing w:after="0" w:line="251" w:lineRule="exact"/>
              <w:rPr>
                <w:sz w:val="20"/>
                <w:szCs w:val="20"/>
                <w:color w:val="auto"/>
              </w:rPr>
            </w:pPr>
            <w:r>
              <w:rPr>
                <w:rFonts w:ascii="Arial" w:cs="Arial" w:eastAsia="Arial" w:hAnsi="Arial"/>
                <w:sz w:val="14"/>
                <w:szCs w:val="14"/>
                <w:color w:val="auto"/>
                <w:w w:val="96"/>
              </w:rPr>
              <w:t>1,060</w:t>
            </w:r>
            <w:r>
              <w:rPr>
                <w:rFonts w:ascii="Arial" w:cs="Arial" w:eastAsia="Arial" w:hAnsi="Arial"/>
                <w:sz w:val="23"/>
                <w:szCs w:val="23"/>
                <w:color w:val="auto"/>
                <w:w w:val="96"/>
                <w:vertAlign w:val="superscript"/>
              </w:rPr>
              <w:t>(5)</w:t>
            </w:r>
          </w:p>
        </w:tc>
        <w:tc>
          <w:tcPr>
            <w:tcW w:w="820" w:type="dxa"/>
            <w:vAlign w:val="bottom"/>
            <w:tcBorders>
              <w:bottom w:val="single" w:sz="8" w:color="008000"/>
            </w:tcBorders>
          </w:tcPr>
          <w:p>
            <w:pPr>
              <w:jc w:val="center"/>
              <w:ind w:left="32"/>
              <w:spacing w:after="0"/>
              <w:rPr>
                <w:sz w:val="20"/>
                <w:szCs w:val="20"/>
                <w:color w:val="auto"/>
              </w:rPr>
            </w:pPr>
            <w:r>
              <w:rPr>
                <w:rFonts w:ascii="Arial" w:cs="Arial" w:eastAsia="Arial" w:hAnsi="Arial"/>
                <w:sz w:val="14"/>
                <w:szCs w:val="14"/>
                <w:color w:val="231F20"/>
              </w:rPr>
              <w:t>$90,970</w:t>
            </w:r>
          </w:p>
        </w:tc>
        <w:tc>
          <w:tcPr>
            <w:tcW w:w="0" w:type="dxa"/>
            <w:vAlign w:val="bottom"/>
          </w:tcPr>
          <w:p>
            <w:pPr>
              <w:spacing w:after="0"/>
              <w:rPr>
                <w:sz w:val="1"/>
                <w:szCs w:val="1"/>
                <w:color w:val="auto"/>
              </w:rPr>
            </w:pPr>
          </w:p>
        </w:tc>
      </w:tr>
      <w:tr>
        <w:trPr>
          <w:trHeight w:val="202"/>
        </w:trPr>
        <w:tc>
          <w:tcPr>
            <w:tcW w:w="2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60" w:type="dxa"/>
            <w:vAlign w:val="bottom"/>
          </w:tcPr>
          <w:p>
            <w:pPr>
              <w:ind w:left="300"/>
              <w:spacing w:after="0"/>
              <w:rPr>
                <w:sz w:val="20"/>
                <w:szCs w:val="20"/>
                <w:color w:val="auto"/>
              </w:rPr>
            </w:pPr>
            <w:r>
              <w:rPr>
                <w:rFonts w:ascii="Arial" w:cs="Arial" w:eastAsia="Arial" w:hAnsi="Arial"/>
                <w:sz w:val="14"/>
                <w:szCs w:val="14"/>
                <w:color w:val="231F20"/>
              </w:rPr>
              <w:t>—</w:t>
            </w:r>
          </w:p>
        </w:tc>
        <w:tc>
          <w:tcPr>
            <w:tcW w:w="840" w:type="dxa"/>
            <w:vAlign w:val="bottom"/>
          </w:tcPr>
          <w:p>
            <w:pPr>
              <w:jc w:val="center"/>
              <w:ind w:left="9"/>
              <w:spacing w:after="0"/>
              <w:rPr>
                <w:sz w:val="20"/>
                <w:szCs w:val="20"/>
                <w:color w:val="auto"/>
              </w:rPr>
            </w:pPr>
            <w:r>
              <w:rPr>
                <w:rFonts w:ascii="Arial" w:cs="Arial" w:eastAsia="Arial" w:hAnsi="Arial"/>
                <w:sz w:val="14"/>
                <w:szCs w:val="14"/>
                <w:color w:val="231F20"/>
              </w:rPr>
              <w:t>$930,000</w:t>
            </w:r>
          </w:p>
        </w:tc>
        <w:tc>
          <w:tcPr>
            <w:tcW w:w="160" w:type="dxa"/>
            <w:vAlign w:val="bottom"/>
          </w:tcPr>
          <w:p>
            <w:pPr>
              <w:spacing w:after="0"/>
              <w:rPr>
                <w:sz w:val="17"/>
                <w:szCs w:val="17"/>
                <w:color w:val="auto"/>
              </w:rPr>
            </w:pPr>
          </w:p>
        </w:tc>
        <w:tc>
          <w:tcPr>
            <w:tcW w:w="800" w:type="dxa"/>
            <w:vAlign w:val="bottom"/>
          </w:tcPr>
          <w:p>
            <w:pPr>
              <w:jc w:val="center"/>
              <w:ind w:right="32"/>
              <w:spacing w:after="0"/>
              <w:rPr>
                <w:sz w:val="20"/>
                <w:szCs w:val="20"/>
                <w:color w:val="auto"/>
              </w:rPr>
            </w:pPr>
            <w:r>
              <w:rPr>
                <w:rFonts w:ascii="Arial" w:cs="Arial" w:eastAsia="Arial" w:hAnsi="Arial"/>
                <w:sz w:val="14"/>
                <w:szCs w:val="14"/>
                <w:color w:val="231F20"/>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231F20"/>
                <w:w w:val="99"/>
              </w:rPr>
              <w:t>—</w:t>
            </w:r>
          </w:p>
        </w:tc>
        <w:tc>
          <w:tcPr>
            <w:tcW w:w="740" w:type="dxa"/>
            <w:vAlign w:val="bottom"/>
          </w:tcPr>
          <w:p>
            <w:pPr>
              <w:jc w:val="center"/>
              <w:ind w:left="10"/>
              <w:spacing w:after="0"/>
              <w:rPr>
                <w:sz w:val="20"/>
                <w:szCs w:val="20"/>
                <w:color w:val="auto"/>
              </w:rPr>
            </w:pPr>
            <w:r>
              <w:rPr>
                <w:rFonts w:ascii="Arial" w:cs="Arial" w:eastAsia="Arial" w:hAnsi="Arial"/>
                <w:sz w:val="14"/>
                <w:szCs w:val="14"/>
                <w:color w:val="231F20"/>
                <w:w w:val="99"/>
              </w:rPr>
              <w:t>—</w:t>
            </w:r>
          </w:p>
        </w:tc>
        <w:tc>
          <w:tcPr>
            <w:tcW w:w="1180" w:type="dxa"/>
            <w:vAlign w:val="bottom"/>
          </w:tcPr>
          <w:p>
            <w:pPr>
              <w:jc w:val="center"/>
              <w:ind w:left="33"/>
              <w:spacing w:after="0"/>
              <w:rPr>
                <w:sz w:val="20"/>
                <w:szCs w:val="20"/>
                <w:color w:val="auto"/>
              </w:rPr>
            </w:pPr>
            <w:r>
              <w:rPr>
                <w:rFonts w:ascii="Arial" w:cs="Arial" w:eastAsia="Arial" w:hAnsi="Arial"/>
                <w:sz w:val="14"/>
                <w:szCs w:val="14"/>
                <w:color w:val="231F20"/>
              </w:rPr>
              <w:t>—</w:t>
            </w:r>
          </w:p>
        </w:tc>
        <w:tc>
          <w:tcPr>
            <w:tcW w:w="820" w:type="dxa"/>
            <w:vAlign w:val="bottom"/>
          </w:tcPr>
          <w:p>
            <w:pPr>
              <w:jc w:val="center"/>
              <w:ind w:left="32"/>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216"/>
        </w:trPr>
        <w:tc>
          <w:tcPr>
            <w:tcW w:w="2080" w:type="dxa"/>
            <w:vAlign w:val="bottom"/>
            <w:vMerge w:val="restart"/>
          </w:tcPr>
          <w:p>
            <w:pPr>
              <w:ind w:left="100"/>
              <w:spacing w:after="0"/>
              <w:rPr>
                <w:sz w:val="20"/>
                <w:szCs w:val="20"/>
                <w:color w:val="auto"/>
              </w:rPr>
            </w:pPr>
            <w:r>
              <w:rPr>
                <w:rFonts w:ascii="Arial" w:cs="Arial" w:eastAsia="Arial" w:hAnsi="Arial"/>
                <w:sz w:val="14"/>
                <w:szCs w:val="14"/>
                <w:b w:val="1"/>
                <w:bCs w:val="1"/>
                <w:color w:val="007B52"/>
              </w:rPr>
              <w:t>Michael R. Cole</w:t>
            </w:r>
          </w:p>
        </w:tc>
        <w:tc>
          <w:tcPr>
            <w:tcW w:w="1400" w:type="dxa"/>
            <w:vAlign w:val="bottom"/>
          </w:tcPr>
          <w:p>
            <w:pPr>
              <w:jc w:val="center"/>
              <w:ind w:left="289"/>
              <w:spacing w:after="0"/>
              <w:rPr>
                <w:sz w:val="20"/>
                <w:szCs w:val="20"/>
                <w:color w:val="auto"/>
              </w:rPr>
            </w:pPr>
            <w:r>
              <w:rPr>
                <w:rFonts w:ascii="Arial" w:cs="Arial" w:eastAsia="Arial" w:hAnsi="Arial"/>
                <w:sz w:val="14"/>
                <w:szCs w:val="14"/>
                <w:color w:val="231F20"/>
              </w:rPr>
              <w:t>02/27/23</w:t>
            </w:r>
          </w:p>
        </w:tc>
        <w:tc>
          <w:tcPr>
            <w:tcW w:w="860" w:type="dxa"/>
            <w:vAlign w:val="bottom"/>
          </w:tcPr>
          <w:p>
            <w:pPr>
              <w:ind w:left="300"/>
              <w:spacing w:after="0"/>
              <w:rPr>
                <w:sz w:val="20"/>
                <w:szCs w:val="20"/>
                <w:color w:val="auto"/>
              </w:rPr>
            </w:pPr>
            <w:r>
              <w:rPr>
                <w:rFonts w:ascii="Arial" w:cs="Arial" w:eastAsia="Arial" w:hAnsi="Arial"/>
                <w:sz w:val="14"/>
                <w:szCs w:val="14"/>
                <w:color w:val="231F20"/>
              </w:rPr>
              <w:t>—</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color w:val="231F20"/>
                <w:w w:val="99"/>
              </w:rPr>
              <w:t>—</w:t>
            </w:r>
          </w:p>
        </w:tc>
        <w:tc>
          <w:tcPr>
            <w:tcW w:w="800" w:type="dxa"/>
            <w:vAlign w:val="bottom"/>
          </w:tcPr>
          <w:p>
            <w:pPr>
              <w:jc w:val="center"/>
              <w:ind w:right="52"/>
              <w:spacing w:after="0"/>
              <w:rPr>
                <w:sz w:val="20"/>
                <w:szCs w:val="20"/>
                <w:color w:val="auto"/>
              </w:rPr>
            </w:pPr>
            <w:r>
              <w:rPr>
                <w:rFonts w:ascii="Arial" w:cs="Arial" w:eastAsia="Arial" w:hAnsi="Arial"/>
                <w:sz w:val="14"/>
                <w:szCs w:val="14"/>
                <w:color w:val="231F20"/>
              </w:rPr>
              <w:t>1,685</w:t>
            </w:r>
          </w:p>
        </w:tc>
        <w:tc>
          <w:tcPr>
            <w:tcW w:w="840" w:type="dxa"/>
            <w:vAlign w:val="bottom"/>
          </w:tcPr>
          <w:p>
            <w:pPr>
              <w:jc w:val="center"/>
              <w:spacing w:after="0"/>
              <w:rPr>
                <w:sz w:val="20"/>
                <w:szCs w:val="20"/>
                <w:color w:val="auto"/>
              </w:rPr>
            </w:pPr>
            <w:r>
              <w:rPr>
                <w:rFonts w:ascii="Arial" w:cs="Arial" w:eastAsia="Arial" w:hAnsi="Arial"/>
                <w:sz w:val="14"/>
                <w:szCs w:val="14"/>
                <w:color w:val="231F20"/>
              </w:rPr>
              <w:t>3,370</w:t>
            </w:r>
          </w:p>
        </w:tc>
        <w:tc>
          <w:tcPr>
            <w:tcW w:w="740" w:type="dxa"/>
            <w:vAlign w:val="bottom"/>
          </w:tcPr>
          <w:p>
            <w:pPr>
              <w:jc w:val="center"/>
              <w:ind w:left="30"/>
              <w:spacing w:after="0"/>
              <w:rPr>
                <w:sz w:val="20"/>
                <w:szCs w:val="20"/>
                <w:color w:val="auto"/>
              </w:rPr>
            </w:pPr>
            <w:r>
              <w:rPr>
                <w:rFonts w:ascii="Arial" w:cs="Arial" w:eastAsia="Arial" w:hAnsi="Arial"/>
                <w:sz w:val="14"/>
                <w:szCs w:val="14"/>
                <w:color w:val="231F20"/>
              </w:rPr>
              <w:t>6,740</w:t>
            </w:r>
          </w:p>
        </w:tc>
        <w:tc>
          <w:tcPr>
            <w:tcW w:w="1180" w:type="dxa"/>
            <w:vAlign w:val="bottom"/>
          </w:tcPr>
          <w:p>
            <w:pPr>
              <w:spacing w:after="0"/>
              <w:rPr>
                <w:sz w:val="18"/>
                <w:szCs w:val="18"/>
                <w:color w:val="auto"/>
              </w:rPr>
            </w:pPr>
          </w:p>
        </w:tc>
        <w:tc>
          <w:tcPr>
            <w:tcW w:w="820" w:type="dxa"/>
            <w:vAlign w:val="bottom"/>
          </w:tcPr>
          <w:p>
            <w:pPr>
              <w:jc w:val="center"/>
              <w:ind w:left="32"/>
              <w:spacing w:after="0"/>
              <w:rPr>
                <w:sz w:val="20"/>
                <w:szCs w:val="20"/>
                <w:color w:val="auto"/>
              </w:rPr>
            </w:pPr>
            <w:r>
              <w:rPr>
                <w:rFonts w:ascii="Arial" w:cs="Arial" w:eastAsia="Arial" w:hAnsi="Arial"/>
                <w:sz w:val="14"/>
                <w:szCs w:val="14"/>
                <w:color w:val="231F20"/>
              </w:rPr>
              <w:t>$290,192</w:t>
            </w:r>
          </w:p>
        </w:tc>
        <w:tc>
          <w:tcPr>
            <w:tcW w:w="0" w:type="dxa"/>
            <w:vAlign w:val="bottom"/>
          </w:tcPr>
          <w:p>
            <w:pPr>
              <w:spacing w:after="0"/>
              <w:rPr>
                <w:sz w:val="1"/>
                <w:szCs w:val="1"/>
                <w:color w:val="auto"/>
              </w:rPr>
            </w:pPr>
          </w:p>
        </w:tc>
      </w:tr>
      <w:tr>
        <w:trPr>
          <w:trHeight w:val="114"/>
        </w:trPr>
        <w:tc>
          <w:tcPr>
            <w:tcW w:w="2080" w:type="dxa"/>
            <w:vAlign w:val="bottom"/>
            <w:vMerge w:val="continue"/>
          </w:tcPr>
          <w:p>
            <w:pPr>
              <w:spacing w:after="0"/>
              <w:rPr>
                <w:sz w:val="9"/>
                <w:szCs w:val="9"/>
                <w:color w:val="auto"/>
              </w:rPr>
            </w:pPr>
          </w:p>
        </w:tc>
        <w:tc>
          <w:tcPr>
            <w:tcW w:w="1400" w:type="dxa"/>
            <w:vAlign w:val="bottom"/>
            <w:vMerge w:val="restart"/>
          </w:tcPr>
          <w:p>
            <w:pPr>
              <w:jc w:val="center"/>
              <w:ind w:left="289"/>
              <w:spacing w:after="0"/>
              <w:rPr>
                <w:sz w:val="20"/>
                <w:szCs w:val="20"/>
                <w:color w:val="auto"/>
              </w:rPr>
            </w:pPr>
            <w:r>
              <w:rPr>
                <w:rFonts w:ascii="Arial" w:cs="Arial" w:eastAsia="Arial" w:hAnsi="Arial"/>
                <w:sz w:val="14"/>
                <w:szCs w:val="14"/>
                <w:color w:val="231F20"/>
              </w:rPr>
              <w:t>02/27/23</w:t>
            </w:r>
          </w:p>
        </w:tc>
        <w:tc>
          <w:tcPr>
            <w:tcW w:w="860" w:type="dxa"/>
            <w:vAlign w:val="bottom"/>
            <w:vMerge w:val="restart"/>
          </w:tcPr>
          <w:p>
            <w:pPr>
              <w:ind w:left="300"/>
              <w:spacing w:after="0"/>
              <w:rPr>
                <w:sz w:val="20"/>
                <w:szCs w:val="20"/>
                <w:color w:val="auto"/>
              </w:rPr>
            </w:pPr>
            <w:r>
              <w:rPr>
                <w:rFonts w:ascii="Arial" w:cs="Arial" w:eastAsia="Arial" w:hAnsi="Arial"/>
                <w:sz w:val="14"/>
                <w:szCs w:val="14"/>
                <w:color w:val="231F20"/>
              </w:rPr>
              <w:t>—</w:t>
            </w:r>
          </w:p>
        </w:tc>
        <w:tc>
          <w:tcPr>
            <w:tcW w:w="100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231F20"/>
                <w:w w:val="99"/>
              </w:rPr>
              <w:t>—</w:t>
            </w:r>
          </w:p>
        </w:tc>
        <w:tc>
          <w:tcPr>
            <w:tcW w:w="800" w:type="dxa"/>
            <w:vAlign w:val="bottom"/>
            <w:vMerge w:val="restart"/>
          </w:tcPr>
          <w:p>
            <w:pPr>
              <w:jc w:val="center"/>
              <w:ind w:right="32"/>
              <w:spacing w:after="0"/>
              <w:rPr>
                <w:sz w:val="20"/>
                <w:szCs w:val="20"/>
                <w:color w:val="auto"/>
              </w:rPr>
            </w:pPr>
            <w:r>
              <w:rPr>
                <w:rFonts w:ascii="Arial" w:cs="Arial" w:eastAsia="Arial" w:hAnsi="Arial"/>
                <w:sz w:val="14"/>
                <w:szCs w:val="14"/>
                <w:color w:val="231F20"/>
                <w:w w:val="99"/>
              </w:rPr>
              <w:t>—</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231F20"/>
                <w:w w:val="99"/>
              </w:rPr>
              <w:t>—</w:t>
            </w:r>
          </w:p>
        </w:tc>
        <w:tc>
          <w:tcPr>
            <w:tcW w:w="740" w:type="dxa"/>
            <w:vAlign w:val="bottom"/>
            <w:vMerge w:val="restart"/>
          </w:tcPr>
          <w:p>
            <w:pPr>
              <w:jc w:val="center"/>
              <w:ind w:left="10"/>
              <w:spacing w:after="0"/>
              <w:rPr>
                <w:sz w:val="20"/>
                <w:szCs w:val="20"/>
                <w:color w:val="auto"/>
              </w:rPr>
            </w:pPr>
            <w:r>
              <w:rPr>
                <w:rFonts w:ascii="Arial" w:cs="Arial" w:eastAsia="Arial" w:hAnsi="Arial"/>
                <w:sz w:val="14"/>
                <w:szCs w:val="14"/>
                <w:color w:val="231F20"/>
                <w:w w:val="99"/>
              </w:rPr>
              <w:t>—</w:t>
            </w:r>
          </w:p>
        </w:tc>
        <w:tc>
          <w:tcPr>
            <w:tcW w:w="1180" w:type="dxa"/>
            <w:vAlign w:val="bottom"/>
            <w:vMerge w:val="restart"/>
          </w:tcPr>
          <w:p>
            <w:pPr>
              <w:jc w:val="center"/>
              <w:ind w:left="33"/>
              <w:spacing w:after="0"/>
              <w:rPr>
                <w:sz w:val="20"/>
                <w:szCs w:val="20"/>
                <w:color w:val="auto"/>
              </w:rPr>
            </w:pPr>
            <w:r>
              <w:rPr>
                <w:rFonts w:ascii="Arial" w:cs="Arial" w:eastAsia="Arial" w:hAnsi="Arial"/>
                <w:sz w:val="14"/>
                <w:szCs w:val="14"/>
                <w:color w:val="231F20"/>
              </w:rPr>
              <w:t>39,335</w:t>
            </w:r>
          </w:p>
        </w:tc>
        <w:tc>
          <w:tcPr>
            <w:tcW w:w="820" w:type="dxa"/>
            <w:vAlign w:val="bottom"/>
            <w:vMerge w:val="restart"/>
          </w:tcPr>
          <w:p>
            <w:pPr>
              <w:jc w:val="center"/>
              <w:ind w:left="32"/>
              <w:spacing w:after="0"/>
              <w:rPr>
                <w:sz w:val="20"/>
                <w:szCs w:val="20"/>
                <w:color w:val="auto"/>
              </w:rPr>
            </w:pPr>
            <w:r>
              <w:rPr>
                <w:rFonts w:ascii="Arial" w:cs="Arial" w:eastAsia="Arial" w:hAnsi="Arial"/>
                <w:sz w:val="14"/>
                <w:szCs w:val="14"/>
                <w:color w:val="231F20"/>
              </w:rPr>
              <w:t>$2,612,754</w:t>
            </w:r>
          </w:p>
        </w:tc>
        <w:tc>
          <w:tcPr>
            <w:tcW w:w="0" w:type="dxa"/>
            <w:vAlign w:val="bottom"/>
          </w:tcPr>
          <w:p>
            <w:pPr>
              <w:spacing w:after="0"/>
              <w:rPr>
                <w:sz w:val="1"/>
                <w:szCs w:val="1"/>
                <w:color w:val="auto"/>
              </w:rPr>
            </w:pPr>
          </w:p>
        </w:tc>
      </w:tr>
      <w:tr>
        <w:trPr>
          <w:trHeight w:val="102"/>
        </w:trPr>
        <w:tc>
          <w:tcPr>
            <w:tcW w:w="208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080" w:type="dxa"/>
            <w:vAlign w:val="bottom"/>
            <w:tcBorders>
              <w:bottom w:val="single" w:sz="8" w:color="008000"/>
            </w:tcBorders>
          </w:tcPr>
          <w:p>
            <w:pPr>
              <w:spacing w:after="0"/>
              <w:rPr>
                <w:sz w:val="21"/>
                <w:szCs w:val="21"/>
                <w:color w:val="auto"/>
              </w:rPr>
            </w:pPr>
          </w:p>
        </w:tc>
        <w:tc>
          <w:tcPr>
            <w:tcW w:w="1400" w:type="dxa"/>
            <w:vAlign w:val="bottom"/>
            <w:tcBorders>
              <w:bottom w:val="single" w:sz="8" w:color="008000"/>
            </w:tcBorders>
          </w:tcPr>
          <w:p>
            <w:pPr>
              <w:jc w:val="center"/>
              <w:ind w:left="289"/>
              <w:spacing w:after="0"/>
              <w:rPr>
                <w:sz w:val="20"/>
                <w:szCs w:val="20"/>
                <w:color w:val="auto"/>
              </w:rPr>
            </w:pPr>
            <w:r>
              <w:rPr>
                <w:rFonts w:ascii="Arial" w:cs="Arial" w:eastAsia="Arial" w:hAnsi="Arial"/>
                <w:sz w:val="14"/>
                <w:szCs w:val="14"/>
                <w:color w:val="231F20"/>
              </w:rPr>
              <w:t>03/02/23</w:t>
            </w:r>
          </w:p>
        </w:tc>
        <w:tc>
          <w:tcPr>
            <w:tcW w:w="860" w:type="dxa"/>
            <w:vAlign w:val="bottom"/>
            <w:tcBorders>
              <w:bottom w:val="single" w:sz="8" w:color="008000"/>
            </w:tcBorders>
          </w:tcPr>
          <w:p>
            <w:pPr>
              <w:spacing w:after="0"/>
              <w:rPr>
                <w:sz w:val="21"/>
                <w:szCs w:val="21"/>
                <w:color w:val="auto"/>
              </w:rPr>
            </w:pPr>
          </w:p>
        </w:tc>
        <w:tc>
          <w:tcPr>
            <w:tcW w:w="840" w:type="dxa"/>
            <w:vAlign w:val="bottom"/>
            <w:tcBorders>
              <w:bottom w:val="single" w:sz="8" w:color="008000"/>
            </w:tcBorders>
          </w:tcPr>
          <w:p>
            <w:pPr>
              <w:spacing w:after="0"/>
              <w:rPr>
                <w:sz w:val="21"/>
                <w:szCs w:val="21"/>
                <w:color w:val="auto"/>
              </w:rPr>
            </w:pPr>
          </w:p>
        </w:tc>
        <w:tc>
          <w:tcPr>
            <w:tcW w:w="160" w:type="dxa"/>
            <w:vAlign w:val="bottom"/>
            <w:tcBorders>
              <w:bottom w:val="single" w:sz="8" w:color="008000"/>
            </w:tcBorders>
          </w:tcPr>
          <w:p>
            <w:pPr>
              <w:spacing w:after="0"/>
              <w:rPr>
                <w:sz w:val="21"/>
                <w:szCs w:val="21"/>
                <w:color w:val="auto"/>
              </w:rPr>
            </w:pPr>
          </w:p>
        </w:tc>
        <w:tc>
          <w:tcPr>
            <w:tcW w:w="800" w:type="dxa"/>
            <w:vAlign w:val="bottom"/>
            <w:tcBorders>
              <w:bottom w:val="single" w:sz="8" w:color="008000"/>
            </w:tcBorders>
          </w:tcPr>
          <w:p>
            <w:pPr>
              <w:spacing w:after="0"/>
              <w:rPr>
                <w:sz w:val="21"/>
                <w:szCs w:val="21"/>
                <w:color w:val="auto"/>
              </w:rPr>
            </w:pPr>
          </w:p>
        </w:tc>
        <w:tc>
          <w:tcPr>
            <w:tcW w:w="840" w:type="dxa"/>
            <w:vAlign w:val="bottom"/>
            <w:tcBorders>
              <w:bottom w:val="single" w:sz="8" w:color="008000"/>
            </w:tcBorders>
          </w:tcPr>
          <w:p>
            <w:pPr>
              <w:spacing w:after="0"/>
              <w:rPr>
                <w:sz w:val="21"/>
                <w:szCs w:val="21"/>
                <w:color w:val="auto"/>
              </w:rPr>
            </w:pPr>
          </w:p>
        </w:tc>
        <w:tc>
          <w:tcPr>
            <w:tcW w:w="740" w:type="dxa"/>
            <w:vAlign w:val="bottom"/>
            <w:tcBorders>
              <w:bottom w:val="single" w:sz="8" w:color="008000"/>
            </w:tcBorders>
          </w:tcPr>
          <w:p>
            <w:pPr>
              <w:spacing w:after="0"/>
              <w:rPr>
                <w:sz w:val="21"/>
                <w:szCs w:val="21"/>
                <w:color w:val="auto"/>
              </w:rPr>
            </w:pPr>
          </w:p>
        </w:tc>
        <w:tc>
          <w:tcPr>
            <w:tcW w:w="1180" w:type="dxa"/>
            <w:vAlign w:val="bottom"/>
            <w:tcBorders>
              <w:bottom w:val="single" w:sz="8" w:color="008000"/>
            </w:tcBorders>
          </w:tcPr>
          <w:p>
            <w:pPr>
              <w:jc w:val="center"/>
              <w:ind w:left="33"/>
              <w:spacing w:after="0" w:line="251" w:lineRule="exact"/>
              <w:rPr>
                <w:sz w:val="20"/>
                <w:szCs w:val="20"/>
                <w:color w:val="auto"/>
              </w:rPr>
            </w:pPr>
            <w:r>
              <w:rPr>
                <w:rFonts w:ascii="Arial" w:cs="Arial" w:eastAsia="Arial" w:hAnsi="Arial"/>
                <w:sz w:val="28"/>
                <w:szCs w:val="28"/>
                <w:color w:val="231F20"/>
                <w:w w:val="87"/>
                <w:vertAlign w:val="subscript"/>
              </w:rPr>
              <w:t>562</w:t>
            </w:r>
            <w:r>
              <w:rPr>
                <w:rFonts w:ascii="Arial" w:cs="Arial" w:eastAsia="Arial" w:hAnsi="Arial"/>
                <w:sz w:val="12"/>
                <w:szCs w:val="12"/>
                <w:color w:val="231F20"/>
                <w:w w:val="87"/>
              </w:rPr>
              <w:t>(5)</w:t>
            </w:r>
          </w:p>
        </w:tc>
        <w:tc>
          <w:tcPr>
            <w:tcW w:w="820" w:type="dxa"/>
            <w:vAlign w:val="bottom"/>
            <w:tcBorders>
              <w:bottom w:val="single" w:sz="8" w:color="008000"/>
            </w:tcBorders>
          </w:tcPr>
          <w:p>
            <w:pPr>
              <w:jc w:val="center"/>
              <w:ind w:left="32"/>
              <w:spacing w:after="0"/>
              <w:rPr>
                <w:sz w:val="20"/>
                <w:szCs w:val="20"/>
                <w:color w:val="auto"/>
              </w:rPr>
            </w:pPr>
            <w:r>
              <w:rPr>
                <w:rFonts w:ascii="Arial" w:cs="Arial" w:eastAsia="Arial" w:hAnsi="Arial"/>
                <w:sz w:val="14"/>
                <w:szCs w:val="14"/>
                <w:color w:val="231F20"/>
              </w:rPr>
              <w:t>$48,478</w:t>
            </w:r>
          </w:p>
        </w:tc>
        <w:tc>
          <w:tcPr>
            <w:tcW w:w="0" w:type="dxa"/>
            <w:vAlign w:val="bottom"/>
          </w:tcPr>
          <w:p>
            <w:pPr>
              <w:spacing w:after="0"/>
              <w:rPr>
                <w:sz w:val="1"/>
                <w:szCs w:val="1"/>
                <w:color w:val="auto"/>
              </w:rPr>
            </w:pPr>
          </w:p>
        </w:tc>
      </w:tr>
      <w:tr>
        <w:trPr>
          <w:trHeight w:val="201"/>
        </w:trPr>
        <w:tc>
          <w:tcPr>
            <w:tcW w:w="2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60" w:type="dxa"/>
            <w:vAlign w:val="bottom"/>
          </w:tcPr>
          <w:p>
            <w:pPr>
              <w:ind w:left="300"/>
              <w:spacing w:after="0"/>
              <w:rPr>
                <w:sz w:val="20"/>
                <w:szCs w:val="20"/>
                <w:color w:val="auto"/>
              </w:rPr>
            </w:pPr>
            <w:r>
              <w:rPr>
                <w:rFonts w:ascii="Arial" w:cs="Arial" w:eastAsia="Arial" w:hAnsi="Arial"/>
                <w:sz w:val="14"/>
                <w:szCs w:val="14"/>
                <w:color w:val="231F20"/>
              </w:rPr>
              <w:t>—</w:t>
            </w:r>
          </w:p>
        </w:tc>
        <w:tc>
          <w:tcPr>
            <w:tcW w:w="840" w:type="dxa"/>
            <w:vAlign w:val="bottom"/>
          </w:tcPr>
          <w:p>
            <w:pPr>
              <w:jc w:val="center"/>
              <w:ind w:left="9"/>
              <w:spacing w:after="0"/>
              <w:rPr>
                <w:sz w:val="20"/>
                <w:szCs w:val="20"/>
                <w:color w:val="auto"/>
              </w:rPr>
            </w:pPr>
            <w:r>
              <w:rPr>
                <w:rFonts w:ascii="Arial" w:cs="Arial" w:eastAsia="Arial" w:hAnsi="Arial"/>
                <w:sz w:val="14"/>
                <w:szCs w:val="14"/>
                <w:color w:val="231F20"/>
              </w:rPr>
              <w:t>$983,416</w:t>
            </w:r>
          </w:p>
        </w:tc>
        <w:tc>
          <w:tcPr>
            <w:tcW w:w="160" w:type="dxa"/>
            <w:vAlign w:val="bottom"/>
          </w:tcPr>
          <w:p>
            <w:pPr>
              <w:spacing w:after="0"/>
              <w:rPr>
                <w:sz w:val="17"/>
                <w:szCs w:val="17"/>
                <w:color w:val="auto"/>
              </w:rPr>
            </w:pPr>
          </w:p>
        </w:tc>
        <w:tc>
          <w:tcPr>
            <w:tcW w:w="800" w:type="dxa"/>
            <w:vAlign w:val="bottom"/>
          </w:tcPr>
          <w:p>
            <w:pPr>
              <w:jc w:val="center"/>
              <w:ind w:right="32"/>
              <w:spacing w:after="0"/>
              <w:rPr>
                <w:sz w:val="20"/>
                <w:szCs w:val="20"/>
                <w:color w:val="auto"/>
              </w:rPr>
            </w:pPr>
            <w:r>
              <w:rPr>
                <w:rFonts w:ascii="Arial" w:cs="Arial" w:eastAsia="Arial" w:hAnsi="Arial"/>
                <w:sz w:val="14"/>
                <w:szCs w:val="14"/>
                <w:color w:val="231F20"/>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231F20"/>
                <w:w w:val="99"/>
              </w:rPr>
              <w:t>—</w:t>
            </w:r>
          </w:p>
        </w:tc>
        <w:tc>
          <w:tcPr>
            <w:tcW w:w="740" w:type="dxa"/>
            <w:vAlign w:val="bottom"/>
          </w:tcPr>
          <w:p>
            <w:pPr>
              <w:jc w:val="center"/>
              <w:ind w:left="10"/>
              <w:spacing w:after="0"/>
              <w:rPr>
                <w:sz w:val="20"/>
                <w:szCs w:val="20"/>
                <w:color w:val="auto"/>
              </w:rPr>
            </w:pPr>
            <w:r>
              <w:rPr>
                <w:rFonts w:ascii="Arial" w:cs="Arial" w:eastAsia="Arial" w:hAnsi="Arial"/>
                <w:sz w:val="14"/>
                <w:szCs w:val="14"/>
                <w:color w:val="231F20"/>
                <w:w w:val="99"/>
              </w:rPr>
              <w:t>—</w:t>
            </w:r>
          </w:p>
        </w:tc>
        <w:tc>
          <w:tcPr>
            <w:tcW w:w="1180" w:type="dxa"/>
            <w:vAlign w:val="bottom"/>
          </w:tcPr>
          <w:p>
            <w:pPr>
              <w:jc w:val="center"/>
              <w:ind w:left="33"/>
              <w:spacing w:after="0"/>
              <w:rPr>
                <w:sz w:val="20"/>
                <w:szCs w:val="20"/>
                <w:color w:val="auto"/>
              </w:rPr>
            </w:pPr>
            <w:r>
              <w:rPr>
                <w:rFonts w:ascii="Arial" w:cs="Arial" w:eastAsia="Arial" w:hAnsi="Arial"/>
                <w:sz w:val="14"/>
                <w:szCs w:val="14"/>
                <w:color w:val="231F20"/>
              </w:rPr>
              <w:t>—</w:t>
            </w:r>
          </w:p>
        </w:tc>
        <w:tc>
          <w:tcPr>
            <w:tcW w:w="820" w:type="dxa"/>
            <w:vAlign w:val="bottom"/>
          </w:tcPr>
          <w:p>
            <w:pPr>
              <w:jc w:val="center"/>
              <w:ind w:left="32"/>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216"/>
        </w:trPr>
        <w:tc>
          <w:tcPr>
            <w:tcW w:w="2080" w:type="dxa"/>
            <w:vAlign w:val="bottom"/>
            <w:vMerge w:val="restart"/>
          </w:tcPr>
          <w:p>
            <w:pPr>
              <w:ind w:left="100"/>
              <w:spacing w:after="0"/>
              <w:rPr>
                <w:sz w:val="20"/>
                <w:szCs w:val="20"/>
                <w:color w:val="auto"/>
              </w:rPr>
            </w:pPr>
            <w:r>
              <w:rPr>
                <w:rFonts w:ascii="Arial" w:cs="Arial" w:eastAsia="Arial" w:hAnsi="Arial"/>
                <w:sz w:val="14"/>
                <w:szCs w:val="14"/>
                <w:b w:val="1"/>
                <w:bCs w:val="1"/>
                <w:color w:val="007B52"/>
              </w:rPr>
              <w:t>Patrick M. Webster</w:t>
            </w:r>
          </w:p>
        </w:tc>
        <w:tc>
          <w:tcPr>
            <w:tcW w:w="1400" w:type="dxa"/>
            <w:vAlign w:val="bottom"/>
          </w:tcPr>
          <w:p>
            <w:pPr>
              <w:jc w:val="center"/>
              <w:ind w:left="289"/>
              <w:spacing w:after="0"/>
              <w:rPr>
                <w:sz w:val="20"/>
                <w:szCs w:val="20"/>
                <w:color w:val="auto"/>
              </w:rPr>
            </w:pPr>
            <w:r>
              <w:rPr>
                <w:rFonts w:ascii="Arial" w:cs="Arial" w:eastAsia="Arial" w:hAnsi="Arial"/>
                <w:sz w:val="14"/>
                <w:szCs w:val="14"/>
                <w:color w:val="231F20"/>
              </w:rPr>
              <w:t>02/27/23</w:t>
            </w:r>
          </w:p>
        </w:tc>
        <w:tc>
          <w:tcPr>
            <w:tcW w:w="860" w:type="dxa"/>
            <w:vAlign w:val="bottom"/>
          </w:tcPr>
          <w:p>
            <w:pPr>
              <w:ind w:left="300"/>
              <w:spacing w:after="0"/>
              <w:rPr>
                <w:sz w:val="20"/>
                <w:szCs w:val="20"/>
                <w:color w:val="auto"/>
              </w:rPr>
            </w:pPr>
            <w:r>
              <w:rPr>
                <w:rFonts w:ascii="Arial" w:cs="Arial" w:eastAsia="Arial" w:hAnsi="Arial"/>
                <w:sz w:val="14"/>
                <w:szCs w:val="14"/>
                <w:color w:val="231F20"/>
              </w:rPr>
              <w:t>—</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color w:val="231F20"/>
                <w:w w:val="99"/>
              </w:rPr>
              <w:t>—</w:t>
            </w:r>
          </w:p>
        </w:tc>
        <w:tc>
          <w:tcPr>
            <w:tcW w:w="800" w:type="dxa"/>
            <w:vAlign w:val="bottom"/>
          </w:tcPr>
          <w:p>
            <w:pPr>
              <w:jc w:val="center"/>
              <w:ind w:right="52"/>
              <w:spacing w:after="0"/>
              <w:rPr>
                <w:sz w:val="20"/>
                <w:szCs w:val="20"/>
                <w:color w:val="auto"/>
              </w:rPr>
            </w:pPr>
            <w:r>
              <w:rPr>
                <w:rFonts w:ascii="Arial" w:cs="Arial" w:eastAsia="Arial" w:hAnsi="Arial"/>
                <w:sz w:val="14"/>
                <w:szCs w:val="14"/>
                <w:color w:val="231F20"/>
              </w:rPr>
              <w:t>3,492</w:t>
            </w:r>
          </w:p>
        </w:tc>
        <w:tc>
          <w:tcPr>
            <w:tcW w:w="840" w:type="dxa"/>
            <w:vAlign w:val="bottom"/>
          </w:tcPr>
          <w:p>
            <w:pPr>
              <w:jc w:val="center"/>
              <w:spacing w:after="0"/>
              <w:rPr>
                <w:sz w:val="20"/>
                <w:szCs w:val="20"/>
                <w:color w:val="auto"/>
              </w:rPr>
            </w:pPr>
            <w:r>
              <w:rPr>
                <w:rFonts w:ascii="Arial" w:cs="Arial" w:eastAsia="Arial" w:hAnsi="Arial"/>
                <w:sz w:val="14"/>
                <w:szCs w:val="14"/>
                <w:color w:val="231F20"/>
              </w:rPr>
              <w:t>6,984</w:t>
            </w:r>
          </w:p>
        </w:tc>
        <w:tc>
          <w:tcPr>
            <w:tcW w:w="740" w:type="dxa"/>
            <w:vAlign w:val="bottom"/>
          </w:tcPr>
          <w:p>
            <w:pPr>
              <w:jc w:val="center"/>
              <w:ind w:left="30"/>
              <w:spacing w:after="0"/>
              <w:rPr>
                <w:sz w:val="20"/>
                <w:szCs w:val="20"/>
                <w:color w:val="auto"/>
              </w:rPr>
            </w:pPr>
            <w:r>
              <w:rPr>
                <w:rFonts w:ascii="Arial" w:cs="Arial" w:eastAsia="Arial" w:hAnsi="Arial"/>
                <w:sz w:val="14"/>
                <w:szCs w:val="14"/>
                <w:color w:val="231F20"/>
              </w:rPr>
              <w:t>13,968</w:t>
            </w:r>
          </w:p>
        </w:tc>
        <w:tc>
          <w:tcPr>
            <w:tcW w:w="1180" w:type="dxa"/>
            <w:vAlign w:val="bottom"/>
          </w:tcPr>
          <w:p>
            <w:pPr>
              <w:spacing w:after="0"/>
              <w:rPr>
                <w:sz w:val="18"/>
                <w:szCs w:val="18"/>
                <w:color w:val="auto"/>
              </w:rPr>
            </w:pPr>
          </w:p>
        </w:tc>
        <w:tc>
          <w:tcPr>
            <w:tcW w:w="820" w:type="dxa"/>
            <w:vAlign w:val="bottom"/>
          </w:tcPr>
          <w:p>
            <w:pPr>
              <w:jc w:val="center"/>
              <w:ind w:left="32"/>
              <w:spacing w:after="0"/>
              <w:rPr>
                <w:sz w:val="20"/>
                <w:szCs w:val="20"/>
                <w:color w:val="auto"/>
              </w:rPr>
            </w:pPr>
            <w:r>
              <w:rPr>
                <w:rFonts w:ascii="Arial" w:cs="Arial" w:eastAsia="Arial" w:hAnsi="Arial"/>
                <w:sz w:val="14"/>
                <w:szCs w:val="14"/>
                <w:color w:val="231F20"/>
              </w:rPr>
              <w:t>$601,813</w:t>
            </w:r>
          </w:p>
        </w:tc>
        <w:tc>
          <w:tcPr>
            <w:tcW w:w="0" w:type="dxa"/>
            <w:vAlign w:val="bottom"/>
          </w:tcPr>
          <w:p>
            <w:pPr>
              <w:spacing w:after="0"/>
              <w:rPr>
                <w:sz w:val="1"/>
                <w:szCs w:val="1"/>
                <w:color w:val="auto"/>
              </w:rPr>
            </w:pPr>
          </w:p>
        </w:tc>
      </w:tr>
      <w:tr>
        <w:trPr>
          <w:trHeight w:val="114"/>
        </w:trPr>
        <w:tc>
          <w:tcPr>
            <w:tcW w:w="2080" w:type="dxa"/>
            <w:vAlign w:val="bottom"/>
            <w:vMerge w:val="continue"/>
          </w:tcPr>
          <w:p>
            <w:pPr>
              <w:spacing w:after="0"/>
              <w:rPr>
                <w:sz w:val="9"/>
                <w:szCs w:val="9"/>
                <w:color w:val="auto"/>
              </w:rPr>
            </w:pPr>
          </w:p>
        </w:tc>
        <w:tc>
          <w:tcPr>
            <w:tcW w:w="1400" w:type="dxa"/>
            <w:vAlign w:val="bottom"/>
            <w:vMerge w:val="restart"/>
          </w:tcPr>
          <w:p>
            <w:pPr>
              <w:jc w:val="center"/>
              <w:ind w:left="289"/>
              <w:spacing w:after="0"/>
              <w:rPr>
                <w:sz w:val="20"/>
                <w:szCs w:val="20"/>
                <w:color w:val="auto"/>
              </w:rPr>
            </w:pPr>
            <w:r>
              <w:rPr>
                <w:rFonts w:ascii="Arial" w:cs="Arial" w:eastAsia="Arial" w:hAnsi="Arial"/>
                <w:sz w:val="14"/>
                <w:szCs w:val="14"/>
                <w:color w:val="231F20"/>
              </w:rPr>
              <w:t>02/27/23</w:t>
            </w:r>
          </w:p>
        </w:tc>
        <w:tc>
          <w:tcPr>
            <w:tcW w:w="860" w:type="dxa"/>
            <w:vAlign w:val="bottom"/>
            <w:vMerge w:val="restart"/>
          </w:tcPr>
          <w:p>
            <w:pPr>
              <w:ind w:left="300"/>
              <w:spacing w:after="0"/>
              <w:rPr>
                <w:sz w:val="20"/>
                <w:szCs w:val="20"/>
                <w:color w:val="auto"/>
              </w:rPr>
            </w:pPr>
            <w:r>
              <w:rPr>
                <w:rFonts w:ascii="Arial" w:cs="Arial" w:eastAsia="Arial" w:hAnsi="Arial"/>
                <w:sz w:val="14"/>
                <w:szCs w:val="14"/>
                <w:color w:val="231F20"/>
              </w:rPr>
              <w:t>—</w:t>
            </w:r>
          </w:p>
        </w:tc>
        <w:tc>
          <w:tcPr>
            <w:tcW w:w="100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231F20"/>
                <w:w w:val="99"/>
              </w:rPr>
              <w:t>—</w:t>
            </w:r>
          </w:p>
        </w:tc>
        <w:tc>
          <w:tcPr>
            <w:tcW w:w="800" w:type="dxa"/>
            <w:vAlign w:val="bottom"/>
            <w:vMerge w:val="restart"/>
          </w:tcPr>
          <w:p>
            <w:pPr>
              <w:jc w:val="center"/>
              <w:ind w:right="32"/>
              <w:spacing w:after="0"/>
              <w:rPr>
                <w:sz w:val="20"/>
                <w:szCs w:val="20"/>
                <w:color w:val="auto"/>
              </w:rPr>
            </w:pPr>
            <w:r>
              <w:rPr>
                <w:rFonts w:ascii="Arial" w:cs="Arial" w:eastAsia="Arial" w:hAnsi="Arial"/>
                <w:sz w:val="14"/>
                <w:szCs w:val="14"/>
                <w:color w:val="231F20"/>
                <w:w w:val="99"/>
              </w:rPr>
              <w:t>—</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231F20"/>
                <w:w w:val="99"/>
              </w:rPr>
              <w:t>—</w:t>
            </w:r>
          </w:p>
        </w:tc>
        <w:tc>
          <w:tcPr>
            <w:tcW w:w="740" w:type="dxa"/>
            <w:vAlign w:val="bottom"/>
            <w:vMerge w:val="restart"/>
          </w:tcPr>
          <w:p>
            <w:pPr>
              <w:jc w:val="center"/>
              <w:ind w:left="10"/>
              <w:spacing w:after="0"/>
              <w:rPr>
                <w:sz w:val="20"/>
                <w:szCs w:val="20"/>
                <w:color w:val="auto"/>
              </w:rPr>
            </w:pPr>
            <w:r>
              <w:rPr>
                <w:rFonts w:ascii="Arial" w:cs="Arial" w:eastAsia="Arial" w:hAnsi="Arial"/>
                <w:sz w:val="14"/>
                <w:szCs w:val="14"/>
                <w:color w:val="231F20"/>
                <w:w w:val="99"/>
              </w:rPr>
              <w:t>—</w:t>
            </w:r>
          </w:p>
        </w:tc>
        <w:tc>
          <w:tcPr>
            <w:tcW w:w="1180" w:type="dxa"/>
            <w:vAlign w:val="bottom"/>
            <w:vMerge w:val="restart"/>
          </w:tcPr>
          <w:p>
            <w:pPr>
              <w:jc w:val="center"/>
              <w:ind w:left="33"/>
              <w:spacing w:after="0"/>
              <w:rPr>
                <w:sz w:val="20"/>
                <w:szCs w:val="20"/>
                <w:color w:val="auto"/>
              </w:rPr>
            </w:pPr>
            <w:r>
              <w:rPr>
                <w:rFonts w:ascii="Arial" w:cs="Arial" w:eastAsia="Arial" w:hAnsi="Arial"/>
                <w:sz w:val="14"/>
                <w:szCs w:val="14"/>
                <w:color w:val="231F20"/>
              </w:rPr>
              <w:t>62,864</w:t>
            </w:r>
          </w:p>
        </w:tc>
        <w:tc>
          <w:tcPr>
            <w:tcW w:w="820" w:type="dxa"/>
            <w:vAlign w:val="bottom"/>
            <w:vMerge w:val="restart"/>
          </w:tcPr>
          <w:p>
            <w:pPr>
              <w:jc w:val="center"/>
              <w:ind w:left="32"/>
              <w:spacing w:after="0"/>
              <w:rPr>
                <w:sz w:val="20"/>
                <w:szCs w:val="20"/>
                <w:color w:val="auto"/>
              </w:rPr>
            </w:pPr>
            <w:r>
              <w:rPr>
                <w:rFonts w:ascii="Arial" w:cs="Arial" w:eastAsia="Arial" w:hAnsi="Arial"/>
                <w:sz w:val="14"/>
                <w:szCs w:val="14"/>
                <w:color w:val="231F20"/>
              </w:rPr>
              <w:t>$5,414,476</w:t>
            </w:r>
          </w:p>
        </w:tc>
        <w:tc>
          <w:tcPr>
            <w:tcW w:w="0" w:type="dxa"/>
            <w:vAlign w:val="bottom"/>
          </w:tcPr>
          <w:p>
            <w:pPr>
              <w:spacing w:after="0"/>
              <w:rPr>
                <w:sz w:val="1"/>
                <w:szCs w:val="1"/>
                <w:color w:val="auto"/>
              </w:rPr>
            </w:pPr>
          </w:p>
        </w:tc>
      </w:tr>
      <w:tr>
        <w:trPr>
          <w:trHeight w:val="102"/>
        </w:trPr>
        <w:tc>
          <w:tcPr>
            <w:tcW w:w="208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080" w:type="dxa"/>
            <w:vAlign w:val="bottom"/>
            <w:tcBorders>
              <w:bottom w:val="single" w:sz="8" w:color="008000"/>
            </w:tcBorders>
          </w:tcPr>
          <w:p>
            <w:pPr>
              <w:spacing w:after="0"/>
              <w:rPr>
                <w:sz w:val="21"/>
                <w:szCs w:val="21"/>
                <w:color w:val="auto"/>
              </w:rPr>
            </w:pPr>
          </w:p>
        </w:tc>
        <w:tc>
          <w:tcPr>
            <w:tcW w:w="1400" w:type="dxa"/>
            <w:vAlign w:val="bottom"/>
            <w:tcBorders>
              <w:bottom w:val="single" w:sz="8" w:color="008000"/>
            </w:tcBorders>
          </w:tcPr>
          <w:p>
            <w:pPr>
              <w:jc w:val="center"/>
              <w:ind w:left="289"/>
              <w:spacing w:after="0"/>
              <w:rPr>
                <w:sz w:val="20"/>
                <w:szCs w:val="20"/>
                <w:color w:val="auto"/>
              </w:rPr>
            </w:pPr>
            <w:r>
              <w:rPr>
                <w:rFonts w:ascii="Arial" w:cs="Arial" w:eastAsia="Arial" w:hAnsi="Arial"/>
                <w:sz w:val="14"/>
                <w:szCs w:val="14"/>
                <w:color w:val="231F20"/>
              </w:rPr>
              <w:t>03/02/23</w:t>
            </w:r>
          </w:p>
        </w:tc>
        <w:tc>
          <w:tcPr>
            <w:tcW w:w="860" w:type="dxa"/>
            <w:vAlign w:val="bottom"/>
            <w:tcBorders>
              <w:bottom w:val="single" w:sz="8" w:color="008000"/>
            </w:tcBorders>
          </w:tcPr>
          <w:p>
            <w:pPr>
              <w:spacing w:after="0"/>
              <w:rPr>
                <w:sz w:val="21"/>
                <w:szCs w:val="21"/>
                <w:color w:val="auto"/>
              </w:rPr>
            </w:pPr>
          </w:p>
        </w:tc>
        <w:tc>
          <w:tcPr>
            <w:tcW w:w="840" w:type="dxa"/>
            <w:vAlign w:val="bottom"/>
            <w:tcBorders>
              <w:bottom w:val="single" w:sz="8" w:color="008000"/>
            </w:tcBorders>
          </w:tcPr>
          <w:p>
            <w:pPr>
              <w:spacing w:after="0"/>
              <w:rPr>
                <w:sz w:val="21"/>
                <w:szCs w:val="21"/>
                <w:color w:val="auto"/>
              </w:rPr>
            </w:pPr>
          </w:p>
        </w:tc>
        <w:tc>
          <w:tcPr>
            <w:tcW w:w="160" w:type="dxa"/>
            <w:vAlign w:val="bottom"/>
            <w:tcBorders>
              <w:bottom w:val="single" w:sz="8" w:color="008000"/>
            </w:tcBorders>
          </w:tcPr>
          <w:p>
            <w:pPr>
              <w:spacing w:after="0"/>
              <w:rPr>
                <w:sz w:val="21"/>
                <w:szCs w:val="21"/>
                <w:color w:val="auto"/>
              </w:rPr>
            </w:pPr>
          </w:p>
        </w:tc>
        <w:tc>
          <w:tcPr>
            <w:tcW w:w="800" w:type="dxa"/>
            <w:vAlign w:val="bottom"/>
            <w:tcBorders>
              <w:bottom w:val="single" w:sz="8" w:color="008000"/>
            </w:tcBorders>
          </w:tcPr>
          <w:p>
            <w:pPr>
              <w:spacing w:after="0"/>
              <w:rPr>
                <w:sz w:val="21"/>
                <w:szCs w:val="21"/>
                <w:color w:val="auto"/>
              </w:rPr>
            </w:pPr>
          </w:p>
        </w:tc>
        <w:tc>
          <w:tcPr>
            <w:tcW w:w="840" w:type="dxa"/>
            <w:vAlign w:val="bottom"/>
            <w:tcBorders>
              <w:bottom w:val="single" w:sz="8" w:color="008000"/>
            </w:tcBorders>
          </w:tcPr>
          <w:p>
            <w:pPr>
              <w:spacing w:after="0"/>
              <w:rPr>
                <w:sz w:val="21"/>
                <w:szCs w:val="21"/>
                <w:color w:val="auto"/>
              </w:rPr>
            </w:pPr>
          </w:p>
        </w:tc>
        <w:tc>
          <w:tcPr>
            <w:tcW w:w="740" w:type="dxa"/>
            <w:vAlign w:val="bottom"/>
            <w:tcBorders>
              <w:bottom w:val="single" w:sz="8" w:color="008000"/>
            </w:tcBorders>
          </w:tcPr>
          <w:p>
            <w:pPr>
              <w:spacing w:after="0"/>
              <w:rPr>
                <w:sz w:val="21"/>
                <w:szCs w:val="21"/>
                <w:color w:val="auto"/>
              </w:rPr>
            </w:pPr>
          </w:p>
        </w:tc>
        <w:tc>
          <w:tcPr>
            <w:tcW w:w="1180" w:type="dxa"/>
            <w:vAlign w:val="bottom"/>
            <w:tcBorders>
              <w:bottom w:val="single" w:sz="8" w:color="008000"/>
            </w:tcBorders>
          </w:tcPr>
          <w:p>
            <w:pPr>
              <w:jc w:val="center"/>
              <w:ind w:left="33"/>
              <w:spacing w:after="0" w:line="251" w:lineRule="exact"/>
              <w:rPr>
                <w:sz w:val="20"/>
                <w:szCs w:val="20"/>
                <w:color w:val="auto"/>
              </w:rPr>
            </w:pPr>
            <w:r>
              <w:rPr>
                <w:rFonts w:ascii="Arial" w:cs="Arial" w:eastAsia="Arial" w:hAnsi="Arial"/>
                <w:sz w:val="14"/>
                <w:szCs w:val="14"/>
                <w:color w:val="231F20"/>
                <w:w w:val="96"/>
              </w:rPr>
              <w:t>1,060</w:t>
            </w:r>
            <w:r>
              <w:rPr>
                <w:rFonts w:ascii="Arial" w:cs="Arial" w:eastAsia="Arial" w:hAnsi="Arial"/>
                <w:sz w:val="23"/>
                <w:szCs w:val="23"/>
                <w:color w:val="231F20"/>
                <w:w w:val="96"/>
                <w:vertAlign w:val="superscript"/>
              </w:rPr>
              <w:t>(5)</w:t>
            </w:r>
          </w:p>
        </w:tc>
        <w:tc>
          <w:tcPr>
            <w:tcW w:w="820" w:type="dxa"/>
            <w:vAlign w:val="bottom"/>
            <w:tcBorders>
              <w:bottom w:val="single" w:sz="8" w:color="008000"/>
            </w:tcBorders>
          </w:tcPr>
          <w:p>
            <w:pPr>
              <w:jc w:val="center"/>
              <w:ind w:left="32"/>
              <w:spacing w:after="0"/>
              <w:rPr>
                <w:sz w:val="20"/>
                <w:szCs w:val="20"/>
                <w:color w:val="auto"/>
              </w:rPr>
            </w:pPr>
            <w:r>
              <w:rPr>
                <w:rFonts w:ascii="Arial" w:cs="Arial" w:eastAsia="Arial" w:hAnsi="Arial"/>
                <w:sz w:val="14"/>
                <w:szCs w:val="14"/>
                <w:color w:val="231F20"/>
              </w:rPr>
              <w:t>$91,055</w:t>
            </w:r>
          </w:p>
        </w:tc>
        <w:tc>
          <w:tcPr>
            <w:tcW w:w="0" w:type="dxa"/>
            <w:vAlign w:val="bottom"/>
          </w:tcPr>
          <w:p>
            <w:pPr>
              <w:spacing w:after="0"/>
              <w:rPr>
                <w:sz w:val="1"/>
                <w:szCs w:val="1"/>
                <w:color w:val="auto"/>
              </w:rPr>
            </w:pPr>
          </w:p>
        </w:tc>
      </w:tr>
      <w:tr>
        <w:trPr>
          <w:trHeight w:val="202"/>
        </w:trPr>
        <w:tc>
          <w:tcPr>
            <w:tcW w:w="2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60" w:type="dxa"/>
            <w:vAlign w:val="bottom"/>
          </w:tcPr>
          <w:p>
            <w:pPr>
              <w:ind w:left="300"/>
              <w:spacing w:after="0"/>
              <w:rPr>
                <w:sz w:val="20"/>
                <w:szCs w:val="20"/>
                <w:color w:val="auto"/>
              </w:rPr>
            </w:pPr>
            <w:r>
              <w:rPr>
                <w:rFonts w:ascii="Arial" w:cs="Arial" w:eastAsia="Arial" w:hAnsi="Arial"/>
                <w:sz w:val="14"/>
                <w:szCs w:val="14"/>
                <w:color w:val="231F20"/>
              </w:rPr>
              <w:t>—</w:t>
            </w:r>
          </w:p>
        </w:tc>
        <w:tc>
          <w:tcPr>
            <w:tcW w:w="840" w:type="dxa"/>
            <w:vAlign w:val="bottom"/>
          </w:tcPr>
          <w:p>
            <w:pPr>
              <w:jc w:val="center"/>
              <w:ind w:left="9"/>
              <w:spacing w:after="0"/>
              <w:rPr>
                <w:sz w:val="20"/>
                <w:szCs w:val="20"/>
                <w:color w:val="auto"/>
              </w:rPr>
            </w:pPr>
            <w:r>
              <w:rPr>
                <w:rFonts w:ascii="Arial" w:cs="Arial" w:eastAsia="Arial" w:hAnsi="Arial"/>
                <w:sz w:val="14"/>
                <w:szCs w:val="14"/>
                <w:color w:val="231F20"/>
              </w:rPr>
              <w:t>$800,000</w:t>
            </w:r>
          </w:p>
        </w:tc>
        <w:tc>
          <w:tcPr>
            <w:tcW w:w="160" w:type="dxa"/>
            <w:vAlign w:val="bottom"/>
          </w:tcPr>
          <w:p>
            <w:pPr>
              <w:spacing w:after="0"/>
              <w:rPr>
                <w:sz w:val="17"/>
                <w:szCs w:val="17"/>
                <w:color w:val="auto"/>
              </w:rPr>
            </w:pPr>
          </w:p>
        </w:tc>
        <w:tc>
          <w:tcPr>
            <w:tcW w:w="800" w:type="dxa"/>
            <w:vAlign w:val="bottom"/>
          </w:tcPr>
          <w:p>
            <w:pPr>
              <w:jc w:val="center"/>
              <w:ind w:right="32"/>
              <w:spacing w:after="0"/>
              <w:rPr>
                <w:sz w:val="20"/>
                <w:szCs w:val="20"/>
                <w:color w:val="auto"/>
              </w:rPr>
            </w:pPr>
            <w:r>
              <w:rPr>
                <w:rFonts w:ascii="Arial" w:cs="Arial" w:eastAsia="Arial" w:hAnsi="Arial"/>
                <w:sz w:val="14"/>
                <w:szCs w:val="14"/>
                <w:color w:val="231F20"/>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231F20"/>
                <w:w w:val="99"/>
              </w:rPr>
              <w:t>—</w:t>
            </w:r>
          </w:p>
        </w:tc>
        <w:tc>
          <w:tcPr>
            <w:tcW w:w="740" w:type="dxa"/>
            <w:vAlign w:val="bottom"/>
          </w:tcPr>
          <w:p>
            <w:pPr>
              <w:jc w:val="center"/>
              <w:ind w:left="10"/>
              <w:spacing w:after="0"/>
              <w:rPr>
                <w:sz w:val="20"/>
                <w:szCs w:val="20"/>
                <w:color w:val="auto"/>
              </w:rPr>
            </w:pPr>
            <w:r>
              <w:rPr>
                <w:rFonts w:ascii="Arial" w:cs="Arial" w:eastAsia="Arial" w:hAnsi="Arial"/>
                <w:sz w:val="14"/>
                <w:szCs w:val="14"/>
                <w:color w:val="231F20"/>
                <w:w w:val="99"/>
              </w:rPr>
              <w:t>—</w:t>
            </w:r>
          </w:p>
        </w:tc>
        <w:tc>
          <w:tcPr>
            <w:tcW w:w="1180" w:type="dxa"/>
            <w:vAlign w:val="bottom"/>
          </w:tcPr>
          <w:p>
            <w:pPr>
              <w:jc w:val="center"/>
              <w:ind w:left="33"/>
              <w:spacing w:after="0"/>
              <w:rPr>
                <w:sz w:val="20"/>
                <w:szCs w:val="20"/>
                <w:color w:val="auto"/>
              </w:rPr>
            </w:pPr>
            <w:r>
              <w:rPr>
                <w:rFonts w:ascii="Arial" w:cs="Arial" w:eastAsia="Arial" w:hAnsi="Arial"/>
                <w:sz w:val="14"/>
                <w:szCs w:val="14"/>
                <w:color w:val="231F20"/>
              </w:rPr>
              <w:t>—</w:t>
            </w:r>
          </w:p>
        </w:tc>
        <w:tc>
          <w:tcPr>
            <w:tcW w:w="820" w:type="dxa"/>
            <w:vAlign w:val="bottom"/>
          </w:tcPr>
          <w:p>
            <w:pPr>
              <w:jc w:val="center"/>
              <w:ind w:left="32"/>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216"/>
        </w:trPr>
        <w:tc>
          <w:tcPr>
            <w:tcW w:w="2080" w:type="dxa"/>
            <w:vAlign w:val="bottom"/>
            <w:vMerge w:val="restart"/>
          </w:tcPr>
          <w:p>
            <w:pPr>
              <w:ind w:left="100"/>
              <w:spacing w:after="0"/>
              <w:rPr>
                <w:sz w:val="20"/>
                <w:szCs w:val="20"/>
                <w:color w:val="auto"/>
              </w:rPr>
            </w:pPr>
            <w:r>
              <w:rPr>
                <w:rFonts w:ascii="Arial" w:cs="Arial" w:eastAsia="Arial" w:hAnsi="Arial"/>
                <w:sz w:val="14"/>
                <w:szCs w:val="14"/>
                <w:b w:val="1"/>
                <w:bCs w:val="1"/>
                <w:color w:val="007B52"/>
              </w:rPr>
              <w:t>Patrick M. Benton</w:t>
            </w:r>
          </w:p>
        </w:tc>
        <w:tc>
          <w:tcPr>
            <w:tcW w:w="1400" w:type="dxa"/>
            <w:vAlign w:val="bottom"/>
          </w:tcPr>
          <w:p>
            <w:pPr>
              <w:jc w:val="center"/>
              <w:ind w:left="289"/>
              <w:spacing w:after="0"/>
              <w:rPr>
                <w:sz w:val="20"/>
                <w:szCs w:val="20"/>
                <w:color w:val="auto"/>
              </w:rPr>
            </w:pPr>
            <w:r>
              <w:rPr>
                <w:rFonts w:ascii="Arial" w:cs="Arial" w:eastAsia="Arial" w:hAnsi="Arial"/>
                <w:sz w:val="14"/>
                <w:szCs w:val="14"/>
                <w:color w:val="231F20"/>
              </w:rPr>
              <w:t>02/27/23</w:t>
            </w:r>
          </w:p>
        </w:tc>
        <w:tc>
          <w:tcPr>
            <w:tcW w:w="860" w:type="dxa"/>
            <w:vAlign w:val="bottom"/>
          </w:tcPr>
          <w:p>
            <w:pPr>
              <w:ind w:left="300"/>
              <w:spacing w:after="0"/>
              <w:rPr>
                <w:sz w:val="20"/>
                <w:szCs w:val="20"/>
                <w:color w:val="auto"/>
              </w:rPr>
            </w:pPr>
            <w:r>
              <w:rPr>
                <w:rFonts w:ascii="Arial" w:cs="Arial" w:eastAsia="Arial" w:hAnsi="Arial"/>
                <w:sz w:val="14"/>
                <w:szCs w:val="14"/>
                <w:color w:val="231F20"/>
              </w:rPr>
              <w:t>—</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color w:val="231F20"/>
                <w:w w:val="99"/>
              </w:rPr>
              <w:t>—</w:t>
            </w:r>
          </w:p>
        </w:tc>
        <w:tc>
          <w:tcPr>
            <w:tcW w:w="800" w:type="dxa"/>
            <w:vAlign w:val="bottom"/>
          </w:tcPr>
          <w:p>
            <w:pPr>
              <w:jc w:val="center"/>
              <w:ind w:right="52"/>
              <w:spacing w:after="0"/>
              <w:rPr>
                <w:sz w:val="20"/>
                <w:szCs w:val="20"/>
                <w:color w:val="auto"/>
              </w:rPr>
            </w:pPr>
            <w:r>
              <w:rPr>
                <w:rFonts w:ascii="Arial" w:cs="Arial" w:eastAsia="Arial" w:hAnsi="Arial"/>
                <w:sz w:val="14"/>
                <w:szCs w:val="14"/>
                <w:color w:val="231F20"/>
              </w:rPr>
              <w:t>1,433</w:t>
            </w:r>
          </w:p>
        </w:tc>
        <w:tc>
          <w:tcPr>
            <w:tcW w:w="840" w:type="dxa"/>
            <w:vAlign w:val="bottom"/>
          </w:tcPr>
          <w:p>
            <w:pPr>
              <w:jc w:val="center"/>
              <w:spacing w:after="0"/>
              <w:rPr>
                <w:sz w:val="20"/>
                <w:szCs w:val="20"/>
                <w:color w:val="auto"/>
              </w:rPr>
            </w:pPr>
            <w:r>
              <w:rPr>
                <w:rFonts w:ascii="Arial" w:cs="Arial" w:eastAsia="Arial" w:hAnsi="Arial"/>
                <w:sz w:val="14"/>
                <w:szCs w:val="14"/>
                <w:color w:val="231F20"/>
              </w:rPr>
              <w:t>2,866</w:t>
            </w:r>
          </w:p>
        </w:tc>
        <w:tc>
          <w:tcPr>
            <w:tcW w:w="740" w:type="dxa"/>
            <w:vAlign w:val="bottom"/>
          </w:tcPr>
          <w:p>
            <w:pPr>
              <w:jc w:val="center"/>
              <w:ind w:left="30"/>
              <w:spacing w:after="0"/>
              <w:rPr>
                <w:sz w:val="20"/>
                <w:szCs w:val="20"/>
                <w:color w:val="auto"/>
              </w:rPr>
            </w:pPr>
            <w:r>
              <w:rPr>
                <w:rFonts w:ascii="Arial" w:cs="Arial" w:eastAsia="Arial" w:hAnsi="Arial"/>
                <w:sz w:val="14"/>
                <w:szCs w:val="14"/>
                <w:color w:val="231F20"/>
              </w:rPr>
              <w:t>5,732</w:t>
            </w:r>
          </w:p>
        </w:tc>
        <w:tc>
          <w:tcPr>
            <w:tcW w:w="1180" w:type="dxa"/>
            <w:vAlign w:val="bottom"/>
          </w:tcPr>
          <w:p>
            <w:pPr>
              <w:jc w:val="center"/>
              <w:ind w:left="33"/>
              <w:spacing w:after="0"/>
              <w:rPr>
                <w:sz w:val="20"/>
                <w:szCs w:val="20"/>
                <w:color w:val="auto"/>
              </w:rPr>
            </w:pPr>
            <w:r>
              <w:rPr>
                <w:rFonts w:ascii="Arial" w:cs="Arial" w:eastAsia="Arial" w:hAnsi="Arial"/>
                <w:sz w:val="14"/>
                <w:szCs w:val="14"/>
                <w:color w:val="231F20"/>
              </w:rPr>
              <w:t>—</w:t>
            </w:r>
          </w:p>
        </w:tc>
        <w:tc>
          <w:tcPr>
            <w:tcW w:w="820" w:type="dxa"/>
            <w:vAlign w:val="bottom"/>
          </w:tcPr>
          <w:p>
            <w:pPr>
              <w:jc w:val="center"/>
              <w:ind w:left="32"/>
              <w:spacing w:after="0"/>
              <w:rPr>
                <w:sz w:val="20"/>
                <w:szCs w:val="20"/>
                <w:color w:val="auto"/>
              </w:rPr>
            </w:pPr>
            <w:r>
              <w:rPr>
                <w:rFonts w:ascii="Arial" w:cs="Arial" w:eastAsia="Arial" w:hAnsi="Arial"/>
                <w:sz w:val="14"/>
                <w:szCs w:val="14"/>
                <w:color w:val="231F20"/>
              </w:rPr>
              <w:t>$248,074</w:t>
            </w:r>
          </w:p>
        </w:tc>
        <w:tc>
          <w:tcPr>
            <w:tcW w:w="0" w:type="dxa"/>
            <w:vAlign w:val="bottom"/>
          </w:tcPr>
          <w:p>
            <w:pPr>
              <w:spacing w:after="0"/>
              <w:rPr>
                <w:sz w:val="1"/>
                <w:szCs w:val="1"/>
                <w:color w:val="auto"/>
              </w:rPr>
            </w:pPr>
          </w:p>
        </w:tc>
      </w:tr>
      <w:tr>
        <w:trPr>
          <w:trHeight w:val="114"/>
        </w:trPr>
        <w:tc>
          <w:tcPr>
            <w:tcW w:w="2080" w:type="dxa"/>
            <w:vAlign w:val="bottom"/>
            <w:vMerge w:val="continue"/>
          </w:tcPr>
          <w:p>
            <w:pPr>
              <w:spacing w:after="0"/>
              <w:rPr>
                <w:sz w:val="9"/>
                <w:szCs w:val="9"/>
                <w:color w:val="auto"/>
              </w:rPr>
            </w:pPr>
          </w:p>
        </w:tc>
        <w:tc>
          <w:tcPr>
            <w:tcW w:w="1400" w:type="dxa"/>
            <w:vAlign w:val="bottom"/>
            <w:vMerge w:val="restart"/>
          </w:tcPr>
          <w:p>
            <w:pPr>
              <w:jc w:val="center"/>
              <w:ind w:left="289"/>
              <w:spacing w:after="0"/>
              <w:rPr>
                <w:sz w:val="20"/>
                <w:szCs w:val="20"/>
                <w:color w:val="auto"/>
              </w:rPr>
            </w:pPr>
            <w:r>
              <w:rPr>
                <w:rFonts w:ascii="Arial" w:cs="Arial" w:eastAsia="Arial" w:hAnsi="Arial"/>
                <w:sz w:val="14"/>
                <w:szCs w:val="14"/>
                <w:color w:val="231F20"/>
              </w:rPr>
              <w:t>02/27/23</w:t>
            </w:r>
          </w:p>
        </w:tc>
        <w:tc>
          <w:tcPr>
            <w:tcW w:w="860" w:type="dxa"/>
            <w:vAlign w:val="bottom"/>
            <w:vMerge w:val="restart"/>
          </w:tcPr>
          <w:p>
            <w:pPr>
              <w:ind w:left="300"/>
              <w:spacing w:after="0"/>
              <w:rPr>
                <w:sz w:val="20"/>
                <w:szCs w:val="20"/>
                <w:color w:val="auto"/>
              </w:rPr>
            </w:pPr>
            <w:r>
              <w:rPr>
                <w:rFonts w:ascii="Arial" w:cs="Arial" w:eastAsia="Arial" w:hAnsi="Arial"/>
                <w:sz w:val="14"/>
                <w:szCs w:val="14"/>
                <w:color w:val="231F20"/>
              </w:rPr>
              <w:t>—</w:t>
            </w:r>
          </w:p>
        </w:tc>
        <w:tc>
          <w:tcPr>
            <w:tcW w:w="100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231F20"/>
                <w:w w:val="99"/>
              </w:rPr>
              <w:t>—</w:t>
            </w:r>
          </w:p>
        </w:tc>
        <w:tc>
          <w:tcPr>
            <w:tcW w:w="800" w:type="dxa"/>
            <w:vAlign w:val="bottom"/>
            <w:vMerge w:val="restart"/>
          </w:tcPr>
          <w:p>
            <w:pPr>
              <w:jc w:val="center"/>
              <w:ind w:right="32"/>
              <w:spacing w:after="0"/>
              <w:rPr>
                <w:sz w:val="20"/>
                <w:szCs w:val="20"/>
                <w:color w:val="auto"/>
              </w:rPr>
            </w:pPr>
            <w:r>
              <w:rPr>
                <w:rFonts w:ascii="Arial" w:cs="Arial" w:eastAsia="Arial" w:hAnsi="Arial"/>
                <w:sz w:val="14"/>
                <w:szCs w:val="14"/>
                <w:color w:val="231F20"/>
                <w:w w:val="99"/>
              </w:rPr>
              <w:t>—</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231F20"/>
                <w:w w:val="99"/>
              </w:rPr>
              <w:t>—</w:t>
            </w:r>
          </w:p>
        </w:tc>
        <w:tc>
          <w:tcPr>
            <w:tcW w:w="740" w:type="dxa"/>
            <w:vAlign w:val="bottom"/>
            <w:vMerge w:val="restart"/>
          </w:tcPr>
          <w:p>
            <w:pPr>
              <w:jc w:val="center"/>
              <w:ind w:left="10"/>
              <w:spacing w:after="0"/>
              <w:rPr>
                <w:sz w:val="20"/>
                <w:szCs w:val="20"/>
                <w:color w:val="auto"/>
              </w:rPr>
            </w:pPr>
            <w:r>
              <w:rPr>
                <w:rFonts w:ascii="Arial" w:cs="Arial" w:eastAsia="Arial" w:hAnsi="Arial"/>
                <w:sz w:val="14"/>
                <w:szCs w:val="14"/>
                <w:color w:val="231F20"/>
                <w:w w:val="99"/>
              </w:rPr>
              <w:t>—</w:t>
            </w:r>
          </w:p>
        </w:tc>
        <w:tc>
          <w:tcPr>
            <w:tcW w:w="1180" w:type="dxa"/>
            <w:vAlign w:val="bottom"/>
            <w:vMerge w:val="restart"/>
          </w:tcPr>
          <w:p>
            <w:pPr>
              <w:jc w:val="center"/>
              <w:ind w:left="33"/>
              <w:spacing w:after="0"/>
              <w:rPr>
                <w:sz w:val="20"/>
                <w:szCs w:val="20"/>
                <w:color w:val="auto"/>
              </w:rPr>
            </w:pPr>
            <w:r>
              <w:rPr>
                <w:rFonts w:ascii="Arial" w:cs="Arial" w:eastAsia="Arial" w:hAnsi="Arial"/>
                <w:sz w:val="14"/>
                <w:szCs w:val="14"/>
                <w:color w:val="231F20"/>
              </w:rPr>
              <w:t>25,795</w:t>
            </w:r>
          </w:p>
        </w:tc>
        <w:tc>
          <w:tcPr>
            <w:tcW w:w="820" w:type="dxa"/>
            <w:vAlign w:val="bottom"/>
            <w:vMerge w:val="restart"/>
          </w:tcPr>
          <w:p>
            <w:pPr>
              <w:jc w:val="center"/>
              <w:ind w:left="32"/>
              <w:spacing w:after="0"/>
              <w:rPr>
                <w:sz w:val="20"/>
                <w:szCs w:val="20"/>
                <w:color w:val="auto"/>
              </w:rPr>
            </w:pPr>
            <w:r>
              <w:rPr>
                <w:rFonts w:ascii="Arial" w:cs="Arial" w:eastAsia="Arial" w:hAnsi="Arial"/>
                <w:sz w:val="14"/>
                <w:szCs w:val="14"/>
                <w:color w:val="231F20"/>
              </w:rPr>
              <w:t>$2,221,723</w:t>
            </w:r>
          </w:p>
        </w:tc>
        <w:tc>
          <w:tcPr>
            <w:tcW w:w="0" w:type="dxa"/>
            <w:vAlign w:val="bottom"/>
          </w:tcPr>
          <w:p>
            <w:pPr>
              <w:spacing w:after="0"/>
              <w:rPr>
                <w:sz w:val="1"/>
                <w:szCs w:val="1"/>
                <w:color w:val="auto"/>
              </w:rPr>
            </w:pPr>
          </w:p>
        </w:tc>
      </w:tr>
      <w:tr>
        <w:trPr>
          <w:trHeight w:val="102"/>
        </w:trPr>
        <w:tc>
          <w:tcPr>
            <w:tcW w:w="208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080" w:type="dxa"/>
            <w:vAlign w:val="bottom"/>
            <w:tcBorders>
              <w:bottom w:val="single" w:sz="8" w:color="008000"/>
            </w:tcBorders>
          </w:tcPr>
          <w:p>
            <w:pPr>
              <w:spacing w:after="0"/>
              <w:rPr>
                <w:sz w:val="21"/>
                <w:szCs w:val="21"/>
                <w:color w:val="auto"/>
              </w:rPr>
            </w:pPr>
          </w:p>
        </w:tc>
        <w:tc>
          <w:tcPr>
            <w:tcW w:w="1400" w:type="dxa"/>
            <w:vAlign w:val="bottom"/>
            <w:tcBorders>
              <w:bottom w:val="single" w:sz="8" w:color="008000"/>
            </w:tcBorders>
          </w:tcPr>
          <w:p>
            <w:pPr>
              <w:jc w:val="center"/>
              <w:ind w:left="289"/>
              <w:spacing w:after="0"/>
              <w:rPr>
                <w:sz w:val="20"/>
                <w:szCs w:val="20"/>
                <w:color w:val="auto"/>
              </w:rPr>
            </w:pPr>
            <w:r>
              <w:rPr>
                <w:rFonts w:ascii="Arial" w:cs="Arial" w:eastAsia="Arial" w:hAnsi="Arial"/>
                <w:sz w:val="14"/>
                <w:szCs w:val="14"/>
                <w:color w:val="231F20"/>
              </w:rPr>
              <w:t>03/02/23</w:t>
            </w:r>
          </w:p>
        </w:tc>
        <w:tc>
          <w:tcPr>
            <w:tcW w:w="860" w:type="dxa"/>
            <w:vAlign w:val="bottom"/>
            <w:tcBorders>
              <w:bottom w:val="single" w:sz="8" w:color="008000"/>
            </w:tcBorders>
          </w:tcPr>
          <w:p>
            <w:pPr>
              <w:spacing w:after="0"/>
              <w:rPr>
                <w:sz w:val="21"/>
                <w:szCs w:val="21"/>
                <w:color w:val="auto"/>
              </w:rPr>
            </w:pPr>
          </w:p>
        </w:tc>
        <w:tc>
          <w:tcPr>
            <w:tcW w:w="840" w:type="dxa"/>
            <w:vAlign w:val="bottom"/>
            <w:tcBorders>
              <w:bottom w:val="single" w:sz="8" w:color="008000"/>
            </w:tcBorders>
          </w:tcPr>
          <w:p>
            <w:pPr>
              <w:spacing w:after="0"/>
              <w:rPr>
                <w:sz w:val="21"/>
                <w:szCs w:val="21"/>
                <w:color w:val="auto"/>
              </w:rPr>
            </w:pPr>
          </w:p>
        </w:tc>
        <w:tc>
          <w:tcPr>
            <w:tcW w:w="160" w:type="dxa"/>
            <w:vAlign w:val="bottom"/>
            <w:tcBorders>
              <w:bottom w:val="single" w:sz="8" w:color="008000"/>
            </w:tcBorders>
          </w:tcPr>
          <w:p>
            <w:pPr>
              <w:spacing w:after="0"/>
              <w:rPr>
                <w:sz w:val="21"/>
                <w:szCs w:val="21"/>
                <w:color w:val="auto"/>
              </w:rPr>
            </w:pPr>
          </w:p>
        </w:tc>
        <w:tc>
          <w:tcPr>
            <w:tcW w:w="800" w:type="dxa"/>
            <w:vAlign w:val="bottom"/>
            <w:tcBorders>
              <w:bottom w:val="single" w:sz="8" w:color="008000"/>
            </w:tcBorders>
          </w:tcPr>
          <w:p>
            <w:pPr>
              <w:spacing w:after="0"/>
              <w:rPr>
                <w:sz w:val="21"/>
                <w:szCs w:val="21"/>
                <w:color w:val="auto"/>
              </w:rPr>
            </w:pPr>
          </w:p>
        </w:tc>
        <w:tc>
          <w:tcPr>
            <w:tcW w:w="840" w:type="dxa"/>
            <w:vAlign w:val="bottom"/>
            <w:tcBorders>
              <w:bottom w:val="single" w:sz="8" w:color="008000"/>
            </w:tcBorders>
          </w:tcPr>
          <w:p>
            <w:pPr>
              <w:spacing w:after="0"/>
              <w:rPr>
                <w:sz w:val="21"/>
                <w:szCs w:val="21"/>
                <w:color w:val="auto"/>
              </w:rPr>
            </w:pPr>
          </w:p>
        </w:tc>
        <w:tc>
          <w:tcPr>
            <w:tcW w:w="740" w:type="dxa"/>
            <w:vAlign w:val="bottom"/>
            <w:tcBorders>
              <w:bottom w:val="single" w:sz="8" w:color="008000"/>
            </w:tcBorders>
          </w:tcPr>
          <w:p>
            <w:pPr>
              <w:spacing w:after="0"/>
              <w:rPr>
                <w:sz w:val="21"/>
                <w:szCs w:val="21"/>
                <w:color w:val="auto"/>
              </w:rPr>
            </w:pPr>
          </w:p>
        </w:tc>
        <w:tc>
          <w:tcPr>
            <w:tcW w:w="1180" w:type="dxa"/>
            <w:vAlign w:val="bottom"/>
            <w:tcBorders>
              <w:bottom w:val="single" w:sz="8" w:color="008000"/>
            </w:tcBorders>
          </w:tcPr>
          <w:p>
            <w:pPr>
              <w:jc w:val="center"/>
              <w:ind w:left="33"/>
              <w:spacing w:after="0" w:line="251" w:lineRule="exact"/>
              <w:rPr>
                <w:sz w:val="20"/>
                <w:szCs w:val="20"/>
                <w:color w:val="auto"/>
              </w:rPr>
            </w:pPr>
            <w:r>
              <w:rPr>
                <w:rFonts w:ascii="Arial" w:cs="Arial" w:eastAsia="Arial" w:hAnsi="Arial"/>
                <w:sz w:val="14"/>
                <w:szCs w:val="14"/>
                <w:color w:val="231F20"/>
                <w:w w:val="94"/>
              </w:rPr>
              <w:t>548</w:t>
            </w:r>
            <w:r>
              <w:rPr>
                <w:rFonts w:ascii="Arial" w:cs="Arial" w:eastAsia="Arial" w:hAnsi="Arial"/>
                <w:sz w:val="23"/>
                <w:szCs w:val="23"/>
                <w:color w:val="231F20"/>
                <w:w w:val="94"/>
                <w:vertAlign w:val="superscript"/>
              </w:rPr>
              <w:t>(5)</w:t>
            </w:r>
          </w:p>
        </w:tc>
        <w:tc>
          <w:tcPr>
            <w:tcW w:w="820" w:type="dxa"/>
            <w:vAlign w:val="bottom"/>
            <w:tcBorders>
              <w:bottom w:val="single" w:sz="8" w:color="008000"/>
            </w:tcBorders>
          </w:tcPr>
          <w:p>
            <w:pPr>
              <w:jc w:val="center"/>
              <w:ind w:left="32"/>
              <w:spacing w:after="0"/>
              <w:rPr>
                <w:sz w:val="20"/>
                <w:szCs w:val="20"/>
                <w:color w:val="auto"/>
              </w:rPr>
            </w:pPr>
            <w:r>
              <w:rPr>
                <w:rFonts w:ascii="Arial" w:cs="Arial" w:eastAsia="Arial" w:hAnsi="Arial"/>
                <w:sz w:val="14"/>
                <w:szCs w:val="14"/>
                <w:color w:val="231F20"/>
              </w:rPr>
              <w:t>$45,991</w:t>
            </w:r>
          </w:p>
        </w:tc>
        <w:tc>
          <w:tcPr>
            <w:tcW w:w="0" w:type="dxa"/>
            <w:vAlign w:val="bottom"/>
          </w:tcPr>
          <w:p>
            <w:pPr>
              <w:spacing w:after="0"/>
              <w:rPr>
                <w:sz w:val="1"/>
                <w:szCs w:val="1"/>
                <w:color w:val="auto"/>
              </w:rPr>
            </w:pPr>
          </w:p>
        </w:tc>
      </w:tr>
      <w:tr>
        <w:trPr>
          <w:trHeight w:val="202"/>
        </w:trPr>
        <w:tc>
          <w:tcPr>
            <w:tcW w:w="2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60" w:type="dxa"/>
            <w:vAlign w:val="bottom"/>
          </w:tcPr>
          <w:p>
            <w:pPr>
              <w:ind w:left="300"/>
              <w:spacing w:after="0"/>
              <w:rPr>
                <w:sz w:val="20"/>
                <w:szCs w:val="20"/>
                <w:color w:val="auto"/>
              </w:rPr>
            </w:pPr>
            <w:r>
              <w:rPr>
                <w:rFonts w:ascii="Arial" w:cs="Arial" w:eastAsia="Arial" w:hAnsi="Arial"/>
                <w:sz w:val="14"/>
                <w:szCs w:val="14"/>
                <w:color w:val="231F20"/>
              </w:rPr>
              <w:t>—</w:t>
            </w:r>
          </w:p>
        </w:tc>
        <w:tc>
          <w:tcPr>
            <w:tcW w:w="840" w:type="dxa"/>
            <w:vAlign w:val="bottom"/>
          </w:tcPr>
          <w:p>
            <w:pPr>
              <w:jc w:val="center"/>
              <w:ind w:left="9"/>
              <w:spacing w:after="0"/>
              <w:rPr>
                <w:sz w:val="20"/>
                <w:szCs w:val="20"/>
                <w:color w:val="auto"/>
              </w:rPr>
            </w:pPr>
            <w:r>
              <w:rPr>
                <w:rFonts w:ascii="Arial" w:cs="Arial" w:eastAsia="Arial" w:hAnsi="Arial"/>
                <w:sz w:val="14"/>
                <w:szCs w:val="14"/>
                <w:color w:val="231F20"/>
              </w:rPr>
              <w:t>$800,000</w:t>
            </w:r>
          </w:p>
        </w:tc>
        <w:tc>
          <w:tcPr>
            <w:tcW w:w="160" w:type="dxa"/>
            <w:vAlign w:val="bottom"/>
          </w:tcPr>
          <w:p>
            <w:pPr>
              <w:spacing w:after="0"/>
              <w:rPr>
                <w:sz w:val="17"/>
                <w:szCs w:val="17"/>
                <w:color w:val="auto"/>
              </w:rPr>
            </w:pPr>
          </w:p>
        </w:tc>
        <w:tc>
          <w:tcPr>
            <w:tcW w:w="800" w:type="dxa"/>
            <w:vAlign w:val="bottom"/>
          </w:tcPr>
          <w:p>
            <w:pPr>
              <w:jc w:val="center"/>
              <w:ind w:right="32"/>
              <w:spacing w:after="0"/>
              <w:rPr>
                <w:sz w:val="20"/>
                <w:szCs w:val="20"/>
                <w:color w:val="auto"/>
              </w:rPr>
            </w:pPr>
            <w:r>
              <w:rPr>
                <w:rFonts w:ascii="Arial" w:cs="Arial" w:eastAsia="Arial" w:hAnsi="Arial"/>
                <w:sz w:val="14"/>
                <w:szCs w:val="14"/>
                <w:color w:val="231F20"/>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231F20"/>
                <w:w w:val="99"/>
              </w:rPr>
              <w:t>—</w:t>
            </w:r>
          </w:p>
        </w:tc>
        <w:tc>
          <w:tcPr>
            <w:tcW w:w="740" w:type="dxa"/>
            <w:vAlign w:val="bottom"/>
          </w:tcPr>
          <w:p>
            <w:pPr>
              <w:jc w:val="center"/>
              <w:ind w:left="10"/>
              <w:spacing w:after="0"/>
              <w:rPr>
                <w:sz w:val="20"/>
                <w:szCs w:val="20"/>
                <w:color w:val="auto"/>
              </w:rPr>
            </w:pPr>
            <w:r>
              <w:rPr>
                <w:rFonts w:ascii="Arial" w:cs="Arial" w:eastAsia="Arial" w:hAnsi="Arial"/>
                <w:sz w:val="14"/>
                <w:szCs w:val="14"/>
                <w:color w:val="231F20"/>
                <w:w w:val="99"/>
              </w:rPr>
              <w:t>—</w:t>
            </w:r>
          </w:p>
        </w:tc>
        <w:tc>
          <w:tcPr>
            <w:tcW w:w="1180" w:type="dxa"/>
            <w:vAlign w:val="bottom"/>
          </w:tcPr>
          <w:p>
            <w:pPr>
              <w:jc w:val="center"/>
              <w:ind w:left="33"/>
              <w:spacing w:after="0"/>
              <w:rPr>
                <w:sz w:val="20"/>
                <w:szCs w:val="20"/>
                <w:color w:val="auto"/>
              </w:rPr>
            </w:pPr>
            <w:r>
              <w:rPr>
                <w:rFonts w:ascii="Arial" w:cs="Arial" w:eastAsia="Arial" w:hAnsi="Arial"/>
                <w:sz w:val="14"/>
                <w:szCs w:val="14"/>
                <w:color w:val="231F20"/>
              </w:rPr>
              <w:t>—</w:t>
            </w:r>
          </w:p>
        </w:tc>
        <w:tc>
          <w:tcPr>
            <w:tcW w:w="820" w:type="dxa"/>
            <w:vAlign w:val="bottom"/>
          </w:tcPr>
          <w:p>
            <w:pPr>
              <w:jc w:val="center"/>
              <w:ind w:left="32"/>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216"/>
        </w:trPr>
        <w:tc>
          <w:tcPr>
            <w:tcW w:w="2080" w:type="dxa"/>
            <w:vAlign w:val="bottom"/>
            <w:vMerge w:val="restart"/>
          </w:tcPr>
          <w:p>
            <w:pPr>
              <w:ind w:left="100"/>
              <w:spacing w:after="0"/>
              <w:rPr>
                <w:sz w:val="20"/>
                <w:szCs w:val="20"/>
                <w:color w:val="auto"/>
              </w:rPr>
            </w:pPr>
            <w:r>
              <w:rPr>
                <w:rFonts w:ascii="Arial" w:cs="Arial" w:eastAsia="Arial" w:hAnsi="Arial"/>
                <w:sz w:val="14"/>
                <w:szCs w:val="14"/>
                <w:b w:val="1"/>
                <w:bCs w:val="1"/>
                <w:color w:val="007B52"/>
              </w:rPr>
              <w:t>Scott A. Worthington</w:t>
            </w:r>
          </w:p>
        </w:tc>
        <w:tc>
          <w:tcPr>
            <w:tcW w:w="1400" w:type="dxa"/>
            <w:vAlign w:val="bottom"/>
          </w:tcPr>
          <w:p>
            <w:pPr>
              <w:jc w:val="center"/>
              <w:ind w:left="289"/>
              <w:spacing w:after="0"/>
              <w:rPr>
                <w:sz w:val="20"/>
                <w:szCs w:val="20"/>
                <w:color w:val="auto"/>
              </w:rPr>
            </w:pPr>
            <w:r>
              <w:rPr>
                <w:rFonts w:ascii="Arial" w:cs="Arial" w:eastAsia="Arial" w:hAnsi="Arial"/>
                <w:sz w:val="14"/>
                <w:szCs w:val="14"/>
                <w:color w:val="231F20"/>
              </w:rPr>
              <w:t>02/27/23</w:t>
            </w:r>
          </w:p>
        </w:tc>
        <w:tc>
          <w:tcPr>
            <w:tcW w:w="860" w:type="dxa"/>
            <w:vAlign w:val="bottom"/>
          </w:tcPr>
          <w:p>
            <w:pPr>
              <w:ind w:left="300"/>
              <w:spacing w:after="0"/>
              <w:rPr>
                <w:sz w:val="20"/>
                <w:szCs w:val="20"/>
                <w:color w:val="auto"/>
              </w:rPr>
            </w:pPr>
            <w:r>
              <w:rPr>
                <w:rFonts w:ascii="Arial" w:cs="Arial" w:eastAsia="Arial" w:hAnsi="Arial"/>
                <w:sz w:val="14"/>
                <w:szCs w:val="14"/>
                <w:color w:val="231F20"/>
              </w:rPr>
              <w:t>—</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color w:val="231F20"/>
                <w:w w:val="99"/>
              </w:rPr>
              <w:t>—</w:t>
            </w:r>
          </w:p>
        </w:tc>
        <w:tc>
          <w:tcPr>
            <w:tcW w:w="800" w:type="dxa"/>
            <w:vAlign w:val="bottom"/>
          </w:tcPr>
          <w:p>
            <w:pPr>
              <w:jc w:val="center"/>
              <w:ind w:right="52"/>
              <w:spacing w:after="0"/>
              <w:rPr>
                <w:sz w:val="20"/>
                <w:szCs w:val="20"/>
                <w:color w:val="auto"/>
              </w:rPr>
            </w:pPr>
            <w:r>
              <w:rPr>
                <w:rFonts w:ascii="Arial" w:cs="Arial" w:eastAsia="Arial" w:hAnsi="Arial"/>
                <w:sz w:val="14"/>
                <w:szCs w:val="14"/>
                <w:color w:val="231F20"/>
              </w:rPr>
              <w:t>1,328</w:t>
            </w:r>
          </w:p>
        </w:tc>
        <w:tc>
          <w:tcPr>
            <w:tcW w:w="840" w:type="dxa"/>
            <w:vAlign w:val="bottom"/>
          </w:tcPr>
          <w:p>
            <w:pPr>
              <w:jc w:val="center"/>
              <w:spacing w:after="0"/>
              <w:rPr>
                <w:sz w:val="20"/>
                <w:szCs w:val="20"/>
                <w:color w:val="auto"/>
              </w:rPr>
            </w:pPr>
            <w:r>
              <w:rPr>
                <w:rFonts w:ascii="Arial" w:cs="Arial" w:eastAsia="Arial" w:hAnsi="Arial"/>
                <w:sz w:val="14"/>
                <w:szCs w:val="14"/>
                <w:color w:val="231F20"/>
              </w:rPr>
              <w:t>2,656</w:t>
            </w:r>
          </w:p>
        </w:tc>
        <w:tc>
          <w:tcPr>
            <w:tcW w:w="740" w:type="dxa"/>
            <w:vAlign w:val="bottom"/>
          </w:tcPr>
          <w:p>
            <w:pPr>
              <w:jc w:val="center"/>
              <w:ind w:left="30"/>
              <w:spacing w:after="0"/>
              <w:rPr>
                <w:sz w:val="20"/>
                <w:szCs w:val="20"/>
                <w:color w:val="auto"/>
              </w:rPr>
            </w:pPr>
            <w:r>
              <w:rPr>
                <w:rFonts w:ascii="Arial" w:cs="Arial" w:eastAsia="Arial" w:hAnsi="Arial"/>
                <w:sz w:val="14"/>
                <w:szCs w:val="14"/>
                <w:color w:val="231F20"/>
              </w:rPr>
              <w:t>5,312</w:t>
            </w:r>
          </w:p>
        </w:tc>
        <w:tc>
          <w:tcPr>
            <w:tcW w:w="1180" w:type="dxa"/>
            <w:vAlign w:val="bottom"/>
          </w:tcPr>
          <w:p>
            <w:pPr>
              <w:jc w:val="center"/>
              <w:ind w:left="33"/>
              <w:spacing w:after="0"/>
              <w:rPr>
                <w:sz w:val="20"/>
                <w:szCs w:val="20"/>
                <w:color w:val="auto"/>
              </w:rPr>
            </w:pPr>
            <w:r>
              <w:rPr>
                <w:rFonts w:ascii="Arial" w:cs="Arial" w:eastAsia="Arial" w:hAnsi="Arial"/>
                <w:sz w:val="14"/>
                <w:szCs w:val="14"/>
                <w:color w:val="231F20"/>
              </w:rPr>
              <w:t>—</w:t>
            </w:r>
          </w:p>
        </w:tc>
        <w:tc>
          <w:tcPr>
            <w:tcW w:w="820" w:type="dxa"/>
            <w:vAlign w:val="bottom"/>
          </w:tcPr>
          <w:p>
            <w:pPr>
              <w:jc w:val="center"/>
              <w:ind w:left="32"/>
              <w:spacing w:after="0"/>
              <w:rPr>
                <w:sz w:val="20"/>
                <w:szCs w:val="20"/>
                <w:color w:val="auto"/>
              </w:rPr>
            </w:pPr>
            <w:r>
              <w:rPr>
                <w:rFonts w:ascii="Arial" w:cs="Arial" w:eastAsia="Arial" w:hAnsi="Arial"/>
                <w:sz w:val="14"/>
                <w:szCs w:val="14"/>
                <w:color w:val="231F20"/>
              </w:rPr>
              <w:t>$228,696</w:t>
            </w:r>
          </w:p>
        </w:tc>
        <w:tc>
          <w:tcPr>
            <w:tcW w:w="0" w:type="dxa"/>
            <w:vAlign w:val="bottom"/>
          </w:tcPr>
          <w:p>
            <w:pPr>
              <w:spacing w:after="0"/>
              <w:rPr>
                <w:sz w:val="1"/>
                <w:szCs w:val="1"/>
                <w:color w:val="auto"/>
              </w:rPr>
            </w:pPr>
          </w:p>
        </w:tc>
      </w:tr>
      <w:tr>
        <w:trPr>
          <w:trHeight w:val="114"/>
        </w:trPr>
        <w:tc>
          <w:tcPr>
            <w:tcW w:w="2080" w:type="dxa"/>
            <w:vAlign w:val="bottom"/>
            <w:vMerge w:val="continue"/>
          </w:tcPr>
          <w:p>
            <w:pPr>
              <w:spacing w:after="0"/>
              <w:rPr>
                <w:sz w:val="9"/>
                <w:szCs w:val="9"/>
                <w:color w:val="auto"/>
              </w:rPr>
            </w:pPr>
          </w:p>
        </w:tc>
        <w:tc>
          <w:tcPr>
            <w:tcW w:w="1400" w:type="dxa"/>
            <w:vAlign w:val="bottom"/>
            <w:vMerge w:val="restart"/>
          </w:tcPr>
          <w:p>
            <w:pPr>
              <w:jc w:val="center"/>
              <w:ind w:left="289"/>
              <w:spacing w:after="0"/>
              <w:rPr>
                <w:sz w:val="20"/>
                <w:szCs w:val="20"/>
                <w:color w:val="auto"/>
              </w:rPr>
            </w:pPr>
            <w:r>
              <w:rPr>
                <w:rFonts w:ascii="Arial" w:cs="Arial" w:eastAsia="Arial" w:hAnsi="Arial"/>
                <w:sz w:val="14"/>
                <w:szCs w:val="14"/>
                <w:color w:val="231F20"/>
              </w:rPr>
              <w:t>02/27/23</w:t>
            </w:r>
          </w:p>
        </w:tc>
        <w:tc>
          <w:tcPr>
            <w:tcW w:w="860" w:type="dxa"/>
            <w:vAlign w:val="bottom"/>
            <w:vMerge w:val="restart"/>
          </w:tcPr>
          <w:p>
            <w:pPr>
              <w:ind w:left="300"/>
              <w:spacing w:after="0"/>
              <w:rPr>
                <w:sz w:val="20"/>
                <w:szCs w:val="20"/>
                <w:color w:val="auto"/>
              </w:rPr>
            </w:pPr>
            <w:r>
              <w:rPr>
                <w:rFonts w:ascii="Arial" w:cs="Arial" w:eastAsia="Arial" w:hAnsi="Arial"/>
                <w:sz w:val="14"/>
                <w:szCs w:val="14"/>
                <w:color w:val="231F20"/>
              </w:rPr>
              <w:t>—</w:t>
            </w:r>
          </w:p>
        </w:tc>
        <w:tc>
          <w:tcPr>
            <w:tcW w:w="100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231F20"/>
                <w:w w:val="99"/>
              </w:rPr>
              <w:t>—</w:t>
            </w:r>
          </w:p>
        </w:tc>
        <w:tc>
          <w:tcPr>
            <w:tcW w:w="800" w:type="dxa"/>
            <w:vAlign w:val="bottom"/>
            <w:vMerge w:val="restart"/>
          </w:tcPr>
          <w:p>
            <w:pPr>
              <w:jc w:val="center"/>
              <w:ind w:right="32"/>
              <w:spacing w:after="0"/>
              <w:rPr>
                <w:sz w:val="20"/>
                <w:szCs w:val="20"/>
                <w:color w:val="auto"/>
              </w:rPr>
            </w:pPr>
            <w:r>
              <w:rPr>
                <w:rFonts w:ascii="Arial" w:cs="Arial" w:eastAsia="Arial" w:hAnsi="Arial"/>
                <w:sz w:val="14"/>
                <w:szCs w:val="14"/>
                <w:color w:val="231F20"/>
                <w:w w:val="99"/>
              </w:rPr>
              <w:t>—</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231F20"/>
                <w:w w:val="99"/>
              </w:rPr>
              <w:t>—</w:t>
            </w:r>
          </w:p>
        </w:tc>
        <w:tc>
          <w:tcPr>
            <w:tcW w:w="740" w:type="dxa"/>
            <w:vAlign w:val="bottom"/>
            <w:vMerge w:val="restart"/>
          </w:tcPr>
          <w:p>
            <w:pPr>
              <w:jc w:val="center"/>
              <w:ind w:left="10"/>
              <w:spacing w:after="0"/>
              <w:rPr>
                <w:sz w:val="20"/>
                <w:szCs w:val="20"/>
                <w:color w:val="auto"/>
              </w:rPr>
            </w:pPr>
            <w:r>
              <w:rPr>
                <w:rFonts w:ascii="Arial" w:cs="Arial" w:eastAsia="Arial" w:hAnsi="Arial"/>
                <w:sz w:val="14"/>
                <w:szCs w:val="14"/>
                <w:color w:val="231F20"/>
                <w:w w:val="99"/>
              </w:rPr>
              <w:t>—</w:t>
            </w:r>
          </w:p>
        </w:tc>
        <w:tc>
          <w:tcPr>
            <w:tcW w:w="1180" w:type="dxa"/>
            <w:vAlign w:val="bottom"/>
            <w:vMerge w:val="restart"/>
          </w:tcPr>
          <w:p>
            <w:pPr>
              <w:jc w:val="center"/>
              <w:ind w:left="33"/>
              <w:spacing w:after="0"/>
              <w:rPr>
                <w:sz w:val="20"/>
                <w:szCs w:val="20"/>
                <w:color w:val="auto"/>
              </w:rPr>
            </w:pPr>
            <w:r>
              <w:rPr>
                <w:rFonts w:ascii="Arial" w:cs="Arial" w:eastAsia="Arial" w:hAnsi="Arial"/>
                <w:sz w:val="14"/>
                <w:szCs w:val="14"/>
                <w:color w:val="231F20"/>
              </w:rPr>
              <w:t>23,910</w:t>
            </w:r>
          </w:p>
        </w:tc>
        <w:tc>
          <w:tcPr>
            <w:tcW w:w="820" w:type="dxa"/>
            <w:vAlign w:val="bottom"/>
            <w:vMerge w:val="restart"/>
          </w:tcPr>
          <w:p>
            <w:pPr>
              <w:jc w:val="center"/>
              <w:ind w:left="32"/>
              <w:spacing w:after="0"/>
              <w:rPr>
                <w:sz w:val="20"/>
                <w:szCs w:val="20"/>
                <w:color w:val="auto"/>
              </w:rPr>
            </w:pPr>
            <w:r>
              <w:rPr>
                <w:rFonts w:ascii="Arial" w:cs="Arial" w:eastAsia="Arial" w:hAnsi="Arial"/>
                <w:sz w:val="14"/>
                <w:szCs w:val="14"/>
                <w:color w:val="231F20"/>
              </w:rPr>
              <w:t>$2,059,368</w:t>
            </w:r>
          </w:p>
        </w:tc>
        <w:tc>
          <w:tcPr>
            <w:tcW w:w="0" w:type="dxa"/>
            <w:vAlign w:val="bottom"/>
          </w:tcPr>
          <w:p>
            <w:pPr>
              <w:spacing w:after="0"/>
              <w:rPr>
                <w:sz w:val="1"/>
                <w:szCs w:val="1"/>
                <w:color w:val="auto"/>
              </w:rPr>
            </w:pPr>
          </w:p>
        </w:tc>
      </w:tr>
      <w:tr>
        <w:trPr>
          <w:trHeight w:val="102"/>
        </w:trPr>
        <w:tc>
          <w:tcPr>
            <w:tcW w:w="208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080" w:type="dxa"/>
            <w:vAlign w:val="bottom"/>
            <w:tcBorders>
              <w:bottom w:val="single" w:sz="8" w:color="008000"/>
            </w:tcBorders>
          </w:tcPr>
          <w:p>
            <w:pPr>
              <w:spacing w:after="0"/>
              <w:rPr>
                <w:sz w:val="21"/>
                <w:szCs w:val="21"/>
                <w:color w:val="auto"/>
              </w:rPr>
            </w:pPr>
          </w:p>
        </w:tc>
        <w:tc>
          <w:tcPr>
            <w:tcW w:w="1400" w:type="dxa"/>
            <w:vAlign w:val="bottom"/>
            <w:tcBorders>
              <w:bottom w:val="single" w:sz="8" w:color="008000"/>
            </w:tcBorders>
          </w:tcPr>
          <w:p>
            <w:pPr>
              <w:jc w:val="center"/>
              <w:ind w:left="289"/>
              <w:spacing w:after="0"/>
              <w:rPr>
                <w:sz w:val="20"/>
                <w:szCs w:val="20"/>
                <w:color w:val="auto"/>
              </w:rPr>
            </w:pPr>
            <w:r>
              <w:rPr>
                <w:rFonts w:ascii="Arial" w:cs="Arial" w:eastAsia="Arial" w:hAnsi="Arial"/>
                <w:sz w:val="14"/>
                <w:szCs w:val="14"/>
                <w:color w:val="231F20"/>
              </w:rPr>
              <w:t>03/02/23</w:t>
            </w:r>
          </w:p>
        </w:tc>
        <w:tc>
          <w:tcPr>
            <w:tcW w:w="860" w:type="dxa"/>
            <w:vAlign w:val="bottom"/>
            <w:tcBorders>
              <w:bottom w:val="single" w:sz="8" w:color="008000"/>
            </w:tcBorders>
          </w:tcPr>
          <w:p>
            <w:pPr>
              <w:spacing w:after="0"/>
              <w:rPr>
                <w:sz w:val="21"/>
                <w:szCs w:val="21"/>
                <w:color w:val="auto"/>
              </w:rPr>
            </w:pPr>
          </w:p>
        </w:tc>
        <w:tc>
          <w:tcPr>
            <w:tcW w:w="840" w:type="dxa"/>
            <w:vAlign w:val="bottom"/>
            <w:tcBorders>
              <w:bottom w:val="single" w:sz="8" w:color="008000"/>
            </w:tcBorders>
          </w:tcPr>
          <w:p>
            <w:pPr>
              <w:spacing w:after="0"/>
              <w:rPr>
                <w:sz w:val="21"/>
                <w:szCs w:val="21"/>
                <w:color w:val="auto"/>
              </w:rPr>
            </w:pPr>
          </w:p>
        </w:tc>
        <w:tc>
          <w:tcPr>
            <w:tcW w:w="160" w:type="dxa"/>
            <w:vAlign w:val="bottom"/>
            <w:tcBorders>
              <w:bottom w:val="single" w:sz="8" w:color="008000"/>
            </w:tcBorders>
          </w:tcPr>
          <w:p>
            <w:pPr>
              <w:spacing w:after="0"/>
              <w:rPr>
                <w:sz w:val="21"/>
                <w:szCs w:val="21"/>
                <w:color w:val="auto"/>
              </w:rPr>
            </w:pPr>
          </w:p>
        </w:tc>
        <w:tc>
          <w:tcPr>
            <w:tcW w:w="800" w:type="dxa"/>
            <w:vAlign w:val="bottom"/>
            <w:tcBorders>
              <w:bottom w:val="single" w:sz="8" w:color="008000"/>
            </w:tcBorders>
          </w:tcPr>
          <w:p>
            <w:pPr>
              <w:spacing w:after="0"/>
              <w:rPr>
                <w:sz w:val="21"/>
                <w:szCs w:val="21"/>
                <w:color w:val="auto"/>
              </w:rPr>
            </w:pPr>
          </w:p>
        </w:tc>
        <w:tc>
          <w:tcPr>
            <w:tcW w:w="840" w:type="dxa"/>
            <w:vAlign w:val="bottom"/>
            <w:tcBorders>
              <w:bottom w:val="single" w:sz="8" w:color="008000"/>
            </w:tcBorders>
          </w:tcPr>
          <w:p>
            <w:pPr>
              <w:spacing w:after="0"/>
              <w:rPr>
                <w:sz w:val="21"/>
                <w:szCs w:val="21"/>
                <w:color w:val="auto"/>
              </w:rPr>
            </w:pPr>
          </w:p>
        </w:tc>
        <w:tc>
          <w:tcPr>
            <w:tcW w:w="740" w:type="dxa"/>
            <w:vAlign w:val="bottom"/>
            <w:tcBorders>
              <w:bottom w:val="single" w:sz="8" w:color="008000"/>
            </w:tcBorders>
          </w:tcPr>
          <w:p>
            <w:pPr>
              <w:spacing w:after="0"/>
              <w:rPr>
                <w:sz w:val="21"/>
                <w:szCs w:val="21"/>
                <w:color w:val="auto"/>
              </w:rPr>
            </w:pPr>
          </w:p>
        </w:tc>
        <w:tc>
          <w:tcPr>
            <w:tcW w:w="1180" w:type="dxa"/>
            <w:vAlign w:val="bottom"/>
            <w:tcBorders>
              <w:bottom w:val="single" w:sz="8" w:color="008000"/>
            </w:tcBorders>
          </w:tcPr>
          <w:p>
            <w:pPr>
              <w:jc w:val="center"/>
              <w:ind w:left="33"/>
              <w:spacing w:after="0" w:line="251" w:lineRule="exact"/>
              <w:rPr>
                <w:sz w:val="20"/>
                <w:szCs w:val="20"/>
                <w:color w:val="auto"/>
              </w:rPr>
            </w:pPr>
            <w:r>
              <w:rPr>
                <w:rFonts w:ascii="Arial" w:cs="Arial" w:eastAsia="Arial" w:hAnsi="Arial"/>
                <w:sz w:val="14"/>
                <w:szCs w:val="14"/>
                <w:color w:val="231F20"/>
                <w:w w:val="94"/>
              </w:rPr>
              <w:t>562</w:t>
            </w:r>
            <w:r>
              <w:rPr>
                <w:rFonts w:ascii="Arial" w:cs="Arial" w:eastAsia="Arial" w:hAnsi="Arial"/>
                <w:sz w:val="23"/>
                <w:szCs w:val="23"/>
                <w:color w:val="231F20"/>
                <w:w w:val="94"/>
                <w:vertAlign w:val="superscript"/>
              </w:rPr>
              <w:t>(5)</w:t>
            </w:r>
          </w:p>
        </w:tc>
        <w:tc>
          <w:tcPr>
            <w:tcW w:w="820" w:type="dxa"/>
            <w:vAlign w:val="bottom"/>
            <w:tcBorders>
              <w:bottom w:val="single" w:sz="8" w:color="008000"/>
            </w:tcBorders>
          </w:tcPr>
          <w:p>
            <w:pPr>
              <w:jc w:val="center"/>
              <w:ind w:left="32"/>
              <w:spacing w:after="0"/>
              <w:rPr>
                <w:sz w:val="20"/>
                <w:szCs w:val="20"/>
                <w:color w:val="auto"/>
              </w:rPr>
            </w:pPr>
            <w:r>
              <w:rPr>
                <w:rFonts w:ascii="Arial" w:cs="Arial" w:eastAsia="Arial" w:hAnsi="Arial"/>
                <w:sz w:val="14"/>
                <w:szCs w:val="14"/>
                <w:color w:val="231F20"/>
              </w:rPr>
              <w:t>$48,478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60" w:right="460" w:hanging="256"/>
        <w:spacing w:after="0" w:line="233" w:lineRule="auto"/>
        <w:tabs>
          <w:tab w:leader="none" w:pos="260" w:val="left"/>
        </w:tabs>
        <w:numPr>
          <w:ilvl w:val="0"/>
          <w:numId w:val="45"/>
        </w:numPr>
        <w:rPr>
          <w:rFonts w:ascii="Arial" w:cs="Arial" w:eastAsia="Arial" w:hAnsi="Arial"/>
          <w:sz w:val="13"/>
          <w:szCs w:val="13"/>
          <w:color w:val="58595B"/>
        </w:rPr>
      </w:pPr>
      <w:r>
        <w:rPr>
          <w:rFonts w:ascii="Arial" w:cs="Arial" w:eastAsia="Arial" w:hAnsi="Arial"/>
          <w:sz w:val="13"/>
          <w:szCs w:val="13"/>
          <w:color w:val="58595B"/>
        </w:rPr>
        <w:t>Amounts earned under our annual incentive plan are required to be paid within 75 days after our fiscal year-end and are subject to the maximum payment amount described in footnote (4). For details regarding how awards are determined under the Plan, see the Compensation Discussion and Analysis section of this proxy statement.</w:t>
      </w:r>
    </w:p>
    <w:p>
      <w:pPr>
        <w:spacing w:after="0" w:line="77" w:lineRule="exact"/>
        <w:rPr>
          <w:rFonts w:ascii="Arial" w:cs="Arial" w:eastAsia="Arial" w:hAnsi="Arial"/>
          <w:sz w:val="13"/>
          <w:szCs w:val="13"/>
          <w:color w:val="58595B"/>
        </w:rPr>
      </w:pPr>
    </w:p>
    <w:p>
      <w:pPr>
        <w:ind w:left="260" w:right="80" w:hanging="256"/>
        <w:spacing w:after="0" w:line="226" w:lineRule="auto"/>
        <w:tabs>
          <w:tab w:leader="none" w:pos="260" w:val="left"/>
        </w:tabs>
        <w:numPr>
          <w:ilvl w:val="0"/>
          <w:numId w:val="45"/>
        </w:numPr>
        <w:rPr>
          <w:rFonts w:ascii="Arial" w:cs="Arial" w:eastAsia="Arial" w:hAnsi="Arial"/>
          <w:sz w:val="13"/>
          <w:szCs w:val="13"/>
          <w:color w:val="58595B"/>
        </w:rPr>
      </w:pPr>
      <w:r>
        <w:rPr>
          <w:rFonts w:ascii="Arial" w:cs="Arial" w:eastAsia="Arial" w:hAnsi="Arial"/>
          <w:sz w:val="13"/>
          <w:szCs w:val="13"/>
          <w:color w:val="58595B"/>
        </w:rPr>
        <w:t>The amounts in these three columns reflect the grant of performance units pursuant to our Long-Term Stock Incentive Plan. The performance units represent shares of the Company’s common stock and are issuable to participants at the end of the 3-year performance period beginning on the date that the performance units are granted. As explained in the Compensation Discussion and Analysis section above, performance is based upon the Company’s actual, cumulative preincentive compensation operating profit relative to the budgeted amount of pre-incentive compensation operating profit for that 3-year period. The total number of shares that may finally issue may vary from zero to 200% of the target amount, depending upon the Company’s performance.</w:t>
      </w:r>
    </w:p>
    <w:p>
      <w:pPr>
        <w:spacing w:after="0" w:line="79" w:lineRule="exact"/>
        <w:rPr>
          <w:rFonts w:ascii="Arial" w:cs="Arial" w:eastAsia="Arial" w:hAnsi="Arial"/>
          <w:sz w:val="13"/>
          <w:szCs w:val="13"/>
          <w:color w:val="58595B"/>
        </w:rPr>
      </w:pPr>
    </w:p>
    <w:p>
      <w:pPr>
        <w:ind w:left="260" w:right="100" w:hanging="256"/>
        <w:spacing w:after="0" w:line="229" w:lineRule="auto"/>
        <w:tabs>
          <w:tab w:leader="none" w:pos="260" w:val="left"/>
        </w:tabs>
        <w:numPr>
          <w:ilvl w:val="0"/>
          <w:numId w:val="45"/>
        </w:numPr>
        <w:rPr>
          <w:rFonts w:ascii="Arial" w:cs="Arial" w:eastAsia="Arial" w:hAnsi="Arial"/>
          <w:sz w:val="13"/>
          <w:szCs w:val="13"/>
          <w:color w:val="58595B"/>
        </w:rPr>
      </w:pPr>
      <w:r>
        <w:rPr>
          <w:rFonts w:ascii="Arial" w:cs="Arial" w:eastAsia="Arial" w:hAnsi="Arial"/>
          <w:sz w:val="13"/>
          <w:szCs w:val="13"/>
          <w:color w:val="58595B"/>
        </w:rPr>
        <w:t>Reflects the grant of shares of restricted Company common stock. As described in the Compensation Discussion and Analysis section above, the amount of incentive compensation earned in excess of the limit referenced in footnote (4) is payable in the form of performance units described in footnote (2) and in shares of restricted Company stock that cliff vest in five years, subject to accelerated vesting upon death, disability or a change in control. The grant date fair value of the awards is included in the Stock Awards column in the Summary Compensation Table.</w:t>
      </w:r>
    </w:p>
    <w:p>
      <w:pPr>
        <w:spacing w:after="0" w:line="77" w:lineRule="exact"/>
        <w:rPr>
          <w:rFonts w:ascii="Arial" w:cs="Arial" w:eastAsia="Arial" w:hAnsi="Arial"/>
          <w:sz w:val="13"/>
          <w:szCs w:val="13"/>
          <w:color w:val="58595B"/>
        </w:rPr>
      </w:pPr>
    </w:p>
    <w:p>
      <w:pPr>
        <w:ind w:left="260" w:hanging="256"/>
        <w:spacing w:after="0"/>
        <w:tabs>
          <w:tab w:leader="none" w:pos="260" w:val="left"/>
        </w:tabs>
        <w:numPr>
          <w:ilvl w:val="0"/>
          <w:numId w:val="45"/>
        </w:numPr>
        <w:rPr>
          <w:rFonts w:ascii="Arial" w:cs="Arial" w:eastAsia="Arial" w:hAnsi="Arial"/>
          <w:sz w:val="13"/>
          <w:szCs w:val="13"/>
          <w:color w:val="58595B"/>
        </w:rPr>
      </w:pPr>
      <w:r>
        <w:rPr>
          <w:rFonts w:ascii="Arial" w:cs="Arial" w:eastAsia="Arial" w:hAnsi="Arial"/>
          <w:sz w:val="13"/>
          <w:szCs w:val="13"/>
          <w:color w:val="58595B"/>
        </w:rPr>
        <w:t>Represents 2.0 times each Named Executive’s base salary as of the date of the grant, which is the maximum amount payable under our annual incentive program.</w:t>
      </w:r>
    </w:p>
    <w:p>
      <w:pPr>
        <w:spacing w:after="0" w:line="93" w:lineRule="exact"/>
        <w:rPr>
          <w:rFonts w:ascii="Arial" w:cs="Arial" w:eastAsia="Arial" w:hAnsi="Arial"/>
          <w:sz w:val="13"/>
          <w:szCs w:val="13"/>
          <w:color w:val="58595B"/>
        </w:rPr>
      </w:pPr>
    </w:p>
    <w:p>
      <w:pPr>
        <w:ind w:left="260" w:hanging="256"/>
        <w:spacing w:after="0"/>
        <w:tabs>
          <w:tab w:leader="none" w:pos="260" w:val="left"/>
        </w:tabs>
        <w:numPr>
          <w:ilvl w:val="0"/>
          <w:numId w:val="45"/>
        </w:numPr>
        <w:rPr>
          <w:rFonts w:ascii="Arial" w:cs="Arial" w:eastAsia="Arial" w:hAnsi="Arial"/>
          <w:sz w:val="13"/>
          <w:szCs w:val="13"/>
          <w:color w:val="58595B"/>
        </w:rPr>
      </w:pPr>
      <w:r>
        <w:rPr>
          <w:rFonts w:ascii="Arial" w:cs="Arial" w:eastAsia="Arial" w:hAnsi="Arial"/>
          <w:sz w:val="13"/>
          <w:szCs w:val="13"/>
          <w:color w:val="58595B"/>
        </w:rPr>
        <w:t>Represents the grant of shares under our Executive Stock Grant Program.</w:t>
      </w:r>
    </w:p>
    <w:p>
      <w:pPr>
        <w:spacing w:after="0" w:line="337"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35</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Outstanding Equity Awards at Fiscal Year-End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concerning equity awards held by the Named Executives as of December 31, 2022: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Borders>
              <w:bottom w:val="single" w:sz="8" w:color="007B52"/>
            </w:tcBorders>
          </w:tcPr>
          <w:p>
            <w:pPr>
              <w:spacing w:after="0"/>
              <w:rPr>
                <w:sz w:val="13"/>
                <w:szCs w:val="13"/>
                <w:color w:val="auto"/>
              </w:rPr>
            </w:pPr>
          </w:p>
        </w:tc>
        <w:tc>
          <w:tcPr>
            <w:tcW w:w="300" w:type="dxa"/>
            <w:vAlign w:val="bottom"/>
            <w:tcBorders>
              <w:bottom w:val="single" w:sz="8" w:color="007B52"/>
            </w:tcBorders>
          </w:tcPr>
          <w:p>
            <w:pPr>
              <w:spacing w:after="0"/>
              <w:rPr>
                <w:sz w:val="13"/>
                <w:szCs w:val="13"/>
                <w:color w:val="auto"/>
              </w:rPr>
            </w:pPr>
          </w:p>
        </w:tc>
        <w:tc>
          <w:tcPr>
            <w:tcW w:w="3080" w:type="dxa"/>
            <w:vAlign w:val="bottom"/>
            <w:tcBorders>
              <w:bottom w:val="single" w:sz="8" w:color="007B52"/>
            </w:tcBorders>
            <w:gridSpan w:val="2"/>
          </w:tcPr>
          <w:p>
            <w:pPr>
              <w:ind w:left="1340"/>
              <w:spacing w:after="0"/>
              <w:rPr>
                <w:sz w:val="20"/>
                <w:szCs w:val="20"/>
                <w:color w:val="auto"/>
              </w:rPr>
            </w:pPr>
            <w:r>
              <w:rPr>
                <w:rFonts w:ascii="Arial" w:cs="Arial" w:eastAsia="Arial" w:hAnsi="Arial"/>
                <w:sz w:val="11"/>
                <w:szCs w:val="11"/>
                <w:b w:val="1"/>
                <w:bCs w:val="1"/>
                <w:color w:val="auto"/>
              </w:rPr>
              <w:t>STOCK AWARDS</w:t>
            </w:r>
          </w:p>
        </w:tc>
        <w:tc>
          <w:tcPr>
            <w:tcW w:w="1580" w:type="dxa"/>
            <w:vAlign w:val="bottom"/>
            <w:tcBorders>
              <w:bottom w:val="single" w:sz="8" w:color="007B52"/>
            </w:tcBorders>
          </w:tcPr>
          <w:p>
            <w:pPr>
              <w:spacing w:after="0"/>
              <w:rPr>
                <w:sz w:val="13"/>
                <w:szCs w:val="13"/>
                <w:color w:val="auto"/>
              </w:rPr>
            </w:pPr>
          </w:p>
        </w:tc>
      </w:tr>
      <w:tr>
        <w:trPr>
          <w:trHeight w:val="169"/>
        </w:trPr>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20" w:type="dxa"/>
            <w:vAlign w:val="bottom"/>
            <w:tcBorders>
              <w:bottom w:val="single" w:sz="8" w:color="007B52"/>
            </w:tcBorders>
            <w:gridSpan w:val="2"/>
          </w:tcPr>
          <w:p>
            <w:pPr>
              <w:ind w:left="620"/>
              <w:spacing w:after="0"/>
              <w:rPr>
                <w:sz w:val="20"/>
                <w:szCs w:val="20"/>
                <w:color w:val="auto"/>
              </w:rPr>
            </w:pPr>
            <w:r>
              <w:rPr>
                <w:rFonts w:ascii="Arial" w:cs="Arial" w:eastAsia="Arial" w:hAnsi="Arial"/>
                <w:sz w:val="11"/>
                <w:szCs w:val="11"/>
                <w:b w:val="1"/>
                <w:bCs w:val="1"/>
                <w:color w:val="auto"/>
              </w:rPr>
              <w:t>EQUITY INCENTIVE PLAN AWARDS:</w:t>
            </w:r>
          </w:p>
        </w:tc>
      </w:tr>
      <w:tr>
        <w:trPr>
          <w:trHeight w:val="122"/>
        </w:trPr>
        <w:tc>
          <w:tcPr>
            <w:tcW w:w="2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231F20"/>
                <w:w w:val="96"/>
              </w:rPr>
              <w:t>NUMBER OF</w:t>
            </w:r>
          </w:p>
        </w:tc>
        <w:tc>
          <w:tcPr>
            <w:tcW w:w="15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122"/>
        </w:trPr>
        <w:tc>
          <w:tcPr>
            <w:tcW w:w="2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tcPr>
          <w:p>
            <w:pPr>
              <w:jc w:val="center"/>
              <w:ind w:left="191"/>
              <w:spacing w:after="0" w:line="122" w:lineRule="exact"/>
              <w:rPr>
                <w:sz w:val="20"/>
                <w:szCs w:val="20"/>
                <w:color w:val="auto"/>
              </w:rPr>
            </w:pPr>
            <w:r>
              <w:rPr>
                <w:rFonts w:ascii="Arial" w:cs="Arial" w:eastAsia="Arial" w:hAnsi="Arial"/>
                <w:sz w:val="11"/>
                <w:szCs w:val="11"/>
                <w:b w:val="1"/>
                <w:bCs w:val="1"/>
                <w:color w:val="231F20"/>
                <w:w w:val="95"/>
              </w:rPr>
              <w:t>SHARES</w:t>
            </w:r>
          </w:p>
        </w:tc>
        <w:tc>
          <w:tcPr>
            <w:tcW w:w="3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122"/>
        </w:trPr>
        <w:tc>
          <w:tcPr>
            <w:tcW w:w="2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231F20"/>
                <w:w w:val="95"/>
              </w:rPr>
              <w:t>OR UNITS OF</w:t>
            </w:r>
          </w:p>
        </w:tc>
        <w:tc>
          <w:tcPr>
            <w:tcW w:w="1540" w:type="dxa"/>
            <w:vAlign w:val="bottom"/>
          </w:tcPr>
          <w:p>
            <w:pPr>
              <w:jc w:val="center"/>
              <w:spacing w:after="0" w:line="122" w:lineRule="exact"/>
              <w:rPr>
                <w:sz w:val="20"/>
                <w:szCs w:val="20"/>
                <w:color w:val="auto"/>
              </w:rPr>
            </w:pPr>
            <w:r>
              <w:rPr>
                <w:rFonts w:ascii="Arial" w:cs="Arial" w:eastAsia="Arial" w:hAnsi="Arial"/>
                <w:sz w:val="11"/>
                <w:szCs w:val="11"/>
                <w:b w:val="1"/>
                <w:bCs w:val="1"/>
                <w:color w:val="231F20"/>
                <w:w w:val="96"/>
              </w:rPr>
              <w:t>MARKET VALUE OF</w:t>
            </w:r>
          </w:p>
        </w:tc>
        <w:tc>
          <w:tcPr>
            <w:tcW w:w="1540" w:type="dxa"/>
            <w:vAlign w:val="bottom"/>
          </w:tcPr>
          <w:p>
            <w:pPr>
              <w:jc w:val="center"/>
              <w:ind w:right="16"/>
              <w:spacing w:after="0" w:line="122" w:lineRule="exact"/>
              <w:rPr>
                <w:sz w:val="20"/>
                <w:szCs w:val="20"/>
                <w:color w:val="auto"/>
              </w:rPr>
            </w:pPr>
            <w:r>
              <w:rPr>
                <w:rFonts w:ascii="Arial" w:cs="Arial" w:eastAsia="Arial" w:hAnsi="Arial"/>
                <w:sz w:val="11"/>
                <w:szCs w:val="11"/>
                <w:b w:val="1"/>
                <w:bCs w:val="1"/>
                <w:color w:val="231F20"/>
                <w:w w:val="98"/>
              </w:rPr>
              <w:t>NUMBER OF UNEARNED</w:t>
            </w:r>
          </w:p>
        </w:tc>
        <w:tc>
          <w:tcPr>
            <w:tcW w:w="1580" w:type="dxa"/>
            <w:vAlign w:val="bottom"/>
          </w:tcPr>
          <w:p>
            <w:pPr>
              <w:jc w:val="center"/>
              <w:ind w:left="15"/>
              <w:spacing w:after="0" w:line="122" w:lineRule="exact"/>
              <w:rPr>
                <w:sz w:val="20"/>
                <w:szCs w:val="20"/>
                <w:color w:val="auto"/>
              </w:rPr>
            </w:pPr>
            <w:r>
              <w:rPr>
                <w:rFonts w:ascii="Arial" w:cs="Arial" w:eastAsia="Arial" w:hAnsi="Arial"/>
                <w:sz w:val="11"/>
                <w:szCs w:val="11"/>
                <w:b w:val="1"/>
                <w:bCs w:val="1"/>
                <w:color w:val="231F20"/>
                <w:w w:val="96"/>
              </w:rPr>
              <w:t>MARKET OR PAYOUT VALUE</w:t>
            </w:r>
          </w:p>
        </w:tc>
      </w:tr>
      <w:tr>
        <w:trPr>
          <w:trHeight w:val="122"/>
        </w:trPr>
        <w:tc>
          <w:tcPr>
            <w:tcW w:w="2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tcPr>
          <w:p>
            <w:pPr>
              <w:jc w:val="center"/>
              <w:ind w:left="191"/>
              <w:spacing w:after="0" w:line="122" w:lineRule="exact"/>
              <w:rPr>
                <w:sz w:val="20"/>
                <w:szCs w:val="20"/>
                <w:color w:val="auto"/>
              </w:rPr>
            </w:pPr>
            <w:r>
              <w:rPr>
                <w:rFonts w:ascii="Arial" w:cs="Arial" w:eastAsia="Arial" w:hAnsi="Arial"/>
                <w:sz w:val="11"/>
                <w:szCs w:val="11"/>
                <w:b w:val="1"/>
                <w:bCs w:val="1"/>
                <w:color w:val="231F20"/>
                <w:w w:val="93"/>
              </w:rPr>
              <w:t>STOCK</w:t>
            </w:r>
          </w:p>
        </w:tc>
        <w:tc>
          <w:tcPr>
            <w:tcW w:w="300" w:type="dxa"/>
            <w:vAlign w:val="bottom"/>
          </w:tcPr>
          <w:p>
            <w:pPr>
              <w:spacing w:after="0"/>
              <w:rPr>
                <w:sz w:val="10"/>
                <w:szCs w:val="10"/>
                <w:color w:val="auto"/>
              </w:rPr>
            </w:pPr>
          </w:p>
        </w:tc>
        <w:tc>
          <w:tcPr>
            <w:tcW w:w="1540" w:type="dxa"/>
            <w:vAlign w:val="bottom"/>
          </w:tcPr>
          <w:p>
            <w:pPr>
              <w:jc w:val="center"/>
              <w:spacing w:after="0" w:line="122" w:lineRule="exact"/>
              <w:rPr>
                <w:sz w:val="20"/>
                <w:szCs w:val="20"/>
                <w:color w:val="auto"/>
              </w:rPr>
            </w:pPr>
            <w:r>
              <w:rPr>
                <w:rFonts w:ascii="Arial" w:cs="Arial" w:eastAsia="Arial" w:hAnsi="Arial"/>
                <w:sz w:val="11"/>
                <w:szCs w:val="11"/>
                <w:b w:val="1"/>
                <w:bCs w:val="1"/>
                <w:color w:val="231F20"/>
                <w:w w:val="98"/>
              </w:rPr>
              <w:t>SHARES OR UNITS OF</w:t>
            </w:r>
          </w:p>
        </w:tc>
        <w:tc>
          <w:tcPr>
            <w:tcW w:w="1540" w:type="dxa"/>
            <w:vAlign w:val="bottom"/>
          </w:tcPr>
          <w:p>
            <w:pPr>
              <w:jc w:val="center"/>
              <w:ind w:right="16"/>
              <w:spacing w:after="0" w:line="122" w:lineRule="exact"/>
              <w:rPr>
                <w:sz w:val="20"/>
                <w:szCs w:val="20"/>
                <w:color w:val="auto"/>
              </w:rPr>
            </w:pPr>
            <w:r>
              <w:rPr>
                <w:rFonts w:ascii="Arial" w:cs="Arial" w:eastAsia="Arial" w:hAnsi="Arial"/>
                <w:sz w:val="11"/>
                <w:szCs w:val="11"/>
                <w:b w:val="1"/>
                <w:bCs w:val="1"/>
                <w:color w:val="231F20"/>
                <w:w w:val="97"/>
              </w:rPr>
              <w:t>SHARES, UNITS OR OTHER</w:t>
            </w:r>
          </w:p>
        </w:tc>
        <w:tc>
          <w:tcPr>
            <w:tcW w:w="1580" w:type="dxa"/>
            <w:vAlign w:val="bottom"/>
          </w:tcPr>
          <w:p>
            <w:pPr>
              <w:jc w:val="center"/>
              <w:ind w:left="15"/>
              <w:spacing w:after="0" w:line="122" w:lineRule="exact"/>
              <w:rPr>
                <w:sz w:val="20"/>
                <w:szCs w:val="20"/>
                <w:color w:val="auto"/>
              </w:rPr>
            </w:pPr>
            <w:r>
              <w:rPr>
                <w:rFonts w:ascii="Arial" w:cs="Arial" w:eastAsia="Arial" w:hAnsi="Arial"/>
                <w:sz w:val="11"/>
                <w:szCs w:val="11"/>
                <w:b w:val="1"/>
                <w:bCs w:val="1"/>
                <w:color w:val="231F20"/>
                <w:w w:val="97"/>
              </w:rPr>
              <w:t>OF UNEARNED SHARES,</w:t>
            </w:r>
          </w:p>
        </w:tc>
      </w:tr>
      <w:tr>
        <w:trPr>
          <w:trHeight w:val="122"/>
        </w:trPr>
        <w:tc>
          <w:tcPr>
            <w:tcW w:w="2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231F20"/>
                <w:w w:val="96"/>
              </w:rPr>
              <w:t>THAT HAVE NOT</w:t>
            </w:r>
          </w:p>
        </w:tc>
        <w:tc>
          <w:tcPr>
            <w:tcW w:w="1540" w:type="dxa"/>
            <w:vAlign w:val="bottom"/>
          </w:tcPr>
          <w:p>
            <w:pPr>
              <w:jc w:val="center"/>
              <w:spacing w:after="0" w:line="122" w:lineRule="exact"/>
              <w:rPr>
                <w:sz w:val="20"/>
                <w:szCs w:val="20"/>
                <w:color w:val="auto"/>
              </w:rPr>
            </w:pPr>
            <w:r>
              <w:rPr>
                <w:rFonts w:ascii="Arial" w:cs="Arial" w:eastAsia="Arial" w:hAnsi="Arial"/>
                <w:sz w:val="11"/>
                <w:szCs w:val="11"/>
                <w:b w:val="1"/>
                <w:bCs w:val="1"/>
                <w:color w:val="231F20"/>
                <w:w w:val="96"/>
              </w:rPr>
              <w:t>STOCK THAT HAVE NOT</w:t>
            </w:r>
          </w:p>
        </w:tc>
        <w:tc>
          <w:tcPr>
            <w:tcW w:w="1540" w:type="dxa"/>
            <w:vAlign w:val="bottom"/>
          </w:tcPr>
          <w:p>
            <w:pPr>
              <w:jc w:val="center"/>
              <w:ind w:right="16"/>
              <w:spacing w:after="0" w:line="122" w:lineRule="exact"/>
              <w:rPr>
                <w:sz w:val="20"/>
                <w:szCs w:val="20"/>
                <w:color w:val="auto"/>
              </w:rPr>
            </w:pPr>
            <w:r>
              <w:rPr>
                <w:rFonts w:ascii="Arial" w:cs="Arial" w:eastAsia="Arial" w:hAnsi="Arial"/>
                <w:sz w:val="11"/>
                <w:szCs w:val="11"/>
                <w:b w:val="1"/>
                <w:bCs w:val="1"/>
                <w:color w:val="231F20"/>
                <w:w w:val="97"/>
              </w:rPr>
              <w:t>RIGHTS THAT HAVE NOT</w:t>
            </w:r>
          </w:p>
        </w:tc>
        <w:tc>
          <w:tcPr>
            <w:tcW w:w="1580" w:type="dxa"/>
            <w:vAlign w:val="bottom"/>
          </w:tcPr>
          <w:p>
            <w:pPr>
              <w:jc w:val="center"/>
              <w:spacing w:after="0" w:line="122" w:lineRule="exact"/>
              <w:rPr>
                <w:sz w:val="20"/>
                <w:szCs w:val="20"/>
                <w:color w:val="auto"/>
              </w:rPr>
            </w:pPr>
            <w:r>
              <w:rPr>
                <w:rFonts w:ascii="Arial" w:cs="Arial" w:eastAsia="Arial" w:hAnsi="Arial"/>
                <w:sz w:val="11"/>
                <w:szCs w:val="11"/>
                <w:b w:val="1"/>
                <w:bCs w:val="1"/>
                <w:color w:val="231F20"/>
                <w:w w:val="97"/>
              </w:rPr>
              <w:t>UNITS OR OTHER RIGHTS</w:t>
            </w:r>
          </w:p>
        </w:tc>
      </w:tr>
      <w:tr>
        <w:trPr>
          <w:trHeight w:val="121"/>
        </w:trPr>
        <w:tc>
          <w:tcPr>
            <w:tcW w:w="2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tcPr>
          <w:p>
            <w:pPr>
              <w:jc w:val="center"/>
              <w:ind w:left="191"/>
              <w:spacing w:after="0" w:line="122" w:lineRule="exact"/>
              <w:rPr>
                <w:sz w:val="20"/>
                <w:szCs w:val="20"/>
                <w:color w:val="auto"/>
              </w:rPr>
            </w:pPr>
            <w:r>
              <w:rPr>
                <w:rFonts w:ascii="Arial" w:cs="Arial" w:eastAsia="Arial" w:hAnsi="Arial"/>
                <w:sz w:val="11"/>
                <w:szCs w:val="11"/>
                <w:b w:val="1"/>
                <w:bCs w:val="1"/>
                <w:color w:val="231F20"/>
                <w:w w:val="99"/>
              </w:rPr>
              <w:t>VESTED</w:t>
            </w:r>
          </w:p>
        </w:tc>
        <w:tc>
          <w:tcPr>
            <w:tcW w:w="300" w:type="dxa"/>
            <w:vAlign w:val="bottom"/>
          </w:tcPr>
          <w:p>
            <w:pPr>
              <w:spacing w:after="0"/>
              <w:rPr>
                <w:sz w:val="10"/>
                <w:szCs w:val="10"/>
                <w:color w:val="auto"/>
              </w:rPr>
            </w:pPr>
          </w:p>
        </w:tc>
        <w:tc>
          <w:tcPr>
            <w:tcW w:w="1540" w:type="dxa"/>
            <w:vAlign w:val="bottom"/>
          </w:tcPr>
          <w:p>
            <w:pPr>
              <w:jc w:val="center"/>
              <w:spacing w:after="0" w:line="122" w:lineRule="exact"/>
              <w:rPr>
                <w:sz w:val="20"/>
                <w:szCs w:val="20"/>
                <w:color w:val="auto"/>
              </w:rPr>
            </w:pPr>
            <w:r>
              <w:rPr>
                <w:rFonts w:ascii="Arial" w:cs="Arial" w:eastAsia="Arial" w:hAnsi="Arial"/>
                <w:sz w:val="11"/>
                <w:szCs w:val="11"/>
                <w:b w:val="1"/>
                <w:bCs w:val="1"/>
                <w:color w:val="231F20"/>
                <w:w w:val="95"/>
              </w:rPr>
              <w:t>VESTED</w:t>
            </w:r>
          </w:p>
        </w:tc>
        <w:tc>
          <w:tcPr>
            <w:tcW w:w="1540" w:type="dxa"/>
            <w:vAlign w:val="bottom"/>
          </w:tcPr>
          <w:p>
            <w:pPr>
              <w:jc w:val="center"/>
              <w:ind w:right="16"/>
              <w:spacing w:after="0" w:line="122" w:lineRule="exact"/>
              <w:rPr>
                <w:sz w:val="20"/>
                <w:szCs w:val="20"/>
                <w:color w:val="auto"/>
              </w:rPr>
            </w:pPr>
            <w:r>
              <w:rPr>
                <w:rFonts w:ascii="Arial" w:cs="Arial" w:eastAsia="Arial" w:hAnsi="Arial"/>
                <w:sz w:val="11"/>
                <w:szCs w:val="11"/>
                <w:b w:val="1"/>
                <w:bCs w:val="1"/>
                <w:color w:val="231F20"/>
                <w:w w:val="95"/>
              </w:rPr>
              <w:t>VESTED</w:t>
            </w:r>
          </w:p>
        </w:tc>
        <w:tc>
          <w:tcPr>
            <w:tcW w:w="1580" w:type="dxa"/>
            <w:vAlign w:val="bottom"/>
          </w:tcPr>
          <w:p>
            <w:pPr>
              <w:jc w:val="center"/>
              <w:spacing w:after="0" w:line="122" w:lineRule="exact"/>
              <w:rPr>
                <w:sz w:val="20"/>
                <w:szCs w:val="20"/>
                <w:color w:val="auto"/>
              </w:rPr>
            </w:pPr>
            <w:r>
              <w:rPr>
                <w:rFonts w:ascii="Arial" w:cs="Arial" w:eastAsia="Arial" w:hAnsi="Arial"/>
                <w:sz w:val="11"/>
                <w:szCs w:val="11"/>
                <w:b w:val="1"/>
                <w:bCs w:val="1"/>
                <w:color w:val="231F20"/>
                <w:w w:val="96"/>
              </w:rPr>
              <w:t>THAT HAVE NOT VESTED</w:t>
            </w:r>
          </w:p>
        </w:tc>
      </w:tr>
      <w:tr>
        <w:trPr>
          <w:trHeight w:val="155"/>
        </w:trPr>
        <w:tc>
          <w:tcPr>
            <w:tcW w:w="2120" w:type="dxa"/>
            <w:vAlign w:val="bottom"/>
            <w:tcBorders>
              <w:bottom w:val="single" w:sz="8" w:color="007B52"/>
            </w:tcBorders>
          </w:tcPr>
          <w:p>
            <w:pPr>
              <w:ind w:left="100"/>
              <w:spacing w:after="0"/>
              <w:rPr>
                <w:sz w:val="20"/>
                <w:szCs w:val="20"/>
                <w:color w:val="auto"/>
              </w:rPr>
            </w:pPr>
            <w:r>
              <w:rPr>
                <w:rFonts w:ascii="Arial" w:cs="Arial" w:eastAsia="Arial" w:hAnsi="Arial"/>
                <w:sz w:val="11"/>
                <w:szCs w:val="11"/>
                <w:b w:val="1"/>
                <w:bCs w:val="1"/>
                <w:color w:val="231F20"/>
              </w:rPr>
              <w:t>NAME</w:t>
            </w:r>
          </w:p>
        </w:tc>
        <w:tc>
          <w:tcPr>
            <w:tcW w:w="780" w:type="dxa"/>
            <w:vAlign w:val="bottom"/>
            <w:tcBorders>
              <w:bottom w:val="single" w:sz="8" w:color="007B52"/>
            </w:tcBorders>
          </w:tcPr>
          <w:p>
            <w:pPr>
              <w:jc w:val="center"/>
              <w:ind w:right="9"/>
              <w:spacing w:after="0"/>
              <w:rPr>
                <w:sz w:val="20"/>
                <w:szCs w:val="20"/>
                <w:color w:val="auto"/>
              </w:rPr>
            </w:pPr>
            <w:r>
              <w:rPr>
                <w:rFonts w:ascii="Arial" w:cs="Arial" w:eastAsia="Arial" w:hAnsi="Arial"/>
                <w:sz w:val="11"/>
                <w:szCs w:val="11"/>
                <w:b w:val="1"/>
                <w:bCs w:val="1"/>
                <w:color w:val="231F20"/>
                <w:w w:val="97"/>
              </w:rPr>
              <w:t>GRANT DATE</w:t>
            </w:r>
          </w:p>
        </w:tc>
        <w:tc>
          <w:tcPr>
            <w:tcW w:w="1040" w:type="dxa"/>
            <w:vAlign w:val="bottom"/>
            <w:tcBorders>
              <w:bottom w:val="single" w:sz="8" w:color="007B52"/>
            </w:tcBorders>
          </w:tcPr>
          <w:p>
            <w:pPr>
              <w:jc w:val="center"/>
              <w:spacing w:after="0"/>
              <w:rPr>
                <w:sz w:val="20"/>
                <w:szCs w:val="20"/>
                <w:color w:val="auto"/>
              </w:rPr>
            </w:pPr>
            <w:r>
              <w:rPr>
                <w:rFonts w:ascii="Arial" w:cs="Arial" w:eastAsia="Arial" w:hAnsi="Arial"/>
                <w:sz w:val="11"/>
                <w:szCs w:val="11"/>
                <w:b w:val="1"/>
                <w:bCs w:val="1"/>
                <w:color w:val="231F20"/>
                <w:w w:val="95"/>
              </w:rPr>
              <w:t>VESTING DATE</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1"/>
                <w:szCs w:val="11"/>
                <w:b w:val="1"/>
                <w:bCs w:val="1"/>
                <w:color w:val="231F20"/>
                <w:w w:val="88"/>
              </w:rPr>
              <w:t>(1)</w:t>
            </w:r>
          </w:p>
        </w:tc>
        <w:tc>
          <w:tcPr>
            <w:tcW w:w="300" w:type="dxa"/>
            <w:vAlign w:val="bottom"/>
            <w:tcBorders>
              <w:bottom w:val="single" w:sz="8" w:color="007B52"/>
            </w:tcBorders>
          </w:tcPr>
          <w:p>
            <w:pPr>
              <w:spacing w:after="0"/>
              <w:rPr>
                <w:sz w:val="13"/>
                <w:szCs w:val="13"/>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1"/>
                <w:szCs w:val="11"/>
                <w:b w:val="1"/>
                <w:bCs w:val="1"/>
                <w:color w:val="231F20"/>
              </w:rPr>
              <w:t>(2)</w:t>
            </w:r>
          </w:p>
        </w:tc>
        <w:tc>
          <w:tcPr>
            <w:tcW w:w="1540" w:type="dxa"/>
            <w:vAlign w:val="bottom"/>
            <w:tcBorders>
              <w:bottom w:val="single" w:sz="8" w:color="007B52"/>
            </w:tcBorders>
          </w:tcPr>
          <w:p>
            <w:pPr>
              <w:jc w:val="center"/>
              <w:ind w:right="16"/>
              <w:spacing w:after="0"/>
              <w:rPr>
                <w:sz w:val="20"/>
                <w:szCs w:val="20"/>
                <w:color w:val="auto"/>
              </w:rPr>
            </w:pPr>
            <w:r>
              <w:rPr>
                <w:rFonts w:ascii="Arial" w:cs="Arial" w:eastAsia="Arial" w:hAnsi="Arial"/>
                <w:sz w:val="11"/>
                <w:szCs w:val="11"/>
                <w:b w:val="1"/>
                <w:bCs w:val="1"/>
                <w:color w:val="231F20"/>
              </w:rPr>
              <w:t>(3)</w:t>
            </w:r>
          </w:p>
        </w:tc>
        <w:tc>
          <w:tcPr>
            <w:tcW w:w="1580" w:type="dxa"/>
            <w:vAlign w:val="bottom"/>
            <w:tcBorders>
              <w:bottom w:val="single" w:sz="8" w:color="007B52"/>
            </w:tcBorders>
          </w:tcPr>
          <w:p>
            <w:pPr>
              <w:jc w:val="center"/>
              <w:ind w:left="15"/>
              <w:spacing w:after="0"/>
              <w:rPr>
                <w:sz w:val="20"/>
                <w:szCs w:val="20"/>
                <w:color w:val="auto"/>
              </w:rPr>
            </w:pPr>
            <w:r>
              <w:rPr>
                <w:rFonts w:ascii="Arial" w:cs="Arial" w:eastAsia="Arial" w:hAnsi="Arial"/>
                <w:sz w:val="11"/>
                <w:szCs w:val="11"/>
                <w:b w:val="1"/>
                <w:bCs w:val="1"/>
                <w:color w:val="231F20"/>
              </w:rPr>
              <w:t>(3)</w:t>
            </w:r>
          </w:p>
        </w:tc>
      </w:tr>
      <w:tr>
        <w:trPr>
          <w:trHeight w:val="215"/>
        </w:trPr>
        <w:tc>
          <w:tcPr>
            <w:tcW w:w="2120" w:type="dxa"/>
            <w:vAlign w:val="bottom"/>
          </w:tcPr>
          <w:p>
            <w:pPr>
              <w:ind w:left="100"/>
              <w:spacing w:after="0"/>
              <w:rPr>
                <w:sz w:val="20"/>
                <w:szCs w:val="20"/>
                <w:color w:val="auto"/>
              </w:rPr>
            </w:pPr>
            <w:r>
              <w:rPr>
                <w:rFonts w:ascii="Arial" w:cs="Arial" w:eastAsia="Arial" w:hAnsi="Arial"/>
                <w:sz w:val="14"/>
                <w:szCs w:val="14"/>
                <w:b w:val="1"/>
                <w:bCs w:val="1"/>
                <w:color w:val="007B52"/>
              </w:rPr>
              <w:t>Matthew J. Missad</w:t>
            </w: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02/17/22</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02/17/27</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80,730</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$6,397,853</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07"/>
        </w:trPr>
        <w:tc>
          <w:tcPr>
            <w:tcW w:w="2120" w:type="dxa"/>
            <w:vAlign w:val="bottom"/>
          </w:tcPr>
          <w:p>
            <w:pPr>
              <w:spacing w:after="0"/>
              <w:rPr>
                <w:sz w:val="17"/>
                <w:szCs w:val="17"/>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05/02/22</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02/17/25</w:t>
            </w:r>
          </w:p>
        </w:tc>
        <w:tc>
          <w:tcPr>
            <w:tcW w:w="820" w:type="dxa"/>
            <w:vAlign w:val="bottom"/>
            <w:tcBorders>
              <w:bottom w:val="single" w:sz="8" w:color="007B52"/>
            </w:tcBorders>
          </w:tcPr>
          <w:p>
            <w:pPr>
              <w:spacing w:after="0"/>
              <w:rPr>
                <w:sz w:val="17"/>
                <w:szCs w:val="17"/>
                <w:color w:val="auto"/>
              </w:rPr>
            </w:pPr>
          </w:p>
        </w:tc>
        <w:tc>
          <w:tcPr>
            <w:tcW w:w="300" w:type="dxa"/>
            <w:vAlign w:val="bottom"/>
            <w:tcBorders>
              <w:bottom w:val="single" w:sz="8" w:color="007B52"/>
            </w:tcBorders>
          </w:tcPr>
          <w:p>
            <w:pPr>
              <w:spacing w:after="0"/>
              <w:rPr>
                <w:sz w:val="17"/>
                <w:szCs w:val="17"/>
                <w:color w:val="auto"/>
              </w:rPr>
            </w:pPr>
          </w:p>
        </w:tc>
        <w:tc>
          <w:tcPr>
            <w:tcW w:w="1540" w:type="dxa"/>
            <w:vAlign w:val="bottom"/>
            <w:tcBorders>
              <w:bottom w:val="single" w:sz="8" w:color="007B52"/>
            </w:tcBorders>
          </w:tcPr>
          <w:p>
            <w:pPr>
              <w:spacing w:after="0"/>
              <w:rPr>
                <w:sz w:val="17"/>
                <w:szCs w:val="17"/>
                <w:color w:val="auto"/>
              </w:rPr>
            </w:pPr>
          </w:p>
        </w:tc>
        <w:tc>
          <w:tcPr>
            <w:tcW w:w="1540" w:type="dxa"/>
            <w:vAlign w:val="bottom"/>
            <w:tcBorders>
              <w:bottom w:val="single" w:sz="8" w:color="007B52"/>
            </w:tcBorders>
          </w:tcPr>
          <w:p>
            <w:pPr>
              <w:jc w:val="center"/>
              <w:ind w:right="36"/>
              <w:spacing w:after="0"/>
              <w:rPr>
                <w:sz w:val="20"/>
                <w:szCs w:val="20"/>
                <w:color w:val="auto"/>
              </w:rPr>
            </w:pPr>
            <w:r>
              <w:rPr>
                <w:rFonts w:ascii="Arial" w:cs="Arial" w:eastAsia="Arial" w:hAnsi="Arial"/>
                <w:sz w:val="14"/>
                <w:szCs w:val="14"/>
                <w:color w:val="231F20"/>
              </w:rPr>
              <w:t>8,970</w:t>
            </w:r>
          </w:p>
        </w:tc>
        <w:tc>
          <w:tcPr>
            <w:tcW w:w="15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$710,873</w:t>
            </w:r>
          </w:p>
        </w:tc>
      </w:tr>
      <w:tr>
        <w:trPr>
          <w:trHeight w:val="209"/>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02/18/21</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02/18/24</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60,539</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$4,797,716</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09"/>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02/18/21</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02/18/24</w:t>
            </w:r>
          </w:p>
        </w:tc>
        <w:tc>
          <w:tcPr>
            <w:tcW w:w="820" w:type="dxa"/>
            <w:vAlign w:val="bottom"/>
            <w:tcBorders>
              <w:bottom w:val="single" w:sz="8" w:color="007B52"/>
            </w:tcBorders>
          </w:tcPr>
          <w:p>
            <w:pPr>
              <w:spacing w:after="0"/>
              <w:rPr>
                <w:sz w:val="18"/>
                <w:szCs w:val="18"/>
                <w:color w:val="auto"/>
              </w:rPr>
            </w:pP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ind w:right="36"/>
              <w:spacing w:after="0"/>
              <w:rPr>
                <w:sz w:val="20"/>
                <w:szCs w:val="20"/>
                <w:color w:val="auto"/>
              </w:rPr>
            </w:pPr>
            <w:r>
              <w:rPr>
                <w:rFonts w:ascii="Arial" w:cs="Arial" w:eastAsia="Arial" w:hAnsi="Arial"/>
                <w:sz w:val="14"/>
                <w:szCs w:val="14"/>
                <w:color w:val="231F20"/>
              </w:rPr>
              <w:t>6,727</w:t>
            </w:r>
          </w:p>
        </w:tc>
        <w:tc>
          <w:tcPr>
            <w:tcW w:w="1580" w:type="dxa"/>
            <w:vAlign w:val="bottom"/>
            <w:tcBorders>
              <w:bottom w:val="single" w:sz="8" w:color="007B52"/>
            </w:tcBorders>
          </w:tcPr>
          <w:p>
            <w:pPr>
              <w:jc w:val="center"/>
              <w:ind w:left="15"/>
              <w:spacing w:after="0"/>
              <w:rPr>
                <w:sz w:val="20"/>
                <w:szCs w:val="20"/>
                <w:color w:val="auto"/>
              </w:rPr>
            </w:pPr>
            <w:r>
              <w:rPr>
                <w:rFonts w:ascii="Arial" w:cs="Arial" w:eastAsia="Arial" w:hAnsi="Arial"/>
                <w:sz w:val="14"/>
                <w:szCs w:val="14"/>
                <w:color w:val="231F20"/>
                <w:w w:val="99"/>
              </w:rPr>
              <w:t>$533,115</w:t>
            </w:r>
          </w:p>
        </w:tc>
      </w:tr>
      <w:tr>
        <w:trPr>
          <w:trHeight w:val="210"/>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02/20/20</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02/20/25</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50,573</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$4,007,910</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09"/>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02/21/19</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02/21/24</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41,405</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$3,281,346</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09"/>
        </w:trPr>
        <w:tc>
          <w:tcPr>
            <w:tcW w:w="2120" w:type="dxa"/>
            <w:vAlign w:val="bottom"/>
            <w:tcBorders>
              <w:bottom w:val="single" w:sz="8" w:color="007B52"/>
            </w:tcBorders>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02/22/18</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02/22/23</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35,032</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$2,776,286</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13"/>
        </w:trPr>
        <w:tc>
          <w:tcPr>
            <w:tcW w:w="2120" w:type="dxa"/>
            <w:vAlign w:val="bottom"/>
          </w:tcPr>
          <w:p>
            <w:pPr>
              <w:ind w:left="100"/>
              <w:spacing w:after="0"/>
              <w:rPr>
                <w:sz w:val="20"/>
                <w:szCs w:val="20"/>
                <w:color w:val="auto"/>
              </w:rPr>
            </w:pPr>
            <w:r>
              <w:rPr>
                <w:rFonts w:ascii="Arial" w:cs="Arial" w:eastAsia="Arial" w:hAnsi="Arial"/>
                <w:sz w:val="14"/>
                <w:szCs w:val="14"/>
                <w:b w:val="1"/>
                <w:bCs w:val="1"/>
                <w:color w:val="007B52"/>
              </w:rPr>
              <w:t>Michael R. Cole</w:t>
            </w: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05/02/22</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02/17/30</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10,790</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$855,108</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07"/>
        </w:trPr>
        <w:tc>
          <w:tcPr>
            <w:tcW w:w="2120" w:type="dxa"/>
            <w:vAlign w:val="bottom"/>
          </w:tcPr>
          <w:p>
            <w:pPr>
              <w:spacing w:after="0"/>
              <w:rPr>
                <w:sz w:val="17"/>
                <w:szCs w:val="17"/>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05/02/22</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02/17/25</w:t>
            </w:r>
          </w:p>
        </w:tc>
        <w:tc>
          <w:tcPr>
            <w:tcW w:w="820" w:type="dxa"/>
            <w:vAlign w:val="bottom"/>
            <w:tcBorders>
              <w:bottom w:val="single" w:sz="8" w:color="007B52"/>
            </w:tcBorders>
          </w:tcPr>
          <w:p>
            <w:pPr>
              <w:spacing w:after="0"/>
              <w:rPr>
                <w:sz w:val="17"/>
                <w:szCs w:val="17"/>
                <w:color w:val="auto"/>
              </w:rPr>
            </w:pPr>
          </w:p>
        </w:tc>
        <w:tc>
          <w:tcPr>
            <w:tcW w:w="300" w:type="dxa"/>
            <w:vAlign w:val="bottom"/>
            <w:tcBorders>
              <w:bottom w:val="single" w:sz="8" w:color="007B52"/>
            </w:tcBorders>
          </w:tcPr>
          <w:p>
            <w:pPr>
              <w:spacing w:after="0"/>
              <w:rPr>
                <w:sz w:val="17"/>
                <w:szCs w:val="17"/>
                <w:color w:val="auto"/>
              </w:rPr>
            </w:pPr>
          </w:p>
        </w:tc>
        <w:tc>
          <w:tcPr>
            <w:tcW w:w="1540" w:type="dxa"/>
            <w:vAlign w:val="bottom"/>
            <w:tcBorders>
              <w:bottom w:val="single" w:sz="8" w:color="007B52"/>
            </w:tcBorders>
          </w:tcPr>
          <w:p>
            <w:pPr>
              <w:spacing w:after="0"/>
              <w:rPr>
                <w:sz w:val="17"/>
                <w:szCs w:val="17"/>
                <w:color w:val="auto"/>
              </w:rPr>
            </w:pPr>
          </w:p>
        </w:tc>
        <w:tc>
          <w:tcPr>
            <w:tcW w:w="1540" w:type="dxa"/>
            <w:vAlign w:val="bottom"/>
            <w:tcBorders>
              <w:bottom w:val="single" w:sz="8" w:color="007B52"/>
            </w:tcBorders>
          </w:tcPr>
          <w:p>
            <w:pPr>
              <w:jc w:val="center"/>
              <w:ind w:right="36"/>
              <w:spacing w:after="0"/>
              <w:rPr>
                <w:sz w:val="20"/>
                <w:szCs w:val="20"/>
                <w:color w:val="auto"/>
              </w:rPr>
            </w:pPr>
            <w:r>
              <w:rPr>
                <w:rFonts w:ascii="Arial" w:cs="Arial" w:eastAsia="Arial" w:hAnsi="Arial"/>
                <w:sz w:val="14"/>
                <w:szCs w:val="14"/>
                <w:color w:val="231F20"/>
              </w:rPr>
              <w:t>3,297</w:t>
            </w:r>
          </w:p>
        </w:tc>
        <w:tc>
          <w:tcPr>
            <w:tcW w:w="15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$261,287</w:t>
            </w:r>
          </w:p>
        </w:tc>
      </w:tr>
      <w:tr>
        <w:trPr>
          <w:trHeight w:val="210"/>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02/24/22</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07/19/26</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583</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$46,210</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09"/>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02/17/22</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02/17/27</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29,678</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$2,351,982</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09"/>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02/25/21</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02/25/26</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849</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$67,284</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10"/>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02/18/21</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02/18/24</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20,575</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$1,630,569</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09"/>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02/18/21</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02/18/24</w:t>
            </w:r>
          </w:p>
        </w:tc>
        <w:tc>
          <w:tcPr>
            <w:tcW w:w="820" w:type="dxa"/>
            <w:vAlign w:val="bottom"/>
            <w:tcBorders>
              <w:bottom w:val="single" w:sz="8" w:color="007B52"/>
            </w:tcBorders>
          </w:tcPr>
          <w:p>
            <w:pPr>
              <w:spacing w:after="0"/>
              <w:rPr>
                <w:sz w:val="18"/>
                <w:szCs w:val="18"/>
                <w:color w:val="auto"/>
              </w:rPr>
            </w:pP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ind w:right="36"/>
              <w:spacing w:after="0"/>
              <w:rPr>
                <w:sz w:val="20"/>
                <w:szCs w:val="20"/>
                <w:color w:val="auto"/>
              </w:rPr>
            </w:pPr>
            <w:r>
              <w:rPr>
                <w:rFonts w:ascii="Arial" w:cs="Arial" w:eastAsia="Arial" w:hAnsi="Arial"/>
                <w:sz w:val="14"/>
                <w:szCs w:val="14"/>
                <w:color w:val="231F20"/>
              </w:rPr>
              <w:t>2,286</w:t>
            </w:r>
          </w:p>
        </w:tc>
        <w:tc>
          <w:tcPr>
            <w:tcW w:w="15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$181,161</w:t>
            </w:r>
          </w:p>
        </w:tc>
      </w:tr>
      <w:tr>
        <w:trPr>
          <w:trHeight w:val="210"/>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02/27/20</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02/27/25</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965</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$76,452</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09"/>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02/20/20</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02/20/25</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18,045</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$1,430,066</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09"/>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02/27/19</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02/27/24</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1,495</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w w:val="99"/>
              </w:rPr>
              <w:t>$118,478</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10"/>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02/21/19</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02/21/24</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12,786</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$1,013,291</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09"/>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02/28/18</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02/28/23</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1,396</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w w:val="99"/>
              </w:rPr>
              <w:t>$110,637</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10"/>
        </w:trPr>
        <w:tc>
          <w:tcPr>
            <w:tcW w:w="2120" w:type="dxa"/>
            <w:vAlign w:val="bottom"/>
            <w:tcBorders>
              <w:bottom w:val="single" w:sz="8" w:color="007B52"/>
            </w:tcBorders>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02/22/18</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02/22/23</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11,480</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$909,790</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13"/>
        </w:trPr>
        <w:tc>
          <w:tcPr>
            <w:tcW w:w="2120" w:type="dxa"/>
            <w:vAlign w:val="bottom"/>
          </w:tcPr>
          <w:p>
            <w:pPr>
              <w:ind w:left="100"/>
              <w:spacing w:after="0"/>
              <w:rPr>
                <w:sz w:val="20"/>
                <w:szCs w:val="20"/>
                <w:color w:val="auto"/>
              </w:rPr>
            </w:pPr>
            <w:r>
              <w:rPr>
                <w:rFonts w:ascii="Arial" w:cs="Arial" w:eastAsia="Arial" w:hAnsi="Arial"/>
                <w:sz w:val="14"/>
                <w:szCs w:val="14"/>
                <w:b w:val="1"/>
                <w:bCs w:val="1"/>
                <w:color w:val="007B52"/>
              </w:rPr>
              <w:t>Patrick M. Webster</w:t>
            </w: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02/17/22</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02/17/27</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63,402</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$5,024,609</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06"/>
        </w:trPr>
        <w:tc>
          <w:tcPr>
            <w:tcW w:w="2120" w:type="dxa"/>
            <w:vAlign w:val="bottom"/>
          </w:tcPr>
          <w:p>
            <w:pPr>
              <w:spacing w:after="0"/>
              <w:rPr>
                <w:sz w:val="17"/>
                <w:szCs w:val="17"/>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05/02/22</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02/17/25</w:t>
            </w:r>
          </w:p>
        </w:tc>
        <w:tc>
          <w:tcPr>
            <w:tcW w:w="820" w:type="dxa"/>
            <w:vAlign w:val="bottom"/>
            <w:tcBorders>
              <w:bottom w:val="single" w:sz="8" w:color="007B52"/>
            </w:tcBorders>
          </w:tcPr>
          <w:p>
            <w:pPr>
              <w:spacing w:after="0"/>
              <w:rPr>
                <w:sz w:val="17"/>
                <w:szCs w:val="17"/>
                <w:color w:val="auto"/>
              </w:rPr>
            </w:pPr>
          </w:p>
        </w:tc>
        <w:tc>
          <w:tcPr>
            <w:tcW w:w="300" w:type="dxa"/>
            <w:vAlign w:val="bottom"/>
            <w:tcBorders>
              <w:bottom w:val="single" w:sz="8" w:color="007B52"/>
            </w:tcBorders>
          </w:tcPr>
          <w:p>
            <w:pPr>
              <w:spacing w:after="0"/>
              <w:rPr>
                <w:sz w:val="17"/>
                <w:szCs w:val="17"/>
                <w:color w:val="auto"/>
              </w:rPr>
            </w:pPr>
          </w:p>
        </w:tc>
        <w:tc>
          <w:tcPr>
            <w:tcW w:w="1540" w:type="dxa"/>
            <w:vAlign w:val="bottom"/>
            <w:tcBorders>
              <w:bottom w:val="single" w:sz="8" w:color="007B52"/>
            </w:tcBorders>
          </w:tcPr>
          <w:p>
            <w:pPr>
              <w:spacing w:after="0"/>
              <w:rPr>
                <w:sz w:val="17"/>
                <w:szCs w:val="17"/>
                <w:color w:val="auto"/>
              </w:rPr>
            </w:pPr>
          </w:p>
        </w:tc>
        <w:tc>
          <w:tcPr>
            <w:tcW w:w="1540" w:type="dxa"/>
            <w:vAlign w:val="bottom"/>
            <w:tcBorders>
              <w:bottom w:val="single" w:sz="8" w:color="007B52"/>
            </w:tcBorders>
          </w:tcPr>
          <w:p>
            <w:pPr>
              <w:jc w:val="center"/>
              <w:ind w:right="36"/>
              <w:spacing w:after="0"/>
              <w:rPr>
                <w:sz w:val="20"/>
                <w:szCs w:val="20"/>
                <w:color w:val="auto"/>
              </w:rPr>
            </w:pPr>
            <w:r>
              <w:rPr>
                <w:rFonts w:ascii="Arial" w:cs="Arial" w:eastAsia="Arial" w:hAnsi="Arial"/>
                <w:sz w:val="14"/>
                <w:szCs w:val="14"/>
                <w:color w:val="231F20"/>
              </w:rPr>
              <w:t>7,044</w:t>
            </w:r>
          </w:p>
        </w:tc>
        <w:tc>
          <w:tcPr>
            <w:tcW w:w="15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$558,23</w:t>
            </w:r>
          </w:p>
        </w:tc>
      </w:tr>
      <w:tr>
        <w:trPr>
          <w:trHeight w:val="210"/>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02/18/21</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02/18/24</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49,583</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$3,929,453</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10"/>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02/18/21</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02/18/24</w:t>
            </w:r>
          </w:p>
        </w:tc>
        <w:tc>
          <w:tcPr>
            <w:tcW w:w="820" w:type="dxa"/>
            <w:vAlign w:val="bottom"/>
            <w:tcBorders>
              <w:bottom w:val="single" w:sz="8" w:color="007B52"/>
            </w:tcBorders>
          </w:tcPr>
          <w:p>
            <w:pPr>
              <w:spacing w:after="0"/>
              <w:rPr>
                <w:sz w:val="18"/>
                <w:szCs w:val="18"/>
                <w:color w:val="auto"/>
              </w:rPr>
            </w:pP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ind w:right="36"/>
              <w:spacing w:after="0"/>
              <w:rPr>
                <w:sz w:val="20"/>
                <w:szCs w:val="20"/>
                <w:color w:val="auto"/>
              </w:rPr>
            </w:pPr>
            <w:r>
              <w:rPr>
                <w:rFonts w:ascii="Arial" w:cs="Arial" w:eastAsia="Arial" w:hAnsi="Arial"/>
                <w:sz w:val="14"/>
                <w:szCs w:val="14"/>
                <w:color w:val="231F20"/>
              </w:rPr>
              <w:t>5,509</w:t>
            </w:r>
          </w:p>
        </w:tc>
        <w:tc>
          <w:tcPr>
            <w:tcW w:w="15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$436,588</w:t>
            </w:r>
          </w:p>
        </w:tc>
      </w:tr>
      <w:tr>
        <w:trPr>
          <w:trHeight w:val="209"/>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02/20/20</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02/20/25</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45,724</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$3,623,627</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10"/>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02/21/19</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02/21/24</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40,939</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$3,244,416</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09"/>
        </w:trPr>
        <w:tc>
          <w:tcPr>
            <w:tcW w:w="2120" w:type="dxa"/>
            <w:vAlign w:val="bottom"/>
            <w:tcBorders>
              <w:bottom w:val="single" w:sz="8" w:color="007B52"/>
            </w:tcBorders>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02/22/18</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02/22/23</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35,084</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$2,780,407</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13"/>
        </w:trPr>
        <w:tc>
          <w:tcPr>
            <w:tcW w:w="2120" w:type="dxa"/>
            <w:vAlign w:val="bottom"/>
          </w:tcPr>
          <w:p>
            <w:pPr>
              <w:ind w:left="100"/>
              <w:spacing w:after="0"/>
              <w:rPr>
                <w:sz w:val="20"/>
                <w:szCs w:val="20"/>
                <w:color w:val="auto"/>
              </w:rPr>
            </w:pPr>
            <w:r>
              <w:rPr>
                <w:rFonts w:ascii="Arial" w:cs="Arial" w:eastAsia="Arial" w:hAnsi="Arial"/>
                <w:sz w:val="14"/>
                <w:szCs w:val="14"/>
                <w:b w:val="1"/>
                <w:bCs w:val="1"/>
                <w:color w:val="007B52"/>
              </w:rPr>
              <w:t>Patrick M. Benton</w:t>
            </w: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05/02/22</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02/17/30</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8,603</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$681,788</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07"/>
        </w:trPr>
        <w:tc>
          <w:tcPr>
            <w:tcW w:w="2120" w:type="dxa"/>
            <w:vAlign w:val="bottom"/>
          </w:tcPr>
          <w:p>
            <w:pPr>
              <w:spacing w:after="0"/>
              <w:rPr>
                <w:sz w:val="17"/>
                <w:szCs w:val="17"/>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05/02/22</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02/17/25</w:t>
            </w:r>
          </w:p>
        </w:tc>
        <w:tc>
          <w:tcPr>
            <w:tcW w:w="820" w:type="dxa"/>
            <w:vAlign w:val="bottom"/>
            <w:tcBorders>
              <w:bottom w:val="single" w:sz="8" w:color="007B52"/>
            </w:tcBorders>
          </w:tcPr>
          <w:p>
            <w:pPr>
              <w:spacing w:after="0"/>
              <w:rPr>
                <w:sz w:val="17"/>
                <w:szCs w:val="17"/>
                <w:color w:val="auto"/>
              </w:rPr>
            </w:pPr>
          </w:p>
        </w:tc>
        <w:tc>
          <w:tcPr>
            <w:tcW w:w="300" w:type="dxa"/>
            <w:vAlign w:val="bottom"/>
            <w:tcBorders>
              <w:bottom w:val="single" w:sz="8" w:color="007B52"/>
            </w:tcBorders>
          </w:tcPr>
          <w:p>
            <w:pPr>
              <w:spacing w:after="0"/>
              <w:rPr>
                <w:sz w:val="17"/>
                <w:szCs w:val="17"/>
                <w:color w:val="auto"/>
              </w:rPr>
            </w:pPr>
          </w:p>
        </w:tc>
        <w:tc>
          <w:tcPr>
            <w:tcW w:w="1540" w:type="dxa"/>
            <w:vAlign w:val="bottom"/>
            <w:tcBorders>
              <w:bottom w:val="single" w:sz="8" w:color="007B52"/>
            </w:tcBorders>
          </w:tcPr>
          <w:p>
            <w:pPr>
              <w:spacing w:after="0"/>
              <w:rPr>
                <w:sz w:val="17"/>
                <w:szCs w:val="17"/>
                <w:color w:val="auto"/>
              </w:rPr>
            </w:pPr>
          </w:p>
        </w:tc>
        <w:tc>
          <w:tcPr>
            <w:tcW w:w="1540" w:type="dxa"/>
            <w:vAlign w:val="bottom"/>
            <w:tcBorders>
              <w:bottom w:val="single" w:sz="8" w:color="007B52"/>
            </w:tcBorders>
          </w:tcPr>
          <w:p>
            <w:pPr>
              <w:jc w:val="center"/>
              <w:ind w:right="36"/>
              <w:spacing w:after="0"/>
              <w:rPr>
                <w:sz w:val="20"/>
                <w:szCs w:val="20"/>
                <w:color w:val="auto"/>
              </w:rPr>
            </w:pPr>
            <w:r>
              <w:rPr>
                <w:rFonts w:ascii="Arial" w:cs="Arial" w:eastAsia="Arial" w:hAnsi="Arial"/>
                <w:sz w:val="14"/>
                <w:szCs w:val="14"/>
                <w:color w:val="231F20"/>
              </w:rPr>
              <w:t>3,059</w:t>
            </w:r>
          </w:p>
        </w:tc>
        <w:tc>
          <w:tcPr>
            <w:tcW w:w="15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$242,426</w:t>
            </w:r>
          </w:p>
        </w:tc>
      </w:tr>
      <w:tr>
        <w:trPr>
          <w:trHeight w:val="209"/>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02/24/22</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02/24/27</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561</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$44,493</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10"/>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02/17/22</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02/17/27</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27,536</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$2,182,228</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10"/>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02/25/21</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02/25/26</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804</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$63,722</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10"/>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02/18/21</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02/18/24</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22,427</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$1,777,340</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10"/>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02/18/21</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02/18/24</w:t>
            </w:r>
          </w:p>
        </w:tc>
        <w:tc>
          <w:tcPr>
            <w:tcW w:w="820" w:type="dxa"/>
            <w:vAlign w:val="bottom"/>
            <w:tcBorders>
              <w:bottom w:val="single" w:sz="8" w:color="007B52"/>
            </w:tcBorders>
          </w:tcPr>
          <w:p>
            <w:pPr>
              <w:spacing w:after="0"/>
              <w:rPr>
                <w:sz w:val="18"/>
                <w:szCs w:val="18"/>
                <w:color w:val="auto"/>
              </w:rPr>
            </w:pP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ind w:right="36"/>
              <w:spacing w:after="0"/>
              <w:rPr>
                <w:sz w:val="20"/>
                <w:szCs w:val="20"/>
                <w:color w:val="auto"/>
              </w:rPr>
            </w:pPr>
            <w:r>
              <w:rPr>
                <w:rFonts w:ascii="Arial" w:cs="Arial" w:eastAsia="Arial" w:hAnsi="Arial"/>
                <w:sz w:val="14"/>
                <w:szCs w:val="14"/>
                <w:color w:val="231F20"/>
              </w:rPr>
              <w:t>2,492</w:t>
            </w:r>
          </w:p>
        </w:tc>
        <w:tc>
          <w:tcPr>
            <w:tcW w:w="15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$197,491</w:t>
            </w:r>
          </w:p>
        </w:tc>
      </w:tr>
      <w:tr>
        <w:trPr>
          <w:trHeight w:val="209"/>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02/27/20</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02/27/25</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769</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$60,981</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10"/>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02/20/20</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02/20/25</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23,697</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$1,877,987</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10"/>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02/27/19</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02/27/24</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1,362</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$107,922</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209"/>
        </w:trPr>
        <w:tc>
          <w:tcPr>
            <w:tcW w:w="21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02/21/19</w:t>
            </w:r>
          </w:p>
        </w:tc>
        <w:tc>
          <w:tcPr>
            <w:tcW w:w="104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02/21/24</w:t>
            </w:r>
          </w:p>
        </w:tc>
        <w:tc>
          <w:tcPr>
            <w:tcW w:w="820" w:type="dxa"/>
            <w:vAlign w:val="bottom"/>
            <w:tcBorders>
              <w:bottom w:val="single" w:sz="8" w:color="007B52"/>
            </w:tcBorders>
          </w:tcPr>
          <w:p>
            <w:pPr>
              <w:jc w:val="center"/>
              <w:ind w:left="191"/>
              <w:spacing w:after="0"/>
              <w:rPr>
                <w:sz w:val="20"/>
                <w:szCs w:val="20"/>
                <w:color w:val="auto"/>
              </w:rPr>
            </w:pPr>
            <w:r>
              <w:rPr>
                <w:rFonts w:ascii="Arial" w:cs="Arial" w:eastAsia="Arial" w:hAnsi="Arial"/>
                <w:sz w:val="14"/>
                <w:szCs w:val="14"/>
                <w:color w:val="231F20"/>
              </w:rPr>
              <w:t>14,520</w:t>
            </w:r>
          </w:p>
        </w:tc>
        <w:tc>
          <w:tcPr>
            <w:tcW w:w="300" w:type="dxa"/>
            <w:vAlign w:val="bottom"/>
            <w:tcBorders>
              <w:bottom w:val="single" w:sz="8" w:color="007B52"/>
            </w:tcBorders>
          </w:tcPr>
          <w:p>
            <w:pPr>
              <w:spacing w:after="0"/>
              <w:rPr>
                <w:sz w:val="18"/>
                <w:szCs w:val="18"/>
                <w:color w:val="auto"/>
              </w:rPr>
            </w:pPr>
          </w:p>
        </w:tc>
        <w:tc>
          <w:tcPr>
            <w:tcW w:w="154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$1,150,710</w:t>
            </w:r>
          </w:p>
        </w:tc>
        <w:tc>
          <w:tcPr>
            <w:tcW w:w="1540" w:type="dxa"/>
            <w:vAlign w:val="bottom"/>
            <w:tcBorders>
              <w:bottom w:val="single" w:sz="8" w:color="007B52"/>
            </w:tcBorders>
          </w:tcPr>
          <w:p>
            <w:pPr>
              <w:spacing w:after="0"/>
              <w:rPr>
                <w:sz w:val="18"/>
                <w:szCs w:val="18"/>
                <w:color w:val="auto"/>
              </w:rPr>
            </w:pPr>
          </w:p>
        </w:tc>
        <w:tc>
          <w:tcPr>
            <w:tcW w:w="1580" w:type="dxa"/>
            <w:vAlign w:val="bottom"/>
            <w:tcBorders>
              <w:bottom w:val="single" w:sz="8" w:color="007B52"/>
            </w:tcBorders>
          </w:tcPr>
          <w:p>
            <w:pPr>
              <w:spacing w:after="0"/>
              <w:rPr>
                <w:sz w:val="18"/>
                <w:szCs w:val="18"/>
                <w:color w:val="auto"/>
              </w:rPr>
            </w:pPr>
          </w:p>
        </w:tc>
      </w:tr>
      <w:tr>
        <w:trPr>
          <w:trHeight w:val="484"/>
        </w:trPr>
        <w:tc>
          <w:tcPr>
            <w:tcW w:w="2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ind w:left="700"/>
              <w:spacing w:after="0"/>
              <w:rPr>
                <w:sz w:val="20"/>
                <w:szCs w:val="20"/>
                <w:color w:val="auto"/>
              </w:rPr>
            </w:pPr>
            <w:r>
              <w:rPr>
                <w:rFonts w:ascii="Arial" w:cs="Arial" w:eastAsia="Arial" w:hAnsi="Arial"/>
                <w:sz w:val="13"/>
                <w:szCs w:val="13"/>
                <w:b w:val="1"/>
                <w:bCs w:val="1"/>
                <w:color w:val="auto"/>
              </w:rPr>
              <w:t>UFP Industries</w:t>
            </w:r>
          </w:p>
        </w:tc>
        <w:tc>
          <w:tcPr>
            <w:tcW w:w="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36</w:t>
            </w:r>
          </w:p>
        </w:tc>
        <w:tc>
          <w:tcPr>
            <w:tcW w:w="154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2023 Proxy Statement</w:t>
            </w:r>
          </w:p>
        </w:tc>
        <w:tc>
          <w:tcPr>
            <w:tcW w:w="1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9720"/>
          </w:cols>
          <w:pgMar w:left="1080" w:top="229" w:right="109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Borders>
              <w:bottom w:val="single" w:sz="8" w:color="007B52"/>
            </w:tcBorders>
          </w:tcPr>
          <w:p>
            <w:pPr>
              <w:spacing w:after="0"/>
              <w:rPr>
                <w:sz w:val="13"/>
                <w:szCs w:val="13"/>
                <w:color w:val="auto"/>
              </w:rPr>
            </w:pPr>
          </w:p>
        </w:tc>
        <w:tc>
          <w:tcPr>
            <w:tcW w:w="3040" w:type="dxa"/>
            <w:vAlign w:val="bottom"/>
            <w:tcBorders>
              <w:bottom w:val="single" w:sz="8" w:color="007B52"/>
            </w:tcBorders>
            <w:gridSpan w:val="2"/>
          </w:tcPr>
          <w:p>
            <w:pPr>
              <w:ind w:left="1240"/>
              <w:spacing w:after="0"/>
              <w:rPr>
                <w:sz w:val="20"/>
                <w:szCs w:val="20"/>
                <w:color w:val="auto"/>
              </w:rPr>
            </w:pPr>
            <w:r>
              <w:rPr>
                <w:rFonts w:ascii="Arial" w:cs="Arial" w:eastAsia="Arial" w:hAnsi="Arial"/>
                <w:sz w:val="11"/>
                <w:szCs w:val="11"/>
                <w:b w:val="1"/>
                <w:bCs w:val="1"/>
                <w:color w:val="auto"/>
              </w:rPr>
              <w:t>STOCK AWARDS</w:t>
            </w:r>
          </w:p>
        </w:tc>
        <w:tc>
          <w:tcPr>
            <w:tcW w:w="1600" w:type="dxa"/>
            <w:vAlign w:val="bottom"/>
            <w:tcBorders>
              <w:bottom w:val="single" w:sz="8" w:color="007B52"/>
            </w:tcBorders>
          </w:tcPr>
          <w:p>
            <w:pPr>
              <w:spacing w:after="0"/>
              <w:rPr>
                <w:sz w:val="13"/>
                <w:szCs w:val="13"/>
                <w:color w:val="auto"/>
              </w:rPr>
            </w:pPr>
          </w:p>
        </w:tc>
      </w:tr>
      <w:tr>
        <w:trPr>
          <w:trHeight w:val="169"/>
        </w:trPr>
        <w:tc>
          <w:tcPr>
            <w:tcW w:w="2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bottom w:val="single" w:sz="8" w:color="007B52"/>
            </w:tcBorders>
            <w:gridSpan w:val="2"/>
          </w:tcPr>
          <w:p>
            <w:pPr>
              <w:ind w:left="620"/>
              <w:spacing w:after="0"/>
              <w:rPr>
                <w:sz w:val="20"/>
                <w:szCs w:val="20"/>
                <w:color w:val="auto"/>
              </w:rPr>
            </w:pPr>
            <w:r>
              <w:rPr>
                <w:rFonts w:ascii="Arial" w:cs="Arial" w:eastAsia="Arial" w:hAnsi="Arial"/>
                <w:sz w:val="11"/>
                <w:szCs w:val="11"/>
                <w:b w:val="1"/>
                <w:bCs w:val="1"/>
                <w:color w:val="auto"/>
              </w:rPr>
              <w:t>EQUITY INCENTIVE PLAN AWARDS:</w:t>
            </w:r>
          </w:p>
        </w:tc>
      </w:tr>
      <w:tr>
        <w:trPr>
          <w:trHeight w:val="135"/>
        </w:trPr>
        <w:tc>
          <w:tcPr>
            <w:tcW w:w="2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80" w:type="dxa"/>
            <w:vAlign w:val="bottom"/>
          </w:tcPr>
          <w:p>
            <w:pPr>
              <w:jc w:val="center"/>
              <w:spacing w:after="0"/>
              <w:rPr>
                <w:sz w:val="20"/>
                <w:szCs w:val="20"/>
                <w:color w:val="auto"/>
              </w:rPr>
            </w:pPr>
            <w:r>
              <w:rPr>
                <w:rFonts w:ascii="Arial" w:cs="Arial" w:eastAsia="Arial" w:hAnsi="Arial"/>
                <w:sz w:val="11"/>
                <w:szCs w:val="11"/>
                <w:b w:val="1"/>
                <w:bCs w:val="1"/>
                <w:color w:val="231F20"/>
                <w:w w:val="98"/>
              </w:rPr>
              <w:t>NUMBER OF SHARES</w:t>
            </w:r>
          </w:p>
        </w:tc>
        <w:tc>
          <w:tcPr>
            <w:tcW w:w="1520" w:type="dxa"/>
            <w:vAlign w:val="bottom"/>
          </w:tcPr>
          <w:p>
            <w:pPr>
              <w:jc w:val="center"/>
              <w:spacing w:after="0"/>
              <w:rPr>
                <w:sz w:val="20"/>
                <w:szCs w:val="20"/>
                <w:color w:val="auto"/>
              </w:rPr>
            </w:pPr>
            <w:r>
              <w:rPr>
                <w:rFonts w:ascii="Arial" w:cs="Arial" w:eastAsia="Arial" w:hAnsi="Arial"/>
                <w:sz w:val="11"/>
                <w:szCs w:val="11"/>
                <w:b w:val="1"/>
                <w:bCs w:val="1"/>
                <w:color w:val="231F20"/>
                <w:w w:val="98"/>
              </w:rPr>
              <w:t>MARKET VALUE OF</w:t>
            </w:r>
          </w:p>
        </w:tc>
        <w:tc>
          <w:tcPr>
            <w:tcW w:w="1520" w:type="dxa"/>
            <w:vAlign w:val="bottom"/>
          </w:tcPr>
          <w:p>
            <w:pPr>
              <w:jc w:val="center"/>
              <w:ind w:right="2"/>
              <w:spacing w:after="0"/>
              <w:rPr>
                <w:sz w:val="20"/>
                <w:szCs w:val="20"/>
                <w:color w:val="auto"/>
              </w:rPr>
            </w:pPr>
            <w:r>
              <w:rPr>
                <w:rFonts w:ascii="Arial" w:cs="Arial" w:eastAsia="Arial" w:hAnsi="Arial"/>
                <w:sz w:val="11"/>
                <w:szCs w:val="11"/>
                <w:b w:val="1"/>
                <w:bCs w:val="1"/>
                <w:color w:val="231F20"/>
                <w:w w:val="98"/>
              </w:rPr>
              <w:t>NUMBER OF UNEARNED</w:t>
            </w:r>
          </w:p>
        </w:tc>
        <w:tc>
          <w:tcPr>
            <w:tcW w:w="1600" w:type="dxa"/>
            <w:vAlign w:val="bottom"/>
          </w:tcPr>
          <w:p>
            <w:pPr>
              <w:jc w:val="center"/>
              <w:ind w:left="41"/>
              <w:spacing w:after="0"/>
              <w:rPr>
                <w:sz w:val="20"/>
                <w:szCs w:val="20"/>
                <w:color w:val="auto"/>
              </w:rPr>
            </w:pPr>
            <w:r>
              <w:rPr>
                <w:rFonts w:ascii="Arial" w:cs="Arial" w:eastAsia="Arial" w:hAnsi="Arial"/>
                <w:sz w:val="11"/>
                <w:szCs w:val="11"/>
                <w:b w:val="1"/>
                <w:bCs w:val="1"/>
                <w:color w:val="231F20"/>
                <w:w w:val="96"/>
              </w:rPr>
              <w:t>MARKET OR PAYOUT VALUE</w:t>
            </w:r>
          </w:p>
        </w:tc>
      </w:tr>
      <w:tr>
        <w:trPr>
          <w:trHeight w:val="121"/>
        </w:trPr>
        <w:tc>
          <w:tcPr>
            <w:tcW w:w="2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231F20"/>
                <w:w w:val="97"/>
              </w:rPr>
              <w:t>OR UNITS OF STOCK</w:t>
            </w:r>
          </w:p>
        </w:tc>
        <w:tc>
          <w:tcPr>
            <w:tcW w:w="1520" w:type="dxa"/>
            <w:vAlign w:val="bottom"/>
          </w:tcPr>
          <w:p>
            <w:pPr>
              <w:jc w:val="center"/>
              <w:spacing w:after="0" w:line="122" w:lineRule="exact"/>
              <w:rPr>
                <w:sz w:val="20"/>
                <w:szCs w:val="20"/>
                <w:color w:val="auto"/>
              </w:rPr>
            </w:pPr>
            <w:r>
              <w:rPr>
                <w:rFonts w:ascii="Arial" w:cs="Arial" w:eastAsia="Arial" w:hAnsi="Arial"/>
                <w:sz w:val="11"/>
                <w:szCs w:val="11"/>
                <w:b w:val="1"/>
                <w:bCs w:val="1"/>
                <w:color w:val="231F20"/>
                <w:w w:val="98"/>
              </w:rPr>
              <w:t>SHARES OR UNITS OF</w:t>
            </w:r>
          </w:p>
        </w:tc>
        <w:tc>
          <w:tcPr>
            <w:tcW w:w="1520" w:type="dxa"/>
            <w:vAlign w:val="bottom"/>
          </w:tcPr>
          <w:p>
            <w:pPr>
              <w:jc w:val="center"/>
              <w:ind w:right="22"/>
              <w:spacing w:after="0" w:line="122" w:lineRule="exact"/>
              <w:rPr>
                <w:sz w:val="20"/>
                <w:szCs w:val="20"/>
                <w:color w:val="auto"/>
              </w:rPr>
            </w:pPr>
            <w:r>
              <w:rPr>
                <w:rFonts w:ascii="Arial" w:cs="Arial" w:eastAsia="Arial" w:hAnsi="Arial"/>
                <w:sz w:val="11"/>
                <w:szCs w:val="11"/>
                <w:b w:val="1"/>
                <w:bCs w:val="1"/>
                <w:color w:val="231F20"/>
                <w:w w:val="98"/>
              </w:rPr>
              <w:t>SHARES, UNITS OR OTHER</w:t>
            </w:r>
          </w:p>
        </w:tc>
        <w:tc>
          <w:tcPr>
            <w:tcW w:w="1600" w:type="dxa"/>
            <w:vAlign w:val="bottom"/>
          </w:tcPr>
          <w:p>
            <w:pPr>
              <w:jc w:val="center"/>
              <w:ind w:left="1"/>
              <w:spacing w:after="0" w:line="122" w:lineRule="exact"/>
              <w:rPr>
                <w:sz w:val="20"/>
                <w:szCs w:val="20"/>
                <w:color w:val="auto"/>
              </w:rPr>
            </w:pPr>
            <w:r>
              <w:rPr>
                <w:rFonts w:ascii="Arial" w:cs="Arial" w:eastAsia="Arial" w:hAnsi="Arial"/>
                <w:sz w:val="11"/>
                <w:szCs w:val="11"/>
                <w:b w:val="1"/>
                <w:bCs w:val="1"/>
                <w:color w:val="231F20"/>
                <w:w w:val="97"/>
              </w:rPr>
              <w:t>OF UNEARNED SHARES,</w:t>
            </w:r>
          </w:p>
        </w:tc>
      </w:tr>
      <w:tr>
        <w:trPr>
          <w:trHeight w:val="122"/>
        </w:trPr>
        <w:tc>
          <w:tcPr>
            <w:tcW w:w="2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231F20"/>
                <w:w w:val="96"/>
              </w:rPr>
              <w:t>THAT HAVE NOT</w:t>
            </w:r>
          </w:p>
        </w:tc>
        <w:tc>
          <w:tcPr>
            <w:tcW w:w="1520" w:type="dxa"/>
            <w:vAlign w:val="bottom"/>
          </w:tcPr>
          <w:p>
            <w:pPr>
              <w:jc w:val="center"/>
              <w:spacing w:after="0" w:line="122" w:lineRule="exact"/>
              <w:rPr>
                <w:sz w:val="20"/>
                <w:szCs w:val="20"/>
                <w:color w:val="auto"/>
              </w:rPr>
            </w:pPr>
            <w:r>
              <w:rPr>
                <w:rFonts w:ascii="Arial" w:cs="Arial" w:eastAsia="Arial" w:hAnsi="Arial"/>
                <w:sz w:val="11"/>
                <w:szCs w:val="11"/>
                <w:b w:val="1"/>
                <w:bCs w:val="1"/>
                <w:color w:val="231F20"/>
                <w:w w:val="96"/>
              </w:rPr>
              <w:t>STOCK THAT HAVE NOT</w:t>
            </w:r>
          </w:p>
        </w:tc>
        <w:tc>
          <w:tcPr>
            <w:tcW w:w="1520" w:type="dxa"/>
            <w:vAlign w:val="bottom"/>
          </w:tcPr>
          <w:p>
            <w:pPr>
              <w:jc w:val="center"/>
              <w:ind w:right="42"/>
              <w:spacing w:after="0" w:line="122" w:lineRule="exact"/>
              <w:rPr>
                <w:sz w:val="20"/>
                <w:szCs w:val="20"/>
                <w:color w:val="auto"/>
              </w:rPr>
            </w:pPr>
            <w:r>
              <w:rPr>
                <w:rFonts w:ascii="Arial" w:cs="Arial" w:eastAsia="Arial" w:hAnsi="Arial"/>
                <w:sz w:val="11"/>
                <w:szCs w:val="11"/>
                <w:b w:val="1"/>
                <w:bCs w:val="1"/>
                <w:color w:val="231F20"/>
                <w:w w:val="97"/>
              </w:rPr>
              <w:t>RIGHTS THAT HAVE NOT</w:t>
            </w:r>
          </w:p>
        </w:tc>
        <w:tc>
          <w:tcPr>
            <w:tcW w:w="1600" w:type="dxa"/>
            <w:vAlign w:val="bottom"/>
          </w:tcPr>
          <w:p>
            <w:pPr>
              <w:jc w:val="center"/>
              <w:ind w:left="21"/>
              <w:spacing w:after="0" w:line="122" w:lineRule="exact"/>
              <w:rPr>
                <w:sz w:val="20"/>
                <w:szCs w:val="20"/>
                <w:color w:val="auto"/>
              </w:rPr>
            </w:pPr>
            <w:r>
              <w:rPr>
                <w:rFonts w:ascii="Arial" w:cs="Arial" w:eastAsia="Arial" w:hAnsi="Arial"/>
                <w:sz w:val="11"/>
                <w:szCs w:val="11"/>
                <w:b w:val="1"/>
                <w:bCs w:val="1"/>
                <w:color w:val="231F20"/>
                <w:w w:val="97"/>
              </w:rPr>
              <w:t>UNITS OR OTHER RIGHTS</w:t>
            </w:r>
          </w:p>
        </w:tc>
      </w:tr>
      <w:tr>
        <w:trPr>
          <w:trHeight w:val="122"/>
        </w:trPr>
        <w:tc>
          <w:tcPr>
            <w:tcW w:w="2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231F20"/>
                <w:w w:val="95"/>
              </w:rPr>
              <w:t>VESTED</w:t>
            </w:r>
          </w:p>
        </w:tc>
        <w:tc>
          <w:tcPr>
            <w:tcW w:w="1520" w:type="dxa"/>
            <w:vAlign w:val="bottom"/>
          </w:tcPr>
          <w:p>
            <w:pPr>
              <w:jc w:val="center"/>
              <w:spacing w:after="0" w:line="122" w:lineRule="exact"/>
              <w:rPr>
                <w:sz w:val="20"/>
                <w:szCs w:val="20"/>
                <w:color w:val="auto"/>
              </w:rPr>
            </w:pPr>
            <w:r>
              <w:rPr>
                <w:rFonts w:ascii="Arial" w:cs="Arial" w:eastAsia="Arial" w:hAnsi="Arial"/>
                <w:sz w:val="11"/>
                <w:szCs w:val="11"/>
                <w:b w:val="1"/>
                <w:bCs w:val="1"/>
                <w:color w:val="231F20"/>
                <w:w w:val="95"/>
              </w:rPr>
              <w:t>VESTED</w:t>
            </w:r>
          </w:p>
        </w:tc>
        <w:tc>
          <w:tcPr>
            <w:tcW w:w="1520" w:type="dxa"/>
            <w:vAlign w:val="bottom"/>
          </w:tcPr>
          <w:p>
            <w:pPr>
              <w:jc w:val="center"/>
              <w:ind w:right="22"/>
              <w:spacing w:after="0" w:line="122" w:lineRule="exact"/>
              <w:rPr>
                <w:sz w:val="20"/>
                <w:szCs w:val="20"/>
                <w:color w:val="auto"/>
              </w:rPr>
            </w:pPr>
            <w:r>
              <w:rPr>
                <w:rFonts w:ascii="Arial" w:cs="Arial" w:eastAsia="Arial" w:hAnsi="Arial"/>
                <w:sz w:val="11"/>
                <w:szCs w:val="11"/>
                <w:b w:val="1"/>
                <w:bCs w:val="1"/>
                <w:color w:val="231F20"/>
                <w:w w:val="99"/>
              </w:rPr>
              <w:t>VESTED</w:t>
            </w:r>
          </w:p>
        </w:tc>
        <w:tc>
          <w:tcPr>
            <w:tcW w:w="1600" w:type="dxa"/>
            <w:vAlign w:val="bottom"/>
          </w:tcPr>
          <w:p>
            <w:pPr>
              <w:jc w:val="center"/>
              <w:ind w:left="21"/>
              <w:spacing w:after="0" w:line="122" w:lineRule="exact"/>
              <w:rPr>
                <w:sz w:val="20"/>
                <w:szCs w:val="20"/>
                <w:color w:val="auto"/>
              </w:rPr>
            </w:pPr>
            <w:r>
              <w:rPr>
                <w:rFonts w:ascii="Arial" w:cs="Arial" w:eastAsia="Arial" w:hAnsi="Arial"/>
                <w:sz w:val="11"/>
                <w:szCs w:val="11"/>
                <w:b w:val="1"/>
                <w:bCs w:val="1"/>
                <w:color w:val="231F20"/>
                <w:w w:val="96"/>
              </w:rPr>
              <w:t>THAT HAVE NOT VESTED</w:t>
            </w:r>
          </w:p>
        </w:tc>
      </w:tr>
      <w:tr>
        <w:trPr>
          <w:trHeight w:val="155"/>
        </w:trPr>
        <w:tc>
          <w:tcPr>
            <w:tcW w:w="2020" w:type="dxa"/>
            <w:vAlign w:val="bottom"/>
            <w:tcBorders>
              <w:bottom w:val="single" w:sz="8" w:color="007B52"/>
            </w:tcBorders>
          </w:tcPr>
          <w:p>
            <w:pPr>
              <w:ind w:left="100"/>
              <w:spacing w:after="0"/>
              <w:rPr>
                <w:sz w:val="20"/>
                <w:szCs w:val="20"/>
                <w:color w:val="auto"/>
              </w:rPr>
            </w:pPr>
            <w:r>
              <w:rPr>
                <w:rFonts w:ascii="Arial" w:cs="Arial" w:eastAsia="Arial" w:hAnsi="Arial"/>
                <w:sz w:val="11"/>
                <w:szCs w:val="11"/>
                <w:b w:val="1"/>
                <w:bCs w:val="1"/>
                <w:color w:val="231F20"/>
              </w:rPr>
              <w:t>NAME</w:t>
            </w: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1"/>
                <w:szCs w:val="11"/>
                <w:b w:val="1"/>
                <w:bCs w:val="1"/>
                <w:color w:val="231F20"/>
                <w:w w:val="97"/>
              </w:rPr>
              <w:t>GRANT DATE</w:t>
            </w:r>
          </w:p>
        </w:tc>
        <w:tc>
          <w:tcPr>
            <w:tcW w:w="1000" w:type="dxa"/>
            <w:vAlign w:val="bottom"/>
            <w:tcBorders>
              <w:bottom w:val="single" w:sz="8" w:color="007B52"/>
            </w:tcBorders>
          </w:tcPr>
          <w:p>
            <w:pPr>
              <w:jc w:val="center"/>
              <w:ind w:right="9"/>
              <w:spacing w:after="0"/>
              <w:rPr>
                <w:sz w:val="20"/>
                <w:szCs w:val="20"/>
                <w:color w:val="auto"/>
              </w:rPr>
            </w:pPr>
            <w:r>
              <w:rPr>
                <w:rFonts w:ascii="Arial" w:cs="Arial" w:eastAsia="Arial" w:hAnsi="Arial"/>
                <w:sz w:val="11"/>
                <w:szCs w:val="11"/>
                <w:b w:val="1"/>
                <w:bCs w:val="1"/>
                <w:color w:val="231F20"/>
                <w:w w:val="98"/>
              </w:rPr>
              <w:t>VESTING DATE</w:t>
            </w:r>
          </w:p>
        </w:tc>
        <w:tc>
          <w:tcPr>
            <w:tcW w:w="1280" w:type="dxa"/>
            <w:vAlign w:val="bottom"/>
            <w:tcBorders>
              <w:bottom w:val="single" w:sz="8" w:color="007B52"/>
            </w:tcBorders>
          </w:tcPr>
          <w:p>
            <w:pPr>
              <w:jc w:val="center"/>
              <w:spacing w:after="0"/>
              <w:rPr>
                <w:sz w:val="20"/>
                <w:szCs w:val="20"/>
                <w:color w:val="auto"/>
              </w:rPr>
            </w:pPr>
            <w:r>
              <w:rPr>
                <w:rFonts w:ascii="Arial" w:cs="Arial" w:eastAsia="Arial" w:hAnsi="Arial"/>
                <w:sz w:val="11"/>
                <w:szCs w:val="11"/>
                <w:b w:val="1"/>
                <w:bCs w:val="1"/>
                <w:color w:val="231F20"/>
              </w:rPr>
              <w:t>(1)</w:t>
            </w:r>
          </w:p>
        </w:tc>
        <w:tc>
          <w:tcPr>
            <w:tcW w:w="1520" w:type="dxa"/>
            <w:vAlign w:val="bottom"/>
            <w:tcBorders>
              <w:bottom w:val="single" w:sz="8" w:color="007B52"/>
            </w:tcBorders>
          </w:tcPr>
          <w:p>
            <w:pPr>
              <w:jc w:val="center"/>
              <w:spacing w:after="0"/>
              <w:rPr>
                <w:sz w:val="20"/>
                <w:szCs w:val="20"/>
                <w:color w:val="auto"/>
              </w:rPr>
            </w:pPr>
            <w:r>
              <w:rPr>
                <w:rFonts w:ascii="Arial" w:cs="Arial" w:eastAsia="Arial" w:hAnsi="Arial"/>
                <w:sz w:val="11"/>
                <w:szCs w:val="11"/>
                <w:b w:val="1"/>
                <w:bCs w:val="1"/>
                <w:color w:val="231F20"/>
              </w:rPr>
              <w:t>(2)</w:t>
            </w:r>
          </w:p>
        </w:tc>
        <w:tc>
          <w:tcPr>
            <w:tcW w:w="1520" w:type="dxa"/>
            <w:vAlign w:val="bottom"/>
            <w:tcBorders>
              <w:bottom w:val="single" w:sz="8" w:color="007B52"/>
            </w:tcBorders>
          </w:tcPr>
          <w:p>
            <w:pPr>
              <w:jc w:val="center"/>
              <w:ind w:right="42"/>
              <w:spacing w:after="0"/>
              <w:rPr>
                <w:sz w:val="20"/>
                <w:szCs w:val="20"/>
                <w:color w:val="auto"/>
              </w:rPr>
            </w:pPr>
            <w:r>
              <w:rPr>
                <w:rFonts w:ascii="Arial" w:cs="Arial" w:eastAsia="Arial" w:hAnsi="Arial"/>
                <w:sz w:val="11"/>
                <w:szCs w:val="11"/>
                <w:b w:val="1"/>
                <w:bCs w:val="1"/>
                <w:color w:val="231F20"/>
              </w:rPr>
              <w:t>(3)</w:t>
            </w:r>
          </w:p>
        </w:tc>
        <w:tc>
          <w:tcPr>
            <w:tcW w:w="1600" w:type="dxa"/>
            <w:vAlign w:val="bottom"/>
            <w:tcBorders>
              <w:bottom w:val="single" w:sz="8" w:color="007B52"/>
            </w:tcBorders>
          </w:tcPr>
          <w:p>
            <w:pPr>
              <w:jc w:val="center"/>
              <w:ind w:left="1"/>
              <w:spacing w:after="0"/>
              <w:rPr>
                <w:sz w:val="20"/>
                <w:szCs w:val="20"/>
                <w:color w:val="auto"/>
              </w:rPr>
            </w:pPr>
            <w:r>
              <w:rPr>
                <w:rFonts w:ascii="Arial" w:cs="Arial" w:eastAsia="Arial" w:hAnsi="Arial"/>
                <w:sz w:val="11"/>
                <w:szCs w:val="11"/>
                <w:b w:val="1"/>
                <w:bCs w:val="1"/>
                <w:color w:val="231F20"/>
              </w:rPr>
              <w:t>(3)</w:t>
            </w:r>
          </w:p>
        </w:tc>
      </w:tr>
      <w:tr>
        <w:trPr>
          <w:trHeight w:val="212"/>
        </w:trPr>
        <w:tc>
          <w:tcPr>
            <w:tcW w:w="20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02/28/18</w:t>
            </w:r>
          </w:p>
        </w:tc>
        <w:tc>
          <w:tcPr>
            <w:tcW w:w="100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02/28/23</w:t>
            </w:r>
          </w:p>
        </w:tc>
        <w:tc>
          <w:tcPr>
            <w:tcW w:w="12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1,349</w:t>
            </w:r>
          </w:p>
        </w:tc>
        <w:tc>
          <w:tcPr>
            <w:tcW w:w="1520" w:type="dxa"/>
            <w:vAlign w:val="bottom"/>
            <w:tcBorders>
              <w:bottom w:val="single" w:sz="8" w:color="007B52"/>
            </w:tcBorders>
          </w:tcPr>
          <w:p>
            <w:pPr>
              <w:jc w:val="center"/>
              <w:ind w:right="14"/>
              <w:spacing w:after="0"/>
              <w:rPr>
                <w:sz w:val="20"/>
                <w:szCs w:val="20"/>
                <w:color w:val="auto"/>
              </w:rPr>
            </w:pPr>
            <w:r>
              <w:rPr>
                <w:rFonts w:ascii="Arial" w:cs="Arial" w:eastAsia="Arial" w:hAnsi="Arial"/>
                <w:sz w:val="14"/>
                <w:szCs w:val="14"/>
                <w:color w:val="231F20"/>
              </w:rPr>
              <w:t>$106,905</w:t>
            </w:r>
          </w:p>
        </w:tc>
        <w:tc>
          <w:tcPr>
            <w:tcW w:w="1520" w:type="dxa"/>
            <w:vAlign w:val="bottom"/>
            <w:tcBorders>
              <w:bottom w:val="single" w:sz="8" w:color="007B52"/>
            </w:tcBorders>
          </w:tcPr>
          <w:p>
            <w:pPr>
              <w:spacing w:after="0"/>
              <w:rPr>
                <w:sz w:val="18"/>
                <w:szCs w:val="18"/>
                <w:color w:val="auto"/>
              </w:rPr>
            </w:pPr>
          </w:p>
        </w:tc>
        <w:tc>
          <w:tcPr>
            <w:tcW w:w="1600" w:type="dxa"/>
            <w:vAlign w:val="bottom"/>
            <w:tcBorders>
              <w:bottom w:val="single" w:sz="8" w:color="007B52"/>
            </w:tcBorders>
          </w:tcPr>
          <w:p>
            <w:pPr>
              <w:spacing w:after="0"/>
              <w:rPr>
                <w:sz w:val="18"/>
                <w:szCs w:val="18"/>
                <w:color w:val="auto"/>
              </w:rPr>
            </w:pPr>
          </w:p>
        </w:tc>
      </w:tr>
      <w:tr>
        <w:trPr>
          <w:trHeight w:val="209"/>
        </w:trPr>
        <w:tc>
          <w:tcPr>
            <w:tcW w:w="2020" w:type="dxa"/>
            <w:vAlign w:val="bottom"/>
            <w:tcBorders>
              <w:bottom w:val="single" w:sz="8" w:color="007B52"/>
            </w:tcBorders>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02/22/18</w:t>
            </w:r>
          </w:p>
        </w:tc>
        <w:tc>
          <w:tcPr>
            <w:tcW w:w="100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02/22/23</w:t>
            </w:r>
          </w:p>
        </w:tc>
        <w:tc>
          <w:tcPr>
            <w:tcW w:w="12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13,161</w:t>
            </w:r>
          </w:p>
        </w:tc>
        <w:tc>
          <w:tcPr>
            <w:tcW w:w="1520" w:type="dxa"/>
            <w:vAlign w:val="bottom"/>
            <w:tcBorders>
              <w:bottom w:val="single" w:sz="8" w:color="007B52"/>
            </w:tcBorders>
          </w:tcPr>
          <w:p>
            <w:pPr>
              <w:jc w:val="center"/>
              <w:ind w:right="14"/>
              <w:spacing w:after="0"/>
              <w:rPr>
                <w:sz w:val="20"/>
                <w:szCs w:val="20"/>
                <w:color w:val="auto"/>
              </w:rPr>
            </w:pPr>
            <w:r>
              <w:rPr>
                <w:rFonts w:ascii="Arial" w:cs="Arial" w:eastAsia="Arial" w:hAnsi="Arial"/>
                <w:sz w:val="14"/>
                <w:szCs w:val="14"/>
                <w:color w:val="231F20"/>
              </w:rPr>
              <w:t>$1,043,009</w:t>
            </w:r>
          </w:p>
        </w:tc>
        <w:tc>
          <w:tcPr>
            <w:tcW w:w="1520" w:type="dxa"/>
            <w:vAlign w:val="bottom"/>
            <w:tcBorders>
              <w:bottom w:val="single" w:sz="8" w:color="007B52"/>
            </w:tcBorders>
          </w:tcPr>
          <w:p>
            <w:pPr>
              <w:spacing w:after="0"/>
              <w:rPr>
                <w:sz w:val="18"/>
                <w:szCs w:val="18"/>
                <w:color w:val="auto"/>
              </w:rPr>
            </w:pPr>
          </w:p>
        </w:tc>
        <w:tc>
          <w:tcPr>
            <w:tcW w:w="1600" w:type="dxa"/>
            <w:vAlign w:val="bottom"/>
            <w:tcBorders>
              <w:bottom w:val="single" w:sz="8" w:color="007B52"/>
            </w:tcBorders>
          </w:tcPr>
          <w:p>
            <w:pPr>
              <w:spacing w:after="0"/>
              <w:rPr>
                <w:sz w:val="18"/>
                <w:szCs w:val="18"/>
                <w:color w:val="auto"/>
              </w:rPr>
            </w:pPr>
          </w:p>
        </w:tc>
      </w:tr>
      <w:tr>
        <w:trPr>
          <w:trHeight w:val="213"/>
        </w:trPr>
        <w:tc>
          <w:tcPr>
            <w:tcW w:w="2020" w:type="dxa"/>
            <w:vAlign w:val="bottom"/>
          </w:tcPr>
          <w:p>
            <w:pPr>
              <w:ind w:left="100"/>
              <w:spacing w:after="0"/>
              <w:rPr>
                <w:sz w:val="20"/>
                <w:szCs w:val="20"/>
                <w:color w:val="auto"/>
              </w:rPr>
            </w:pPr>
            <w:r>
              <w:rPr>
                <w:rFonts w:ascii="Arial" w:cs="Arial" w:eastAsia="Arial" w:hAnsi="Arial"/>
                <w:sz w:val="14"/>
                <w:szCs w:val="14"/>
                <w:b w:val="1"/>
                <w:bCs w:val="1"/>
                <w:color w:val="007B52"/>
              </w:rPr>
              <w:t>Scott A. Worthington</w:t>
            </w: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05/02/22</w:t>
            </w:r>
          </w:p>
        </w:tc>
        <w:tc>
          <w:tcPr>
            <w:tcW w:w="100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02/17/30</w:t>
            </w:r>
          </w:p>
        </w:tc>
        <w:tc>
          <w:tcPr>
            <w:tcW w:w="12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8,501</w:t>
            </w:r>
          </w:p>
        </w:tc>
        <w:tc>
          <w:tcPr>
            <w:tcW w:w="1520" w:type="dxa"/>
            <w:vAlign w:val="bottom"/>
            <w:tcBorders>
              <w:bottom w:val="single" w:sz="8" w:color="007B52"/>
            </w:tcBorders>
          </w:tcPr>
          <w:p>
            <w:pPr>
              <w:jc w:val="center"/>
              <w:ind w:right="14"/>
              <w:spacing w:after="0"/>
              <w:rPr>
                <w:sz w:val="20"/>
                <w:szCs w:val="20"/>
                <w:color w:val="auto"/>
              </w:rPr>
            </w:pPr>
            <w:r>
              <w:rPr>
                <w:rFonts w:ascii="Arial" w:cs="Arial" w:eastAsia="Arial" w:hAnsi="Arial"/>
                <w:sz w:val="14"/>
                <w:szCs w:val="14"/>
                <w:color w:val="231F20"/>
              </w:rPr>
              <w:t>$673,704</w:t>
            </w:r>
          </w:p>
        </w:tc>
        <w:tc>
          <w:tcPr>
            <w:tcW w:w="1520" w:type="dxa"/>
            <w:vAlign w:val="bottom"/>
            <w:tcBorders>
              <w:bottom w:val="single" w:sz="8" w:color="007B52"/>
            </w:tcBorders>
          </w:tcPr>
          <w:p>
            <w:pPr>
              <w:spacing w:after="0"/>
              <w:rPr>
                <w:sz w:val="18"/>
                <w:szCs w:val="18"/>
                <w:color w:val="auto"/>
              </w:rPr>
            </w:pPr>
          </w:p>
        </w:tc>
        <w:tc>
          <w:tcPr>
            <w:tcW w:w="1600" w:type="dxa"/>
            <w:vAlign w:val="bottom"/>
            <w:tcBorders>
              <w:bottom w:val="single" w:sz="8" w:color="007B52"/>
            </w:tcBorders>
          </w:tcPr>
          <w:p>
            <w:pPr>
              <w:spacing w:after="0"/>
              <w:rPr>
                <w:sz w:val="18"/>
                <w:szCs w:val="18"/>
                <w:color w:val="auto"/>
              </w:rPr>
            </w:pPr>
          </w:p>
        </w:tc>
      </w:tr>
      <w:tr>
        <w:trPr>
          <w:trHeight w:val="207"/>
        </w:trPr>
        <w:tc>
          <w:tcPr>
            <w:tcW w:w="2020" w:type="dxa"/>
            <w:vAlign w:val="bottom"/>
          </w:tcPr>
          <w:p>
            <w:pPr>
              <w:spacing w:after="0"/>
              <w:rPr>
                <w:sz w:val="17"/>
                <w:szCs w:val="17"/>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05/02/22</w:t>
            </w:r>
          </w:p>
        </w:tc>
        <w:tc>
          <w:tcPr>
            <w:tcW w:w="100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02/17/25</w:t>
            </w:r>
          </w:p>
        </w:tc>
        <w:tc>
          <w:tcPr>
            <w:tcW w:w="1280" w:type="dxa"/>
            <w:vAlign w:val="bottom"/>
            <w:tcBorders>
              <w:bottom w:val="single" w:sz="8" w:color="007B52"/>
            </w:tcBorders>
          </w:tcPr>
          <w:p>
            <w:pPr>
              <w:spacing w:after="0"/>
              <w:rPr>
                <w:sz w:val="17"/>
                <w:szCs w:val="17"/>
                <w:color w:val="auto"/>
              </w:rPr>
            </w:pPr>
          </w:p>
        </w:tc>
        <w:tc>
          <w:tcPr>
            <w:tcW w:w="1520" w:type="dxa"/>
            <w:vAlign w:val="bottom"/>
            <w:tcBorders>
              <w:bottom w:val="single" w:sz="8" w:color="007B52"/>
            </w:tcBorders>
          </w:tcPr>
          <w:p>
            <w:pPr>
              <w:spacing w:after="0"/>
              <w:rPr>
                <w:sz w:val="17"/>
                <w:szCs w:val="17"/>
                <w:color w:val="auto"/>
              </w:rPr>
            </w:pPr>
          </w:p>
        </w:tc>
        <w:tc>
          <w:tcPr>
            <w:tcW w:w="1520" w:type="dxa"/>
            <w:vAlign w:val="bottom"/>
            <w:tcBorders>
              <w:bottom w:val="single" w:sz="8" w:color="007B52"/>
            </w:tcBorders>
          </w:tcPr>
          <w:p>
            <w:pPr>
              <w:jc w:val="center"/>
              <w:ind w:right="22"/>
              <w:spacing w:after="0"/>
              <w:rPr>
                <w:sz w:val="20"/>
                <w:szCs w:val="20"/>
                <w:color w:val="auto"/>
              </w:rPr>
            </w:pPr>
            <w:r>
              <w:rPr>
                <w:rFonts w:ascii="Arial" w:cs="Arial" w:eastAsia="Arial" w:hAnsi="Arial"/>
                <w:sz w:val="14"/>
                <w:szCs w:val="14"/>
                <w:color w:val="231F20"/>
              </w:rPr>
              <w:t>3,121</w:t>
            </w:r>
          </w:p>
        </w:tc>
        <w:tc>
          <w:tcPr>
            <w:tcW w:w="1600" w:type="dxa"/>
            <w:vAlign w:val="bottom"/>
            <w:tcBorders>
              <w:bottom w:val="single" w:sz="8" w:color="007B52"/>
            </w:tcBorders>
          </w:tcPr>
          <w:p>
            <w:pPr>
              <w:jc w:val="center"/>
              <w:ind w:left="21"/>
              <w:spacing w:after="0"/>
              <w:rPr>
                <w:sz w:val="20"/>
                <w:szCs w:val="20"/>
                <w:color w:val="auto"/>
              </w:rPr>
            </w:pPr>
            <w:r>
              <w:rPr>
                <w:rFonts w:ascii="Arial" w:cs="Arial" w:eastAsia="Arial" w:hAnsi="Arial"/>
                <w:sz w:val="14"/>
                <w:szCs w:val="14"/>
                <w:color w:val="231F20"/>
              </w:rPr>
              <w:t>$247,339</w:t>
            </w:r>
          </w:p>
        </w:tc>
      </w:tr>
      <w:tr>
        <w:trPr>
          <w:trHeight w:val="209"/>
        </w:trPr>
        <w:tc>
          <w:tcPr>
            <w:tcW w:w="20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02/24/22</w:t>
            </w:r>
          </w:p>
        </w:tc>
        <w:tc>
          <w:tcPr>
            <w:tcW w:w="100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02/24/27</w:t>
            </w:r>
          </w:p>
        </w:tc>
        <w:tc>
          <w:tcPr>
            <w:tcW w:w="12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583</w:t>
            </w:r>
          </w:p>
        </w:tc>
        <w:tc>
          <w:tcPr>
            <w:tcW w:w="1520" w:type="dxa"/>
            <w:vAlign w:val="bottom"/>
            <w:tcBorders>
              <w:bottom w:val="single" w:sz="8" w:color="007B52"/>
            </w:tcBorders>
          </w:tcPr>
          <w:p>
            <w:pPr>
              <w:jc w:val="center"/>
              <w:ind w:right="14"/>
              <w:spacing w:after="0"/>
              <w:rPr>
                <w:sz w:val="20"/>
                <w:szCs w:val="20"/>
                <w:color w:val="auto"/>
              </w:rPr>
            </w:pPr>
            <w:r>
              <w:rPr>
                <w:rFonts w:ascii="Arial" w:cs="Arial" w:eastAsia="Arial" w:hAnsi="Arial"/>
                <w:sz w:val="14"/>
                <w:szCs w:val="14"/>
                <w:color w:val="231F20"/>
              </w:rPr>
              <w:t>$46,210</w:t>
            </w:r>
          </w:p>
        </w:tc>
        <w:tc>
          <w:tcPr>
            <w:tcW w:w="1520" w:type="dxa"/>
            <w:vAlign w:val="bottom"/>
            <w:tcBorders>
              <w:bottom w:val="single" w:sz="8" w:color="007B52"/>
            </w:tcBorders>
          </w:tcPr>
          <w:p>
            <w:pPr>
              <w:spacing w:after="0"/>
              <w:rPr>
                <w:sz w:val="18"/>
                <w:szCs w:val="18"/>
                <w:color w:val="auto"/>
              </w:rPr>
            </w:pPr>
          </w:p>
        </w:tc>
        <w:tc>
          <w:tcPr>
            <w:tcW w:w="1600" w:type="dxa"/>
            <w:vAlign w:val="bottom"/>
            <w:tcBorders>
              <w:bottom w:val="single" w:sz="8" w:color="007B52"/>
            </w:tcBorders>
          </w:tcPr>
          <w:p>
            <w:pPr>
              <w:spacing w:after="0"/>
              <w:rPr>
                <w:sz w:val="18"/>
                <w:szCs w:val="18"/>
                <w:color w:val="auto"/>
              </w:rPr>
            </w:pPr>
          </w:p>
        </w:tc>
      </w:tr>
      <w:tr>
        <w:trPr>
          <w:trHeight w:val="210"/>
        </w:trPr>
        <w:tc>
          <w:tcPr>
            <w:tcW w:w="20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02/17/22</w:t>
            </w:r>
          </w:p>
        </w:tc>
        <w:tc>
          <w:tcPr>
            <w:tcW w:w="100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02/17/27</w:t>
            </w:r>
          </w:p>
        </w:tc>
        <w:tc>
          <w:tcPr>
            <w:tcW w:w="12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28,097</w:t>
            </w:r>
          </w:p>
        </w:tc>
        <w:tc>
          <w:tcPr>
            <w:tcW w:w="1520" w:type="dxa"/>
            <w:vAlign w:val="bottom"/>
            <w:tcBorders>
              <w:bottom w:val="single" w:sz="8" w:color="007B52"/>
            </w:tcBorders>
          </w:tcPr>
          <w:p>
            <w:pPr>
              <w:jc w:val="center"/>
              <w:ind w:right="14"/>
              <w:spacing w:after="0"/>
              <w:rPr>
                <w:sz w:val="20"/>
                <w:szCs w:val="20"/>
                <w:color w:val="auto"/>
              </w:rPr>
            </w:pPr>
            <w:r>
              <w:rPr>
                <w:rFonts w:ascii="Arial" w:cs="Arial" w:eastAsia="Arial" w:hAnsi="Arial"/>
                <w:sz w:val="14"/>
                <w:szCs w:val="14"/>
                <w:color w:val="231F20"/>
              </w:rPr>
              <w:t>$2,226,687</w:t>
            </w:r>
          </w:p>
        </w:tc>
        <w:tc>
          <w:tcPr>
            <w:tcW w:w="1520" w:type="dxa"/>
            <w:vAlign w:val="bottom"/>
            <w:tcBorders>
              <w:bottom w:val="single" w:sz="8" w:color="007B52"/>
            </w:tcBorders>
          </w:tcPr>
          <w:p>
            <w:pPr>
              <w:spacing w:after="0"/>
              <w:rPr>
                <w:sz w:val="18"/>
                <w:szCs w:val="18"/>
                <w:color w:val="auto"/>
              </w:rPr>
            </w:pPr>
          </w:p>
        </w:tc>
        <w:tc>
          <w:tcPr>
            <w:tcW w:w="1600" w:type="dxa"/>
            <w:vAlign w:val="bottom"/>
            <w:tcBorders>
              <w:bottom w:val="single" w:sz="8" w:color="007B52"/>
            </w:tcBorders>
          </w:tcPr>
          <w:p>
            <w:pPr>
              <w:spacing w:after="0"/>
              <w:rPr>
                <w:sz w:val="18"/>
                <w:szCs w:val="18"/>
                <w:color w:val="auto"/>
              </w:rPr>
            </w:pPr>
          </w:p>
        </w:tc>
      </w:tr>
      <w:tr>
        <w:trPr>
          <w:trHeight w:val="209"/>
        </w:trPr>
        <w:tc>
          <w:tcPr>
            <w:tcW w:w="20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02/25/21</w:t>
            </w:r>
          </w:p>
        </w:tc>
        <w:tc>
          <w:tcPr>
            <w:tcW w:w="100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02/25/26</w:t>
            </w:r>
          </w:p>
        </w:tc>
        <w:tc>
          <w:tcPr>
            <w:tcW w:w="12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849</w:t>
            </w:r>
          </w:p>
        </w:tc>
        <w:tc>
          <w:tcPr>
            <w:tcW w:w="1520" w:type="dxa"/>
            <w:vAlign w:val="bottom"/>
            <w:tcBorders>
              <w:bottom w:val="single" w:sz="8" w:color="007B52"/>
            </w:tcBorders>
          </w:tcPr>
          <w:p>
            <w:pPr>
              <w:jc w:val="center"/>
              <w:ind w:right="14"/>
              <w:spacing w:after="0"/>
              <w:rPr>
                <w:sz w:val="20"/>
                <w:szCs w:val="20"/>
                <w:color w:val="auto"/>
              </w:rPr>
            </w:pPr>
            <w:r>
              <w:rPr>
                <w:rFonts w:ascii="Arial" w:cs="Arial" w:eastAsia="Arial" w:hAnsi="Arial"/>
                <w:sz w:val="14"/>
                <w:szCs w:val="14"/>
                <w:color w:val="231F20"/>
              </w:rPr>
              <w:t>$67,284</w:t>
            </w:r>
          </w:p>
        </w:tc>
        <w:tc>
          <w:tcPr>
            <w:tcW w:w="1520" w:type="dxa"/>
            <w:vAlign w:val="bottom"/>
            <w:tcBorders>
              <w:bottom w:val="single" w:sz="8" w:color="007B52"/>
            </w:tcBorders>
          </w:tcPr>
          <w:p>
            <w:pPr>
              <w:spacing w:after="0"/>
              <w:rPr>
                <w:sz w:val="18"/>
                <w:szCs w:val="18"/>
                <w:color w:val="auto"/>
              </w:rPr>
            </w:pPr>
          </w:p>
        </w:tc>
        <w:tc>
          <w:tcPr>
            <w:tcW w:w="1600" w:type="dxa"/>
            <w:vAlign w:val="bottom"/>
            <w:tcBorders>
              <w:bottom w:val="single" w:sz="8" w:color="007B52"/>
            </w:tcBorders>
          </w:tcPr>
          <w:p>
            <w:pPr>
              <w:spacing w:after="0"/>
              <w:rPr>
                <w:sz w:val="18"/>
                <w:szCs w:val="18"/>
                <w:color w:val="auto"/>
              </w:rPr>
            </w:pPr>
          </w:p>
        </w:tc>
      </w:tr>
      <w:tr>
        <w:trPr>
          <w:trHeight w:val="209"/>
        </w:trPr>
        <w:tc>
          <w:tcPr>
            <w:tcW w:w="20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02/18/21</w:t>
            </w:r>
          </w:p>
        </w:tc>
        <w:tc>
          <w:tcPr>
            <w:tcW w:w="100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02/18/24</w:t>
            </w:r>
          </w:p>
        </w:tc>
        <w:tc>
          <w:tcPr>
            <w:tcW w:w="12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19,283</w:t>
            </w:r>
          </w:p>
        </w:tc>
        <w:tc>
          <w:tcPr>
            <w:tcW w:w="1520" w:type="dxa"/>
            <w:vAlign w:val="bottom"/>
            <w:tcBorders>
              <w:bottom w:val="single" w:sz="8" w:color="007B52"/>
            </w:tcBorders>
          </w:tcPr>
          <w:p>
            <w:pPr>
              <w:jc w:val="center"/>
              <w:ind w:right="14"/>
              <w:spacing w:after="0"/>
              <w:rPr>
                <w:sz w:val="20"/>
                <w:szCs w:val="20"/>
                <w:color w:val="auto"/>
              </w:rPr>
            </w:pPr>
            <w:r>
              <w:rPr>
                <w:rFonts w:ascii="Arial" w:cs="Arial" w:eastAsia="Arial" w:hAnsi="Arial"/>
                <w:sz w:val="14"/>
                <w:szCs w:val="14"/>
                <w:color w:val="231F20"/>
              </w:rPr>
              <w:t>$1,528,178</w:t>
            </w:r>
          </w:p>
        </w:tc>
        <w:tc>
          <w:tcPr>
            <w:tcW w:w="1520" w:type="dxa"/>
            <w:vAlign w:val="bottom"/>
            <w:tcBorders>
              <w:bottom w:val="single" w:sz="8" w:color="007B52"/>
            </w:tcBorders>
          </w:tcPr>
          <w:p>
            <w:pPr>
              <w:spacing w:after="0"/>
              <w:rPr>
                <w:sz w:val="18"/>
                <w:szCs w:val="18"/>
                <w:color w:val="auto"/>
              </w:rPr>
            </w:pPr>
          </w:p>
        </w:tc>
        <w:tc>
          <w:tcPr>
            <w:tcW w:w="1600" w:type="dxa"/>
            <w:vAlign w:val="bottom"/>
            <w:tcBorders>
              <w:bottom w:val="single" w:sz="8" w:color="007B52"/>
            </w:tcBorders>
          </w:tcPr>
          <w:p>
            <w:pPr>
              <w:spacing w:after="0"/>
              <w:rPr>
                <w:sz w:val="18"/>
                <w:szCs w:val="18"/>
                <w:color w:val="auto"/>
              </w:rPr>
            </w:pPr>
          </w:p>
        </w:tc>
      </w:tr>
      <w:tr>
        <w:trPr>
          <w:trHeight w:val="210"/>
        </w:trPr>
        <w:tc>
          <w:tcPr>
            <w:tcW w:w="20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02/18/21</w:t>
            </w:r>
          </w:p>
        </w:tc>
        <w:tc>
          <w:tcPr>
            <w:tcW w:w="100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02/18/24</w:t>
            </w:r>
          </w:p>
        </w:tc>
        <w:tc>
          <w:tcPr>
            <w:tcW w:w="1280" w:type="dxa"/>
            <w:vAlign w:val="bottom"/>
            <w:tcBorders>
              <w:bottom w:val="single" w:sz="8" w:color="007B52"/>
            </w:tcBorders>
          </w:tcPr>
          <w:p>
            <w:pPr>
              <w:spacing w:after="0"/>
              <w:rPr>
                <w:sz w:val="18"/>
                <w:szCs w:val="18"/>
                <w:color w:val="auto"/>
              </w:rPr>
            </w:pPr>
          </w:p>
        </w:tc>
        <w:tc>
          <w:tcPr>
            <w:tcW w:w="1520" w:type="dxa"/>
            <w:vAlign w:val="bottom"/>
            <w:tcBorders>
              <w:bottom w:val="single" w:sz="8" w:color="007B52"/>
            </w:tcBorders>
          </w:tcPr>
          <w:p>
            <w:pPr>
              <w:spacing w:after="0"/>
              <w:rPr>
                <w:sz w:val="18"/>
                <w:szCs w:val="18"/>
                <w:color w:val="auto"/>
              </w:rPr>
            </w:pPr>
          </w:p>
        </w:tc>
        <w:tc>
          <w:tcPr>
            <w:tcW w:w="1520" w:type="dxa"/>
            <w:vAlign w:val="bottom"/>
            <w:tcBorders>
              <w:bottom w:val="single" w:sz="8" w:color="007B52"/>
            </w:tcBorders>
          </w:tcPr>
          <w:p>
            <w:pPr>
              <w:jc w:val="center"/>
              <w:ind w:right="22"/>
              <w:spacing w:after="0"/>
              <w:rPr>
                <w:sz w:val="20"/>
                <w:szCs w:val="20"/>
                <w:color w:val="auto"/>
              </w:rPr>
            </w:pPr>
            <w:r>
              <w:rPr>
                <w:rFonts w:ascii="Arial" w:cs="Arial" w:eastAsia="Arial" w:hAnsi="Arial"/>
                <w:sz w:val="14"/>
                <w:szCs w:val="14"/>
                <w:color w:val="231F20"/>
              </w:rPr>
              <w:t>2,142</w:t>
            </w:r>
          </w:p>
        </w:tc>
        <w:tc>
          <w:tcPr>
            <w:tcW w:w="1600" w:type="dxa"/>
            <w:vAlign w:val="bottom"/>
            <w:tcBorders>
              <w:bottom w:val="single" w:sz="8" w:color="007B52"/>
            </w:tcBorders>
          </w:tcPr>
          <w:p>
            <w:pPr>
              <w:jc w:val="center"/>
              <w:ind w:left="21"/>
              <w:spacing w:after="0"/>
              <w:rPr>
                <w:sz w:val="20"/>
                <w:szCs w:val="20"/>
                <w:color w:val="auto"/>
              </w:rPr>
            </w:pPr>
            <w:r>
              <w:rPr>
                <w:rFonts w:ascii="Arial" w:cs="Arial" w:eastAsia="Arial" w:hAnsi="Arial"/>
                <w:sz w:val="14"/>
                <w:szCs w:val="14"/>
                <w:color w:val="231F20"/>
              </w:rPr>
              <w:t>$169,754</w:t>
            </w:r>
          </w:p>
        </w:tc>
      </w:tr>
      <w:tr>
        <w:trPr>
          <w:trHeight w:val="209"/>
        </w:trPr>
        <w:tc>
          <w:tcPr>
            <w:tcW w:w="20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02/27/20</w:t>
            </w:r>
          </w:p>
        </w:tc>
        <w:tc>
          <w:tcPr>
            <w:tcW w:w="100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02/27/25</w:t>
            </w:r>
          </w:p>
        </w:tc>
        <w:tc>
          <w:tcPr>
            <w:tcW w:w="12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734</w:t>
            </w:r>
          </w:p>
        </w:tc>
        <w:tc>
          <w:tcPr>
            <w:tcW w:w="1520" w:type="dxa"/>
            <w:vAlign w:val="bottom"/>
            <w:tcBorders>
              <w:bottom w:val="single" w:sz="8" w:color="007B52"/>
            </w:tcBorders>
          </w:tcPr>
          <w:p>
            <w:pPr>
              <w:jc w:val="center"/>
              <w:ind w:right="14"/>
              <w:spacing w:after="0"/>
              <w:rPr>
                <w:sz w:val="20"/>
                <w:szCs w:val="20"/>
                <w:color w:val="auto"/>
              </w:rPr>
            </w:pPr>
            <w:r>
              <w:rPr>
                <w:rFonts w:ascii="Arial" w:cs="Arial" w:eastAsia="Arial" w:hAnsi="Arial"/>
                <w:sz w:val="14"/>
                <w:szCs w:val="14"/>
                <w:color w:val="231F20"/>
              </w:rPr>
              <w:t>$58,158</w:t>
            </w:r>
          </w:p>
        </w:tc>
        <w:tc>
          <w:tcPr>
            <w:tcW w:w="1520" w:type="dxa"/>
            <w:vAlign w:val="bottom"/>
            <w:tcBorders>
              <w:bottom w:val="single" w:sz="8" w:color="007B52"/>
            </w:tcBorders>
          </w:tcPr>
          <w:p>
            <w:pPr>
              <w:spacing w:after="0"/>
              <w:rPr>
                <w:sz w:val="18"/>
                <w:szCs w:val="18"/>
                <w:color w:val="auto"/>
              </w:rPr>
            </w:pPr>
          </w:p>
        </w:tc>
        <w:tc>
          <w:tcPr>
            <w:tcW w:w="1600" w:type="dxa"/>
            <w:vAlign w:val="bottom"/>
            <w:tcBorders>
              <w:bottom w:val="single" w:sz="8" w:color="007B52"/>
            </w:tcBorders>
          </w:tcPr>
          <w:p>
            <w:pPr>
              <w:spacing w:after="0"/>
              <w:rPr>
                <w:sz w:val="18"/>
                <w:szCs w:val="18"/>
                <w:color w:val="auto"/>
              </w:rPr>
            </w:pPr>
          </w:p>
        </w:tc>
      </w:tr>
      <w:tr>
        <w:trPr>
          <w:trHeight w:val="210"/>
        </w:trPr>
        <w:tc>
          <w:tcPr>
            <w:tcW w:w="20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02/20/20</w:t>
            </w:r>
          </w:p>
        </w:tc>
        <w:tc>
          <w:tcPr>
            <w:tcW w:w="100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02/20/25</w:t>
            </w:r>
          </w:p>
        </w:tc>
        <w:tc>
          <w:tcPr>
            <w:tcW w:w="12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10,415</w:t>
            </w:r>
          </w:p>
        </w:tc>
        <w:tc>
          <w:tcPr>
            <w:tcW w:w="1520" w:type="dxa"/>
            <w:vAlign w:val="bottom"/>
            <w:tcBorders>
              <w:bottom w:val="single" w:sz="8" w:color="007B52"/>
            </w:tcBorders>
          </w:tcPr>
          <w:p>
            <w:pPr>
              <w:jc w:val="center"/>
              <w:ind w:right="14"/>
              <w:spacing w:after="0"/>
              <w:rPr>
                <w:sz w:val="20"/>
                <w:szCs w:val="20"/>
                <w:color w:val="auto"/>
              </w:rPr>
            </w:pPr>
            <w:r>
              <w:rPr>
                <w:rFonts w:ascii="Arial" w:cs="Arial" w:eastAsia="Arial" w:hAnsi="Arial"/>
                <w:sz w:val="14"/>
                <w:szCs w:val="14"/>
                <w:color w:val="231F20"/>
              </w:rPr>
              <w:t>$825,389</w:t>
            </w:r>
          </w:p>
        </w:tc>
        <w:tc>
          <w:tcPr>
            <w:tcW w:w="1520" w:type="dxa"/>
            <w:vAlign w:val="bottom"/>
            <w:tcBorders>
              <w:bottom w:val="single" w:sz="8" w:color="007B52"/>
            </w:tcBorders>
          </w:tcPr>
          <w:p>
            <w:pPr>
              <w:spacing w:after="0"/>
              <w:rPr>
                <w:sz w:val="18"/>
                <w:szCs w:val="18"/>
                <w:color w:val="auto"/>
              </w:rPr>
            </w:pPr>
          </w:p>
        </w:tc>
        <w:tc>
          <w:tcPr>
            <w:tcW w:w="1600" w:type="dxa"/>
            <w:vAlign w:val="bottom"/>
            <w:tcBorders>
              <w:bottom w:val="single" w:sz="8" w:color="007B52"/>
            </w:tcBorders>
          </w:tcPr>
          <w:p>
            <w:pPr>
              <w:spacing w:after="0"/>
              <w:rPr>
                <w:sz w:val="18"/>
                <w:szCs w:val="18"/>
                <w:color w:val="auto"/>
              </w:rPr>
            </w:pPr>
          </w:p>
        </w:tc>
      </w:tr>
      <w:tr>
        <w:trPr>
          <w:trHeight w:val="209"/>
        </w:trPr>
        <w:tc>
          <w:tcPr>
            <w:tcW w:w="20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02/27/19</w:t>
            </w:r>
          </w:p>
        </w:tc>
        <w:tc>
          <w:tcPr>
            <w:tcW w:w="100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02/27/24</w:t>
            </w:r>
          </w:p>
        </w:tc>
        <w:tc>
          <w:tcPr>
            <w:tcW w:w="12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1,086</w:t>
            </w:r>
          </w:p>
        </w:tc>
        <w:tc>
          <w:tcPr>
            <w:tcW w:w="1520" w:type="dxa"/>
            <w:vAlign w:val="bottom"/>
            <w:tcBorders>
              <w:bottom w:val="single" w:sz="8" w:color="007B52"/>
            </w:tcBorders>
          </w:tcPr>
          <w:p>
            <w:pPr>
              <w:jc w:val="center"/>
              <w:ind w:right="14"/>
              <w:spacing w:after="0"/>
              <w:rPr>
                <w:sz w:val="20"/>
                <w:szCs w:val="20"/>
                <w:color w:val="auto"/>
              </w:rPr>
            </w:pPr>
            <w:r>
              <w:rPr>
                <w:rFonts w:ascii="Arial" w:cs="Arial" w:eastAsia="Arial" w:hAnsi="Arial"/>
                <w:sz w:val="14"/>
                <w:szCs w:val="14"/>
                <w:color w:val="231F20"/>
              </w:rPr>
              <w:t>$86,101</w:t>
            </w:r>
          </w:p>
        </w:tc>
        <w:tc>
          <w:tcPr>
            <w:tcW w:w="1520" w:type="dxa"/>
            <w:vAlign w:val="bottom"/>
            <w:tcBorders>
              <w:bottom w:val="single" w:sz="8" w:color="007B52"/>
            </w:tcBorders>
          </w:tcPr>
          <w:p>
            <w:pPr>
              <w:spacing w:after="0"/>
              <w:rPr>
                <w:sz w:val="18"/>
                <w:szCs w:val="18"/>
                <w:color w:val="auto"/>
              </w:rPr>
            </w:pPr>
          </w:p>
        </w:tc>
        <w:tc>
          <w:tcPr>
            <w:tcW w:w="1600" w:type="dxa"/>
            <w:vAlign w:val="bottom"/>
            <w:tcBorders>
              <w:bottom w:val="single" w:sz="8" w:color="007B52"/>
            </w:tcBorders>
          </w:tcPr>
          <w:p>
            <w:pPr>
              <w:spacing w:after="0"/>
              <w:rPr>
                <w:sz w:val="18"/>
                <w:szCs w:val="18"/>
                <w:color w:val="auto"/>
              </w:rPr>
            </w:pPr>
          </w:p>
        </w:tc>
      </w:tr>
      <w:tr>
        <w:trPr>
          <w:trHeight w:val="209"/>
        </w:trPr>
        <w:tc>
          <w:tcPr>
            <w:tcW w:w="20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02/21/19</w:t>
            </w:r>
          </w:p>
        </w:tc>
        <w:tc>
          <w:tcPr>
            <w:tcW w:w="100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02/21/24</w:t>
            </w:r>
          </w:p>
        </w:tc>
        <w:tc>
          <w:tcPr>
            <w:tcW w:w="12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10,637</w:t>
            </w:r>
          </w:p>
        </w:tc>
        <w:tc>
          <w:tcPr>
            <w:tcW w:w="1520" w:type="dxa"/>
            <w:vAlign w:val="bottom"/>
            <w:tcBorders>
              <w:bottom w:val="single" w:sz="8" w:color="007B52"/>
            </w:tcBorders>
          </w:tcPr>
          <w:p>
            <w:pPr>
              <w:jc w:val="center"/>
              <w:ind w:right="14"/>
              <w:spacing w:after="0"/>
              <w:rPr>
                <w:sz w:val="20"/>
                <w:szCs w:val="20"/>
                <w:color w:val="auto"/>
              </w:rPr>
            </w:pPr>
            <w:r>
              <w:rPr>
                <w:rFonts w:ascii="Arial" w:cs="Arial" w:eastAsia="Arial" w:hAnsi="Arial"/>
                <w:sz w:val="14"/>
                <w:szCs w:val="14"/>
                <w:color w:val="231F20"/>
              </w:rPr>
              <w:t>$842,982</w:t>
            </w:r>
          </w:p>
        </w:tc>
        <w:tc>
          <w:tcPr>
            <w:tcW w:w="1520" w:type="dxa"/>
            <w:vAlign w:val="bottom"/>
            <w:tcBorders>
              <w:bottom w:val="single" w:sz="8" w:color="007B52"/>
            </w:tcBorders>
          </w:tcPr>
          <w:p>
            <w:pPr>
              <w:spacing w:after="0"/>
              <w:rPr>
                <w:sz w:val="18"/>
                <w:szCs w:val="18"/>
                <w:color w:val="auto"/>
              </w:rPr>
            </w:pPr>
          </w:p>
        </w:tc>
        <w:tc>
          <w:tcPr>
            <w:tcW w:w="1600" w:type="dxa"/>
            <w:vAlign w:val="bottom"/>
            <w:tcBorders>
              <w:bottom w:val="single" w:sz="8" w:color="007B52"/>
            </w:tcBorders>
          </w:tcPr>
          <w:p>
            <w:pPr>
              <w:spacing w:after="0"/>
              <w:rPr>
                <w:sz w:val="18"/>
                <w:szCs w:val="18"/>
                <w:color w:val="auto"/>
              </w:rPr>
            </w:pPr>
          </w:p>
        </w:tc>
      </w:tr>
      <w:tr>
        <w:trPr>
          <w:trHeight w:val="210"/>
        </w:trPr>
        <w:tc>
          <w:tcPr>
            <w:tcW w:w="2020" w:type="dxa"/>
            <w:vAlign w:val="bottom"/>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02/28/18</w:t>
            </w:r>
          </w:p>
        </w:tc>
        <w:tc>
          <w:tcPr>
            <w:tcW w:w="100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02/28/23</w:t>
            </w:r>
          </w:p>
        </w:tc>
        <w:tc>
          <w:tcPr>
            <w:tcW w:w="12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1,028</w:t>
            </w:r>
          </w:p>
        </w:tc>
        <w:tc>
          <w:tcPr>
            <w:tcW w:w="1520" w:type="dxa"/>
            <w:vAlign w:val="bottom"/>
            <w:tcBorders>
              <w:bottom w:val="single" w:sz="8" w:color="007B52"/>
            </w:tcBorders>
          </w:tcPr>
          <w:p>
            <w:pPr>
              <w:jc w:val="center"/>
              <w:ind w:right="14"/>
              <w:spacing w:after="0"/>
              <w:rPr>
                <w:sz w:val="20"/>
                <w:szCs w:val="20"/>
                <w:color w:val="auto"/>
              </w:rPr>
            </w:pPr>
            <w:r>
              <w:rPr>
                <w:rFonts w:ascii="Arial" w:cs="Arial" w:eastAsia="Arial" w:hAnsi="Arial"/>
                <w:sz w:val="14"/>
                <w:szCs w:val="14"/>
                <w:color w:val="231F20"/>
              </w:rPr>
              <w:t>$81,481</w:t>
            </w:r>
          </w:p>
        </w:tc>
        <w:tc>
          <w:tcPr>
            <w:tcW w:w="1520" w:type="dxa"/>
            <w:vAlign w:val="bottom"/>
            <w:tcBorders>
              <w:bottom w:val="single" w:sz="8" w:color="007B52"/>
            </w:tcBorders>
          </w:tcPr>
          <w:p>
            <w:pPr>
              <w:spacing w:after="0"/>
              <w:rPr>
                <w:sz w:val="18"/>
                <w:szCs w:val="18"/>
                <w:color w:val="auto"/>
              </w:rPr>
            </w:pPr>
          </w:p>
        </w:tc>
        <w:tc>
          <w:tcPr>
            <w:tcW w:w="1600" w:type="dxa"/>
            <w:vAlign w:val="bottom"/>
            <w:tcBorders>
              <w:bottom w:val="single" w:sz="8" w:color="007B52"/>
            </w:tcBorders>
          </w:tcPr>
          <w:p>
            <w:pPr>
              <w:spacing w:after="0"/>
              <w:rPr>
                <w:sz w:val="18"/>
                <w:szCs w:val="18"/>
                <w:color w:val="auto"/>
              </w:rPr>
            </w:pPr>
          </w:p>
        </w:tc>
      </w:tr>
      <w:tr>
        <w:trPr>
          <w:trHeight w:val="209"/>
        </w:trPr>
        <w:tc>
          <w:tcPr>
            <w:tcW w:w="2020" w:type="dxa"/>
            <w:vAlign w:val="bottom"/>
            <w:tcBorders>
              <w:bottom w:val="single" w:sz="8" w:color="007B52"/>
            </w:tcBorders>
          </w:tcPr>
          <w:p>
            <w:pPr>
              <w:spacing w:after="0"/>
              <w:rPr>
                <w:sz w:val="18"/>
                <w:szCs w:val="18"/>
                <w:color w:val="auto"/>
              </w:rPr>
            </w:pPr>
          </w:p>
        </w:tc>
        <w:tc>
          <w:tcPr>
            <w:tcW w:w="7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02/22/18</w:t>
            </w:r>
          </w:p>
        </w:tc>
        <w:tc>
          <w:tcPr>
            <w:tcW w:w="1000" w:type="dxa"/>
            <w:vAlign w:val="bottom"/>
            <w:tcBorders>
              <w:bottom w:val="single" w:sz="8" w:color="007B52"/>
            </w:tcBorders>
          </w:tcPr>
          <w:p>
            <w:pPr>
              <w:jc w:val="center"/>
              <w:ind w:right="9"/>
              <w:spacing w:after="0"/>
              <w:rPr>
                <w:sz w:val="20"/>
                <w:szCs w:val="20"/>
                <w:color w:val="auto"/>
              </w:rPr>
            </w:pPr>
            <w:r>
              <w:rPr>
                <w:rFonts w:ascii="Arial" w:cs="Arial" w:eastAsia="Arial" w:hAnsi="Arial"/>
                <w:sz w:val="14"/>
                <w:szCs w:val="14"/>
                <w:color w:val="231F20"/>
              </w:rPr>
              <w:t>02/22/23</w:t>
            </w:r>
          </w:p>
        </w:tc>
        <w:tc>
          <w:tcPr>
            <w:tcW w:w="1280" w:type="dxa"/>
            <w:vAlign w:val="bottom"/>
            <w:tcBorders>
              <w:bottom w:val="single" w:sz="8" w:color="007B52"/>
            </w:tcBorders>
          </w:tcPr>
          <w:p>
            <w:pPr>
              <w:jc w:val="center"/>
              <w:spacing w:after="0"/>
              <w:rPr>
                <w:sz w:val="20"/>
                <w:szCs w:val="20"/>
                <w:color w:val="auto"/>
              </w:rPr>
            </w:pPr>
            <w:r>
              <w:rPr>
                <w:rFonts w:ascii="Arial" w:cs="Arial" w:eastAsia="Arial" w:hAnsi="Arial"/>
                <w:sz w:val="14"/>
                <w:szCs w:val="14"/>
                <w:color w:val="231F20"/>
              </w:rPr>
              <w:t>4,736</w:t>
            </w:r>
          </w:p>
        </w:tc>
        <w:tc>
          <w:tcPr>
            <w:tcW w:w="1520" w:type="dxa"/>
            <w:vAlign w:val="bottom"/>
            <w:tcBorders>
              <w:bottom w:val="single" w:sz="8" w:color="007B52"/>
            </w:tcBorders>
          </w:tcPr>
          <w:p>
            <w:pPr>
              <w:jc w:val="center"/>
              <w:ind w:right="14"/>
              <w:spacing w:after="0"/>
              <w:rPr>
                <w:sz w:val="20"/>
                <w:szCs w:val="20"/>
                <w:color w:val="auto"/>
              </w:rPr>
            </w:pPr>
            <w:r>
              <w:rPr>
                <w:rFonts w:ascii="Arial" w:cs="Arial" w:eastAsia="Arial" w:hAnsi="Arial"/>
                <w:sz w:val="14"/>
                <w:szCs w:val="14"/>
                <w:color w:val="231F20"/>
              </w:rPr>
              <w:t>$375,328</w:t>
            </w:r>
          </w:p>
        </w:tc>
        <w:tc>
          <w:tcPr>
            <w:tcW w:w="1520" w:type="dxa"/>
            <w:vAlign w:val="bottom"/>
            <w:tcBorders>
              <w:bottom w:val="single" w:sz="8" w:color="007B52"/>
            </w:tcBorders>
          </w:tcPr>
          <w:p>
            <w:pPr>
              <w:spacing w:after="0"/>
              <w:rPr>
                <w:sz w:val="18"/>
                <w:szCs w:val="18"/>
                <w:color w:val="auto"/>
              </w:rPr>
            </w:pPr>
          </w:p>
        </w:tc>
        <w:tc>
          <w:tcPr>
            <w:tcW w:w="1600" w:type="dxa"/>
            <w:vAlign w:val="bottom"/>
            <w:tcBorders>
              <w:bottom w:val="single" w:sz="8" w:color="007B52"/>
            </w:tcBorders>
          </w:tcPr>
          <w:p>
            <w:pPr>
              <w:spacing w:after="0"/>
              <w:rPr>
                <w:sz w:val="18"/>
                <w:szCs w:val="18"/>
                <w:color w:val="auto"/>
              </w:rPr>
            </w:pPr>
          </w:p>
        </w:tc>
      </w:tr>
    </w:tbl>
    <w:p>
      <w:pPr>
        <w:spacing w:after="0" w:line="225" w:lineRule="exact"/>
        <w:rPr>
          <w:sz w:val="20"/>
          <w:szCs w:val="20"/>
          <w:color w:val="auto"/>
        </w:rPr>
      </w:pPr>
    </w:p>
    <w:p>
      <w:pPr>
        <w:ind w:left="260" w:right="100" w:hanging="256"/>
        <w:spacing w:after="0" w:line="243" w:lineRule="auto"/>
        <w:tabs>
          <w:tab w:leader="none" w:pos="260" w:val="left"/>
        </w:tabs>
        <w:numPr>
          <w:ilvl w:val="0"/>
          <w:numId w:val="46"/>
        </w:numPr>
        <w:rPr>
          <w:rFonts w:ascii="Arial" w:cs="Arial" w:eastAsia="Arial" w:hAnsi="Arial"/>
          <w:sz w:val="13"/>
          <w:szCs w:val="13"/>
          <w:color w:val="58595B"/>
        </w:rPr>
      </w:pPr>
      <w:r>
        <w:rPr>
          <w:rFonts w:ascii="Arial" w:cs="Arial" w:eastAsia="Arial" w:hAnsi="Arial"/>
          <w:sz w:val="13"/>
          <w:szCs w:val="13"/>
          <w:color w:val="58595B"/>
        </w:rPr>
        <w:t>Represents shares of restricted stock granted to each Named Executive. The shares are subject to risks of forfeiture until they vest in full. Subject to accelerated vesting for death, disability or a change in control of our Company, the shares vest in full on either the third, fifth or eighth anniversary of the grant date.</w:t>
      </w:r>
    </w:p>
    <w:p>
      <w:pPr>
        <w:spacing w:after="0" w:line="75" w:lineRule="exact"/>
        <w:rPr>
          <w:rFonts w:ascii="Arial" w:cs="Arial" w:eastAsia="Arial" w:hAnsi="Arial"/>
          <w:sz w:val="13"/>
          <w:szCs w:val="13"/>
          <w:color w:val="58595B"/>
        </w:rPr>
      </w:pPr>
    </w:p>
    <w:p>
      <w:pPr>
        <w:ind w:left="260" w:hanging="256"/>
        <w:spacing w:after="0"/>
        <w:tabs>
          <w:tab w:leader="none" w:pos="260" w:val="left"/>
        </w:tabs>
        <w:numPr>
          <w:ilvl w:val="0"/>
          <w:numId w:val="46"/>
        </w:numPr>
        <w:rPr>
          <w:rFonts w:ascii="Arial" w:cs="Arial" w:eastAsia="Arial" w:hAnsi="Arial"/>
          <w:sz w:val="13"/>
          <w:szCs w:val="13"/>
          <w:color w:val="58595B"/>
        </w:rPr>
      </w:pPr>
      <w:r>
        <w:rPr>
          <w:rFonts w:ascii="Arial" w:cs="Arial" w:eastAsia="Arial" w:hAnsi="Arial"/>
          <w:sz w:val="13"/>
          <w:szCs w:val="13"/>
          <w:color w:val="58595B"/>
        </w:rPr>
        <w:t>The market value of the shares in these columns is based upon the closing price of our common stock on December 31, 2022 ($79.25).</w:t>
      </w:r>
    </w:p>
    <w:p>
      <w:pPr>
        <w:spacing w:after="0" w:line="93" w:lineRule="exact"/>
        <w:rPr>
          <w:rFonts w:ascii="Arial" w:cs="Arial" w:eastAsia="Arial" w:hAnsi="Arial"/>
          <w:sz w:val="13"/>
          <w:szCs w:val="13"/>
          <w:color w:val="58595B"/>
        </w:rPr>
      </w:pPr>
    </w:p>
    <w:p>
      <w:pPr>
        <w:ind w:left="260" w:right="180" w:hanging="256"/>
        <w:spacing w:after="0" w:line="229" w:lineRule="auto"/>
        <w:tabs>
          <w:tab w:leader="none" w:pos="260" w:val="left"/>
        </w:tabs>
        <w:numPr>
          <w:ilvl w:val="0"/>
          <w:numId w:val="46"/>
        </w:numPr>
        <w:rPr>
          <w:rFonts w:ascii="Arial" w:cs="Arial" w:eastAsia="Arial" w:hAnsi="Arial"/>
          <w:sz w:val="13"/>
          <w:szCs w:val="13"/>
          <w:color w:val="58595B"/>
        </w:rPr>
      </w:pPr>
      <w:r>
        <w:rPr>
          <w:rFonts w:ascii="Arial" w:cs="Arial" w:eastAsia="Arial" w:hAnsi="Arial"/>
          <w:sz w:val="13"/>
          <w:szCs w:val="13"/>
          <w:color w:val="58595B"/>
        </w:rPr>
        <w:t>The number of shares that may be issued under performance unit award agreements granted in each of the prior two years depends upon the Company’s actual pre-incentive compensation operating profit relative to the targeted pre-incentive compensation operating profit for the 3-year performance period. The number of the awards reflects the target level of performance units granted, and the value of the awards is based upon the closing price of our common stock on December 31, 2022, which was $79.25.</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Option Exercises and Stock Vested</w:t>
      </w:r>
    </w:p>
    <w:p>
      <w:pPr>
        <w:spacing w:after="0" w:line="16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following table provides information on the number and value of options exercised and stock grants vested in 2022 by the Named Executives: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980" w:type="dxa"/>
            <w:vAlign w:val="bottom"/>
          </w:tcPr>
          <w:p>
            <w:pPr>
              <w:spacing w:after="0"/>
              <w:rPr>
                <w:sz w:val="11"/>
                <w:szCs w:val="11"/>
                <w:color w:val="auto"/>
              </w:rPr>
            </w:pPr>
          </w:p>
        </w:tc>
        <w:tc>
          <w:tcPr>
            <w:tcW w:w="2760" w:type="dxa"/>
            <w:vAlign w:val="bottom"/>
            <w:tcBorders>
              <w:bottom w:val="single" w:sz="8" w:color="007B51"/>
            </w:tcBorders>
            <w:gridSpan w:val="2"/>
          </w:tcPr>
          <w:p>
            <w:pPr>
              <w:ind w:left="920"/>
              <w:spacing w:after="0"/>
              <w:rPr>
                <w:sz w:val="20"/>
                <w:szCs w:val="20"/>
                <w:color w:val="auto"/>
              </w:rPr>
            </w:pPr>
            <w:r>
              <w:rPr>
                <w:rFonts w:ascii="Arial" w:cs="Arial" w:eastAsia="Arial" w:hAnsi="Arial"/>
                <w:sz w:val="11"/>
                <w:szCs w:val="11"/>
                <w:b w:val="1"/>
                <w:bCs w:val="1"/>
                <w:color w:val="auto"/>
              </w:rPr>
              <w:t>OPTION AWARDS</w:t>
            </w:r>
          </w:p>
        </w:tc>
        <w:tc>
          <w:tcPr>
            <w:tcW w:w="280" w:type="dxa"/>
            <w:vAlign w:val="bottom"/>
          </w:tcPr>
          <w:p>
            <w:pPr>
              <w:spacing w:after="0"/>
              <w:rPr>
                <w:sz w:val="11"/>
                <w:szCs w:val="11"/>
                <w:color w:val="auto"/>
              </w:rPr>
            </w:pPr>
          </w:p>
        </w:tc>
        <w:tc>
          <w:tcPr>
            <w:tcW w:w="2700" w:type="dxa"/>
            <w:vAlign w:val="bottom"/>
            <w:tcBorders>
              <w:bottom w:val="single" w:sz="8" w:color="007B51"/>
            </w:tcBorders>
            <w:gridSpan w:val="2"/>
          </w:tcPr>
          <w:p>
            <w:pPr>
              <w:ind w:left="900"/>
              <w:spacing w:after="0"/>
              <w:rPr>
                <w:sz w:val="20"/>
                <w:szCs w:val="20"/>
                <w:color w:val="auto"/>
              </w:rPr>
            </w:pPr>
            <w:r>
              <w:rPr>
                <w:rFonts w:ascii="Arial" w:cs="Arial" w:eastAsia="Arial" w:hAnsi="Arial"/>
                <w:sz w:val="11"/>
                <w:szCs w:val="11"/>
                <w:b w:val="1"/>
                <w:bCs w:val="1"/>
                <w:color w:val="auto"/>
              </w:rPr>
              <w:t>STOCK AWARDS</w:t>
            </w:r>
          </w:p>
        </w:tc>
      </w:tr>
      <w:tr>
        <w:trPr>
          <w:trHeight w:val="223"/>
        </w:trPr>
        <w:tc>
          <w:tcPr>
            <w:tcW w:w="3980" w:type="dxa"/>
            <w:vAlign w:val="bottom"/>
          </w:tcPr>
          <w:p>
            <w:pPr>
              <w:spacing w:after="0"/>
              <w:rPr>
                <w:sz w:val="19"/>
                <w:szCs w:val="19"/>
                <w:color w:val="auto"/>
              </w:rPr>
            </w:pPr>
          </w:p>
        </w:tc>
        <w:tc>
          <w:tcPr>
            <w:tcW w:w="1540" w:type="dxa"/>
            <w:vAlign w:val="bottom"/>
          </w:tcPr>
          <w:p>
            <w:pPr>
              <w:jc w:val="center"/>
              <w:ind w:right="135"/>
              <w:spacing w:after="0"/>
              <w:rPr>
                <w:sz w:val="20"/>
                <w:szCs w:val="20"/>
                <w:color w:val="auto"/>
              </w:rPr>
            </w:pPr>
            <w:r>
              <w:rPr>
                <w:rFonts w:ascii="Arial" w:cs="Arial" w:eastAsia="Arial" w:hAnsi="Arial"/>
                <w:sz w:val="11"/>
                <w:szCs w:val="11"/>
                <w:b w:val="1"/>
                <w:bCs w:val="1"/>
                <w:color w:val="auto"/>
                <w:w w:val="98"/>
              </w:rPr>
              <w:t>NUMBER OF SHARES</w:t>
            </w:r>
          </w:p>
        </w:tc>
        <w:tc>
          <w:tcPr>
            <w:tcW w:w="15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VALUE REALIZED</w:t>
            </w:r>
          </w:p>
        </w:tc>
        <w:tc>
          <w:tcPr>
            <w:tcW w:w="1460" w:type="dxa"/>
            <w:vAlign w:val="bottom"/>
          </w:tcPr>
          <w:p>
            <w:pPr>
              <w:jc w:val="center"/>
              <w:ind w:right="135"/>
              <w:spacing w:after="0"/>
              <w:rPr>
                <w:sz w:val="20"/>
                <w:szCs w:val="20"/>
                <w:color w:val="auto"/>
              </w:rPr>
            </w:pPr>
            <w:r>
              <w:rPr>
                <w:rFonts w:ascii="Arial" w:cs="Arial" w:eastAsia="Arial" w:hAnsi="Arial"/>
                <w:sz w:val="11"/>
                <w:szCs w:val="11"/>
                <w:b w:val="1"/>
                <w:bCs w:val="1"/>
                <w:color w:val="auto"/>
                <w:w w:val="98"/>
              </w:rPr>
              <w:t>NUMBER OF SHARES</w:t>
            </w:r>
          </w:p>
        </w:tc>
        <w:tc>
          <w:tcPr>
            <w:tcW w:w="1240" w:type="dxa"/>
            <w:vAlign w:val="bottom"/>
          </w:tcPr>
          <w:p>
            <w:pPr>
              <w:jc w:val="center"/>
              <w:ind w:left="13"/>
              <w:spacing w:after="0"/>
              <w:rPr>
                <w:sz w:val="20"/>
                <w:szCs w:val="20"/>
                <w:color w:val="auto"/>
              </w:rPr>
            </w:pPr>
            <w:r>
              <w:rPr>
                <w:rFonts w:ascii="Arial" w:cs="Arial" w:eastAsia="Arial" w:hAnsi="Arial"/>
                <w:sz w:val="11"/>
                <w:szCs w:val="11"/>
                <w:b w:val="1"/>
                <w:bCs w:val="1"/>
                <w:color w:val="auto"/>
                <w:w w:val="96"/>
              </w:rPr>
              <w:t>VALUE REALIZED</w:t>
            </w:r>
          </w:p>
        </w:tc>
      </w:tr>
      <w:tr>
        <w:trPr>
          <w:trHeight w:val="175"/>
        </w:trPr>
        <w:tc>
          <w:tcPr>
            <w:tcW w:w="3980" w:type="dxa"/>
            <w:vAlign w:val="bottom"/>
            <w:tcBorders>
              <w:bottom w:val="single" w:sz="8" w:color="007B51"/>
            </w:tcBorders>
          </w:tcPr>
          <w:p>
            <w:pPr>
              <w:ind w:left="100"/>
              <w:spacing w:after="0"/>
              <w:rPr>
                <w:sz w:val="20"/>
                <w:szCs w:val="20"/>
                <w:color w:val="auto"/>
              </w:rPr>
            </w:pPr>
            <w:r>
              <w:rPr>
                <w:rFonts w:ascii="Arial" w:cs="Arial" w:eastAsia="Arial" w:hAnsi="Arial"/>
                <w:sz w:val="11"/>
                <w:szCs w:val="11"/>
                <w:b w:val="1"/>
                <w:bCs w:val="1"/>
                <w:color w:val="auto"/>
              </w:rPr>
              <w:t>NAME</w:t>
            </w:r>
          </w:p>
        </w:tc>
        <w:tc>
          <w:tcPr>
            <w:tcW w:w="1540" w:type="dxa"/>
            <w:vAlign w:val="bottom"/>
            <w:tcBorders>
              <w:bottom w:val="single" w:sz="8" w:color="007B51"/>
            </w:tcBorders>
          </w:tcPr>
          <w:p>
            <w:pPr>
              <w:jc w:val="center"/>
              <w:ind w:right="135"/>
              <w:spacing w:after="0"/>
              <w:rPr>
                <w:sz w:val="20"/>
                <w:szCs w:val="20"/>
                <w:color w:val="auto"/>
              </w:rPr>
            </w:pPr>
            <w:r>
              <w:rPr>
                <w:rFonts w:ascii="Arial" w:cs="Arial" w:eastAsia="Arial" w:hAnsi="Arial"/>
                <w:sz w:val="11"/>
                <w:szCs w:val="11"/>
                <w:b w:val="1"/>
                <w:bCs w:val="1"/>
                <w:color w:val="auto"/>
                <w:w w:val="97"/>
              </w:rPr>
              <w:t>ACQUIRED ON EXERCISE</w:t>
            </w:r>
          </w:p>
        </w:tc>
        <w:tc>
          <w:tcPr>
            <w:tcW w:w="1500" w:type="dxa"/>
            <w:vAlign w:val="bottom"/>
            <w:tcBorders>
              <w:bottom w:val="single" w:sz="8" w:color="007B51"/>
            </w:tcBorders>
            <w:gridSpan w:val="2"/>
          </w:tcPr>
          <w:p>
            <w:pPr>
              <w:jc w:val="center"/>
              <w:ind w:right="200"/>
              <w:spacing w:after="0"/>
              <w:rPr>
                <w:sz w:val="20"/>
                <w:szCs w:val="20"/>
                <w:color w:val="auto"/>
              </w:rPr>
            </w:pPr>
            <w:r>
              <w:rPr>
                <w:rFonts w:ascii="Arial" w:cs="Arial" w:eastAsia="Arial" w:hAnsi="Arial"/>
                <w:sz w:val="11"/>
                <w:szCs w:val="11"/>
                <w:b w:val="1"/>
                <w:bCs w:val="1"/>
                <w:color w:val="auto"/>
                <w:w w:val="98"/>
              </w:rPr>
              <w:t>ON EXERCISE</w:t>
            </w:r>
          </w:p>
        </w:tc>
        <w:tc>
          <w:tcPr>
            <w:tcW w:w="1460" w:type="dxa"/>
            <w:vAlign w:val="bottom"/>
            <w:tcBorders>
              <w:bottom w:val="single" w:sz="8" w:color="007B51"/>
            </w:tcBorders>
          </w:tcPr>
          <w:p>
            <w:pPr>
              <w:jc w:val="center"/>
              <w:ind w:right="135"/>
              <w:spacing w:after="0"/>
              <w:rPr>
                <w:sz w:val="20"/>
                <w:szCs w:val="20"/>
                <w:color w:val="auto"/>
              </w:rPr>
            </w:pPr>
            <w:r>
              <w:rPr>
                <w:rFonts w:ascii="Arial" w:cs="Arial" w:eastAsia="Arial" w:hAnsi="Arial"/>
                <w:sz w:val="11"/>
                <w:szCs w:val="11"/>
                <w:b w:val="1"/>
                <w:bCs w:val="1"/>
                <w:color w:val="auto"/>
                <w:w w:val="97"/>
              </w:rPr>
              <w:t>ACQUIRED ON VESTING</w:t>
            </w:r>
          </w:p>
        </w:tc>
        <w:tc>
          <w:tcPr>
            <w:tcW w:w="1240" w:type="dxa"/>
            <w:vAlign w:val="bottom"/>
            <w:tcBorders>
              <w:bottom w:val="single" w:sz="8" w:color="007B51"/>
            </w:tcBorders>
          </w:tcPr>
          <w:p>
            <w:pPr>
              <w:jc w:val="center"/>
              <w:ind w:left="33"/>
              <w:spacing w:after="0" w:line="176" w:lineRule="exact"/>
              <w:rPr>
                <w:sz w:val="20"/>
                <w:szCs w:val="20"/>
                <w:color w:val="auto"/>
              </w:rPr>
            </w:pPr>
            <w:r>
              <w:rPr>
                <w:rFonts w:ascii="Arial" w:cs="Arial" w:eastAsia="Arial" w:hAnsi="Arial"/>
                <w:sz w:val="11"/>
                <w:szCs w:val="11"/>
                <w:b w:val="1"/>
                <w:bCs w:val="1"/>
                <w:color w:val="auto"/>
                <w:w w:val="95"/>
              </w:rPr>
              <w:t>ON VESTING</w:t>
            </w:r>
            <w:r>
              <w:rPr>
                <w:rFonts w:ascii="Arial" w:cs="Arial" w:eastAsia="Arial" w:hAnsi="Arial"/>
                <w:sz w:val="17"/>
                <w:szCs w:val="17"/>
                <w:b w:val="1"/>
                <w:bCs w:val="1"/>
                <w:color w:val="auto"/>
                <w:w w:val="95"/>
                <w:vertAlign w:val="superscript"/>
              </w:rPr>
              <w:t>(1)</w:t>
            </w:r>
          </w:p>
        </w:tc>
      </w:tr>
      <w:tr>
        <w:trPr>
          <w:trHeight w:val="223"/>
        </w:trPr>
        <w:tc>
          <w:tcPr>
            <w:tcW w:w="3980" w:type="dxa"/>
            <w:vAlign w:val="bottom"/>
            <w:tcBorders>
              <w:bottom w:val="single" w:sz="8" w:color="007B51"/>
            </w:tcBorders>
          </w:tcPr>
          <w:p>
            <w:pPr>
              <w:ind w:left="100"/>
              <w:spacing w:after="0" w:line="223" w:lineRule="exact"/>
              <w:rPr>
                <w:sz w:val="20"/>
                <w:szCs w:val="20"/>
                <w:color w:val="auto"/>
              </w:rPr>
            </w:pPr>
            <w:r>
              <w:rPr>
                <w:rFonts w:ascii="Arial" w:cs="Arial" w:eastAsia="Arial" w:hAnsi="Arial"/>
                <w:sz w:val="13"/>
                <w:szCs w:val="13"/>
                <w:b w:val="1"/>
                <w:bCs w:val="1"/>
                <w:color w:val="017B52"/>
              </w:rPr>
              <w:t>Matthew J. Missad</w:t>
            </w:r>
            <w:r>
              <w:rPr>
                <w:rFonts w:ascii="Arial" w:cs="Arial" w:eastAsia="Arial" w:hAnsi="Arial"/>
                <w:sz w:val="20"/>
                <w:szCs w:val="20"/>
                <w:b w:val="1"/>
                <w:bCs w:val="1"/>
                <w:color w:val="017B52"/>
                <w:vertAlign w:val="superscript"/>
              </w:rPr>
              <w:t>(2)</w:t>
            </w:r>
          </w:p>
        </w:tc>
        <w:tc>
          <w:tcPr>
            <w:tcW w:w="1540" w:type="dxa"/>
            <w:vAlign w:val="bottom"/>
            <w:tcBorders>
              <w:bottom w:val="single" w:sz="8" w:color="007B51"/>
            </w:tcBorders>
          </w:tcPr>
          <w:p>
            <w:pPr>
              <w:jc w:val="center"/>
              <w:ind w:right="155"/>
              <w:spacing w:after="0"/>
              <w:rPr>
                <w:sz w:val="20"/>
                <w:szCs w:val="20"/>
                <w:color w:val="auto"/>
              </w:rPr>
            </w:pPr>
            <w:r>
              <w:rPr>
                <w:rFonts w:ascii="Arial" w:cs="Arial" w:eastAsia="Arial" w:hAnsi="Arial"/>
                <w:sz w:val="14"/>
                <w:szCs w:val="14"/>
                <w:color w:val="auto"/>
              </w:rPr>
              <w:t>0</w:t>
            </w:r>
          </w:p>
        </w:tc>
        <w:tc>
          <w:tcPr>
            <w:tcW w:w="1220" w:type="dxa"/>
            <w:vAlign w:val="bottom"/>
            <w:tcBorders>
              <w:bottom w:val="single" w:sz="8" w:color="007B51"/>
            </w:tcBorders>
          </w:tcPr>
          <w:p>
            <w:pPr>
              <w:jc w:val="center"/>
              <w:spacing w:after="0"/>
              <w:rPr>
                <w:sz w:val="20"/>
                <w:szCs w:val="20"/>
                <w:color w:val="auto"/>
              </w:rPr>
            </w:pPr>
            <w:r>
              <w:rPr>
                <w:rFonts w:ascii="Arial" w:cs="Arial" w:eastAsia="Arial" w:hAnsi="Arial"/>
                <w:sz w:val="14"/>
                <w:szCs w:val="14"/>
                <w:color w:val="auto"/>
              </w:rPr>
              <w:t>0</w:t>
            </w:r>
          </w:p>
        </w:tc>
        <w:tc>
          <w:tcPr>
            <w:tcW w:w="280" w:type="dxa"/>
            <w:vAlign w:val="bottom"/>
            <w:tcBorders>
              <w:bottom w:val="single" w:sz="8" w:color="007B51"/>
            </w:tcBorders>
          </w:tcPr>
          <w:p>
            <w:pPr>
              <w:spacing w:after="0"/>
              <w:rPr>
                <w:sz w:val="19"/>
                <w:szCs w:val="19"/>
                <w:color w:val="auto"/>
              </w:rPr>
            </w:pPr>
          </w:p>
        </w:tc>
        <w:tc>
          <w:tcPr>
            <w:tcW w:w="1460" w:type="dxa"/>
            <w:vAlign w:val="bottom"/>
            <w:tcBorders>
              <w:bottom w:val="single" w:sz="8" w:color="007B51"/>
            </w:tcBorders>
          </w:tcPr>
          <w:p>
            <w:pPr>
              <w:jc w:val="center"/>
              <w:ind w:right="115"/>
              <w:spacing w:after="0"/>
              <w:rPr>
                <w:sz w:val="20"/>
                <w:szCs w:val="20"/>
                <w:color w:val="auto"/>
              </w:rPr>
            </w:pPr>
            <w:r>
              <w:rPr>
                <w:rFonts w:ascii="Arial" w:cs="Arial" w:eastAsia="Arial" w:hAnsi="Arial"/>
                <w:sz w:val="14"/>
                <w:szCs w:val="14"/>
                <w:color w:val="auto"/>
              </w:rPr>
              <w:t>41,838</w:t>
            </w:r>
          </w:p>
        </w:tc>
        <w:tc>
          <w:tcPr>
            <w:tcW w:w="1240" w:type="dxa"/>
            <w:vAlign w:val="bottom"/>
            <w:tcBorders>
              <w:bottom w:val="single" w:sz="8" w:color="007B51"/>
            </w:tcBorders>
          </w:tcPr>
          <w:p>
            <w:pPr>
              <w:jc w:val="center"/>
              <w:ind w:left="13"/>
              <w:spacing w:after="0"/>
              <w:rPr>
                <w:sz w:val="20"/>
                <w:szCs w:val="20"/>
                <w:color w:val="auto"/>
              </w:rPr>
            </w:pPr>
            <w:r>
              <w:rPr>
                <w:rFonts w:ascii="Arial" w:cs="Arial" w:eastAsia="Arial" w:hAnsi="Arial"/>
                <w:sz w:val="14"/>
                <w:szCs w:val="14"/>
                <w:color w:val="auto"/>
              </w:rPr>
              <w:t>$3,408,830</w:t>
            </w:r>
          </w:p>
        </w:tc>
      </w:tr>
      <w:tr>
        <w:trPr>
          <w:trHeight w:val="205"/>
        </w:trPr>
        <w:tc>
          <w:tcPr>
            <w:tcW w:w="3980" w:type="dxa"/>
            <w:vAlign w:val="bottom"/>
            <w:tcBorders>
              <w:bottom w:val="single" w:sz="8" w:color="007B51"/>
            </w:tcBorders>
          </w:tcPr>
          <w:p>
            <w:pPr>
              <w:ind w:left="100"/>
              <w:spacing w:after="0"/>
              <w:rPr>
                <w:sz w:val="20"/>
                <w:szCs w:val="20"/>
                <w:color w:val="auto"/>
              </w:rPr>
            </w:pPr>
            <w:r>
              <w:rPr>
                <w:rFonts w:ascii="Arial" w:cs="Arial" w:eastAsia="Arial" w:hAnsi="Arial"/>
                <w:sz w:val="13"/>
                <w:szCs w:val="13"/>
                <w:b w:val="1"/>
                <w:bCs w:val="1"/>
                <w:color w:val="017B52"/>
              </w:rPr>
              <w:t>Michael R. Cole</w:t>
            </w:r>
          </w:p>
        </w:tc>
        <w:tc>
          <w:tcPr>
            <w:tcW w:w="1540" w:type="dxa"/>
            <w:vAlign w:val="bottom"/>
            <w:tcBorders>
              <w:bottom w:val="single" w:sz="8" w:color="007B51"/>
            </w:tcBorders>
          </w:tcPr>
          <w:p>
            <w:pPr>
              <w:jc w:val="center"/>
              <w:ind w:right="155"/>
              <w:spacing w:after="0"/>
              <w:rPr>
                <w:sz w:val="20"/>
                <w:szCs w:val="20"/>
                <w:color w:val="auto"/>
              </w:rPr>
            </w:pPr>
            <w:r>
              <w:rPr>
                <w:rFonts w:ascii="Arial" w:cs="Arial" w:eastAsia="Arial" w:hAnsi="Arial"/>
                <w:sz w:val="14"/>
                <w:szCs w:val="14"/>
                <w:color w:val="auto"/>
              </w:rPr>
              <w:t>0</w:t>
            </w:r>
          </w:p>
        </w:tc>
        <w:tc>
          <w:tcPr>
            <w:tcW w:w="1220" w:type="dxa"/>
            <w:vAlign w:val="bottom"/>
            <w:tcBorders>
              <w:bottom w:val="single" w:sz="8" w:color="007B51"/>
            </w:tcBorders>
          </w:tcPr>
          <w:p>
            <w:pPr>
              <w:jc w:val="center"/>
              <w:spacing w:after="0"/>
              <w:rPr>
                <w:sz w:val="20"/>
                <w:szCs w:val="20"/>
                <w:color w:val="auto"/>
              </w:rPr>
            </w:pPr>
            <w:r>
              <w:rPr>
                <w:rFonts w:ascii="Arial" w:cs="Arial" w:eastAsia="Arial" w:hAnsi="Arial"/>
                <w:sz w:val="14"/>
                <w:szCs w:val="14"/>
                <w:color w:val="auto"/>
              </w:rPr>
              <w:t>0</w:t>
            </w:r>
          </w:p>
        </w:tc>
        <w:tc>
          <w:tcPr>
            <w:tcW w:w="280" w:type="dxa"/>
            <w:vAlign w:val="bottom"/>
            <w:tcBorders>
              <w:bottom w:val="single" w:sz="8" w:color="007B51"/>
            </w:tcBorders>
          </w:tcPr>
          <w:p>
            <w:pPr>
              <w:spacing w:after="0"/>
              <w:rPr>
                <w:sz w:val="17"/>
                <w:szCs w:val="17"/>
                <w:color w:val="auto"/>
              </w:rPr>
            </w:pPr>
          </w:p>
        </w:tc>
        <w:tc>
          <w:tcPr>
            <w:tcW w:w="1460" w:type="dxa"/>
            <w:vAlign w:val="bottom"/>
            <w:tcBorders>
              <w:bottom w:val="single" w:sz="8" w:color="007B51"/>
            </w:tcBorders>
          </w:tcPr>
          <w:p>
            <w:pPr>
              <w:jc w:val="center"/>
              <w:ind w:right="115"/>
              <w:spacing w:after="0"/>
              <w:rPr>
                <w:sz w:val="20"/>
                <w:szCs w:val="20"/>
                <w:color w:val="auto"/>
              </w:rPr>
            </w:pPr>
            <w:r>
              <w:rPr>
                <w:rFonts w:ascii="Arial" w:cs="Arial" w:eastAsia="Arial" w:hAnsi="Arial"/>
                <w:sz w:val="14"/>
                <w:szCs w:val="14"/>
                <w:color w:val="auto"/>
              </w:rPr>
              <w:t>16,405</w:t>
            </w:r>
          </w:p>
        </w:tc>
        <w:tc>
          <w:tcPr>
            <w:tcW w:w="1240" w:type="dxa"/>
            <w:vAlign w:val="bottom"/>
            <w:tcBorders>
              <w:bottom w:val="single" w:sz="8" w:color="007B51"/>
            </w:tcBorders>
          </w:tcPr>
          <w:p>
            <w:pPr>
              <w:jc w:val="center"/>
              <w:ind w:left="13"/>
              <w:spacing w:after="0"/>
              <w:rPr>
                <w:sz w:val="20"/>
                <w:szCs w:val="20"/>
                <w:color w:val="auto"/>
              </w:rPr>
            </w:pPr>
            <w:r>
              <w:rPr>
                <w:rFonts w:ascii="Arial" w:cs="Arial" w:eastAsia="Arial" w:hAnsi="Arial"/>
                <w:sz w:val="14"/>
                <w:szCs w:val="14"/>
                <w:color w:val="auto"/>
              </w:rPr>
              <w:t>$1,336,025</w:t>
            </w:r>
          </w:p>
        </w:tc>
      </w:tr>
      <w:tr>
        <w:trPr>
          <w:trHeight w:val="227"/>
        </w:trPr>
        <w:tc>
          <w:tcPr>
            <w:tcW w:w="3980" w:type="dxa"/>
            <w:vAlign w:val="bottom"/>
            <w:tcBorders>
              <w:bottom w:val="single" w:sz="8" w:color="007B51"/>
            </w:tcBorders>
          </w:tcPr>
          <w:p>
            <w:pPr>
              <w:ind w:left="100"/>
              <w:spacing w:after="0" w:line="227" w:lineRule="exact"/>
              <w:rPr>
                <w:sz w:val="20"/>
                <w:szCs w:val="20"/>
                <w:color w:val="auto"/>
              </w:rPr>
            </w:pPr>
            <w:r>
              <w:rPr>
                <w:rFonts w:ascii="Arial" w:cs="Arial" w:eastAsia="Arial" w:hAnsi="Arial"/>
                <w:sz w:val="13"/>
                <w:szCs w:val="13"/>
                <w:b w:val="1"/>
                <w:bCs w:val="1"/>
                <w:color w:val="017B52"/>
              </w:rPr>
              <w:t>Patrick M. Webster</w:t>
            </w:r>
            <w:r>
              <w:rPr>
                <w:rFonts w:ascii="Arial" w:cs="Arial" w:eastAsia="Arial" w:hAnsi="Arial"/>
                <w:sz w:val="20"/>
                <w:szCs w:val="20"/>
                <w:b w:val="1"/>
                <w:bCs w:val="1"/>
                <w:color w:val="017B52"/>
                <w:vertAlign w:val="superscript"/>
              </w:rPr>
              <w:t>(2)</w:t>
            </w:r>
          </w:p>
        </w:tc>
        <w:tc>
          <w:tcPr>
            <w:tcW w:w="1540" w:type="dxa"/>
            <w:vAlign w:val="bottom"/>
            <w:tcBorders>
              <w:bottom w:val="single" w:sz="8" w:color="007B51"/>
            </w:tcBorders>
          </w:tcPr>
          <w:p>
            <w:pPr>
              <w:jc w:val="center"/>
              <w:ind w:right="155"/>
              <w:spacing w:after="0"/>
              <w:rPr>
                <w:sz w:val="20"/>
                <w:szCs w:val="20"/>
                <w:color w:val="auto"/>
              </w:rPr>
            </w:pPr>
            <w:r>
              <w:rPr>
                <w:rFonts w:ascii="Arial" w:cs="Arial" w:eastAsia="Arial" w:hAnsi="Arial"/>
                <w:sz w:val="14"/>
                <w:szCs w:val="14"/>
                <w:color w:val="auto"/>
              </w:rPr>
              <w:t>0</w:t>
            </w:r>
          </w:p>
        </w:tc>
        <w:tc>
          <w:tcPr>
            <w:tcW w:w="1220" w:type="dxa"/>
            <w:vAlign w:val="bottom"/>
            <w:tcBorders>
              <w:bottom w:val="single" w:sz="8" w:color="007B51"/>
            </w:tcBorders>
          </w:tcPr>
          <w:p>
            <w:pPr>
              <w:jc w:val="center"/>
              <w:spacing w:after="0"/>
              <w:rPr>
                <w:sz w:val="20"/>
                <w:szCs w:val="20"/>
                <w:color w:val="auto"/>
              </w:rPr>
            </w:pPr>
            <w:r>
              <w:rPr>
                <w:rFonts w:ascii="Arial" w:cs="Arial" w:eastAsia="Arial" w:hAnsi="Arial"/>
                <w:sz w:val="14"/>
                <w:szCs w:val="14"/>
                <w:color w:val="auto"/>
              </w:rPr>
              <w:t>0</w:t>
            </w:r>
          </w:p>
        </w:tc>
        <w:tc>
          <w:tcPr>
            <w:tcW w:w="280" w:type="dxa"/>
            <w:vAlign w:val="bottom"/>
            <w:tcBorders>
              <w:bottom w:val="single" w:sz="8" w:color="007B51"/>
            </w:tcBorders>
          </w:tcPr>
          <w:p>
            <w:pPr>
              <w:spacing w:after="0"/>
              <w:rPr>
                <w:sz w:val="19"/>
                <w:szCs w:val="19"/>
                <w:color w:val="auto"/>
              </w:rPr>
            </w:pPr>
          </w:p>
        </w:tc>
        <w:tc>
          <w:tcPr>
            <w:tcW w:w="1460" w:type="dxa"/>
            <w:vAlign w:val="bottom"/>
            <w:tcBorders>
              <w:bottom w:val="single" w:sz="8" w:color="007B51"/>
            </w:tcBorders>
          </w:tcPr>
          <w:p>
            <w:pPr>
              <w:jc w:val="center"/>
              <w:ind w:right="115"/>
              <w:spacing w:after="0"/>
              <w:rPr>
                <w:sz w:val="20"/>
                <w:szCs w:val="20"/>
                <w:color w:val="auto"/>
              </w:rPr>
            </w:pPr>
            <w:r>
              <w:rPr>
                <w:rFonts w:ascii="Arial" w:cs="Arial" w:eastAsia="Arial" w:hAnsi="Arial"/>
                <w:sz w:val="14"/>
                <w:szCs w:val="14"/>
                <w:color w:val="auto"/>
              </w:rPr>
              <w:t>43,620</w:t>
            </w:r>
          </w:p>
        </w:tc>
        <w:tc>
          <w:tcPr>
            <w:tcW w:w="1240" w:type="dxa"/>
            <w:vAlign w:val="bottom"/>
            <w:tcBorders>
              <w:bottom w:val="single" w:sz="8" w:color="007B51"/>
            </w:tcBorders>
          </w:tcPr>
          <w:p>
            <w:pPr>
              <w:jc w:val="center"/>
              <w:ind w:left="13"/>
              <w:spacing w:after="0"/>
              <w:rPr>
                <w:sz w:val="20"/>
                <w:szCs w:val="20"/>
                <w:color w:val="auto"/>
              </w:rPr>
            </w:pPr>
            <w:r>
              <w:rPr>
                <w:rFonts w:ascii="Arial" w:cs="Arial" w:eastAsia="Arial" w:hAnsi="Arial"/>
                <w:sz w:val="14"/>
                <w:szCs w:val="14"/>
                <w:color w:val="auto"/>
              </w:rPr>
              <w:t>$3,553,957</w:t>
            </w:r>
          </w:p>
        </w:tc>
      </w:tr>
      <w:tr>
        <w:trPr>
          <w:trHeight w:val="205"/>
        </w:trPr>
        <w:tc>
          <w:tcPr>
            <w:tcW w:w="3980" w:type="dxa"/>
            <w:vAlign w:val="bottom"/>
            <w:tcBorders>
              <w:bottom w:val="single" w:sz="8" w:color="007B51"/>
            </w:tcBorders>
          </w:tcPr>
          <w:p>
            <w:pPr>
              <w:ind w:left="100"/>
              <w:spacing w:after="0"/>
              <w:rPr>
                <w:sz w:val="20"/>
                <w:szCs w:val="20"/>
                <w:color w:val="auto"/>
              </w:rPr>
            </w:pPr>
            <w:r>
              <w:rPr>
                <w:rFonts w:ascii="Arial" w:cs="Arial" w:eastAsia="Arial" w:hAnsi="Arial"/>
                <w:sz w:val="13"/>
                <w:szCs w:val="13"/>
                <w:b w:val="1"/>
                <w:bCs w:val="1"/>
                <w:color w:val="017B52"/>
              </w:rPr>
              <w:t>Patrick M. Benton</w:t>
            </w:r>
          </w:p>
        </w:tc>
        <w:tc>
          <w:tcPr>
            <w:tcW w:w="1540" w:type="dxa"/>
            <w:vAlign w:val="bottom"/>
            <w:tcBorders>
              <w:bottom w:val="single" w:sz="8" w:color="007B51"/>
            </w:tcBorders>
          </w:tcPr>
          <w:p>
            <w:pPr>
              <w:jc w:val="center"/>
              <w:ind w:right="155"/>
              <w:spacing w:after="0"/>
              <w:rPr>
                <w:sz w:val="20"/>
                <w:szCs w:val="20"/>
                <w:color w:val="auto"/>
              </w:rPr>
            </w:pPr>
            <w:r>
              <w:rPr>
                <w:rFonts w:ascii="Arial" w:cs="Arial" w:eastAsia="Arial" w:hAnsi="Arial"/>
                <w:sz w:val="14"/>
                <w:szCs w:val="14"/>
                <w:color w:val="auto"/>
              </w:rPr>
              <w:t>0</w:t>
            </w:r>
          </w:p>
        </w:tc>
        <w:tc>
          <w:tcPr>
            <w:tcW w:w="1220" w:type="dxa"/>
            <w:vAlign w:val="bottom"/>
            <w:tcBorders>
              <w:bottom w:val="single" w:sz="8" w:color="007B51"/>
            </w:tcBorders>
          </w:tcPr>
          <w:p>
            <w:pPr>
              <w:jc w:val="center"/>
              <w:spacing w:after="0"/>
              <w:rPr>
                <w:sz w:val="20"/>
                <w:szCs w:val="20"/>
                <w:color w:val="auto"/>
              </w:rPr>
            </w:pPr>
            <w:r>
              <w:rPr>
                <w:rFonts w:ascii="Arial" w:cs="Arial" w:eastAsia="Arial" w:hAnsi="Arial"/>
                <w:sz w:val="14"/>
                <w:szCs w:val="14"/>
                <w:color w:val="auto"/>
              </w:rPr>
              <w:t>0</w:t>
            </w:r>
          </w:p>
        </w:tc>
        <w:tc>
          <w:tcPr>
            <w:tcW w:w="280" w:type="dxa"/>
            <w:vAlign w:val="bottom"/>
            <w:tcBorders>
              <w:bottom w:val="single" w:sz="8" w:color="007B51"/>
            </w:tcBorders>
          </w:tcPr>
          <w:p>
            <w:pPr>
              <w:spacing w:after="0"/>
              <w:rPr>
                <w:sz w:val="17"/>
                <w:szCs w:val="17"/>
                <w:color w:val="auto"/>
              </w:rPr>
            </w:pPr>
          </w:p>
        </w:tc>
        <w:tc>
          <w:tcPr>
            <w:tcW w:w="1460" w:type="dxa"/>
            <w:vAlign w:val="bottom"/>
            <w:tcBorders>
              <w:bottom w:val="single" w:sz="8" w:color="007B51"/>
            </w:tcBorders>
          </w:tcPr>
          <w:p>
            <w:pPr>
              <w:jc w:val="center"/>
              <w:ind w:right="115"/>
              <w:spacing w:after="0"/>
              <w:rPr>
                <w:sz w:val="20"/>
                <w:szCs w:val="20"/>
                <w:color w:val="auto"/>
              </w:rPr>
            </w:pPr>
            <w:r>
              <w:rPr>
                <w:rFonts w:ascii="Arial" w:cs="Arial" w:eastAsia="Arial" w:hAnsi="Arial"/>
                <w:sz w:val="14"/>
                <w:szCs w:val="14"/>
                <w:color w:val="auto"/>
              </w:rPr>
              <w:t>19,223</w:t>
            </w:r>
          </w:p>
        </w:tc>
        <w:tc>
          <w:tcPr>
            <w:tcW w:w="1240" w:type="dxa"/>
            <w:vAlign w:val="bottom"/>
            <w:tcBorders>
              <w:bottom w:val="single" w:sz="8" w:color="007B51"/>
            </w:tcBorders>
          </w:tcPr>
          <w:p>
            <w:pPr>
              <w:jc w:val="center"/>
              <w:ind w:left="13"/>
              <w:spacing w:after="0"/>
              <w:rPr>
                <w:sz w:val="20"/>
                <w:szCs w:val="20"/>
                <w:color w:val="auto"/>
              </w:rPr>
            </w:pPr>
            <w:r>
              <w:rPr>
                <w:rFonts w:ascii="Arial" w:cs="Arial" w:eastAsia="Arial" w:hAnsi="Arial"/>
                <w:sz w:val="14"/>
                <w:szCs w:val="14"/>
                <w:color w:val="auto"/>
              </w:rPr>
              <w:t>$1,565,541</w:t>
            </w:r>
          </w:p>
        </w:tc>
      </w:tr>
      <w:tr>
        <w:trPr>
          <w:trHeight w:val="210"/>
        </w:trPr>
        <w:tc>
          <w:tcPr>
            <w:tcW w:w="3980" w:type="dxa"/>
            <w:vAlign w:val="bottom"/>
            <w:tcBorders>
              <w:bottom w:val="single" w:sz="8" w:color="007B51"/>
            </w:tcBorders>
          </w:tcPr>
          <w:p>
            <w:pPr>
              <w:ind w:left="100"/>
              <w:spacing w:after="0"/>
              <w:rPr>
                <w:sz w:val="20"/>
                <w:szCs w:val="20"/>
                <w:color w:val="auto"/>
              </w:rPr>
            </w:pPr>
            <w:r>
              <w:rPr>
                <w:rFonts w:ascii="Arial" w:cs="Arial" w:eastAsia="Arial" w:hAnsi="Arial"/>
                <w:sz w:val="13"/>
                <w:szCs w:val="13"/>
                <w:b w:val="1"/>
                <w:bCs w:val="1"/>
                <w:color w:val="017B52"/>
              </w:rPr>
              <w:t>Scott A. Worthington</w:t>
            </w:r>
          </w:p>
        </w:tc>
        <w:tc>
          <w:tcPr>
            <w:tcW w:w="1540" w:type="dxa"/>
            <w:vAlign w:val="bottom"/>
            <w:tcBorders>
              <w:bottom w:val="single" w:sz="8" w:color="007B51"/>
            </w:tcBorders>
          </w:tcPr>
          <w:p>
            <w:pPr>
              <w:jc w:val="center"/>
              <w:ind w:right="155"/>
              <w:spacing w:after="0"/>
              <w:rPr>
                <w:sz w:val="20"/>
                <w:szCs w:val="20"/>
                <w:color w:val="auto"/>
              </w:rPr>
            </w:pPr>
            <w:r>
              <w:rPr>
                <w:rFonts w:ascii="Arial" w:cs="Arial" w:eastAsia="Arial" w:hAnsi="Arial"/>
                <w:sz w:val="14"/>
                <w:szCs w:val="14"/>
                <w:color w:val="auto"/>
              </w:rPr>
              <w:t>0</w:t>
            </w:r>
          </w:p>
        </w:tc>
        <w:tc>
          <w:tcPr>
            <w:tcW w:w="1220" w:type="dxa"/>
            <w:vAlign w:val="bottom"/>
            <w:tcBorders>
              <w:bottom w:val="single" w:sz="8" w:color="007B51"/>
            </w:tcBorders>
          </w:tcPr>
          <w:p>
            <w:pPr>
              <w:jc w:val="center"/>
              <w:spacing w:after="0"/>
              <w:rPr>
                <w:sz w:val="20"/>
                <w:szCs w:val="20"/>
                <w:color w:val="auto"/>
              </w:rPr>
            </w:pPr>
            <w:r>
              <w:rPr>
                <w:rFonts w:ascii="Arial" w:cs="Arial" w:eastAsia="Arial" w:hAnsi="Arial"/>
                <w:sz w:val="14"/>
                <w:szCs w:val="14"/>
                <w:color w:val="auto"/>
              </w:rPr>
              <w:t>0</w:t>
            </w:r>
          </w:p>
        </w:tc>
        <w:tc>
          <w:tcPr>
            <w:tcW w:w="280" w:type="dxa"/>
            <w:vAlign w:val="bottom"/>
            <w:tcBorders>
              <w:bottom w:val="single" w:sz="8" w:color="007B51"/>
            </w:tcBorders>
          </w:tcPr>
          <w:p>
            <w:pPr>
              <w:spacing w:after="0"/>
              <w:rPr>
                <w:sz w:val="18"/>
                <w:szCs w:val="18"/>
                <w:color w:val="auto"/>
              </w:rPr>
            </w:pPr>
          </w:p>
        </w:tc>
        <w:tc>
          <w:tcPr>
            <w:tcW w:w="1460" w:type="dxa"/>
            <w:vAlign w:val="bottom"/>
            <w:tcBorders>
              <w:bottom w:val="single" w:sz="8" w:color="007B51"/>
            </w:tcBorders>
          </w:tcPr>
          <w:p>
            <w:pPr>
              <w:jc w:val="center"/>
              <w:ind w:right="115"/>
              <w:spacing w:after="0"/>
              <w:rPr>
                <w:sz w:val="20"/>
                <w:szCs w:val="20"/>
                <w:color w:val="auto"/>
              </w:rPr>
            </w:pPr>
            <w:r>
              <w:rPr>
                <w:rFonts w:ascii="Arial" w:cs="Arial" w:eastAsia="Arial" w:hAnsi="Arial"/>
                <w:sz w:val="14"/>
                <w:szCs w:val="14"/>
                <w:color w:val="auto"/>
              </w:rPr>
              <w:t>2,787</w:t>
            </w:r>
          </w:p>
        </w:tc>
        <w:tc>
          <w:tcPr>
            <w:tcW w:w="1240" w:type="dxa"/>
            <w:vAlign w:val="bottom"/>
            <w:tcBorders>
              <w:bottom w:val="single" w:sz="8" w:color="007B51"/>
            </w:tcBorders>
          </w:tcPr>
          <w:p>
            <w:pPr>
              <w:jc w:val="center"/>
              <w:ind w:left="13"/>
              <w:spacing w:after="0"/>
              <w:rPr>
                <w:sz w:val="20"/>
                <w:szCs w:val="20"/>
                <w:color w:val="auto"/>
              </w:rPr>
            </w:pPr>
            <w:r>
              <w:rPr>
                <w:rFonts w:ascii="Arial" w:cs="Arial" w:eastAsia="Arial" w:hAnsi="Arial"/>
                <w:sz w:val="14"/>
                <w:szCs w:val="14"/>
                <w:color w:val="auto"/>
              </w:rPr>
              <w:t>$180,176</w:t>
            </w:r>
          </w:p>
        </w:tc>
      </w:tr>
    </w:tbl>
    <w:p>
      <w:pPr>
        <w:spacing w:after="0" w:line="225" w:lineRule="exact"/>
        <w:rPr>
          <w:sz w:val="20"/>
          <w:szCs w:val="20"/>
          <w:color w:val="auto"/>
        </w:rPr>
      </w:pPr>
    </w:p>
    <w:p>
      <w:pPr>
        <w:ind w:left="220" w:hanging="216"/>
        <w:spacing w:after="0"/>
        <w:tabs>
          <w:tab w:leader="none" w:pos="220" w:val="left"/>
        </w:tabs>
        <w:numPr>
          <w:ilvl w:val="0"/>
          <w:numId w:val="47"/>
        </w:numPr>
        <w:rPr>
          <w:rFonts w:ascii="Arial" w:cs="Arial" w:eastAsia="Arial" w:hAnsi="Arial"/>
          <w:sz w:val="13"/>
          <w:szCs w:val="13"/>
          <w:color w:val="58595B"/>
        </w:rPr>
      </w:pPr>
      <w:r>
        <w:rPr>
          <w:rFonts w:ascii="Arial" w:cs="Arial" w:eastAsia="Arial" w:hAnsi="Arial"/>
          <w:sz w:val="13"/>
          <w:szCs w:val="13"/>
          <w:color w:val="58595B"/>
        </w:rPr>
        <w:t>Value based upon the closing market price of our Company’s common stock on the vesting date.</w:t>
      </w:r>
    </w:p>
    <w:p>
      <w:pPr>
        <w:spacing w:after="0" w:line="93" w:lineRule="exact"/>
        <w:rPr>
          <w:rFonts w:ascii="Arial" w:cs="Arial" w:eastAsia="Arial" w:hAnsi="Arial"/>
          <w:sz w:val="13"/>
          <w:szCs w:val="13"/>
          <w:color w:val="58595B"/>
        </w:rPr>
      </w:pPr>
    </w:p>
    <w:p>
      <w:pPr>
        <w:ind w:left="220" w:right="420" w:hanging="216"/>
        <w:spacing w:after="0" w:line="243" w:lineRule="auto"/>
        <w:tabs>
          <w:tab w:leader="none" w:pos="220" w:val="left"/>
        </w:tabs>
        <w:numPr>
          <w:ilvl w:val="0"/>
          <w:numId w:val="47"/>
        </w:numPr>
        <w:rPr>
          <w:rFonts w:ascii="Arial" w:cs="Arial" w:eastAsia="Arial" w:hAnsi="Arial"/>
          <w:sz w:val="13"/>
          <w:szCs w:val="13"/>
          <w:color w:val="58595B"/>
        </w:rPr>
      </w:pPr>
      <w:r>
        <w:rPr>
          <w:rFonts w:ascii="Arial" w:cs="Arial" w:eastAsia="Arial" w:hAnsi="Arial"/>
          <w:sz w:val="13"/>
          <w:szCs w:val="13"/>
          <w:color w:val="58595B"/>
        </w:rPr>
        <w:t>Messrs. Missad and Webster each turned 60 in 2020. Under the terms of the Company’s Executive Stock Grant Program, each of their unvested shares held in this program fully vested on their respective birthdays.</w:t>
      </w:r>
    </w:p>
    <w:p>
      <w:pPr>
        <w:spacing w:after="0" w:line="318"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37</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Non-Qualified Deferred Compensation</w:t>
      </w:r>
    </w:p>
    <w:p>
      <w:pPr>
        <w:spacing w:after="0" w:line="166"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The following table provides certain information relating to each deferred compensation plan that provides for the deferral of compensation on a basis that is not tax qualified. The aggregate amounts are based on employee deferrals and earnings on these deferrals.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00" w:type="dxa"/>
            <w:vAlign w:val="bottom"/>
          </w:tcPr>
          <w:p>
            <w:pPr>
              <w:spacing w:after="0"/>
              <w:rPr>
                <w:sz w:val="10"/>
                <w:szCs w:val="10"/>
                <w:color w:val="auto"/>
              </w:rPr>
            </w:pPr>
          </w:p>
        </w:tc>
        <w:tc>
          <w:tcPr>
            <w:tcW w:w="1780" w:type="dxa"/>
            <w:vAlign w:val="bottom"/>
          </w:tcPr>
          <w:p>
            <w:pPr>
              <w:jc w:val="center"/>
              <w:ind w:left="360"/>
              <w:spacing w:after="0"/>
              <w:rPr>
                <w:sz w:val="20"/>
                <w:szCs w:val="20"/>
                <w:color w:val="auto"/>
              </w:rPr>
            </w:pPr>
            <w:r>
              <w:rPr>
                <w:rFonts w:ascii="Arial" w:cs="Arial" w:eastAsia="Arial" w:hAnsi="Arial"/>
                <w:sz w:val="11"/>
                <w:szCs w:val="11"/>
                <w:b w:val="1"/>
                <w:bCs w:val="1"/>
                <w:color w:val="auto"/>
                <w:w w:val="96"/>
              </w:rPr>
              <w:t>EXECUTIVE</w:t>
            </w:r>
          </w:p>
        </w:tc>
        <w:tc>
          <w:tcPr>
            <w:tcW w:w="1300" w:type="dxa"/>
            <w:vAlign w:val="bottom"/>
          </w:tcPr>
          <w:p>
            <w:pPr>
              <w:jc w:val="right"/>
              <w:ind w:right="140"/>
              <w:spacing w:after="0"/>
              <w:rPr>
                <w:sz w:val="20"/>
                <w:szCs w:val="20"/>
                <w:color w:val="auto"/>
              </w:rPr>
            </w:pPr>
            <w:r>
              <w:rPr>
                <w:rFonts w:ascii="Arial" w:cs="Arial" w:eastAsia="Arial" w:hAnsi="Arial"/>
                <w:sz w:val="11"/>
                <w:szCs w:val="11"/>
                <w:b w:val="1"/>
                <w:bCs w:val="1"/>
                <w:color w:val="auto"/>
              </w:rPr>
              <w:t>COMPANY</w:t>
            </w:r>
          </w:p>
        </w:tc>
        <w:tc>
          <w:tcPr>
            <w:tcW w:w="13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35"/>
        </w:trPr>
        <w:tc>
          <w:tcPr>
            <w:tcW w:w="2000" w:type="dxa"/>
            <w:vAlign w:val="bottom"/>
          </w:tcPr>
          <w:p>
            <w:pPr>
              <w:spacing w:after="0"/>
              <w:rPr>
                <w:sz w:val="11"/>
                <w:szCs w:val="11"/>
                <w:color w:val="auto"/>
              </w:rPr>
            </w:pPr>
          </w:p>
        </w:tc>
        <w:tc>
          <w:tcPr>
            <w:tcW w:w="1780" w:type="dxa"/>
            <w:vAlign w:val="bottom"/>
          </w:tcPr>
          <w:p>
            <w:pPr>
              <w:jc w:val="center"/>
              <w:ind w:left="380"/>
              <w:spacing w:after="0"/>
              <w:rPr>
                <w:sz w:val="20"/>
                <w:szCs w:val="20"/>
                <w:color w:val="auto"/>
              </w:rPr>
            </w:pPr>
            <w:r>
              <w:rPr>
                <w:rFonts w:ascii="Arial" w:cs="Arial" w:eastAsia="Arial" w:hAnsi="Arial"/>
                <w:sz w:val="11"/>
                <w:szCs w:val="11"/>
                <w:b w:val="1"/>
                <w:bCs w:val="1"/>
                <w:color w:val="auto"/>
                <w:w w:val="98"/>
              </w:rPr>
              <w:t>CONTRIBUTIONS</w:t>
            </w:r>
          </w:p>
        </w:tc>
        <w:tc>
          <w:tcPr>
            <w:tcW w:w="1300" w:type="dxa"/>
            <w:vAlign w:val="bottom"/>
          </w:tcPr>
          <w:p>
            <w:pPr>
              <w:jc w:val="right"/>
              <w:ind w:right="140"/>
              <w:spacing w:after="0"/>
              <w:rPr>
                <w:sz w:val="20"/>
                <w:szCs w:val="20"/>
                <w:color w:val="auto"/>
              </w:rPr>
            </w:pPr>
            <w:r>
              <w:rPr>
                <w:rFonts w:ascii="Arial" w:cs="Arial" w:eastAsia="Arial" w:hAnsi="Arial"/>
                <w:sz w:val="11"/>
                <w:szCs w:val="11"/>
                <w:b w:val="1"/>
                <w:bCs w:val="1"/>
                <w:color w:val="auto"/>
              </w:rPr>
              <w:t>CONTRIBUTIONS</w:t>
            </w:r>
          </w:p>
        </w:tc>
        <w:tc>
          <w:tcPr>
            <w:tcW w:w="1360" w:type="dxa"/>
            <w:vAlign w:val="bottom"/>
          </w:tcPr>
          <w:p>
            <w:pPr>
              <w:jc w:val="right"/>
              <w:ind w:right="80"/>
              <w:spacing w:after="0"/>
              <w:rPr>
                <w:sz w:val="20"/>
                <w:szCs w:val="20"/>
                <w:color w:val="auto"/>
              </w:rPr>
            </w:pPr>
            <w:r>
              <w:rPr>
                <w:rFonts w:ascii="Arial" w:cs="Arial" w:eastAsia="Arial" w:hAnsi="Arial"/>
                <w:sz w:val="11"/>
                <w:szCs w:val="11"/>
                <w:b w:val="1"/>
                <w:bCs w:val="1"/>
                <w:color w:val="auto"/>
              </w:rPr>
              <w:t>AGGREGATE</w:t>
            </w:r>
          </w:p>
        </w:tc>
        <w:tc>
          <w:tcPr>
            <w:tcW w:w="1740" w:type="dxa"/>
            <w:vAlign w:val="bottom"/>
          </w:tcPr>
          <w:p>
            <w:pPr>
              <w:jc w:val="right"/>
              <w:ind w:right="20"/>
              <w:spacing w:after="0"/>
              <w:rPr>
                <w:sz w:val="20"/>
                <w:szCs w:val="20"/>
                <w:color w:val="auto"/>
              </w:rPr>
            </w:pPr>
            <w:r>
              <w:rPr>
                <w:rFonts w:ascii="Arial" w:cs="Arial" w:eastAsia="Arial" w:hAnsi="Arial"/>
                <w:sz w:val="11"/>
                <w:szCs w:val="11"/>
                <w:b w:val="1"/>
                <w:bCs w:val="1"/>
                <w:color w:val="auto"/>
              </w:rPr>
              <w:t>AGGREGATE WITHDRAWALS/</w:t>
            </w:r>
          </w:p>
        </w:tc>
        <w:tc>
          <w:tcPr>
            <w:tcW w:w="1540" w:type="dxa"/>
            <w:vAlign w:val="bottom"/>
          </w:tcPr>
          <w:p>
            <w:pPr>
              <w:jc w:val="right"/>
              <w:spacing w:after="0"/>
              <w:rPr>
                <w:sz w:val="20"/>
                <w:szCs w:val="20"/>
                <w:color w:val="auto"/>
              </w:rPr>
            </w:pPr>
            <w:r>
              <w:rPr>
                <w:rFonts w:ascii="Arial" w:cs="Arial" w:eastAsia="Arial" w:hAnsi="Arial"/>
                <w:sz w:val="11"/>
                <w:szCs w:val="11"/>
                <w:b w:val="1"/>
                <w:bCs w:val="1"/>
                <w:color w:val="auto"/>
              </w:rPr>
              <w:t>AGGREGATE BALANCE AT</w:t>
            </w:r>
          </w:p>
        </w:tc>
      </w:tr>
      <w:tr>
        <w:trPr>
          <w:trHeight w:val="216"/>
        </w:trPr>
        <w:tc>
          <w:tcPr>
            <w:tcW w:w="2000" w:type="dxa"/>
            <w:vAlign w:val="bottom"/>
            <w:tcBorders>
              <w:bottom w:val="single" w:sz="8" w:color="007B51"/>
            </w:tcBorders>
          </w:tcPr>
          <w:p>
            <w:pPr>
              <w:ind w:left="100"/>
              <w:spacing w:after="0"/>
              <w:rPr>
                <w:sz w:val="20"/>
                <w:szCs w:val="20"/>
                <w:color w:val="auto"/>
              </w:rPr>
            </w:pPr>
            <w:r>
              <w:rPr>
                <w:rFonts w:ascii="Arial" w:cs="Arial" w:eastAsia="Arial" w:hAnsi="Arial"/>
                <w:sz w:val="11"/>
                <w:szCs w:val="11"/>
                <w:b w:val="1"/>
                <w:bCs w:val="1"/>
                <w:color w:val="auto"/>
              </w:rPr>
              <w:t>NAMES</w:t>
            </w:r>
          </w:p>
        </w:tc>
        <w:tc>
          <w:tcPr>
            <w:tcW w:w="1780" w:type="dxa"/>
            <w:vAlign w:val="bottom"/>
            <w:tcBorders>
              <w:bottom w:val="single" w:sz="8" w:color="007B51"/>
            </w:tcBorders>
          </w:tcPr>
          <w:p>
            <w:pPr>
              <w:jc w:val="center"/>
              <w:ind w:left="400"/>
              <w:spacing w:after="0"/>
              <w:rPr>
                <w:sz w:val="20"/>
                <w:szCs w:val="20"/>
                <w:color w:val="auto"/>
              </w:rPr>
            </w:pPr>
            <w:r>
              <w:rPr>
                <w:rFonts w:ascii="Arial" w:cs="Arial" w:eastAsia="Arial" w:hAnsi="Arial"/>
                <w:sz w:val="11"/>
                <w:szCs w:val="11"/>
                <w:b w:val="1"/>
                <w:bCs w:val="1"/>
                <w:color w:val="auto"/>
                <w:w w:val="91"/>
              </w:rPr>
              <w:t>IN 2022</w:t>
            </w:r>
            <w:r>
              <w:rPr>
                <w:rFonts w:ascii="Arial" w:cs="Arial" w:eastAsia="Arial" w:hAnsi="Arial"/>
                <w:sz w:val="17"/>
                <w:szCs w:val="17"/>
                <w:b w:val="1"/>
                <w:bCs w:val="1"/>
                <w:color w:val="auto"/>
                <w:w w:val="91"/>
                <w:vertAlign w:val="superscript"/>
              </w:rPr>
              <w:t>(1)</w:t>
            </w:r>
          </w:p>
        </w:tc>
        <w:tc>
          <w:tcPr>
            <w:tcW w:w="1300" w:type="dxa"/>
            <w:vAlign w:val="bottom"/>
            <w:tcBorders>
              <w:bottom w:val="single" w:sz="8" w:color="007B51"/>
            </w:tcBorders>
          </w:tcPr>
          <w:p>
            <w:pPr>
              <w:jc w:val="right"/>
              <w:ind w:right="120"/>
              <w:spacing w:after="0"/>
              <w:rPr>
                <w:sz w:val="20"/>
                <w:szCs w:val="20"/>
                <w:color w:val="auto"/>
              </w:rPr>
            </w:pPr>
            <w:r>
              <w:rPr>
                <w:rFonts w:ascii="Arial" w:cs="Arial" w:eastAsia="Arial" w:hAnsi="Arial"/>
                <w:sz w:val="11"/>
                <w:szCs w:val="11"/>
                <w:b w:val="1"/>
                <w:bCs w:val="1"/>
                <w:color w:val="auto"/>
              </w:rPr>
              <w:t>IN 2022</w:t>
            </w:r>
            <w:r>
              <w:rPr>
                <w:rFonts w:ascii="Arial" w:cs="Arial" w:eastAsia="Arial" w:hAnsi="Arial"/>
                <w:sz w:val="17"/>
                <w:szCs w:val="17"/>
                <w:b w:val="1"/>
                <w:bCs w:val="1"/>
                <w:color w:val="auto"/>
                <w:vertAlign w:val="superscript"/>
              </w:rPr>
              <w:t>(2)</w:t>
            </w:r>
          </w:p>
        </w:tc>
        <w:tc>
          <w:tcPr>
            <w:tcW w:w="1360" w:type="dxa"/>
            <w:vAlign w:val="bottom"/>
            <w:tcBorders>
              <w:bottom w:val="single" w:sz="8" w:color="007B51"/>
            </w:tcBorders>
          </w:tcPr>
          <w:p>
            <w:pPr>
              <w:jc w:val="right"/>
              <w:ind w:right="40"/>
              <w:spacing w:after="0"/>
              <w:rPr>
                <w:sz w:val="20"/>
                <w:szCs w:val="20"/>
                <w:color w:val="auto"/>
              </w:rPr>
            </w:pPr>
            <w:r>
              <w:rPr>
                <w:rFonts w:ascii="Arial" w:cs="Arial" w:eastAsia="Arial" w:hAnsi="Arial"/>
                <w:sz w:val="11"/>
                <w:szCs w:val="11"/>
                <w:b w:val="1"/>
                <w:bCs w:val="1"/>
                <w:color w:val="auto"/>
              </w:rPr>
              <w:t>EARNINGS IN 2022</w:t>
            </w:r>
            <w:r>
              <w:rPr>
                <w:rFonts w:ascii="Arial" w:cs="Arial" w:eastAsia="Arial" w:hAnsi="Arial"/>
                <w:sz w:val="17"/>
                <w:szCs w:val="17"/>
                <w:b w:val="1"/>
                <w:bCs w:val="1"/>
                <w:color w:val="auto"/>
                <w:vertAlign w:val="superscript"/>
              </w:rPr>
              <w:t>(3)</w:t>
            </w:r>
          </w:p>
        </w:tc>
        <w:tc>
          <w:tcPr>
            <w:tcW w:w="1740" w:type="dxa"/>
            <w:vAlign w:val="bottom"/>
            <w:tcBorders>
              <w:bottom w:val="single" w:sz="8" w:color="007B51"/>
            </w:tcBorders>
          </w:tcPr>
          <w:p>
            <w:pPr>
              <w:jc w:val="right"/>
              <w:ind w:right="20"/>
              <w:spacing w:after="0"/>
              <w:rPr>
                <w:sz w:val="20"/>
                <w:szCs w:val="20"/>
                <w:color w:val="auto"/>
              </w:rPr>
            </w:pPr>
            <w:r>
              <w:rPr>
                <w:rFonts w:ascii="Arial" w:cs="Arial" w:eastAsia="Arial" w:hAnsi="Arial"/>
                <w:sz w:val="11"/>
                <w:szCs w:val="11"/>
                <w:b w:val="1"/>
                <w:bCs w:val="1"/>
                <w:color w:val="auto"/>
              </w:rPr>
              <w:t>DISTRIBUTIONS IN 2022</w:t>
            </w:r>
          </w:p>
        </w:tc>
        <w:tc>
          <w:tcPr>
            <w:tcW w:w="1540" w:type="dxa"/>
            <w:vAlign w:val="bottom"/>
            <w:tcBorders>
              <w:bottom w:val="single" w:sz="8" w:color="007B51"/>
            </w:tcBorders>
          </w:tcPr>
          <w:p>
            <w:pPr>
              <w:jc w:val="right"/>
              <w:spacing w:after="0"/>
              <w:rPr>
                <w:sz w:val="20"/>
                <w:szCs w:val="20"/>
                <w:color w:val="auto"/>
              </w:rPr>
            </w:pPr>
            <w:r>
              <w:rPr>
                <w:rFonts w:ascii="Arial" w:cs="Arial" w:eastAsia="Arial" w:hAnsi="Arial"/>
                <w:sz w:val="11"/>
                <w:szCs w:val="11"/>
                <w:b w:val="1"/>
                <w:bCs w:val="1"/>
                <w:color w:val="auto"/>
              </w:rPr>
              <w:t>DECEMBER 31, 2022</w:t>
            </w:r>
          </w:p>
        </w:tc>
      </w:tr>
      <w:tr>
        <w:trPr>
          <w:trHeight w:val="215"/>
        </w:trPr>
        <w:tc>
          <w:tcPr>
            <w:tcW w:w="2000" w:type="dxa"/>
            <w:vAlign w:val="bottom"/>
          </w:tcPr>
          <w:p>
            <w:pPr>
              <w:ind w:left="100"/>
              <w:spacing w:after="0"/>
              <w:rPr>
                <w:sz w:val="20"/>
                <w:szCs w:val="20"/>
                <w:color w:val="auto"/>
              </w:rPr>
            </w:pPr>
            <w:r>
              <w:rPr>
                <w:rFonts w:ascii="Arial" w:cs="Arial" w:eastAsia="Arial" w:hAnsi="Arial"/>
                <w:sz w:val="13"/>
                <w:szCs w:val="13"/>
                <w:b w:val="1"/>
                <w:bCs w:val="1"/>
                <w:color w:val="017B52"/>
              </w:rPr>
              <w:t>Matthew J. Missad</w:t>
            </w:r>
          </w:p>
        </w:tc>
        <w:tc>
          <w:tcPr>
            <w:tcW w:w="1780" w:type="dxa"/>
            <w:vAlign w:val="bottom"/>
          </w:tcPr>
          <w:p>
            <w:pPr>
              <w:jc w:val="right"/>
              <w:ind w:right="140"/>
              <w:spacing w:after="0"/>
              <w:rPr>
                <w:sz w:val="20"/>
                <w:szCs w:val="20"/>
                <w:color w:val="auto"/>
              </w:rPr>
            </w:pPr>
            <w:r>
              <w:rPr>
                <w:rFonts w:ascii="Arial" w:cs="Arial" w:eastAsia="Arial" w:hAnsi="Arial"/>
                <w:sz w:val="13"/>
                <w:szCs w:val="13"/>
                <w:color w:val="58595B"/>
              </w:rPr>
              <w:t>$115,000</w:t>
            </w:r>
          </w:p>
        </w:tc>
        <w:tc>
          <w:tcPr>
            <w:tcW w:w="1300" w:type="dxa"/>
            <w:vAlign w:val="bottom"/>
          </w:tcPr>
          <w:p>
            <w:pPr>
              <w:jc w:val="right"/>
              <w:ind w:right="120"/>
              <w:spacing w:after="0"/>
              <w:rPr>
                <w:sz w:val="20"/>
                <w:szCs w:val="20"/>
                <w:color w:val="auto"/>
              </w:rPr>
            </w:pPr>
            <w:r>
              <w:rPr>
                <w:rFonts w:ascii="Arial" w:cs="Arial" w:eastAsia="Arial" w:hAnsi="Arial"/>
                <w:sz w:val="13"/>
                <w:szCs w:val="13"/>
                <w:color w:val="58595B"/>
              </w:rPr>
              <w:t>$20,294</w:t>
            </w:r>
          </w:p>
        </w:tc>
        <w:tc>
          <w:tcPr>
            <w:tcW w:w="1360" w:type="dxa"/>
            <w:vAlign w:val="bottom"/>
          </w:tcPr>
          <w:p>
            <w:pPr>
              <w:jc w:val="right"/>
              <w:ind w:right="40"/>
              <w:spacing w:after="0"/>
              <w:rPr>
                <w:sz w:val="20"/>
                <w:szCs w:val="20"/>
                <w:color w:val="auto"/>
              </w:rPr>
            </w:pPr>
            <w:r>
              <w:rPr>
                <w:rFonts w:ascii="Arial" w:cs="Arial" w:eastAsia="Arial" w:hAnsi="Arial"/>
                <w:sz w:val="13"/>
                <w:szCs w:val="13"/>
                <w:color w:val="58595B"/>
              </w:rPr>
              <w:t>($1,064,504)</w:t>
            </w:r>
          </w:p>
        </w:tc>
        <w:tc>
          <w:tcPr>
            <w:tcW w:w="1740" w:type="dxa"/>
            <w:vAlign w:val="bottom"/>
          </w:tcPr>
          <w:p>
            <w:pPr>
              <w:jc w:val="right"/>
              <w:ind w:right="20"/>
              <w:spacing w:after="0"/>
              <w:rPr>
                <w:sz w:val="20"/>
                <w:szCs w:val="20"/>
                <w:color w:val="auto"/>
              </w:rPr>
            </w:pPr>
            <w:r>
              <w:rPr>
                <w:rFonts w:ascii="Arial" w:cs="Arial" w:eastAsia="Arial" w:hAnsi="Arial"/>
                <w:sz w:val="13"/>
                <w:szCs w:val="13"/>
                <w:color w:val="58595B"/>
              </w:rPr>
              <w:t>0</w:t>
            </w:r>
          </w:p>
        </w:tc>
        <w:tc>
          <w:tcPr>
            <w:tcW w:w="1540" w:type="dxa"/>
            <w:vAlign w:val="bottom"/>
          </w:tcPr>
          <w:p>
            <w:pPr>
              <w:jc w:val="right"/>
              <w:spacing w:after="0"/>
              <w:rPr>
                <w:sz w:val="20"/>
                <w:szCs w:val="20"/>
                <w:color w:val="auto"/>
              </w:rPr>
            </w:pPr>
            <w:r>
              <w:rPr>
                <w:rFonts w:ascii="Arial" w:cs="Arial" w:eastAsia="Arial" w:hAnsi="Arial"/>
                <w:sz w:val="13"/>
                <w:szCs w:val="13"/>
                <w:color w:val="58595B"/>
              </w:rPr>
              <w:t>$7,353,086</w:t>
            </w:r>
          </w:p>
        </w:tc>
      </w:tr>
      <w:tr>
        <w:trPr>
          <w:trHeight w:val="49"/>
        </w:trPr>
        <w:tc>
          <w:tcPr>
            <w:tcW w:w="2000" w:type="dxa"/>
            <w:vAlign w:val="bottom"/>
            <w:tcBorders>
              <w:bottom w:val="single" w:sz="8" w:color="007B51"/>
            </w:tcBorders>
          </w:tcPr>
          <w:p>
            <w:pPr>
              <w:spacing w:after="0"/>
              <w:rPr>
                <w:sz w:val="4"/>
                <w:szCs w:val="4"/>
                <w:color w:val="auto"/>
              </w:rPr>
            </w:pPr>
          </w:p>
        </w:tc>
        <w:tc>
          <w:tcPr>
            <w:tcW w:w="1780" w:type="dxa"/>
            <w:vAlign w:val="bottom"/>
            <w:tcBorders>
              <w:bottom w:val="single" w:sz="8" w:color="007B51"/>
            </w:tcBorders>
          </w:tcPr>
          <w:p>
            <w:pPr>
              <w:spacing w:after="0"/>
              <w:rPr>
                <w:sz w:val="4"/>
                <w:szCs w:val="4"/>
                <w:color w:val="auto"/>
              </w:rPr>
            </w:pPr>
          </w:p>
        </w:tc>
        <w:tc>
          <w:tcPr>
            <w:tcW w:w="1300" w:type="dxa"/>
            <w:vAlign w:val="bottom"/>
            <w:tcBorders>
              <w:bottom w:val="single" w:sz="8" w:color="007B51"/>
            </w:tcBorders>
          </w:tcPr>
          <w:p>
            <w:pPr>
              <w:spacing w:after="0"/>
              <w:rPr>
                <w:sz w:val="4"/>
                <w:szCs w:val="4"/>
                <w:color w:val="auto"/>
              </w:rPr>
            </w:pPr>
          </w:p>
        </w:tc>
        <w:tc>
          <w:tcPr>
            <w:tcW w:w="1360" w:type="dxa"/>
            <w:vAlign w:val="bottom"/>
            <w:tcBorders>
              <w:bottom w:val="single" w:sz="8" w:color="007B51"/>
            </w:tcBorders>
          </w:tcPr>
          <w:p>
            <w:pPr>
              <w:spacing w:after="0"/>
              <w:rPr>
                <w:sz w:val="4"/>
                <w:szCs w:val="4"/>
                <w:color w:val="auto"/>
              </w:rPr>
            </w:pPr>
          </w:p>
        </w:tc>
        <w:tc>
          <w:tcPr>
            <w:tcW w:w="1740" w:type="dxa"/>
            <w:vAlign w:val="bottom"/>
            <w:tcBorders>
              <w:bottom w:val="single" w:sz="8" w:color="007B51"/>
            </w:tcBorders>
          </w:tcPr>
          <w:p>
            <w:pPr>
              <w:spacing w:after="0"/>
              <w:rPr>
                <w:sz w:val="4"/>
                <w:szCs w:val="4"/>
                <w:color w:val="auto"/>
              </w:rPr>
            </w:pPr>
          </w:p>
        </w:tc>
        <w:tc>
          <w:tcPr>
            <w:tcW w:w="1540" w:type="dxa"/>
            <w:vAlign w:val="bottom"/>
            <w:tcBorders>
              <w:bottom w:val="single" w:sz="8" w:color="007B51"/>
            </w:tcBorders>
          </w:tcPr>
          <w:p>
            <w:pPr>
              <w:spacing w:after="0"/>
              <w:rPr>
                <w:sz w:val="4"/>
                <w:szCs w:val="4"/>
                <w:color w:val="auto"/>
              </w:rPr>
            </w:pPr>
          </w:p>
        </w:tc>
      </w:tr>
      <w:tr>
        <w:trPr>
          <w:trHeight w:val="215"/>
        </w:trPr>
        <w:tc>
          <w:tcPr>
            <w:tcW w:w="2000" w:type="dxa"/>
            <w:vAlign w:val="bottom"/>
          </w:tcPr>
          <w:p>
            <w:pPr>
              <w:ind w:left="100"/>
              <w:spacing w:after="0"/>
              <w:rPr>
                <w:sz w:val="20"/>
                <w:szCs w:val="20"/>
                <w:color w:val="auto"/>
              </w:rPr>
            </w:pPr>
            <w:r>
              <w:rPr>
                <w:rFonts w:ascii="Arial" w:cs="Arial" w:eastAsia="Arial" w:hAnsi="Arial"/>
                <w:sz w:val="13"/>
                <w:szCs w:val="13"/>
                <w:b w:val="1"/>
                <w:bCs w:val="1"/>
                <w:color w:val="017B52"/>
              </w:rPr>
              <w:t>Michael R. Cole</w:t>
            </w:r>
          </w:p>
        </w:tc>
        <w:tc>
          <w:tcPr>
            <w:tcW w:w="1780" w:type="dxa"/>
            <w:vAlign w:val="bottom"/>
          </w:tcPr>
          <w:p>
            <w:pPr>
              <w:jc w:val="right"/>
              <w:ind w:right="140"/>
              <w:spacing w:after="0"/>
              <w:rPr>
                <w:sz w:val="20"/>
                <w:szCs w:val="20"/>
                <w:color w:val="auto"/>
              </w:rPr>
            </w:pPr>
            <w:r>
              <w:rPr>
                <w:rFonts w:ascii="Arial" w:cs="Arial" w:eastAsia="Arial" w:hAnsi="Arial"/>
                <w:sz w:val="13"/>
                <w:szCs w:val="13"/>
                <w:color w:val="58595B"/>
              </w:rPr>
              <w:t>$55,000</w:t>
            </w:r>
          </w:p>
        </w:tc>
        <w:tc>
          <w:tcPr>
            <w:tcW w:w="1300" w:type="dxa"/>
            <w:vAlign w:val="bottom"/>
          </w:tcPr>
          <w:p>
            <w:pPr>
              <w:jc w:val="right"/>
              <w:ind w:right="120"/>
              <w:spacing w:after="0"/>
              <w:rPr>
                <w:sz w:val="20"/>
                <w:szCs w:val="20"/>
                <w:color w:val="auto"/>
              </w:rPr>
            </w:pPr>
            <w:r>
              <w:rPr>
                <w:rFonts w:ascii="Arial" w:cs="Arial" w:eastAsia="Arial" w:hAnsi="Arial"/>
                <w:sz w:val="13"/>
                <w:szCs w:val="13"/>
                <w:color w:val="58595B"/>
              </w:rPr>
              <w:t>$9,705</w:t>
            </w:r>
          </w:p>
        </w:tc>
        <w:tc>
          <w:tcPr>
            <w:tcW w:w="1360" w:type="dxa"/>
            <w:vAlign w:val="bottom"/>
          </w:tcPr>
          <w:p>
            <w:pPr>
              <w:jc w:val="right"/>
              <w:ind w:right="40"/>
              <w:spacing w:after="0"/>
              <w:rPr>
                <w:sz w:val="20"/>
                <w:szCs w:val="20"/>
                <w:color w:val="auto"/>
              </w:rPr>
            </w:pPr>
            <w:r>
              <w:rPr>
                <w:rFonts w:ascii="Arial" w:cs="Arial" w:eastAsia="Arial" w:hAnsi="Arial"/>
                <w:sz w:val="13"/>
                <w:szCs w:val="13"/>
                <w:color w:val="58595B"/>
              </w:rPr>
              <w:t>($387,006)</w:t>
            </w:r>
          </w:p>
        </w:tc>
        <w:tc>
          <w:tcPr>
            <w:tcW w:w="1740" w:type="dxa"/>
            <w:vAlign w:val="bottom"/>
          </w:tcPr>
          <w:p>
            <w:pPr>
              <w:jc w:val="right"/>
              <w:ind w:right="20"/>
              <w:spacing w:after="0"/>
              <w:rPr>
                <w:sz w:val="20"/>
                <w:szCs w:val="20"/>
                <w:color w:val="auto"/>
              </w:rPr>
            </w:pPr>
            <w:r>
              <w:rPr>
                <w:rFonts w:ascii="Arial" w:cs="Arial" w:eastAsia="Arial" w:hAnsi="Arial"/>
                <w:sz w:val="13"/>
                <w:szCs w:val="13"/>
                <w:color w:val="58595B"/>
              </w:rPr>
              <w:t>($40,000)</w:t>
            </w:r>
          </w:p>
        </w:tc>
        <w:tc>
          <w:tcPr>
            <w:tcW w:w="1540" w:type="dxa"/>
            <w:vAlign w:val="bottom"/>
          </w:tcPr>
          <w:p>
            <w:pPr>
              <w:jc w:val="right"/>
              <w:spacing w:after="0"/>
              <w:rPr>
                <w:sz w:val="20"/>
                <w:szCs w:val="20"/>
                <w:color w:val="auto"/>
              </w:rPr>
            </w:pPr>
            <w:r>
              <w:rPr>
                <w:rFonts w:ascii="Arial" w:cs="Arial" w:eastAsia="Arial" w:hAnsi="Arial"/>
                <w:sz w:val="13"/>
                <w:szCs w:val="13"/>
                <w:color w:val="58595B"/>
              </w:rPr>
              <w:t>$2,670,301</w:t>
            </w:r>
          </w:p>
        </w:tc>
      </w:tr>
      <w:tr>
        <w:trPr>
          <w:trHeight w:val="49"/>
        </w:trPr>
        <w:tc>
          <w:tcPr>
            <w:tcW w:w="2000" w:type="dxa"/>
            <w:vAlign w:val="bottom"/>
            <w:tcBorders>
              <w:bottom w:val="single" w:sz="8" w:color="007B51"/>
            </w:tcBorders>
          </w:tcPr>
          <w:p>
            <w:pPr>
              <w:spacing w:after="0"/>
              <w:rPr>
                <w:sz w:val="4"/>
                <w:szCs w:val="4"/>
                <w:color w:val="auto"/>
              </w:rPr>
            </w:pPr>
          </w:p>
        </w:tc>
        <w:tc>
          <w:tcPr>
            <w:tcW w:w="1780" w:type="dxa"/>
            <w:vAlign w:val="bottom"/>
            <w:tcBorders>
              <w:bottom w:val="single" w:sz="8" w:color="007B51"/>
            </w:tcBorders>
          </w:tcPr>
          <w:p>
            <w:pPr>
              <w:spacing w:after="0"/>
              <w:rPr>
                <w:sz w:val="4"/>
                <w:szCs w:val="4"/>
                <w:color w:val="auto"/>
              </w:rPr>
            </w:pPr>
          </w:p>
        </w:tc>
        <w:tc>
          <w:tcPr>
            <w:tcW w:w="1300" w:type="dxa"/>
            <w:vAlign w:val="bottom"/>
            <w:tcBorders>
              <w:bottom w:val="single" w:sz="8" w:color="007B51"/>
            </w:tcBorders>
          </w:tcPr>
          <w:p>
            <w:pPr>
              <w:spacing w:after="0"/>
              <w:rPr>
                <w:sz w:val="4"/>
                <w:szCs w:val="4"/>
                <w:color w:val="auto"/>
              </w:rPr>
            </w:pPr>
          </w:p>
        </w:tc>
        <w:tc>
          <w:tcPr>
            <w:tcW w:w="1360" w:type="dxa"/>
            <w:vAlign w:val="bottom"/>
            <w:tcBorders>
              <w:bottom w:val="single" w:sz="8" w:color="007B51"/>
            </w:tcBorders>
          </w:tcPr>
          <w:p>
            <w:pPr>
              <w:spacing w:after="0"/>
              <w:rPr>
                <w:sz w:val="4"/>
                <w:szCs w:val="4"/>
                <w:color w:val="auto"/>
              </w:rPr>
            </w:pPr>
          </w:p>
        </w:tc>
        <w:tc>
          <w:tcPr>
            <w:tcW w:w="1740" w:type="dxa"/>
            <w:vAlign w:val="bottom"/>
            <w:tcBorders>
              <w:bottom w:val="single" w:sz="8" w:color="007B51"/>
            </w:tcBorders>
          </w:tcPr>
          <w:p>
            <w:pPr>
              <w:spacing w:after="0"/>
              <w:rPr>
                <w:sz w:val="4"/>
                <w:szCs w:val="4"/>
                <w:color w:val="auto"/>
              </w:rPr>
            </w:pPr>
          </w:p>
        </w:tc>
        <w:tc>
          <w:tcPr>
            <w:tcW w:w="1540" w:type="dxa"/>
            <w:vAlign w:val="bottom"/>
            <w:tcBorders>
              <w:bottom w:val="single" w:sz="8" w:color="007B51"/>
            </w:tcBorders>
          </w:tcPr>
          <w:p>
            <w:pPr>
              <w:spacing w:after="0"/>
              <w:rPr>
                <w:sz w:val="4"/>
                <w:szCs w:val="4"/>
                <w:color w:val="auto"/>
              </w:rPr>
            </w:pPr>
          </w:p>
        </w:tc>
      </w:tr>
      <w:tr>
        <w:trPr>
          <w:trHeight w:val="215"/>
        </w:trPr>
        <w:tc>
          <w:tcPr>
            <w:tcW w:w="2000" w:type="dxa"/>
            <w:vAlign w:val="bottom"/>
          </w:tcPr>
          <w:p>
            <w:pPr>
              <w:ind w:left="100"/>
              <w:spacing w:after="0"/>
              <w:rPr>
                <w:sz w:val="20"/>
                <w:szCs w:val="20"/>
                <w:color w:val="auto"/>
              </w:rPr>
            </w:pPr>
            <w:r>
              <w:rPr>
                <w:rFonts w:ascii="Arial" w:cs="Arial" w:eastAsia="Arial" w:hAnsi="Arial"/>
                <w:sz w:val="13"/>
                <w:szCs w:val="13"/>
                <w:b w:val="1"/>
                <w:bCs w:val="1"/>
                <w:color w:val="017B52"/>
              </w:rPr>
              <w:t>Patrick M. Webster</w:t>
            </w:r>
          </w:p>
        </w:tc>
        <w:tc>
          <w:tcPr>
            <w:tcW w:w="1780" w:type="dxa"/>
            <w:vAlign w:val="bottom"/>
          </w:tcPr>
          <w:p>
            <w:pPr>
              <w:jc w:val="right"/>
              <w:ind w:right="140"/>
              <w:spacing w:after="0"/>
              <w:rPr>
                <w:sz w:val="20"/>
                <w:szCs w:val="20"/>
                <w:color w:val="auto"/>
              </w:rPr>
            </w:pPr>
            <w:r>
              <w:rPr>
                <w:rFonts w:ascii="Arial" w:cs="Arial" w:eastAsia="Arial" w:hAnsi="Arial"/>
                <w:sz w:val="13"/>
                <w:szCs w:val="13"/>
                <w:color w:val="58595B"/>
              </w:rPr>
              <w:t>$115,000</w:t>
            </w:r>
          </w:p>
        </w:tc>
        <w:tc>
          <w:tcPr>
            <w:tcW w:w="1300" w:type="dxa"/>
            <w:vAlign w:val="bottom"/>
          </w:tcPr>
          <w:p>
            <w:pPr>
              <w:jc w:val="right"/>
              <w:ind w:right="120"/>
              <w:spacing w:after="0"/>
              <w:rPr>
                <w:sz w:val="20"/>
                <w:szCs w:val="20"/>
                <w:color w:val="auto"/>
              </w:rPr>
            </w:pPr>
            <w:r>
              <w:rPr>
                <w:rFonts w:ascii="Arial" w:cs="Arial" w:eastAsia="Arial" w:hAnsi="Arial"/>
                <w:sz w:val="13"/>
                <w:szCs w:val="13"/>
                <w:color w:val="58595B"/>
              </w:rPr>
              <w:t>$18,529</w:t>
            </w:r>
          </w:p>
        </w:tc>
        <w:tc>
          <w:tcPr>
            <w:tcW w:w="1360" w:type="dxa"/>
            <w:vAlign w:val="bottom"/>
          </w:tcPr>
          <w:p>
            <w:pPr>
              <w:jc w:val="right"/>
              <w:ind w:right="40"/>
              <w:spacing w:after="0"/>
              <w:rPr>
                <w:sz w:val="20"/>
                <w:szCs w:val="20"/>
                <w:color w:val="auto"/>
              </w:rPr>
            </w:pPr>
            <w:r>
              <w:rPr>
                <w:rFonts w:ascii="Arial" w:cs="Arial" w:eastAsia="Arial" w:hAnsi="Arial"/>
                <w:sz w:val="13"/>
                <w:szCs w:val="13"/>
                <w:color w:val="58595B"/>
              </w:rPr>
              <w:t>($1,520,845)</w:t>
            </w:r>
          </w:p>
        </w:tc>
        <w:tc>
          <w:tcPr>
            <w:tcW w:w="1740" w:type="dxa"/>
            <w:vAlign w:val="bottom"/>
          </w:tcPr>
          <w:p>
            <w:pPr>
              <w:jc w:val="right"/>
              <w:ind w:right="20"/>
              <w:spacing w:after="0"/>
              <w:rPr>
                <w:sz w:val="20"/>
                <w:szCs w:val="20"/>
                <w:color w:val="auto"/>
              </w:rPr>
            </w:pPr>
            <w:r>
              <w:rPr>
                <w:rFonts w:ascii="Arial" w:cs="Arial" w:eastAsia="Arial" w:hAnsi="Arial"/>
                <w:sz w:val="13"/>
                <w:szCs w:val="13"/>
                <w:color w:val="58595B"/>
              </w:rPr>
              <w:t>($100,000)</w:t>
            </w:r>
          </w:p>
        </w:tc>
        <w:tc>
          <w:tcPr>
            <w:tcW w:w="1540" w:type="dxa"/>
            <w:vAlign w:val="bottom"/>
          </w:tcPr>
          <w:p>
            <w:pPr>
              <w:jc w:val="right"/>
              <w:spacing w:after="0"/>
              <w:rPr>
                <w:sz w:val="20"/>
                <w:szCs w:val="20"/>
                <w:color w:val="auto"/>
              </w:rPr>
            </w:pPr>
            <w:r>
              <w:rPr>
                <w:rFonts w:ascii="Arial" w:cs="Arial" w:eastAsia="Arial" w:hAnsi="Arial"/>
                <w:sz w:val="13"/>
                <w:szCs w:val="13"/>
                <w:color w:val="58595B"/>
              </w:rPr>
              <w:t>$10,369,521</w:t>
            </w:r>
          </w:p>
        </w:tc>
      </w:tr>
      <w:tr>
        <w:trPr>
          <w:trHeight w:val="48"/>
        </w:trPr>
        <w:tc>
          <w:tcPr>
            <w:tcW w:w="2000" w:type="dxa"/>
            <w:vAlign w:val="bottom"/>
            <w:tcBorders>
              <w:bottom w:val="single" w:sz="8" w:color="007B51"/>
            </w:tcBorders>
          </w:tcPr>
          <w:p>
            <w:pPr>
              <w:spacing w:after="0"/>
              <w:rPr>
                <w:sz w:val="4"/>
                <w:szCs w:val="4"/>
                <w:color w:val="auto"/>
              </w:rPr>
            </w:pPr>
          </w:p>
        </w:tc>
        <w:tc>
          <w:tcPr>
            <w:tcW w:w="1780" w:type="dxa"/>
            <w:vAlign w:val="bottom"/>
            <w:tcBorders>
              <w:bottom w:val="single" w:sz="8" w:color="007B51"/>
            </w:tcBorders>
          </w:tcPr>
          <w:p>
            <w:pPr>
              <w:spacing w:after="0"/>
              <w:rPr>
                <w:sz w:val="4"/>
                <w:szCs w:val="4"/>
                <w:color w:val="auto"/>
              </w:rPr>
            </w:pPr>
          </w:p>
        </w:tc>
        <w:tc>
          <w:tcPr>
            <w:tcW w:w="1300" w:type="dxa"/>
            <w:vAlign w:val="bottom"/>
            <w:tcBorders>
              <w:bottom w:val="single" w:sz="8" w:color="007B51"/>
            </w:tcBorders>
          </w:tcPr>
          <w:p>
            <w:pPr>
              <w:spacing w:after="0"/>
              <w:rPr>
                <w:sz w:val="4"/>
                <w:szCs w:val="4"/>
                <w:color w:val="auto"/>
              </w:rPr>
            </w:pPr>
          </w:p>
        </w:tc>
        <w:tc>
          <w:tcPr>
            <w:tcW w:w="1360" w:type="dxa"/>
            <w:vAlign w:val="bottom"/>
            <w:tcBorders>
              <w:bottom w:val="single" w:sz="8" w:color="007B51"/>
            </w:tcBorders>
          </w:tcPr>
          <w:p>
            <w:pPr>
              <w:spacing w:after="0"/>
              <w:rPr>
                <w:sz w:val="4"/>
                <w:szCs w:val="4"/>
                <w:color w:val="auto"/>
              </w:rPr>
            </w:pPr>
          </w:p>
        </w:tc>
        <w:tc>
          <w:tcPr>
            <w:tcW w:w="1740" w:type="dxa"/>
            <w:vAlign w:val="bottom"/>
            <w:tcBorders>
              <w:bottom w:val="single" w:sz="8" w:color="007B51"/>
            </w:tcBorders>
          </w:tcPr>
          <w:p>
            <w:pPr>
              <w:spacing w:after="0"/>
              <w:rPr>
                <w:sz w:val="4"/>
                <w:szCs w:val="4"/>
                <w:color w:val="auto"/>
              </w:rPr>
            </w:pPr>
          </w:p>
        </w:tc>
        <w:tc>
          <w:tcPr>
            <w:tcW w:w="1540" w:type="dxa"/>
            <w:vAlign w:val="bottom"/>
            <w:tcBorders>
              <w:bottom w:val="single" w:sz="8" w:color="007B51"/>
            </w:tcBorders>
          </w:tcPr>
          <w:p>
            <w:pPr>
              <w:spacing w:after="0"/>
              <w:rPr>
                <w:sz w:val="4"/>
                <w:szCs w:val="4"/>
                <w:color w:val="auto"/>
              </w:rPr>
            </w:pPr>
          </w:p>
        </w:tc>
      </w:tr>
      <w:tr>
        <w:trPr>
          <w:trHeight w:val="215"/>
        </w:trPr>
        <w:tc>
          <w:tcPr>
            <w:tcW w:w="2000" w:type="dxa"/>
            <w:vAlign w:val="bottom"/>
          </w:tcPr>
          <w:p>
            <w:pPr>
              <w:ind w:left="100"/>
              <w:spacing w:after="0"/>
              <w:rPr>
                <w:sz w:val="20"/>
                <w:szCs w:val="20"/>
                <w:color w:val="auto"/>
              </w:rPr>
            </w:pPr>
            <w:r>
              <w:rPr>
                <w:rFonts w:ascii="Arial" w:cs="Arial" w:eastAsia="Arial" w:hAnsi="Arial"/>
                <w:sz w:val="13"/>
                <w:szCs w:val="13"/>
                <w:b w:val="1"/>
                <w:bCs w:val="1"/>
                <w:color w:val="017B52"/>
              </w:rPr>
              <w:t>Patrick M. Benton</w:t>
            </w:r>
          </w:p>
        </w:tc>
        <w:tc>
          <w:tcPr>
            <w:tcW w:w="1780" w:type="dxa"/>
            <w:vAlign w:val="bottom"/>
          </w:tcPr>
          <w:p>
            <w:pPr>
              <w:jc w:val="right"/>
              <w:ind w:right="140"/>
              <w:spacing w:after="0"/>
              <w:rPr>
                <w:sz w:val="20"/>
                <w:szCs w:val="20"/>
                <w:color w:val="auto"/>
              </w:rPr>
            </w:pPr>
            <w:r>
              <w:rPr>
                <w:rFonts w:ascii="Arial" w:cs="Arial" w:eastAsia="Arial" w:hAnsi="Arial"/>
                <w:sz w:val="13"/>
                <w:szCs w:val="13"/>
                <w:color w:val="58595B"/>
              </w:rPr>
              <w:t>$55,000</w:t>
            </w:r>
          </w:p>
        </w:tc>
        <w:tc>
          <w:tcPr>
            <w:tcW w:w="1300" w:type="dxa"/>
            <w:vAlign w:val="bottom"/>
          </w:tcPr>
          <w:p>
            <w:pPr>
              <w:jc w:val="right"/>
              <w:ind w:right="120"/>
              <w:spacing w:after="0"/>
              <w:rPr>
                <w:sz w:val="20"/>
                <w:szCs w:val="20"/>
                <w:color w:val="auto"/>
              </w:rPr>
            </w:pPr>
            <w:r>
              <w:rPr>
                <w:rFonts w:ascii="Arial" w:cs="Arial" w:eastAsia="Arial" w:hAnsi="Arial"/>
                <w:sz w:val="13"/>
                <w:szCs w:val="13"/>
                <w:color w:val="58595B"/>
              </w:rPr>
              <w:t>$9,705</w:t>
            </w:r>
          </w:p>
        </w:tc>
        <w:tc>
          <w:tcPr>
            <w:tcW w:w="1360" w:type="dxa"/>
            <w:vAlign w:val="bottom"/>
          </w:tcPr>
          <w:p>
            <w:pPr>
              <w:jc w:val="right"/>
              <w:ind w:right="40"/>
              <w:spacing w:after="0"/>
              <w:rPr>
                <w:sz w:val="20"/>
                <w:szCs w:val="20"/>
                <w:color w:val="auto"/>
              </w:rPr>
            </w:pPr>
            <w:r>
              <w:rPr>
                <w:rFonts w:ascii="Arial" w:cs="Arial" w:eastAsia="Arial" w:hAnsi="Arial"/>
                <w:sz w:val="13"/>
                <w:szCs w:val="13"/>
                <w:color w:val="58595B"/>
              </w:rPr>
              <w:t>($117,703)</w:t>
            </w:r>
          </w:p>
        </w:tc>
        <w:tc>
          <w:tcPr>
            <w:tcW w:w="1740" w:type="dxa"/>
            <w:vAlign w:val="bottom"/>
          </w:tcPr>
          <w:p>
            <w:pPr>
              <w:jc w:val="right"/>
              <w:ind w:right="20"/>
              <w:spacing w:after="0"/>
              <w:rPr>
                <w:sz w:val="20"/>
                <w:szCs w:val="20"/>
                <w:color w:val="auto"/>
              </w:rPr>
            </w:pPr>
            <w:r>
              <w:rPr>
                <w:rFonts w:ascii="Arial" w:cs="Arial" w:eastAsia="Arial" w:hAnsi="Arial"/>
                <w:sz w:val="13"/>
                <w:szCs w:val="13"/>
                <w:color w:val="58595B"/>
              </w:rPr>
              <w:t>($50,000)</w:t>
            </w:r>
          </w:p>
        </w:tc>
        <w:tc>
          <w:tcPr>
            <w:tcW w:w="1540" w:type="dxa"/>
            <w:vAlign w:val="bottom"/>
          </w:tcPr>
          <w:p>
            <w:pPr>
              <w:jc w:val="right"/>
              <w:spacing w:after="0"/>
              <w:rPr>
                <w:sz w:val="20"/>
                <w:szCs w:val="20"/>
                <w:color w:val="auto"/>
              </w:rPr>
            </w:pPr>
            <w:r>
              <w:rPr>
                <w:rFonts w:ascii="Arial" w:cs="Arial" w:eastAsia="Arial" w:hAnsi="Arial"/>
                <w:sz w:val="13"/>
                <w:szCs w:val="13"/>
                <w:color w:val="58595B"/>
              </w:rPr>
              <w:t>$807,954</w:t>
            </w:r>
          </w:p>
        </w:tc>
      </w:tr>
      <w:tr>
        <w:trPr>
          <w:trHeight w:val="48"/>
        </w:trPr>
        <w:tc>
          <w:tcPr>
            <w:tcW w:w="2000" w:type="dxa"/>
            <w:vAlign w:val="bottom"/>
            <w:tcBorders>
              <w:bottom w:val="single" w:sz="8" w:color="007B51"/>
            </w:tcBorders>
          </w:tcPr>
          <w:p>
            <w:pPr>
              <w:spacing w:after="0"/>
              <w:rPr>
                <w:sz w:val="4"/>
                <w:szCs w:val="4"/>
                <w:color w:val="auto"/>
              </w:rPr>
            </w:pPr>
          </w:p>
        </w:tc>
        <w:tc>
          <w:tcPr>
            <w:tcW w:w="1780" w:type="dxa"/>
            <w:vAlign w:val="bottom"/>
            <w:tcBorders>
              <w:bottom w:val="single" w:sz="8" w:color="007B51"/>
            </w:tcBorders>
          </w:tcPr>
          <w:p>
            <w:pPr>
              <w:spacing w:after="0"/>
              <w:rPr>
                <w:sz w:val="4"/>
                <w:szCs w:val="4"/>
                <w:color w:val="auto"/>
              </w:rPr>
            </w:pPr>
          </w:p>
        </w:tc>
        <w:tc>
          <w:tcPr>
            <w:tcW w:w="1300" w:type="dxa"/>
            <w:vAlign w:val="bottom"/>
            <w:tcBorders>
              <w:bottom w:val="single" w:sz="8" w:color="007B51"/>
            </w:tcBorders>
          </w:tcPr>
          <w:p>
            <w:pPr>
              <w:spacing w:after="0"/>
              <w:rPr>
                <w:sz w:val="4"/>
                <w:szCs w:val="4"/>
                <w:color w:val="auto"/>
              </w:rPr>
            </w:pPr>
          </w:p>
        </w:tc>
        <w:tc>
          <w:tcPr>
            <w:tcW w:w="1360" w:type="dxa"/>
            <w:vAlign w:val="bottom"/>
            <w:tcBorders>
              <w:bottom w:val="single" w:sz="8" w:color="007B51"/>
            </w:tcBorders>
          </w:tcPr>
          <w:p>
            <w:pPr>
              <w:spacing w:after="0"/>
              <w:rPr>
                <w:sz w:val="4"/>
                <w:szCs w:val="4"/>
                <w:color w:val="auto"/>
              </w:rPr>
            </w:pPr>
          </w:p>
        </w:tc>
        <w:tc>
          <w:tcPr>
            <w:tcW w:w="1740" w:type="dxa"/>
            <w:vAlign w:val="bottom"/>
            <w:tcBorders>
              <w:bottom w:val="single" w:sz="8" w:color="007B51"/>
            </w:tcBorders>
          </w:tcPr>
          <w:p>
            <w:pPr>
              <w:spacing w:after="0"/>
              <w:rPr>
                <w:sz w:val="4"/>
                <w:szCs w:val="4"/>
                <w:color w:val="auto"/>
              </w:rPr>
            </w:pPr>
          </w:p>
        </w:tc>
        <w:tc>
          <w:tcPr>
            <w:tcW w:w="1540" w:type="dxa"/>
            <w:vAlign w:val="bottom"/>
            <w:tcBorders>
              <w:bottom w:val="single" w:sz="8" w:color="007B51"/>
            </w:tcBorders>
          </w:tcPr>
          <w:p>
            <w:pPr>
              <w:spacing w:after="0"/>
              <w:rPr>
                <w:sz w:val="4"/>
                <w:szCs w:val="4"/>
                <w:color w:val="auto"/>
              </w:rPr>
            </w:pPr>
          </w:p>
        </w:tc>
      </w:tr>
      <w:tr>
        <w:trPr>
          <w:trHeight w:val="219"/>
        </w:trPr>
        <w:tc>
          <w:tcPr>
            <w:tcW w:w="2000" w:type="dxa"/>
            <w:vAlign w:val="bottom"/>
            <w:tcBorders>
              <w:bottom w:val="single" w:sz="8" w:color="007B51"/>
            </w:tcBorders>
          </w:tcPr>
          <w:p>
            <w:pPr>
              <w:ind w:left="100"/>
              <w:spacing w:after="0"/>
              <w:rPr>
                <w:sz w:val="20"/>
                <w:szCs w:val="20"/>
                <w:color w:val="auto"/>
              </w:rPr>
            </w:pPr>
            <w:r>
              <w:rPr>
                <w:rFonts w:ascii="Arial" w:cs="Arial" w:eastAsia="Arial" w:hAnsi="Arial"/>
                <w:sz w:val="13"/>
                <w:szCs w:val="13"/>
                <w:b w:val="1"/>
                <w:bCs w:val="1"/>
                <w:color w:val="017B52"/>
              </w:rPr>
              <w:t>Scott A. Worthington</w:t>
            </w:r>
          </w:p>
        </w:tc>
        <w:tc>
          <w:tcPr>
            <w:tcW w:w="1780" w:type="dxa"/>
            <w:vAlign w:val="bottom"/>
            <w:tcBorders>
              <w:bottom w:val="single" w:sz="8" w:color="007B51"/>
            </w:tcBorders>
          </w:tcPr>
          <w:p>
            <w:pPr>
              <w:jc w:val="right"/>
              <w:ind w:right="140"/>
              <w:spacing w:after="0"/>
              <w:rPr>
                <w:sz w:val="20"/>
                <w:szCs w:val="20"/>
                <w:color w:val="auto"/>
              </w:rPr>
            </w:pPr>
            <w:r>
              <w:rPr>
                <w:rFonts w:ascii="Arial" w:cs="Arial" w:eastAsia="Arial" w:hAnsi="Arial"/>
                <w:sz w:val="13"/>
                <w:szCs w:val="13"/>
                <w:color w:val="58595B"/>
              </w:rPr>
              <w:t>$55,000</w:t>
            </w:r>
          </w:p>
        </w:tc>
        <w:tc>
          <w:tcPr>
            <w:tcW w:w="1300" w:type="dxa"/>
            <w:vAlign w:val="bottom"/>
            <w:tcBorders>
              <w:bottom w:val="single" w:sz="8" w:color="007B51"/>
            </w:tcBorders>
          </w:tcPr>
          <w:p>
            <w:pPr>
              <w:jc w:val="right"/>
              <w:ind w:right="120"/>
              <w:spacing w:after="0"/>
              <w:rPr>
                <w:sz w:val="20"/>
                <w:szCs w:val="20"/>
                <w:color w:val="auto"/>
              </w:rPr>
            </w:pPr>
            <w:r>
              <w:rPr>
                <w:rFonts w:ascii="Arial" w:cs="Arial" w:eastAsia="Arial" w:hAnsi="Arial"/>
                <w:sz w:val="13"/>
                <w:szCs w:val="13"/>
                <w:color w:val="58595B"/>
              </w:rPr>
              <w:t>$9,705</w:t>
            </w:r>
          </w:p>
        </w:tc>
        <w:tc>
          <w:tcPr>
            <w:tcW w:w="1360" w:type="dxa"/>
            <w:vAlign w:val="bottom"/>
            <w:tcBorders>
              <w:bottom w:val="single" w:sz="8" w:color="007B51"/>
            </w:tcBorders>
          </w:tcPr>
          <w:p>
            <w:pPr>
              <w:jc w:val="right"/>
              <w:ind w:right="40"/>
              <w:spacing w:after="0"/>
              <w:rPr>
                <w:sz w:val="20"/>
                <w:szCs w:val="20"/>
                <w:color w:val="auto"/>
              </w:rPr>
            </w:pPr>
            <w:r>
              <w:rPr>
                <w:rFonts w:ascii="Arial" w:cs="Arial" w:eastAsia="Arial" w:hAnsi="Arial"/>
                <w:sz w:val="13"/>
                <w:szCs w:val="13"/>
                <w:color w:val="58595B"/>
              </w:rPr>
              <w:t>($159,507)</w:t>
            </w:r>
          </w:p>
        </w:tc>
        <w:tc>
          <w:tcPr>
            <w:tcW w:w="1740" w:type="dxa"/>
            <w:vAlign w:val="bottom"/>
            <w:tcBorders>
              <w:bottom w:val="single" w:sz="8" w:color="007B51"/>
            </w:tcBorders>
          </w:tcPr>
          <w:p>
            <w:pPr>
              <w:jc w:val="right"/>
              <w:ind w:right="20"/>
              <w:spacing w:after="0"/>
              <w:rPr>
                <w:sz w:val="20"/>
                <w:szCs w:val="20"/>
                <w:color w:val="auto"/>
              </w:rPr>
            </w:pPr>
            <w:r>
              <w:rPr>
                <w:rFonts w:ascii="Arial" w:cs="Arial" w:eastAsia="Arial" w:hAnsi="Arial"/>
                <w:sz w:val="13"/>
                <w:szCs w:val="13"/>
                <w:color w:val="58595B"/>
              </w:rPr>
              <w:t>0</w:t>
            </w:r>
          </w:p>
        </w:tc>
        <w:tc>
          <w:tcPr>
            <w:tcW w:w="1540" w:type="dxa"/>
            <w:vAlign w:val="bottom"/>
            <w:tcBorders>
              <w:bottom w:val="single" w:sz="8" w:color="007B51"/>
            </w:tcBorders>
          </w:tcPr>
          <w:p>
            <w:pPr>
              <w:jc w:val="right"/>
              <w:spacing w:after="0"/>
              <w:rPr>
                <w:sz w:val="20"/>
                <w:szCs w:val="20"/>
                <w:color w:val="auto"/>
              </w:rPr>
            </w:pPr>
            <w:r>
              <w:rPr>
                <w:rFonts w:ascii="Arial" w:cs="Arial" w:eastAsia="Arial" w:hAnsi="Arial"/>
                <w:sz w:val="13"/>
                <w:szCs w:val="13"/>
                <w:color w:val="58595B"/>
              </w:rPr>
              <w:t>$1,147,256</w:t>
            </w:r>
          </w:p>
        </w:tc>
      </w:tr>
    </w:tbl>
    <w:p>
      <w:pPr>
        <w:spacing w:after="0" w:line="225" w:lineRule="exact"/>
        <w:rPr>
          <w:sz w:val="20"/>
          <w:szCs w:val="20"/>
          <w:color w:val="auto"/>
        </w:rPr>
      </w:pPr>
    </w:p>
    <w:p>
      <w:pPr>
        <w:jc w:val="both"/>
        <w:ind w:left="260" w:right="160" w:hanging="256"/>
        <w:spacing w:after="0" w:line="229" w:lineRule="auto"/>
        <w:tabs>
          <w:tab w:leader="none" w:pos="260" w:val="left"/>
        </w:tabs>
        <w:numPr>
          <w:ilvl w:val="0"/>
          <w:numId w:val="48"/>
        </w:numPr>
        <w:rPr>
          <w:rFonts w:ascii="Arial" w:cs="Arial" w:eastAsia="Arial" w:hAnsi="Arial"/>
          <w:sz w:val="13"/>
          <w:szCs w:val="13"/>
          <w:color w:val="58595B"/>
        </w:rPr>
      </w:pPr>
      <w:r>
        <w:rPr>
          <w:rFonts w:ascii="Arial" w:cs="Arial" w:eastAsia="Arial" w:hAnsi="Arial"/>
          <w:sz w:val="13"/>
          <w:szCs w:val="13"/>
          <w:color w:val="58595B"/>
        </w:rPr>
        <w:t>Each of the amounts reported in this column are also reported as non-equity incentive plan compensation or salary in the Summary Compensation Table. The amounts shown include deferrals under our DCP from the annual bonus earned for 2022 and monthly salary for 2022 for Messrs. Missad and Webster of $100,000 and $15,000, respectively; from the annual bonus earned for 2022 and monthly salary for 2022 for Messrs. Cole and Worthington of $40,000 and $15,000, respectively; and from the annual bonus earned for 2022 for Mr. Benton of $55,000.</w:t>
      </w:r>
    </w:p>
    <w:p>
      <w:pPr>
        <w:spacing w:after="0" w:line="77" w:lineRule="exact"/>
        <w:rPr>
          <w:rFonts w:ascii="Arial" w:cs="Arial" w:eastAsia="Arial" w:hAnsi="Arial"/>
          <w:sz w:val="13"/>
          <w:szCs w:val="13"/>
          <w:color w:val="58595B"/>
        </w:rPr>
      </w:pPr>
    </w:p>
    <w:p>
      <w:pPr>
        <w:ind w:left="260" w:right="40" w:hanging="256"/>
        <w:spacing w:after="0" w:line="243" w:lineRule="auto"/>
        <w:tabs>
          <w:tab w:leader="none" w:pos="260" w:val="left"/>
        </w:tabs>
        <w:numPr>
          <w:ilvl w:val="0"/>
          <w:numId w:val="48"/>
        </w:numPr>
        <w:rPr>
          <w:rFonts w:ascii="Arial" w:cs="Arial" w:eastAsia="Arial" w:hAnsi="Arial"/>
          <w:sz w:val="13"/>
          <w:szCs w:val="13"/>
          <w:color w:val="58595B"/>
        </w:rPr>
      </w:pPr>
      <w:r>
        <w:rPr>
          <w:rFonts w:ascii="Arial" w:cs="Arial" w:eastAsia="Arial" w:hAnsi="Arial"/>
          <w:sz w:val="13"/>
          <w:szCs w:val="13"/>
          <w:color w:val="58595B"/>
        </w:rPr>
        <w:t>The amounts reflect the value of shares of our common stock contributed by the Company under our Deferred Compensation Plan, based upon the issuance of shares in an amount equal to 15% of the fiscal 2022 salary and/or bonus deferrals.</w:t>
      </w:r>
    </w:p>
    <w:p>
      <w:pPr>
        <w:spacing w:after="0" w:line="75" w:lineRule="exact"/>
        <w:rPr>
          <w:rFonts w:ascii="Arial" w:cs="Arial" w:eastAsia="Arial" w:hAnsi="Arial"/>
          <w:sz w:val="13"/>
          <w:szCs w:val="13"/>
          <w:color w:val="58595B"/>
        </w:rPr>
      </w:pPr>
    </w:p>
    <w:p>
      <w:pPr>
        <w:ind w:left="260" w:right="220" w:hanging="256"/>
        <w:spacing w:after="0" w:line="243" w:lineRule="auto"/>
        <w:tabs>
          <w:tab w:leader="none" w:pos="260" w:val="left"/>
        </w:tabs>
        <w:numPr>
          <w:ilvl w:val="0"/>
          <w:numId w:val="48"/>
        </w:numPr>
        <w:rPr>
          <w:rFonts w:ascii="Arial" w:cs="Arial" w:eastAsia="Arial" w:hAnsi="Arial"/>
          <w:sz w:val="13"/>
          <w:szCs w:val="13"/>
          <w:color w:val="58595B"/>
        </w:rPr>
      </w:pPr>
      <w:r>
        <w:rPr>
          <w:rFonts w:ascii="Arial" w:cs="Arial" w:eastAsia="Arial" w:hAnsi="Arial"/>
          <w:sz w:val="13"/>
          <w:szCs w:val="13"/>
          <w:color w:val="58595B"/>
        </w:rPr>
        <w:t>Amounts shown are credited to the Named Executive’s deferred compensation account(s). The amounts reflect the earnings on various investments in the account(s), including investments in our common stock.</w:t>
      </w:r>
    </w:p>
    <w:p>
      <w:pPr>
        <w:spacing w:after="0" w:line="24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Our Deferred Compensation Plan allows key employees to defer a portion of their incentive compensation and base salary. The maximum amount a Named Executive can defer is $100,000 from incentive compensation and $15,000 from base salary, per year. As described in the Compensation Discussion and Analysis, amounts deferred must be invested in our common stock until certain ownership requirements are met. Payouts occur as provided at the time of employee deferral, or if not specified by the employee, upon separation from employment.</w:t>
      </w:r>
    </w:p>
    <w:p>
      <w:pPr>
        <w:spacing w:after="0" w:line="311"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38</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32"/>
          <w:szCs w:val="32"/>
          <w:b w:val="1"/>
          <w:bCs w:val="1"/>
          <w:color w:val="017B52"/>
        </w:rPr>
        <w:t>Other Post-Employment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3086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Severance Agreements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Under our Executive Retirement Plan (which currently excludes our Chief Executive Officer), officers with twenty or more years of service with the Company and at least ten years of service as an officer are entitled to certain retirement benefits. This plan provides for a retirement benefit at age 62 or later of 150% of base salary (based upon the executive’s highest annual base salary during the three-year period preceding retirement) and is payable over three years after retirement, death or disability.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Potential Payments upon Termination, Death, Disability, Retirement or Change in Control</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following table quantifies the incremental amounts that would have been vested and become payable on December 31, 2022 to each Named Executive in the event of death, permanent disability, retirement or change in control. In the event of a change in control, payments to our CEO and other officers are conditioned upon both the change in control and his or her actual or constructive termination of employment that approximates the change in control (commonly referred to as a double trigger change in control benefit).</w:t>
      </w:r>
    </w:p>
    <w:p>
      <w:pPr>
        <w:spacing w:after="0" w:line="309"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39</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80" w:type="dxa"/>
            <w:vAlign w:val="bottom"/>
            <w:tcBorders>
              <w:bottom w:val="single" w:sz="8" w:color="007B51"/>
            </w:tcBorders>
          </w:tcPr>
          <w:p>
            <w:pPr>
              <w:spacing w:after="0"/>
              <w:rPr>
                <w:sz w:val="16"/>
                <w:szCs w:val="16"/>
                <w:color w:val="auto"/>
              </w:rPr>
            </w:pPr>
          </w:p>
        </w:tc>
        <w:tc>
          <w:tcPr>
            <w:tcW w:w="1780" w:type="dxa"/>
            <w:vAlign w:val="bottom"/>
            <w:tcBorders>
              <w:bottom w:val="single" w:sz="8" w:color="007B51"/>
            </w:tcBorders>
          </w:tcPr>
          <w:p>
            <w:pPr>
              <w:jc w:val="right"/>
              <w:ind w:right="349"/>
              <w:spacing w:after="0"/>
              <w:rPr>
                <w:sz w:val="20"/>
                <w:szCs w:val="20"/>
                <w:color w:val="auto"/>
              </w:rPr>
            </w:pPr>
            <w:r>
              <w:rPr>
                <w:rFonts w:ascii="Arial" w:cs="Arial" w:eastAsia="Arial" w:hAnsi="Arial"/>
                <w:sz w:val="11"/>
                <w:szCs w:val="11"/>
                <w:b w:val="1"/>
                <w:bCs w:val="1"/>
                <w:color w:val="auto"/>
              </w:rPr>
              <w:t>BENEFIT</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1"/>
                <w:szCs w:val="11"/>
                <w:b w:val="1"/>
                <w:bCs w:val="1"/>
                <w:color w:val="auto"/>
              </w:rPr>
              <w:t>DEATH</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1"/>
                <w:szCs w:val="11"/>
                <w:b w:val="1"/>
                <w:bCs w:val="1"/>
                <w:color w:val="auto"/>
              </w:rPr>
              <w:t>DISABILITY</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1"/>
                <w:szCs w:val="11"/>
                <w:b w:val="1"/>
                <w:bCs w:val="1"/>
                <w:color w:val="auto"/>
              </w:rPr>
              <w:t>RETIREMENT</w:t>
            </w:r>
            <w:r>
              <w:rPr>
                <w:rFonts w:ascii="Arial" w:cs="Arial" w:eastAsia="Arial" w:hAnsi="Arial"/>
                <w:sz w:val="17"/>
                <w:szCs w:val="17"/>
                <w:b w:val="1"/>
                <w:bCs w:val="1"/>
                <w:color w:val="auto"/>
                <w:vertAlign w:val="superscript"/>
              </w:rPr>
              <w:t>(1)</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1"/>
                <w:szCs w:val="11"/>
                <w:b w:val="1"/>
                <w:bCs w:val="1"/>
                <w:color w:val="auto"/>
              </w:rPr>
              <w:t>CHANGE IN CONTROL</w:t>
            </w:r>
            <w:r>
              <w:rPr>
                <w:rFonts w:ascii="Arial" w:cs="Arial" w:eastAsia="Arial" w:hAnsi="Arial"/>
                <w:sz w:val="17"/>
                <w:szCs w:val="17"/>
                <w:b w:val="1"/>
                <w:bCs w:val="1"/>
                <w:color w:val="auto"/>
                <w:vertAlign w:val="superscript"/>
              </w:rPr>
              <w:t>(2)</w:t>
            </w:r>
          </w:p>
        </w:tc>
      </w:tr>
      <w:tr>
        <w:trPr>
          <w:trHeight w:val="237"/>
        </w:trPr>
        <w:tc>
          <w:tcPr>
            <w:tcW w:w="1780" w:type="dxa"/>
            <w:vAlign w:val="bottom"/>
          </w:tcPr>
          <w:p>
            <w:pPr>
              <w:spacing w:after="0"/>
              <w:rPr>
                <w:sz w:val="20"/>
                <w:szCs w:val="20"/>
                <w:color w:val="auto"/>
              </w:rPr>
            </w:pPr>
            <w:r>
              <w:rPr>
                <w:rFonts w:ascii="Arial" w:cs="Arial" w:eastAsia="Arial" w:hAnsi="Arial"/>
                <w:sz w:val="13"/>
                <w:szCs w:val="13"/>
                <w:b w:val="1"/>
                <w:bCs w:val="1"/>
                <w:color w:val="017B52"/>
              </w:rPr>
              <w:t>Matthew J. Missad</w:t>
            </w:r>
          </w:p>
        </w:tc>
        <w:tc>
          <w:tcPr>
            <w:tcW w:w="1780" w:type="dxa"/>
            <w:vAlign w:val="bottom"/>
            <w:tcBorders>
              <w:bottom w:val="single" w:sz="8" w:color="007B51"/>
            </w:tcBorders>
          </w:tcPr>
          <w:p>
            <w:pPr>
              <w:jc w:val="right"/>
              <w:ind w:right="349"/>
              <w:spacing w:after="0" w:line="236" w:lineRule="exact"/>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(3)</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$4,369,861</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$4,369,861</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$4,369,861</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$2,448,279</w:t>
            </w:r>
          </w:p>
        </w:tc>
      </w:tr>
      <w:tr>
        <w:trPr>
          <w:trHeight w:val="237"/>
        </w:trPr>
        <w:tc>
          <w:tcPr>
            <w:tcW w:w="1780" w:type="dxa"/>
            <w:vAlign w:val="bottom"/>
          </w:tcPr>
          <w:p>
            <w:pPr>
              <w:spacing w:after="0"/>
              <w:rPr>
                <w:sz w:val="20"/>
                <w:szCs w:val="20"/>
                <w:color w:val="auto"/>
              </w:rPr>
            </w:pPr>
          </w:p>
        </w:tc>
        <w:tc>
          <w:tcPr>
            <w:tcW w:w="1780" w:type="dxa"/>
            <w:vAlign w:val="bottom"/>
            <w:tcBorders>
              <w:bottom w:val="single" w:sz="8" w:color="007B51"/>
            </w:tcBorders>
          </w:tcPr>
          <w:p>
            <w:pPr>
              <w:jc w:val="right"/>
              <w:ind w:right="349"/>
              <w:spacing w:after="0" w:line="236" w:lineRule="exact"/>
              <w:rPr>
                <w:sz w:val="20"/>
                <w:szCs w:val="20"/>
                <w:color w:val="auto"/>
              </w:rPr>
            </w:pPr>
            <w:r>
              <w:rPr>
                <w:rFonts w:ascii="Arial" w:cs="Arial" w:eastAsia="Arial" w:hAnsi="Arial"/>
                <w:sz w:val="14"/>
                <w:szCs w:val="14"/>
                <w:color w:val="auto"/>
              </w:rPr>
              <w:t xml:space="preserve">Equity: </w:t>
            </w:r>
            <w:r>
              <w:rPr>
                <w:rFonts w:ascii="Arial" w:cs="Arial" w:eastAsia="Arial" w:hAnsi="Arial"/>
                <w:sz w:val="23"/>
                <w:szCs w:val="23"/>
                <w:color w:val="auto"/>
                <w:vertAlign w:val="superscript"/>
              </w:rPr>
              <w:t>(4)</w:t>
            </w:r>
          </w:p>
        </w:tc>
        <w:tc>
          <w:tcPr>
            <w:tcW w:w="1640" w:type="dxa"/>
            <w:vAlign w:val="bottom"/>
            <w:tcBorders>
              <w:bottom w:val="single" w:sz="8" w:color="007B51"/>
            </w:tcBorders>
          </w:tcPr>
          <w:p>
            <w:pPr>
              <w:spacing w:after="0"/>
              <w:rPr>
                <w:sz w:val="20"/>
                <w:szCs w:val="20"/>
                <w:color w:val="auto"/>
              </w:rPr>
            </w:pPr>
          </w:p>
        </w:tc>
        <w:tc>
          <w:tcPr>
            <w:tcW w:w="1640" w:type="dxa"/>
            <w:vAlign w:val="bottom"/>
            <w:tcBorders>
              <w:bottom w:val="single" w:sz="8" w:color="007B51"/>
            </w:tcBorders>
          </w:tcPr>
          <w:p>
            <w:pPr>
              <w:spacing w:after="0"/>
              <w:rPr>
                <w:sz w:val="20"/>
                <w:szCs w:val="20"/>
                <w:color w:val="auto"/>
              </w:rPr>
            </w:pPr>
          </w:p>
        </w:tc>
        <w:tc>
          <w:tcPr>
            <w:tcW w:w="1420" w:type="dxa"/>
            <w:vAlign w:val="bottom"/>
            <w:tcBorders>
              <w:bottom w:val="single" w:sz="8" w:color="007B51"/>
            </w:tcBorders>
          </w:tcPr>
          <w:p>
            <w:pPr>
              <w:spacing w:after="0"/>
              <w:rPr>
                <w:sz w:val="20"/>
                <w:szCs w:val="20"/>
                <w:color w:val="auto"/>
              </w:rPr>
            </w:pPr>
          </w:p>
        </w:tc>
        <w:tc>
          <w:tcPr>
            <w:tcW w:w="1460" w:type="dxa"/>
            <w:vAlign w:val="bottom"/>
            <w:tcBorders>
              <w:bottom w:val="single" w:sz="8" w:color="007B51"/>
            </w:tcBorders>
          </w:tcPr>
          <w:p>
            <w:pPr>
              <w:spacing w:after="0"/>
              <w:rPr>
                <w:sz w:val="20"/>
                <w:szCs w:val="20"/>
                <w:color w:val="auto"/>
              </w:rPr>
            </w:pPr>
          </w:p>
        </w:tc>
      </w:tr>
      <w:tr>
        <w:trPr>
          <w:trHeight w:val="205"/>
        </w:trPr>
        <w:tc>
          <w:tcPr>
            <w:tcW w:w="1780" w:type="dxa"/>
            <w:vAlign w:val="bottom"/>
          </w:tcPr>
          <w:p>
            <w:pPr>
              <w:spacing w:after="0"/>
              <w:rPr>
                <w:sz w:val="17"/>
                <w:szCs w:val="17"/>
                <w:color w:val="auto"/>
              </w:rPr>
            </w:pPr>
          </w:p>
        </w:tc>
        <w:tc>
          <w:tcPr>
            <w:tcW w:w="178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 Restricted Stock</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$20,029,373</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$20,029,373</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$20,029,373</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$20,029,373</w:t>
            </w:r>
          </w:p>
        </w:tc>
      </w:tr>
      <w:tr>
        <w:trPr>
          <w:trHeight w:val="210"/>
        </w:trPr>
        <w:tc>
          <w:tcPr>
            <w:tcW w:w="1780" w:type="dxa"/>
            <w:vAlign w:val="bottom"/>
          </w:tcPr>
          <w:p>
            <w:pPr>
              <w:spacing w:after="0"/>
              <w:rPr>
                <w:sz w:val="18"/>
                <w:szCs w:val="18"/>
                <w:color w:val="auto"/>
              </w:rPr>
            </w:pPr>
          </w:p>
        </w:tc>
        <w:tc>
          <w:tcPr>
            <w:tcW w:w="178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Health and Welfare</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$76,285.44</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$76,285.44</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$65,151</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$65,151</w:t>
            </w:r>
          </w:p>
        </w:tc>
      </w:tr>
      <w:tr>
        <w:trPr>
          <w:trHeight w:val="209"/>
        </w:trPr>
        <w:tc>
          <w:tcPr>
            <w:tcW w:w="1780" w:type="dxa"/>
            <w:vAlign w:val="bottom"/>
          </w:tcPr>
          <w:p>
            <w:pPr>
              <w:spacing w:after="0"/>
              <w:rPr>
                <w:sz w:val="18"/>
                <w:szCs w:val="18"/>
                <w:color w:val="auto"/>
              </w:rPr>
            </w:pPr>
          </w:p>
        </w:tc>
        <w:tc>
          <w:tcPr>
            <w:tcW w:w="178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$24,464,385</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$24,464,385</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$24,464,385</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$22,542,803</w:t>
            </w:r>
          </w:p>
        </w:tc>
      </w:tr>
      <w:tr>
        <w:trPr>
          <w:trHeight w:val="173"/>
        </w:trPr>
        <w:tc>
          <w:tcPr>
            <w:tcW w:w="1780" w:type="dxa"/>
            <w:vAlign w:val="bottom"/>
            <w:tcBorders>
              <w:bottom w:val="single" w:sz="8" w:color="007B51"/>
            </w:tcBorders>
          </w:tcPr>
          <w:p>
            <w:pPr>
              <w:spacing w:after="0"/>
              <w:rPr>
                <w:sz w:val="15"/>
                <w:szCs w:val="15"/>
                <w:color w:val="auto"/>
              </w:rPr>
            </w:pPr>
          </w:p>
        </w:tc>
        <w:tc>
          <w:tcPr>
            <w:tcW w:w="1780" w:type="dxa"/>
            <w:vAlign w:val="bottom"/>
            <w:tcBorders>
              <w:bottom w:val="single" w:sz="8" w:color="007B51"/>
            </w:tcBorders>
          </w:tcPr>
          <w:p>
            <w:pPr>
              <w:spacing w:after="0"/>
              <w:rPr>
                <w:sz w:val="15"/>
                <w:szCs w:val="15"/>
                <w:color w:val="auto"/>
              </w:rPr>
            </w:pPr>
          </w:p>
        </w:tc>
        <w:tc>
          <w:tcPr>
            <w:tcW w:w="1640" w:type="dxa"/>
            <w:vAlign w:val="bottom"/>
            <w:tcBorders>
              <w:bottom w:val="single" w:sz="8" w:color="007B51"/>
            </w:tcBorders>
          </w:tcPr>
          <w:p>
            <w:pPr>
              <w:spacing w:after="0"/>
              <w:rPr>
                <w:sz w:val="15"/>
                <w:szCs w:val="15"/>
                <w:color w:val="auto"/>
              </w:rPr>
            </w:pPr>
          </w:p>
        </w:tc>
        <w:tc>
          <w:tcPr>
            <w:tcW w:w="1640" w:type="dxa"/>
            <w:vAlign w:val="bottom"/>
            <w:tcBorders>
              <w:bottom w:val="single" w:sz="8" w:color="007B51"/>
            </w:tcBorders>
          </w:tcPr>
          <w:p>
            <w:pPr>
              <w:spacing w:after="0"/>
              <w:rPr>
                <w:sz w:val="15"/>
                <w:szCs w:val="15"/>
                <w:color w:val="auto"/>
              </w:rPr>
            </w:pPr>
          </w:p>
        </w:tc>
        <w:tc>
          <w:tcPr>
            <w:tcW w:w="1420" w:type="dxa"/>
            <w:vAlign w:val="bottom"/>
            <w:tcBorders>
              <w:bottom w:val="single" w:sz="8" w:color="007B51"/>
            </w:tcBorders>
          </w:tcPr>
          <w:p>
            <w:pPr>
              <w:spacing w:after="0"/>
              <w:rPr>
                <w:sz w:val="15"/>
                <w:szCs w:val="15"/>
                <w:color w:val="auto"/>
              </w:rPr>
            </w:pPr>
          </w:p>
        </w:tc>
        <w:tc>
          <w:tcPr>
            <w:tcW w:w="1460" w:type="dxa"/>
            <w:vAlign w:val="bottom"/>
            <w:tcBorders>
              <w:bottom w:val="single" w:sz="8" w:color="007B51"/>
            </w:tcBorders>
          </w:tcPr>
          <w:p>
            <w:pPr>
              <w:spacing w:after="0"/>
              <w:rPr>
                <w:sz w:val="15"/>
                <w:szCs w:val="15"/>
                <w:color w:val="auto"/>
              </w:rPr>
            </w:pPr>
          </w:p>
        </w:tc>
      </w:tr>
      <w:tr>
        <w:trPr>
          <w:trHeight w:val="236"/>
        </w:trPr>
        <w:tc>
          <w:tcPr>
            <w:tcW w:w="1780" w:type="dxa"/>
            <w:vAlign w:val="bottom"/>
          </w:tcPr>
          <w:p>
            <w:pPr>
              <w:spacing w:after="0"/>
              <w:rPr>
                <w:sz w:val="20"/>
                <w:szCs w:val="20"/>
                <w:color w:val="auto"/>
              </w:rPr>
            </w:pPr>
            <w:r>
              <w:rPr>
                <w:rFonts w:ascii="Arial" w:cs="Arial" w:eastAsia="Arial" w:hAnsi="Arial"/>
                <w:sz w:val="13"/>
                <w:szCs w:val="13"/>
                <w:b w:val="1"/>
                <w:bCs w:val="1"/>
                <w:color w:val="017B52"/>
              </w:rPr>
              <w:t>Michael R. Cole</w:t>
            </w:r>
          </w:p>
        </w:tc>
        <w:tc>
          <w:tcPr>
            <w:tcW w:w="1780" w:type="dxa"/>
            <w:vAlign w:val="bottom"/>
            <w:tcBorders>
              <w:bottom w:val="single" w:sz="8" w:color="007B51"/>
            </w:tcBorders>
          </w:tcPr>
          <w:p>
            <w:pPr>
              <w:jc w:val="right"/>
              <w:ind w:right="349"/>
              <w:spacing w:after="0" w:line="236" w:lineRule="exact"/>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(3)</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$513,055</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$513,055</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$513,055</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$871,034</w:t>
            </w:r>
          </w:p>
        </w:tc>
      </w:tr>
      <w:tr>
        <w:trPr>
          <w:trHeight w:val="237"/>
        </w:trPr>
        <w:tc>
          <w:tcPr>
            <w:tcW w:w="1780" w:type="dxa"/>
            <w:vAlign w:val="bottom"/>
          </w:tcPr>
          <w:p>
            <w:pPr>
              <w:spacing w:after="0"/>
              <w:rPr>
                <w:sz w:val="20"/>
                <w:szCs w:val="20"/>
                <w:color w:val="auto"/>
              </w:rPr>
            </w:pPr>
          </w:p>
        </w:tc>
        <w:tc>
          <w:tcPr>
            <w:tcW w:w="1780" w:type="dxa"/>
            <w:vAlign w:val="bottom"/>
            <w:tcBorders>
              <w:bottom w:val="single" w:sz="8" w:color="007B51"/>
            </w:tcBorders>
          </w:tcPr>
          <w:p>
            <w:pPr>
              <w:jc w:val="right"/>
              <w:ind w:right="349"/>
              <w:spacing w:after="0" w:line="236" w:lineRule="exact"/>
              <w:rPr>
                <w:sz w:val="20"/>
                <w:szCs w:val="20"/>
                <w:color w:val="auto"/>
              </w:rPr>
            </w:pPr>
            <w:r>
              <w:rPr>
                <w:rFonts w:ascii="Arial" w:cs="Arial" w:eastAsia="Arial" w:hAnsi="Arial"/>
                <w:sz w:val="14"/>
                <w:szCs w:val="14"/>
                <w:color w:val="auto"/>
              </w:rPr>
              <w:t xml:space="preserve">Equity: </w:t>
            </w:r>
            <w:r>
              <w:rPr>
                <w:rFonts w:ascii="Arial" w:cs="Arial" w:eastAsia="Arial" w:hAnsi="Arial"/>
                <w:sz w:val="23"/>
                <w:szCs w:val="23"/>
                <w:color w:val="auto"/>
                <w:vertAlign w:val="superscript"/>
              </w:rPr>
              <w:t>(4)</w:t>
            </w:r>
          </w:p>
        </w:tc>
        <w:tc>
          <w:tcPr>
            <w:tcW w:w="1640" w:type="dxa"/>
            <w:vAlign w:val="bottom"/>
            <w:tcBorders>
              <w:bottom w:val="single" w:sz="8" w:color="007B51"/>
            </w:tcBorders>
          </w:tcPr>
          <w:p>
            <w:pPr>
              <w:spacing w:after="0"/>
              <w:rPr>
                <w:sz w:val="20"/>
                <w:szCs w:val="20"/>
                <w:color w:val="auto"/>
              </w:rPr>
            </w:pPr>
          </w:p>
        </w:tc>
        <w:tc>
          <w:tcPr>
            <w:tcW w:w="1640" w:type="dxa"/>
            <w:vAlign w:val="bottom"/>
            <w:tcBorders>
              <w:bottom w:val="single" w:sz="8" w:color="007B51"/>
            </w:tcBorders>
          </w:tcPr>
          <w:p>
            <w:pPr>
              <w:spacing w:after="0"/>
              <w:rPr>
                <w:sz w:val="20"/>
                <w:szCs w:val="20"/>
                <w:color w:val="auto"/>
              </w:rPr>
            </w:pPr>
          </w:p>
        </w:tc>
        <w:tc>
          <w:tcPr>
            <w:tcW w:w="1420" w:type="dxa"/>
            <w:vAlign w:val="bottom"/>
            <w:tcBorders>
              <w:bottom w:val="single" w:sz="8" w:color="007B51"/>
            </w:tcBorders>
          </w:tcPr>
          <w:p>
            <w:pPr>
              <w:spacing w:after="0"/>
              <w:rPr>
                <w:sz w:val="20"/>
                <w:szCs w:val="20"/>
                <w:color w:val="auto"/>
              </w:rPr>
            </w:pPr>
          </w:p>
        </w:tc>
        <w:tc>
          <w:tcPr>
            <w:tcW w:w="1460" w:type="dxa"/>
            <w:vAlign w:val="bottom"/>
            <w:tcBorders>
              <w:bottom w:val="single" w:sz="8" w:color="007B51"/>
            </w:tcBorders>
          </w:tcPr>
          <w:p>
            <w:pPr>
              <w:spacing w:after="0"/>
              <w:rPr>
                <w:sz w:val="20"/>
                <w:szCs w:val="20"/>
                <w:color w:val="auto"/>
              </w:rPr>
            </w:pPr>
          </w:p>
        </w:tc>
      </w:tr>
      <w:tr>
        <w:trPr>
          <w:trHeight w:val="205"/>
        </w:trPr>
        <w:tc>
          <w:tcPr>
            <w:tcW w:w="1780" w:type="dxa"/>
            <w:vAlign w:val="bottom"/>
          </w:tcPr>
          <w:p>
            <w:pPr>
              <w:spacing w:after="0"/>
              <w:rPr>
                <w:sz w:val="17"/>
                <w:szCs w:val="17"/>
                <w:color w:val="auto"/>
              </w:rPr>
            </w:pPr>
          </w:p>
        </w:tc>
        <w:tc>
          <w:tcPr>
            <w:tcW w:w="178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 Restricted Stock</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$7,363,617</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$7,363,617</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$7,363,617</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$7,363,617</w:t>
            </w:r>
          </w:p>
        </w:tc>
      </w:tr>
      <w:tr>
        <w:trPr>
          <w:trHeight w:val="210"/>
        </w:trPr>
        <w:tc>
          <w:tcPr>
            <w:tcW w:w="1780" w:type="dxa"/>
            <w:vAlign w:val="bottom"/>
          </w:tcPr>
          <w:p>
            <w:pPr>
              <w:spacing w:after="0"/>
              <w:rPr>
                <w:sz w:val="18"/>
                <w:szCs w:val="18"/>
                <w:color w:val="auto"/>
              </w:rPr>
            </w:pPr>
          </w:p>
        </w:tc>
        <w:tc>
          <w:tcPr>
            <w:tcW w:w="178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Health and Welfare</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$76,285.44</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$76,285.44</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$65,151</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$65,151</w:t>
            </w:r>
          </w:p>
        </w:tc>
      </w:tr>
      <w:tr>
        <w:trPr>
          <w:trHeight w:val="209"/>
        </w:trPr>
        <w:tc>
          <w:tcPr>
            <w:tcW w:w="1780" w:type="dxa"/>
            <w:vAlign w:val="bottom"/>
          </w:tcPr>
          <w:p>
            <w:pPr>
              <w:spacing w:after="0"/>
              <w:rPr>
                <w:sz w:val="18"/>
                <w:szCs w:val="18"/>
                <w:color w:val="auto"/>
              </w:rPr>
            </w:pPr>
          </w:p>
        </w:tc>
        <w:tc>
          <w:tcPr>
            <w:tcW w:w="178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$7,941,823</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$7,941,823</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$7,941,823</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$8,299,802</w:t>
            </w:r>
          </w:p>
        </w:tc>
      </w:tr>
      <w:tr>
        <w:trPr>
          <w:trHeight w:val="173"/>
        </w:trPr>
        <w:tc>
          <w:tcPr>
            <w:tcW w:w="1780" w:type="dxa"/>
            <w:vAlign w:val="bottom"/>
            <w:tcBorders>
              <w:bottom w:val="single" w:sz="8" w:color="007B51"/>
            </w:tcBorders>
          </w:tcPr>
          <w:p>
            <w:pPr>
              <w:spacing w:after="0"/>
              <w:rPr>
                <w:sz w:val="15"/>
                <w:szCs w:val="15"/>
                <w:color w:val="auto"/>
              </w:rPr>
            </w:pPr>
          </w:p>
        </w:tc>
        <w:tc>
          <w:tcPr>
            <w:tcW w:w="1780" w:type="dxa"/>
            <w:vAlign w:val="bottom"/>
            <w:tcBorders>
              <w:bottom w:val="single" w:sz="8" w:color="007B51"/>
            </w:tcBorders>
          </w:tcPr>
          <w:p>
            <w:pPr>
              <w:spacing w:after="0"/>
              <w:rPr>
                <w:sz w:val="15"/>
                <w:szCs w:val="15"/>
                <w:color w:val="auto"/>
              </w:rPr>
            </w:pPr>
          </w:p>
        </w:tc>
        <w:tc>
          <w:tcPr>
            <w:tcW w:w="1640" w:type="dxa"/>
            <w:vAlign w:val="bottom"/>
            <w:tcBorders>
              <w:bottom w:val="single" w:sz="8" w:color="007B51"/>
            </w:tcBorders>
          </w:tcPr>
          <w:p>
            <w:pPr>
              <w:spacing w:after="0"/>
              <w:rPr>
                <w:sz w:val="15"/>
                <w:szCs w:val="15"/>
                <w:color w:val="auto"/>
              </w:rPr>
            </w:pPr>
          </w:p>
        </w:tc>
        <w:tc>
          <w:tcPr>
            <w:tcW w:w="1640" w:type="dxa"/>
            <w:vAlign w:val="bottom"/>
            <w:tcBorders>
              <w:bottom w:val="single" w:sz="8" w:color="007B51"/>
            </w:tcBorders>
          </w:tcPr>
          <w:p>
            <w:pPr>
              <w:spacing w:after="0"/>
              <w:rPr>
                <w:sz w:val="15"/>
                <w:szCs w:val="15"/>
                <w:color w:val="auto"/>
              </w:rPr>
            </w:pPr>
          </w:p>
        </w:tc>
        <w:tc>
          <w:tcPr>
            <w:tcW w:w="1420" w:type="dxa"/>
            <w:vAlign w:val="bottom"/>
            <w:tcBorders>
              <w:bottom w:val="single" w:sz="8" w:color="007B51"/>
            </w:tcBorders>
          </w:tcPr>
          <w:p>
            <w:pPr>
              <w:spacing w:after="0"/>
              <w:rPr>
                <w:sz w:val="15"/>
                <w:szCs w:val="15"/>
                <w:color w:val="auto"/>
              </w:rPr>
            </w:pPr>
          </w:p>
        </w:tc>
        <w:tc>
          <w:tcPr>
            <w:tcW w:w="1460" w:type="dxa"/>
            <w:vAlign w:val="bottom"/>
            <w:tcBorders>
              <w:bottom w:val="single" w:sz="8" w:color="007B51"/>
            </w:tcBorders>
          </w:tcPr>
          <w:p>
            <w:pPr>
              <w:spacing w:after="0"/>
              <w:rPr>
                <w:sz w:val="15"/>
                <w:szCs w:val="15"/>
                <w:color w:val="auto"/>
              </w:rPr>
            </w:pPr>
          </w:p>
        </w:tc>
      </w:tr>
      <w:tr>
        <w:trPr>
          <w:trHeight w:val="237"/>
        </w:trPr>
        <w:tc>
          <w:tcPr>
            <w:tcW w:w="1780" w:type="dxa"/>
            <w:vAlign w:val="bottom"/>
          </w:tcPr>
          <w:p>
            <w:pPr>
              <w:spacing w:after="0"/>
              <w:rPr>
                <w:sz w:val="20"/>
                <w:szCs w:val="20"/>
                <w:color w:val="auto"/>
              </w:rPr>
            </w:pPr>
            <w:r>
              <w:rPr>
                <w:rFonts w:ascii="Arial" w:cs="Arial" w:eastAsia="Arial" w:hAnsi="Arial"/>
                <w:sz w:val="13"/>
                <w:szCs w:val="13"/>
                <w:b w:val="1"/>
                <w:bCs w:val="1"/>
                <w:color w:val="017B52"/>
              </w:rPr>
              <w:t>Patrick M. Webster</w:t>
            </w:r>
            <w:r>
              <w:rPr>
                <w:rFonts w:ascii="Arial" w:cs="Arial" w:eastAsia="Arial" w:hAnsi="Arial"/>
                <w:sz w:val="20"/>
                <w:szCs w:val="20"/>
                <w:b w:val="1"/>
                <w:bCs w:val="1"/>
                <w:color w:val="017B52"/>
                <w:vertAlign w:val="superscript"/>
              </w:rPr>
              <w:t>(5)</w:t>
            </w:r>
          </w:p>
        </w:tc>
        <w:tc>
          <w:tcPr>
            <w:tcW w:w="1780" w:type="dxa"/>
            <w:vAlign w:val="bottom"/>
            <w:tcBorders>
              <w:bottom w:val="single" w:sz="8" w:color="007B51"/>
            </w:tcBorders>
          </w:tcPr>
          <w:p>
            <w:pPr>
              <w:jc w:val="right"/>
              <w:ind w:right="349"/>
              <w:spacing w:after="0" w:line="236" w:lineRule="exact"/>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(3)</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$722,760</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$722,760</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$722,760</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$973,680</w:t>
            </w:r>
          </w:p>
        </w:tc>
      </w:tr>
      <w:tr>
        <w:trPr>
          <w:trHeight w:val="237"/>
        </w:trPr>
        <w:tc>
          <w:tcPr>
            <w:tcW w:w="1780" w:type="dxa"/>
            <w:vAlign w:val="bottom"/>
          </w:tcPr>
          <w:p>
            <w:pPr>
              <w:spacing w:after="0"/>
              <w:rPr>
                <w:sz w:val="20"/>
                <w:szCs w:val="20"/>
                <w:color w:val="auto"/>
              </w:rPr>
            </w:pPr>
          </w:p>
        </w:tc>
        <w:tc>
          <w:tcPr>
            <w:tcW w:w="1780" w:type="dxa"/>
            <w:vAlign w:val="bottom"/>
            <w:tcBorders>
              <w:bottom w:val="single" w:sz="8" w:color="007B51"/>
            </w:tcBorders>
          </w:tcPr>
          <w:p>
            <w:pPr>
              <w:jc w:val="right"/>
              <w:ind w:right="349"/>
              <w:spacing w:after="0" w:line="236" w:lineRule="exact"/>
              <w:rPr>
                <w:sz w:val="20"/>
                <w:szCs w:val="20"/>
                <w:color w:val="auto"/>
              </w:rPr>
            </w:pPr>
            <w:r>
              <w:rPr>
                <w:rFonts w:ascii="Arial" w:cs="Arial" w:eastAsia="Arial" w:hAnsi="Arial"/>
                <w:sz w:val="14"/>
                <w:szCs w:val="14"/>
                <w:color w:val="auto"/>
              </w:rPr>
              <w:t xml:space="preserve">Equity: </w:t>
            </w:r>
            <w:r>
              <w:rPr>
                <w:rFonts w:ascii="Arial" w:cs="Arial" w:eastAsia="Arial" w:hAnsi="Arial"/>
                <w:sz w:val="23"/>
                <w:szCs w:val="23"/>
                <w:color w:val="auto"/>
                <w:vertAlign w:val="superscript"/>
              </w:rPr>
              <w:t>(4)</w:t>
            </w:r>
          </w:p>
        </w:tc>
        <w:tc>
          <w:tcPr>
            <w:tcW w:w="1640" w:type="dxa"/>
            <w:vAlign w:val="bottom"/>
            <w:tcBorders>
              <w:bottom w:val="single" w:sz="8" w:color="007B51"/>
            </w:tcBorders>
          </w:tcPr>
          <w:p>
            <w:pPr>
              <w:spacing w:after="0"/>
              <w:rPr>
                <w:sz w:val="20"/>
                <w:szCs w:val="20"/>
                <w:color w:val="auto"/>
              </w:rPr>
            </w:pPr>
          </w:p>
        </w:tc>
        <w:tc>
          <w:tcPr>
            <w:tcW w:w="1640" w:type="dxa"/>
            <w:vAlign w:val="bottom"/>
            <w:tcBorders>
              <w:bottom w:val="single" w:sz="8" w:color="007B51"/>
            </w:tcBorders>
          </w:tcPr>
          <w:p>
            <w:pPr>
              <w:spacing w:after="0"/>
              <w:rPr>
                <w:sz w:val="20"/>
                <w:szCs w:val="20"/>
                <w:color w:val="auto"/>
              </w:rPr>
            </w:pPr>
          </w:p>
        </w:tc>
        <w:tc>
          <w:tcPr>
            <w:tcW w:w="1420" w:type="dxa"/>
            <w:vAlign w:val="bottom"/>
            <w:tcBorders>
              <w:bottom w:val="single" w:sz="8" w:color="007B51"/>
            </w:tcBorders>
          </w:tcPr>
          <w:p>
            <w:pPr>
              <w:spacing w:after="0"/>
              <w:rPr>
                <w:sz w:val="20"/>
                <w:szCs w:val="20"/>
                <w:color w:val="auto"/>
              </w:rPr>
            </w:pPr>
          </w:p>
        </w:tc>
        <w:tc>
          <w:tcPr>
            <w:tcW w:w="1460" w:type="dxa"/>
            <w:vAlign w:val="bottom"/>
            <w:tcBorders>
              <w:bottom w:val="single" w:sz="8" w:color="007B51"/>
            </w:tcBorders>
          </w:tcPr>
          <w:p>
            <w:pPr>
              <w:spacing w:after="0"/>
              <w:rPr>
                <w:sz w:val="20"/>
                <w:szCs w:val="20"/>
                <w:color w:val="auto"/>
              </w:rPr>
            </w:pPr>
          </w:p>
        </w:tc>
      </w:tr>
      <w:tr>
        <w:trPr>
          <w:trHeight w:val="205"/>
        </w:trPr>
        <w:tc>
          <w:tcPr>
            <w:tcW w:w="1780" w:type="dxa"/>
            <w:vAlign w:val="bottom"/>
          </w:tcPr>
          <w:p>
            <w:pPr>
              <w:spacing w:after="0"/>
              <w:rPr>
                <w:sz w:val="17"/>
                <w:szCs w:val="17"/>
                <w:color w:val="auto"/>
              </w:rPr>
            </w:pPr>
          </w:p>
        </w:tc>
        <w:tc>
          <w:tcPr>
            <w:tcW w:w="178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 Restricted Stock</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$18,762,815</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$18,762,815</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$18,762,815</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$18,762,815</w:t>
            </w:r>
          </w:p>
        </w:tc>
      </w:tr>
      <w:tr>
        <w:trPr>
          <w:trHeight w:val="209"/>
        </w:trPr>
        <w:tc>
          <w:tcPr>
            <w:tcW w:w="1780" w:type="dxa"/>
            <w:vAlign w:val="bottom"/>
          </w:tcPr>
          <w:p>
            <w:pPr>
              <w:spacing w:after="0"/>
              <w:rPr>
                <w:sz w:val="18"/>
                <w:szCs w:val="18"/>
                <w:color w:val="auto"/>
              </w:rPr>
            </w:pPr>
          </w:p>
        </w:tc>
        <w:tc>
          <w:tcPr>
            <w:tcW w:w="178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Health and Welfare</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$53,512.20</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$53,512.20</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$46,236</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$46,236</w:t>
            </w:r>
          </w:p>
        </w:tc>
      </w:tr>
      <w:tr>
        <w:trPr>
          <w:trHeight w:val="210"/>
        </w:trPr>
        <w:tc>
          <w:tcPr>
            <w:tcW w:w="1780" w:type="dxa"/>
            <w:vAlign w:val="bottom"/>
          </w:tcPr>
          <w:p>
            <w:pPr>
              <w:spacing w:after="0"/>
              <w:rPr>
                <w:sz w:val="18"/>
                <w:szCs w:val="18"/>
                <w:color w:val="auto"/>
              </w:rPr>
            </w:pPr>
          </w:p>
        </w:tc>
        <w:tc>
          <w:tcPr>
            <w:tcW w:w="178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$19,531,811</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$19,531,811</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$19,531,811</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$19,782,731</w:t>
            </w:r>
          </w:p>
        </w:tc>
      </w:tr>
      <w:tr>
        <w:trPr>
          <w:trHeight w:val="173"/>
        </w:trPr>
        <w:tc>
          <w:tcPr>
            <w:tcW w:w="1780" w:type="dxa"/>
            <w:vAlign w:val="bottom"/>
            <w:tcBorders>
              <w:bottom w:val="single" w:sz="8" w:color="007B51"/>
            </w:tcBorders>
          </w:tcPr>
          <w:p>
            <w:pPr>
              <w:spacing w:after="0"/>
              <w:rPr>
                <w:sz w:val="15"/>
                <w:szCs w:val="15"/>
                <w:color w:val="auto"/>
              </w:rPr>
            </w:pPr>
          </w:p>
        </w:tc>
        <w:tc>
          <w:tcPr>
            <w:tcW w:w="1780" w:type="dxa"/>
            <w:vAlign w:val="bottom"/>
            <w:tcBorders>
              <w:bottom w:val="single" w:sz="8" w:color="007B51"/>
            </w:tcBorders>
          </w:tcPr>
          <w:p>
            <w:pPr>
              <w:spacing w:after="0"/>
              <w:rPr>
                <w:sz w:val="15"/>
                <w:szCs w:val="15"/>
                <w:color w:val="auto"/>
              </w:rPr>
            </w:pPr>
          </w:p>
        </w:tc>
        <w:tc>
          <w:tcPr>
            <w:tcW w:w="1640" w:type="dxa"/>
            <w:vAlign w:val="bottom"/>
            <w:tcBorders>
              <w:bottom w:val="single" w:sz="8" w:color="007B51"/>
            </w:tcBorders>
          </w:tcPr>
          <w:p>
            <w:pPr>
              <w:spacing w:after="0"/>
              <w:rPr>
                <w:sz w:val="15"/>
                <w:szCs w:val="15"/>
                <w:color w:val="auto"/>
              </w:rPr>
            </w:pPr>
          </w:p>
        </w:tc>
        <w:tc>
          <w:tcPr>
            <w:tcW w:w="1640" w:type="dxa"/>
            <w:vAlign w:val="bottom"/>
            <w:tcBorders>
              <w:bottom w:val="single" w:sz="8" w:color="007B51"/>
            </w:tcBorders>
          </w:tcPr>
          <w:p>
            <w:pPr>
              <w:spacing w:after="0"/>
              <w:rPr>
                <w:sz w:val="15"/>
                <w:szCs w:val="15"/>
                <w:color w:val="auto"/>
              </w:rPr>
            </w:pPr>
          </w:p>
        </w:tc>
        <w:tc>
          <w:tcPr>
            <w:tcW w:w="1420" w:type="dxa"/>
            <w:vAlign w:val="bottom"/>
            <w:tcBorders>
              <w:bottom w:val="single" w:sz="8" w:color="007B51"/>
            </w:tcBorders>
          </w:tcPr>
          <w:p>
            <w:pPr>
              <w:spacing w:after="0"/>
              <w:rPr>
                <w:sz w:val="15"/>
                <w:szCs w:val="15"/>
                <w:color w:val="auto"/>
              </w:rPr>
            </w:pPr>
          </w:p>
        </w:tc>
        <w:tc>
          <w:tcPr>
            <w:tcW w:w="1460" w:type="dxa"/>
            <w:vAlign w:val="bottom"/>
            <w:tcBorders>
              <w:bottom w:val="single" w:sz="8" w:color="007B51"/>
            </w:tcBorders>
          </w:tcPr>
          <w:p>
            <w:pPr>
              <w:spacing w:after="0"/>
              <w:rPr>
                <w:sz w:val="15"/>
                <w:szCs w:val="15"/>
                <w:color w:val="auto"/>
              </w:rPr>
            </w:pPr>
          </w:p>
        </w:tc>
      </w:tr>
      <w:tr>
        <w:trPr>
          <w:trHeight w:val="237"/>
        </w:trPr>
        <w:tc>
          <w:tcPr>
            <w:tcW w:w="1780" w:type="dxa"/>
            <w:vAlign w:val="bottom"/>
          </w:tcPr>
          <w:p>
            <w:pPr>
              <w:spacing w:after="0"/>
              <w:rPr>
                <w:sz w:val="20"/>
                <w:szCs w:val="20"/>
                <w:color w:val="auto"/>
              </w:rPr>
            </w:pPr>
            <w:r>
              <w:rPr>
                <w:rFonts w:ascii="Arial" w:cs="Arial" w:eastAsia="Arial" w:hAnsi="Arial"/>
                <w:sz w:val="13"/>
                <w:szCs w:val="13"/>
                <w:b w:val="1"/>
                <w:bCs w:val="1"/>
                <w:color w:val="017B52"/>
              </w:rPr>
              <w:t>Patrick M. Benton</w:t>
            </w:r>
          </w:p>
        </w:tc>
        <w:tc>
          <w:tcPr>
            <w:tcW w:w="1780" w:type="dxa"/>
            <w:vAlign w:val="bottom"/>
            <w:tcBorders>
              <w:bottom w:val="single" w:sz="8" w:color="007B51"/>
            </w:tcBorders>
          </w:tcPr>
          <w:p>
            <w:pPr>
              <w:jc w:val="right"/>
              <w:ind w:right="349"/>
              <w:spacing w:after="0" w:line="236" w:lineRule="exact"/>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(3)</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$262,496</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$262,496</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$262,496</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$598,108</w:t>
            </w:r>
          </w:p>
        </w:tc>
      </w:tr>
      <w:tr>
        <w:trPr>
          <w:trHeight w:val="237"/>
        </w:trPr>
        <w:tc>
          <w:tcPr>
            <w:tcW w:w="1780" w:type="dxa"/>
            <w:vAlign w:val="bottom"/>
          </w:tcPr>
          <w:p>
            <w:pPr>
              <w:spacing w:after="0"/>
              <w:rPr>
                <w:sz w:val="20"/>
                <w:szCs w:val="20"/>
                <w:color w:val="auto"/>
              </w:rPr>
            </w:pPr>
          </w:p>
        </w:tc>
        <w:tc>
          <w:tcPr>
            <w:tcW w:w="1780" w:type="dxa"/>
            <w:vAlign w:val="bottom"/>
            <w:tcBorders>
              <w:bottom w:val="single" w:sz="8" w:color="007B51"/>
            </w:tcBorders>
          </w:tcPr>
          <w:p>
            <w:pPr>
              <w:jc w:val="right"/>
              <w:ind w:right="349"/>
              <w:spacing w:after="0" w:line="236" w:lineRule="exact"/>
              <w:rPr>
                <w:sz w:val="20"/>
                <w:szCs w:val="20"/>
                <w:color w:val="auto"/>
              </w:rPr>
            </w:pPr>
            <w:r>
              <w:rPr>
                <w:rFonts w:ascii="Arial" w:cs="Arial" w:eastAsia="Arial" w:hAnsi="Arial"/>
                <w:sz w:val="14"/>
                <w:szCs w:val="14"/>
                <w:color w:val="auto"/>
              </w:rPr>
              <w:t xml:space="preserve">Equity: </w:t>
            </w:r>
            <w:r>
              <w:rPr>
                <w:rFonts w:ascii="Arial" w:cs="Arial" w:eastAsia="Arial" w:hAnsi="Arial"/>
                <w:sz w:val="23"/>
                <w:szCs w:val="23"/>
                <w:color w:val="auto"/>
                <w:vertAlign w:val="superscript"/>
              </w:rPr>
              <w:t>(4)</w:t>
            </w:r>
          </w:p>
        </w:tc>
        <w:tc>
          <w:tcPr>
            <w:tcW w:w="1640" w:type="dxa"/>
            <w:vAlign w:val="bottom"/>
            <w:tcBorders>
              <w:bottom w:val="single" w:sz="8" w:color="007B51"/>
            </w:tcBorders>
          </w:tcPr>
          <w:p>
            <w:pPr>
              <w:spacing w:after="0"/>
              <w:rPr>
                <w:sz w:val="20"/>
                <w:szCs w:val="20"/>
                <w:color w:val="auto"/>
              </w:rPr>
            </w:pPr>
          </w:p>
        </w:tc>
        <w:tc>
          <w:tcPr>
            <w:tcW w:w="1640" w:type="dxa"/>
            <w:vAlign w:val="bottom"/>
            <w:tcBorders>
              <w:bottom w:val="single" w:sz="8" w:color="007B51"/>
            </w:tcBorders>
          </w:tcPr>
          <w:p>
            <w:pPr>
              <w:spacing w:after="0"/>
              <w:rPr>
                <w:sz w:val="20"/>
                <w:szCs w:val="20"/>
                <w:color w:val="auto"/>
              </w:rPr>
            </w:pPr>
          </w:p>
        </w:tc>
        <w:tc>
          <w:tcPr>
            <w:tcW w:w="1420" w:type="dxa"/>
            <w:vAlign w:val="bottom"/>
            <w:tcBorders>
              <w:bottom w:val="single" w:sz="8" w:color="007B51"/>
            </w:tcBorders>
          </w:tcPr>
          <w:p>
            <w:pPr>
              <w:spacing w:after="0"/>
              <w:rPr>
                <w:sz w:val="20"/>
                <w:szCs w:val="20"/>
                <w:color w:val="auto"/>
              </w:rPr>
            </w:pPr>
          </w:p>
        </w:tc>
        <w:tc>
          <w:tcPr>
            <w:tcW w:w="1460" w:type="dxa"/>
            <w:vAlign w:val="bottom"/>
            <w:tcBorders>
              <w:bottom w:val="single" w:sz="8" w:color="007B51"/>
            </w:tcBorders>
          </w:tcPr>
          <w:p>
            <w:pPr>
              <w:spacing w:after="0"/>
              <w:rPr>
                <w:sz w:val="20"/>
                <w:szCs w:val="20"/>
                <w:color w:val="auto"/>
              </w:rPr>
            </w:pPr>
          </w:p>
        </w:tc>
      </w:tr>
      <w:tr>
        <w:trPr>
          <w:trHeight w:val="206"/>
        </w:trPr>
        <w:tc>
          <w:tcPr>
            <w:tcW w:w="1780" w:type="dxa"/>
            <w:vAlign w:val="bottom"/>
          </w:tcPr>
          <w:p>
            <w:pPr>
              <w:spacing w:after="0"/>
              <w:rPr>
                <w:sz w:val="17"/>
                <w:szCs w:val="17"/>
                <w:color w:val="auto"/>
              </w:rPr>
            </w:pPr>
          </w:p>
        </w:tc>
        <w:tc>
          <w:tcPr>
            <w:tcW w:w="178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 Restricted Stock</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$8,532,444</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$8,532,444</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$8,532,444</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$8,532,444</w:t>
            </w:r>
          </w:p>
        </w:tc>
      </w:tr>
      <w:tr>
        <w:trPr>
          <w:trHeight w:val="209"/>
        </w:trPr>
        <w:tc>
          <w:tcPr>
            <w:tcW w:w="1780" w:type="dxa"/>
            <w:vAlign w:val="bottom"/>
          </w:tcPr>
          <w:p>
            <w:pPr>
              <w:spacing w:after="0"/>
              <w:rPr>
                <w:sz w:val="18"/>
                <w:szCs w:val="18"/>
                <w:color w:val="auto"/>
              </w:rPr>
            </w:pPr>
          </w:p>
        </w:tc>
        <w:tc>
          <w:tcPr>
            <w:tcW w:w="178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Health and Welfare</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$76,285.44</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$76,285.44</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$65,151</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$65,151</w:t>
            </w:r>
          </w:p>
        </w:tc>
      </w:tr>
      <w:tr>
        <w:trPr>
          <w:trHeight w:val="209"/>
        </w:trPr>
        <w:tc>
          <w:tcPr>
            <w:tcW w:w="1780" w:type="dxa"/>
            <w:vAlign w:val="bottom"/>
          </w:tcPr>
          <w:p>
            <w:pPr>
              <w:spacing w:after="0"/>
              <w:rPr>
                <w:sz w:val="18"/>
                <w:szCs w:val="18"/>
                <w:color w:val="auto"/>
              </w:rPr>
            </w:pPr>
          </w:p>
        </w:tc>
        <w:tc>
          <w:tcPr>
            <w:tcW w:w="178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$8,860,091</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$8,860,091</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$8,860,091</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$9,195,703</w:t>
            </w:r>
          </w:p>
        </w:tc>
      </w:tr>
      <w:tr>
        <w:trPr>
          <w:trHeight w:val="173"/>
        </w:trPr>
        <w:tc>
          <w:tcPr>
            <w:tcW w:w="1780" w:type="dxa"/>
            <w:vAlign w:val="bottom"/>
            <w:tcBorders>
              <w:bottom w:val="single" w:sz="8" w:color="007B51"/>
            </w:tcBorders>
          </w:tcPr>
          <w:p>
            <w:pPr>
              <w:spacing w:after="0"/>
              <w:rPr>
                <w:sz w:val="15"/>
                <w:szCs w:val="15"/>
                <w:color w:val="auto"/>
              </w:rPr>
            </w:pPr>
          </w:p>
        </w:tc>
        <w:tc>
          <w:tcPr>
            <w:tcW w:w="1780" w:type="dxa"/>
            <w:vAlign w:val="bottom"/>
            <w:tcBorders>
              <w:bottom w:val="single" w:sz="8" w:color="007B51"/>
            </w:tcBorders>
          </w:tcPr>
          <w:p>
            <w:pPr>
              <w:spacing w:after="0"/>
              <w:rPr>
                <w:sz w:val="15"/>
                <w:szCs w:val="15"/>
                <w:color w:val="auto"/>
              </w:rPr>
            </w:pPr>
          </w:p>
        </w:tc>
        <w:tc>
          <w:tcPr>
            <w:tcW w:w="1640" w:type="dxa"/>
            <w:vAlign w:val="bottom"/>
            <w:tcBorders>
              <w:bottom w:val="single" w:sz="8" w:color="007B51"/>
            </w:tcBorders>
          </w:tcPr>
          <w:p>
            <w:pPr>
              <w:spacing w:after="0"/>
              <w:rPr>
                <w:sz w:val="15"/>
                <w:szCs w:val="15"/>
                <w:color w:val="auto"/>
              </w:rPr>
            </w:pPr>
          </w:p>
        </w:tc>
        <w:tc>
          <w:tcPr>
            <w:tcW w:w="1640" w:type="dxa"/>
            <w:vAlign w:val="bottom"/>
            <w:tcBorders>
              <w:bottom w:val="single" w:sz="8" w:color="007B51"/>
            </w:tcBorders>
          </w:tcPr>
          <w:p>
            <w:pPr>
              <w:spacing w:after="0"/>
              <w:rPr>
                <w:sz w:val="15"/>
                <w:szCs w:val="15"/>
                <w:color w:val="auto"/>
              </w:rPr>
            </w:pPr>
          </w:p>
        </w:tc>
        <w:tc>
          <w:tcPr>
            <w:tcW w:w="1420" w:type="dxa"/>
            <w:vAlign w:val="bottom"/>
            <w:tcBorders>
              <w:bottom w:val="single" w:sz="8" w:color="007B51"/>
            </w:tcBorders>
          </w:tcPr>
          <w:p>
            <w:pPr>
              <w:spacing w:after="0"/>
              <w:rPr>
                <w:sz w:val="15"/>
                <w:szCs w:val="15"/>
                <w:color w:val="auto"/>
              </w:rPr>
            </w:pPr>
          </w:p>
        </w:tc>
        <w:tc>
          <w:tcPr>
            <w:tcW w:w="1460" w:type="dxa"/>
            <w:vAlign w:val="bottom"/>
            <w:tcBorders>
              <w:bottom w:val="single" w:sz="8" w:color="007B51"/>
            </w:tcBorders>
          </w:tcPr>
          <w:p>
            <w:pPr>
              <w:spacing w:after="0"/>
              <w:rPr>
                <w:sz w:val="15"/>
                <w:szCs w:val="15"/>
                <w:color w:val="auto"/>
              </w:rPr>
            </w:pPr>
          </w:p>
        </w:tc>
      </w:tr>
      <w:tr>
        <w:trPr>
          <w:trHeight w:val="236"/>
        </w:trPr>
        <w:tc>
          <w:tcPr>
            <w:tcW w:w="1780" w:type="dxa"/>
            <w:vAlign w:val="bottom"/>
          </w:tcPr>
          <w:p>
            <w:pPr>
              <w:spacing w:after="0"/>
              <w:rPr>
                <w:sz w:val="20"/>
                <w:szCs w:val="20"/>
                <w:color w:val="auto"/>
              </w:rPr>
            </w:pPr>
            <w:r>
              <w:rPr>
                <w:rFonts w:ascii="Arial" w:cs="Arial" w:eastAsia="Arial" w:hAnsi="Arial"/>
                <w:sz w:val="13"/>
                <w:szCs w:val="13"/>
                <w:b w:val="1"/>
                <w:bCs w:val="1"/>
                <w:color w:val="017B52"/>
              </w:rPr>
              <w:t>Scott A. Worthington</w:t>
            </w:r>
          </w:p>
        </w:tc>
        <w:tc>
          <w:tcPr>
            <w:tcW w:w="1780" w:type="dxa"/>
            <w:vAlign w:val="bottom"/>
            <w:tcBorders>
              <w:bottom w:val="single" w:sz="8" w:color="007B51"/>
            </w:tcBorders>
          </w:tcPr>
          <w:p>
            <w:pPr>
              <w:jc w:val="right"/>
              <w:ind w:right="349"/>
              <w:spacing w:after="0" w:line="236" w:lineRule="exact"/>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(3)</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$147,056</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$147,056</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$147,056</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$510,000</w:t>
            </w:r>
          </w:p>
        </w:tc>
      </w:tr>
      <w:tr>
        <w:trPr>
          <w:trHeight w:val="237"/>
        </w:trPr>
        <w:tc>
          <w:tcPr>
            <w:tcW w:w="1780" w:type="dxa"/>
            <w:vAlign w:val="bottom"/>
          </w:tcPr>
          <w:p>
            <w:pPr>
              <w:spacing w:after="0"/>
              <w:rPr>
                <w:sz w:val="20"/>
                <w:szCs w:val="20"/>
                <w:color w:val="auto"/>
              </w:rPr>
            </w:pPr>
          </w:p>
        </w:tc>
        <w:tc>
          <w:tcPr>
            <w:tcW w:w="1780" w:type="dxa"/>
            <w:vAlign w:val="bottom"/>
            <w:tcBorders>
              <w:bottom w:val="single" w:sz="8" w:color="007B51"/>
            </w:tcBorders>
          </w:tcPr>
          <w:p>
            <w:pPr>
              <w:jc w:val="right"/>
              <w:ind w:right="349"/>
              <w:spacing w:after="0" w:line="236" w:lineRule="exact"/>
              <w:rPr>
                <w:sz w:val="20"/>
                <w:szCs w:val="20"/>
                <w:color w:val="auto"/>
              </w:rPr>
            </w:pPr>
            <w:r>
              <w:rPr>
                <w:rFonts w:ascii="Arial" w:cs="Arial" w:eastAsia="Arial" w:hAnsi="Arial"/>
                <w:sz w:val="14"/>
                <w:szCs w:val="14"/>
                <w:color w:val="auto"/>
              </w:rPr>
              <w:t xml:space="preserve">Equity: </w:t>
            </w:r>
            <w:r>
              <w:rPr>
                <w:rFonts w:ascii="Arial" w:cs="Arial" w:eastAsia="Arial" w:hAnsi="Arial"/>
                <w:sz w:val="23"/>
                <w:szCs w:val="23"/>
                <w:color w:val="auto"/>
                <w:vertAlign w:val="superscript"/>
              </w:rPr>
              <w:t>(4)</w:t>
            </w:r>
          </w:p>
        </w:tc>
        <w:tc>
          <w:tcPr>
            <w:tcW w:w="1640" w:type="dxa"/>
            <w:vAlign w:val="bottom"/>
            <w:tcBorders>
              <w:bottom w:val="single" w:sz="8" w:color="007B51"/>
            </w:tcBorders>
          </w:tcPr>
          <w:p>
            <w:pPr>
              <w:spacing w:after="0"/>
              <w:rPr>
                <w:sz w:val="20"/>
                <w:szCs w:val="20"/>
                <w:color w:val="auto"/>
              </w:rPr>
            </w:pPr>
          </w:p>
        </w:tc>
        <w:tc>
          <w:tcPr>
            <w:tcW w:w="1640" w:type="dxa"/>
            <w:vAlign w:val="bottom"/>
            <w:tcBorders>
              <w:bottom w:val="single" w:sz="8" w:color="007B51"/>
            </w:tcBorders>
          </w:tcPr>
          <w:p>
            <w:pPr>
              <w:spacing w:after="0"/>
              <w:rPr>
                <w:sz w:val="20"/>
                <w:szCs w:val="20"/>
                <w:color w:val="auto"/>
              </w:rPr>
            </w:pPr>
          </w:p>
        </w:tc>
        <w:tc>
          <w:tcPr>
            <w:tcW w:w="1420" w:type="dxa"/>
            <w:vAlign w:val="bottom"/>
            <w:tcBorders>
              <w:bottom w:val="single" w:sz="8" w:color="007B51"/>
            </w:tcBorders>
          </w:tcPr>
          <w:p>
            <w:pPr>
              <w:spacing w:after="0"/>
              <w:rPr>
                <w:sz w:val="20"/>
                <w:szCs w:val="20"/>
                <w:color w:val="auto"/>
              </w:rPr>
            </w:pPr>
          </w:p>
        </w:tc>
        <w:tc>
          <w:tcPr>
            <w:tcW w:w="1460" w:type="dxa"/>
            <w:vAlign w:val="bottom"/>
            <w:tcBorders>
              <w:bottom w:val="single" w:sz="8" w:color="007B51"/>
            </w:tcBorders>
          </w:tcPr>
          <w:p>
            <w:pPr>
              <w:spacing w:after="0"/>
              <w:rPr>
                <w:sz w:val="20"/>
                <w:szCs w:val="20"/>
                <w:color w:val="auto"/>
              </w:rPr>
            </w:pPr>
          </w:p>
        </w:tc>
      </w:tr>
      <w:tr>
        <w:trPr>
          <w:trHeight w:val="205"/>
        </w:trPr>
        <w:tc>
          <w:tcPr>
            <w:tcW w:w="1780" w:type="dxa"/>
            <w:vAlign w:val="bottom"/>
          </w:tcPr>
          <w:p>
            <w:pPr>
              <w:spacing w:after="0"/>
              <w:rPr>
                <w:sz w:val="17"/>
                <w:szCs w:val="17"/>
                <w:color w:val="auto"/>
              </w:rPr>
            </w:pPr>
          </w:p>
        </w:tc>
        <w:tc>
          <w:tcPr>
            <w:tcW w:w="178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 Restricted Stock</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$4,518,709</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$4,518,709</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$4,518,709</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$4,518,709</w:t>
            </w:r>
          </w:p>
        </w:tc>
      </w:tr>
      <w:tr>
        <w:trPr>
          <w:trHeight w:val="209"/>
        </w:trPr>
        <w:tc>
          <w:tcPr>
            <w:tcW w:w="1780" w:type="dxa"/>
            <w:vAlign w:val="bottom"/>
          </w:tcPr>
          <w:p>
            <w:pPr>
              <w:spacing w:after="0"/>
              <w:rPr>
                <w:sz w:val="18"/>
                <w:szCs w:val="18"/>
                <w:color w:val="auto"/>
              </w:rPr>
            </w:pPr>
          </w:p>
        </w:tc>
        <w:tc>
          <w:tcPr>
            <w:tcW w:w="178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Health and Welfare</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$76,285.44</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$76,285.44</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$65,151</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$65,151</w:t>
            </w:r>
          </w:p>
        </w:tc>
      </w:tr>
      <w:tr>
        <w:trPr>
          <w:trHeight w:val="210"/>
        </w:trPr>
        <w:tc>
          <w:tcPr>
            <w:tcW w:w="1780" w:type="dxa"/>
            <w:vAlign w:val="bottom"/>
            <w:tcBorders>
              <w:bottom w:val="single" w:sz="8" w:color="007B51"/>
            </w:tcBorders>
          </w:tcPr>
          <w:p>
            <w:pPr>
              <w:spacing w:after="0"/>
              <w:rPr>
                <w:sz w:val="18"/>
                <w:szCs w:val="18"/>
                <w:color w:val="auto"/>
              </w:rPr>
            </w:pPr>
          </w:p>
        </w:tc>
        <w:tc>
          <w:tcPr>
            <w:tcW w:w="178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007B51"/>
            </w:tcBorders>
          </w:tcPr>
          <w:p>
            <w:pPr>
              <w:jc w:val="right"/>
              <w:ind w:right="349"/>
              <w:spacing w:after="0"/>
              <w:rPr>
                <w:sz w:val="20"/>
                <w:szCs w:val="20"/>
                <w:color w:val="auto"/>
              </w:rPr>
            </w:pPr>
            <w:r>
              <w:rPr>
                <w:rFonts w:ascii="Arial" w:cs="Arial" w:eastAsia="Arial" w:hAnsi="Arial"/>
                <w:sz w:val="14"/>
                <w:szCs w:val="14"/>
                <w:color w:val="auto"/>
              </w:rPr>
              <w:t>$4,730,916</w:t>
            </w:r>
          </w:p>
        </w:tc>
        <w:tc>
          <w:tcPr>
            <w:tcW w:w="1640" w:type="dxa"/>
            <w:vAlign w:val="bottom"/>
            <w:tcBorders>
              <w:bottom w:val="single" w:sz="8" w:color="007B51"/>
            </w:tcBorders>
          </w:tcPr>
          <w:p>
            <w:pPr>
              <w:jc w:val="right"/>
              <w:ind w:right="329"/>
              <w:spacing w:after="0"/>
              <w:rPr>
                <w:sz w:val="20"/>
                <w:szCs w:val="20"/>
                <w:color w:val="auto"/>
              </w:rPr>
            </w:pPr>
            <w:r>
              <w:rPr>
                <w:rFonts w:ascii="Arial" w:cs="Arial" w:eastAsia="Arial" w:hAnsi="Arial"/>
                <w:sz w:val="14"/>
                <w:szCs w:val="14"/>
                <w:color w:val="auto"/>
              </w:rPr>
              <w:t>$4,730,916</w:t>
            </w:r>
          </w:p>
        </w:tc>
        <w:tc>
          <w:tcPr>
            <w:tcW w:w="1420" w:type="dxa"/>
            <w:vAlign w:val="bottom"/>
            <w:tcBorders>
              <w:bottom w:val="single" w:sz="8" w:color="007B51"/>
            </w:tcBorders>
          </w:tcPr>
          <w:p>
            <w:pPr>
              <w:jc w:val="right"/>
              <w:ind w:right="109"/>
              <w:spacing w:after="0"/>
              <w:rPr>
                <w:sz w:val="20"/>
                <w:szCs w:val="20"/>
                <w:color w:val="auto"/>
              </w:rPr>
            </w:pPr>
            <w:r>
              <w:rPr>
                <w:rFonts w:ascii="Arial" w:cs="Arial" w:eastAsia="Arial" w:hAnsi="Arial"/>
                <w:sz w:val="14"/>
                <w:szCs w:val="14"/>
                <w:color w:val="auto"/>
              </w:rPr>
              <w:t>$4,730,916</w:t>
            </w:r>
          </w:p>
        </w:tc>
        <w:tc>
          <w:tcPr>
            <w:tcW w:w="14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$5,093,860</w:t>
            </w:r>
          </w:p>
        </w:tc>
      </w:tr>
    </w:tbl>
    <w:p>
      <w:pPr>
        <w:spacing w:after="0" w:line="225" w:lineRule="exact"/>
        <w:rPr>
          <w:sz w:val="20"/>
          <w:szCs w:val="20"/>
          <w:color w:val="auto"/>
        </w:rPr>
      </w:pPr>
    </w:p>
    <w:p>
      <w:pPr>
        <w:ind w:left="260" w:hanging="256"/>
        <w:spacing w:after="0"/>
        <w:tabs>
          <w:tab w:leader="none" w:pos="260" w:val="left"/>
        </w:tabs>
        <w:numPr>
          <w:ilvl w:val="0"/>
          <w:numId w:val="49"/>
        </w:numPr>
        <w:rPr>
          <w:rFonts w:ascii="Arial" w:cs="Arial" w:eastAsia="Arial" w:hAnsi="Arial"/>
          <w:sz w:val="13"/>
          <w:szCs w:val="13"/>
          <w:color w:val="58595B"/>
        </w:rPr>
      </w:pPr>
      <w:r>
        <w:rPr>
          <w:rFonts w:ascii="Arial" w:cs="Arial" w:eastAsia="Arial" w:hAnsi="Arial"/>
          <w:sz w:val="13"/>
          <w:szCs w:val="13"/>
          <w:color w:val="58595B"/>
        </w:rPr>
        <w:t>Accounts of the Named Executives in deferred compensation plans and 401(k) plans are not included.</w:t>
      </w:r>
    </w:p>
    <w:p>
      <w:pPr>
        <w:spacing w:after="0" w:line="93" w:lineRule="exact"/>
        <w:rPr>
          <w:rFonts w:ascii="Arial" w:cs="Arial" w:eastAsia="Arial" w:hAnsi="Arial"/>
          <w:sz w:val="13"/>
          <w:szCs w:val="13"/>
          <w:color w:val="58595B"/>
        </w:rPr>
      </w:pPr>
    </w:p>
    <w:p>
      <w:pPr>
        <w:ind w:left="260" w:right="140" w:hanging="256"/>
        <w:spacing w:after="0" w:line="243" w:lineRule="auto"/>
        <w:tabs>
          <w:tab w:leader="none" w:pos="260" w:val="left"/>
        </w:tabs>
        <w:numPr>
          <w:ilvl w:val="0"/>
          <w:numId w:val="49"/>
        </w:numPr>
        <w:rPr>
          <w:rFonts w:ascii="Arial" w:cs="Arial" w:eastAsia="Arial" w:hAnsi="Arial"/>
          <w:sz w:val="13"/>
          <w:szCs w:val="13"/>
          <w:color w:val="58595B"/>
        </w:rPr>
      </w:pPr>
      <w:r>
        <w:rPr>
          <w:rFonts w:ascii="Arial" w:cs="Arial" w:eastAsia="Arial" w:hAnsi="Arial"/>
          <w:sz w:val="13"/>
          <w:szCs w:val="13"/>
          <w:color w:val="58595B"/>
        </w:rPr>
        <w:t>In the event of a change in control and his actual or constructive termination of employment, Mr. Missad would receive three years of salary, while Messrs. Cole, Benton and Worthington would each receive two years of salary.</w:t>
      </w:r>
    </w:p>
    <w:p>
      <w:pPr>
        <w:spacing w:after="0" w:line="75" w:lineRule="exact"/>
        <w:rPr>
          <w:rFonts w:ascii="Arial" w:cs="Arial" w:eastAsia="Arial" w:hAnsi="Arial"/>
          <w:sz w:val="13"/>
          <w:szCs w:val="13"/>
          <w:color w:val="58595B"/>
        </w:rPr>
      </w:pPr>
    </w:p>
    <w:p>
      <w:pPr>
        <w:ind w:left="260" w:right="20" w:hanging="256"/>
        <w:spacing w:after="0" w:line="225" w:lineRule="auto"/>
        <w:tabs>
          <w:tab w:leader="none" w:pos="260" w:val="left"/>
        </w:tabs>
        <w:numPr>
          <w:ilvl w:val="0"/>
          <w:numId w:val="49"/>
        </w:numPr>
        <w:rPr>
          <w:rFonts w:ascii="Arial" w:cs="Arial" w:eastAsia="Arial" w:hAnsi="Arial"/>
          <w:sz w:val="13"/>
          <w:szCs w:val="13"/>
          <w:color w:val="58595B"/>
        </w:rPr>
      </w:pPr>
      <w:r>
        <w:rPr>
          <w:rFonts w:ascii="Arial" w:cs="Arial" w:eastAsia="Arial" w:hAnsi="Arial"/>
          <w:sz w:val="13"/>
          <w:szCs w:val="13"/>
          <w:color w:val="58595B"/>
        </w:rPr>
        <w:t>None of our Named Executives has an employment agreement with the Company. In lieu of severance, our Board has approved an executive retirement plan (“ERP”) for officers who have been employed by the Company for at least twenty years and have been officers for at least ten years (which currently excludes our CEO). Upon death, permanent disability, or other separation of service at age 62 or later, qualifying employees are entitled to receive three annual cash payments, with each payment equal to one-half of the highest annual base salary during the three-year period preceding separation. If death, permanent disability, or separation of service occurs prior to age 62, the ERP benefits are discounted based upon the difference between the qualifying employee’s actual age and age 62. Benefits under the ERP are forfeited if the Named Executive competes with the Company while employed by the Company or any time while benefits are due.</w:t>
      </w:r>
    </w:p>
    <w:p>
      <w:pPr>
        <w:spacing w:after="0" w:line="77" w:lineRule="exact"/>
        <w:rPr>
          <w:rFonts w:ascii="Arial" w:cs="Arial" w:eastAsia="Arial" w:hAnsi="Arial"/>
          <w:sz w:val="13"/>
          <w:szCs w:val="13"/>
          <w:color w:val="58595B"/>
        </w:rPr>
      </w:pPr>
    </w:p>
    <w:p>
      <w:pPr>
        <w:ind w:left="260" w:right="120"/>
        <w:spacing w:after="0" w:line="243" w:lineRule="auto"/>
        <w:rPr>
          <w:rFonts w:ascii="Arial" w:cs="Arial" w:eastAsia="Arial" w:hAnsi="Arial"/>
          <w:sz w:val="13"/>
          <w:szCs w:val="13"/>
          <w:color w:val="58595B"/>
        </w:rPr>
      </w:pPr>
      <w:r>
        <w:rPr>
          <w:rFonts w:ascii="Arial" w:cs="Arial" w:eastAsia="Arial" w:hAnsi="Arial"/>
          <w:sz w:val="13"/>
          <w:szCs w:val="13"/>
          <w:color w:val="58595B"/>
        </w:rPr>
        <w:t>Each of the Named Executives has met the service requirements of the ERP. In addition to the benefits provided under the ERP, the Named Executives are eligible for a stipend for health care.</w:t>
      </w:r>
    </w:p>
    <w:p>
      <w:pPr>
        <w:spacing w:after="0" w:line="75" w:lineRule="exact"/>
        <w:rPr>
          <w:rFonts w:ascii="Arial" w:cs="Arial" w:eastAsia="Arial" w:hAnsi="Arial"/>
          <w:sz w:val="13"/>
          <w:szCs w:val="13"/>
          <w:color w:val="58595B"/>
        </w:rPr>
      </w:pPr>
    </w:p>
    <w:p>
      <w:pPr>
        <w:ind w:left="260" w:hanging="256"/>
        <w:spacing w:after="0"/>
        <w:tabs>
          <w:tab w:leader="none" w:pos="260" w:val="left"/>
        </w:tabs>
        <w:numPr>
          <w:ilvl w:val="0"/>
          <w:numId w:val="49"/>
        </w:numPr>
        <w:rPr>
          <w:rFonts w:ascii="Arial" w:cs="Arial" w:eastAsia="Arial" w:hAnsi="Arial"/>
          <w:sz w:val="13"/>
          <w:szCs w:val="13"/>
          <w:color w:val="58595B"/>
        </w:rPr>
      </w:pPr>
      <w:r>
        <w:rPr>
          <w:rFonts w:ascii="Arial" w:cs="Arial" w:eastAsia="Arial" w:hAnsi="Arial"/>
          <w:sz w:val="13"/>
          <w:szCs w:val="13"/>
          <w:color w:val="58595B"/>
        </w:rPr>
        <w:t>Stock awards that have already vested are not included in the table.</w:t>
      </w:r>
    </w:p>
    <w:p>
      <w:pPr>
        <w:spacing w:after="0" w:line="93" w:lineRule="exact"/>
        <w:rPr>
          <w:rFonts w:ascii="Arial" w:cs="Arial" w:eastAsia="Arial" w:hAnsi="Arial"/>
          <w:sz w:val="13"/>
          <w:szCs w:val="13"/>
          <w:color w:val="58595B"/>
        </w:rPr>
      </w:pPr>
    </w:p>
    <w:p>
      <w:pPr>
        <w:ind w:left="260" w:right="80" w:hanging="256"/>
        <w:spacing w:after="0" w:line="243" w:lineRule="auto"/>
        <w:tabs>
          <w:tab w:leader="none" w:pos="260" w:val="left"/>
        </w:tabs>
        <w:numPr>
          <w:ilvl w:val="0"/>
          <w:numId w:val="49"/>
        </w:numPr>
        <w:rPr>
          <w:rFonts w:ascii="Arial" w:cs="Arial" w:eastAsia="Arial" w:hAnsi="Arial"/>
          <w:sz w:val="13"/>
          <w:szCs w:val="13"/>
          <w:color w:val="58595B"/>
        </w:rPr>
      </w:pPr>
      <w:r>
        <w:rPr>
          <w:rFonts w:ascii="Arial" w:cs="Arial" w:eastAsia="Arial" w:hAnsi="Arial"/>
          <w:sz w:val="13"/>
          <w:szCs w:val="13"/>
          <w:color w:val="58595B"/>
        </w:rPr>
        <w:t>Mr. Webster retired from the Company as of December 31, 2022. In connection with his retirement, Mr. Webster entered into a three-year Consulting Agreement with the Company that provides for an annual payment of $75,000.</w:t>
      </w:r>
    </w:p>
    <w:p>
      <w:pPr>
        <w:spacing w:after="0" w:line="318"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40</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Pay versus Performance</w:t>
      </w:r>
    </w:p>
    <w:p>
      <w:pPr>
        <w:spacing w:after="0" w:line="166"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As required by Section 953(a) of the Dodd-Frank Act, and Item 402(v) of Regulation S-K, we are providing the following information about the relationship between executive compensation actually paid and certain company financial performance metrics. For further information concerning our pay-for-performance philosophy and how we align executive compensation with company financial performance, refer to the Compensation Discussion and Analysis.</w:t>
      </w:r>
    </w:p>
    <w:p>
      <w:pPr>
        <w:spacing w:after="0" w:line="124"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following table provides information showing the relationship during 2022, 2021 and 2020 between (1) executive “compensation actually paid” (as defined by SEC rule) to (a) each person serving as our CEO and (b) our non-CEO named executive officers (also referred to as other NEOs below), on an average basis, and (2) the company’s financial performance. The company’s selected performance measure is Pre-Bonus Operating Profit (PBOP), as reflected in the chart below. Information presented in this section will not be deemed to be incorporated by reference into any of our filings under the Securities Act of 1933, as amended, or the Exchange Act, except as we may specifically do so.</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7"/>
              </w:rPr>
              <w:t>VALUE OF INITIAL FIXED</w:t>
            </w: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AVERAGE SUMMARY</w:t>
            </w:r>
          </w:p>
        </w:tc>
        <w:tc>
          <w:tcPr>
            <w:tcW w:w="1560" w:type="dxa"/>
            <w:vAlign w:val="bottom"/>
            <w:vMerge w:val="restart"/>
          </w:tcPr>
          <w:p>
            <w:pPr>
              <w:jc w:val="center"/>
              <w:ind w:right="60"/>
              <w:spacing w:after="0"/>
              <w:rPr>
                <w:sz w:val="20"/>
                <w:szCs w:val="20"/>
                <w:color w:val="auto"/>
              </w:rPr>
            </w:pPr>
            <w:r>
              <w:rPr>
                <w:rFonts w:ascii="Arial" w:cs="Arial" w:eastAsia="Arial" w:hAnsi="Arial"/>
                <w:sz w:val="11"/>
                <w:szCs w:val="11"/>
                <w:b w:val="1"/>
                <w:bCs w:val="1"/>
                <w:color w:val="auto"/>
                <w:w w:val="95"/>
              </w:rPr>
              <w:t>AVERAGE</w:t>
            </w:r>
          </w:p>
        </w:tc>
        <w:tc>
          <w:tcPr>
            <w:tcW w:w="15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7"/>
              </w:rPr>
              <w:t>$100 INVESTMENT</w:t>
            </w:r>
          </w:p>
        </w:tc>
        <w:tc>
          <w:tcPr>
            <w:tcW w:w="1000" w:type="dxa"/>
            <w:vAlign w:val="bottom"/>
          </w:tcPr>
          <w:p>
            <w:pPr>
              <w:spacing w:after="0"/>
              <w:rPr>
                <w:sz w:val="10"/>
                <w:szCs w:val="10"/>
                <w:color w:val="auto"/>
              </w:rPr>
            </w:pPr>
          </w:p>
        </w:tc>
        <w:tc>
          <w:tcPr>
            <w:tcW w:w="1040" w:type="dxa"/>
            <w:vAlign w:val="bottom"/>
            <w:vMerge w:val="restart"/>
          </w:tcPr>
          <w:p>
            <w:pPr>
              <w:jc w:val="center"/>
              <w:ind w:left="40"/>
              <w:spacing w:after="0"/>
              <w:rPr>
                <w:sz w:val="20"/>
                <w:szCs w:val="20"/>
                <w:color w:val="auto"/>
              </w:rPr>
            </w:pPr>
            <w:r>
              <w:rPr>
                <w:rFonts w:ascii="Arial" w:cs="Arial" w:eastAsia="Arial" w:hAnsi="Arial"/>
                <w:sz w:val="11"/>
                <w:szCs w:val="11"/>
                <w:b w:val="1"/>
                <w:bCs w:val="1"/>
                <w:color w:val="auto"/>
                <w:w w:val="95"/>
              </w:rPr>
              <w:t>COMPANY</w:t>
            </w:r>
          </w:p>
        </w:tc>
        <w:tc>
          <w:tcPr>
            <w:tcW w:w="0" w:type="dxa"/>
            <w:vAlign w:val="bottom"/>
          </w:tcPr>
          <w:p>
            <w:pPr>
              <w:spacing w:after="0"/>
              <w:rPr>
                <w:sz w:val="1"/>
                <w:szCs w:val="1"/>
                <w:color w:val="auto"/>
              </w:rPr>
            </w:pPr>
          </w:p>
        </w:tc>
      </w:tr>
      <w:tr>
        <w:trPr>
          <w:trHeight w:val="49"/>
        </w:trPr>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1540" w:type="dxa"/>
            <w:vAlign w:val="bottom"/>
            <w:gridSpan w:val="3"/>
            <w:vMerge w:val="restart"/>
          </w:tcPr>
          <w:p>
            <w:pPr>
              <w:jc w:val="center"/>
              <w:ind w:right="80"/>
              <w:spacing w:after="0" w:line="171" w:lineRule="exact"/>
              <w:rPr>
                <w:sz w:val="20"/>
                <w:szCs w:val="20"/>
                <w:color w:val="auto"/>
              </w:rPr>
            </w:pPr>
            <w:r>
              <w:rPr>
                <w:rFonts w:ascii="Arial" w:cs="Arial" w:eastAsia="Arial" w:hAnsi="Arial"/>
                <w:sz w:val="11"/>
                <w:szCs w:val="11"/>
                <w:b w:val="1"/>
                <w:bCs w:val="1"/>
                <w:color w:val="auto"/>
                <w:w w:val="92"/>
              </w:rPr>
              <w:t>BASED ON:</w:t>
            </w:r>
            <w:r>
              <w:rPr>
                <w:rFonts w:ascii="Arial" w:cs="Arial" w:eastAsia="Arial" w:hAnsi="Arial"/>
                <w:sz w:val="17"/>
                <w:szCs w:val="17"/>
                <w:b w:val="1"/>
                <w:bCs w:val="1"/>
                <w:color w:val="auto"/>
                <w:w w:val="92"/>
                <w:vertAlign w:val="superscript"/>
              </w:rPr>
              <w:t>(3)</w:t>
            </w:r>
          </w:p>
        </w:tc>
        <w:tc>
          <w:tcPr>
            <w:tcW w:w="10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1300" w:type="dxa"/>
            <w:vAlign w:val="bottom"/>
          </w:tcPr>
          <w:p>
            <w:pPr>
              <w:jc w:val="center"/>
              <w:ind w:left="139"/>
              <w:spacing w:after="0" w:line="122" w:lineRule="exact"/>
              <w:rPr>
                <w:sz w:val="20"/>
                <w:szCs w:val="20"/>
                <w:color w:val="auto"/>
              </w:rPr>
            </w:pPr>
            <w:r>
              <w:rPr>
                <w:rFonts w:ascii="Arial" w:cs="Arial" w:eastAsia="Arial" w:hAnsi="Arial"/>
                <w:sz w:val="11"/>
                <w:szCs w:val="11"/>
                <w:b w:val="1"/>
                <w:bCs w:val="1"/>
                <w:color w:val="auto"/>
                <w:w w:val="94"/>
              </w:rPr>
              <w:t>SUMMARY</w:t>
            </w:r>
          </w:p>
        </w:tc>
        <w:tc>
          <w:tcPr>
            <w:tcW w:w="1100" w:type="dxa"/>
            <w:vAlign w:val="bottom"/>
          </w:tcPr>
          <w:p>
            <w:pPr>
              <w:spacing w:after="0"/>
              <w:rPr>
                <w:sz w:val="11"/>
                <w:szCs w:val="11"/>
                <w:color w:val="auto"/>
              </w:rPr>
            </w:pPr>
          </w:p>
        </w:tc>
        <w:tc>
          <w:tcPr>
            <w:tcW w:w="14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COMPENSATION TABLE</w:t>
            </w:r>
          </w:p>
        </w:tc>
        <w:tc>
          <w:tcPr>
            <w:tcW w:w="1560" w:type="dxa"/>
            <w:vAlign w:val="bottom"/>
          </w:tcPr>
          <w:p>
            <w:pPr>
              <w:jc w:val="center"/>
              <w:ind w:right="20"/>
              <w:spacing w:after="0" w:line="122" w:lineRule="exact"/>
              <w:rPr>
                <w:sz w:val="20"/>
                <w:szCs w:val="20"/>
                <w:color w:val="auto"/>
              </w:rPr>
            </w:pPr>
            <w:r>
              <w:rPr>
                <w:rFonts w:ascii="Arial" w:cs="Arial" w:eastAsia="Arial" w:hAnsi="Arial"/>
                <w:sz w:val="11"/>
                <w:szCs w:val="11"/>
                <w:b w:val="1"/>
                <w:bCs w:val="1"/>
                <w:color w:val="auto"/>
                <w:w w:val="97"/>
              </w:rPr>
              <w:t>COMPENSATION</w:t>
            </w:r>
          </w:p>
        </w:tc>
        <w:tc>
          <w:tcPr>
            <w:tcW w:w="1540" w:type="dxa"/>
            <w:vAlign w:val="bottom"/>
            <w:gridSpan w:val="3"/>
            <w:vMerge w:val="continue"/>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jc w:val="center"/>
              <w:ind w:left="40"/>
              <w:spacing w:after="0" w:line="122" w:lineRule="exact"/>
              <w:rPr>
                <w:sz w:val="20"/>
                <w:szCs w:val="20"/>
                <w:color w:val="auto"/>
              </w:rPr>
            </w:pPr>
            <w:r>
              <w:rPr>
                <w:rFonts w:ascii="Arial" w:cs="Arial" w:eastAsia="Arial" w:hAnsi="Arial"/>
                <w:sz w:val="11"/>
                <w:szCs w:val="11"/>
                <w:b w:val="1"/>
                <w:bCs w:val="1"/>
                <w:color w:val="auto"/>
                <w:w w:val="98"/>
              </w:rPr>
              <w:t>SELECTED</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1300" w:type="dxa"/>
            <w:vAlign w:val="bottom"/>
          </w:tcPr>
          <w:p>
            <w:pPr>
              <w:jc w:val="center"/>
              <w:ind w:left="139"/>
              <w:spacing w:after="0" w:line="95" w:lineRule="exact"/>
              <w:rPr>
                <w:sz w:val="20"/>
                <w:szCs w:val="20"/>
                <w:color w:val="auto"/>
              </w:rPr>
            </w:pPr>
            <w:r>
              <w:rPr>
                <w:rFonts w:ascii="Arial" w:cs="Arial" w:eastAsia="Arial" w:hAnsi="Arial"/>
                <w:sz w:val="10"/>
                <w:szCs w:val="10"/>
                <w:b w:val="1"/>
                <w:bCs w:val="1"/>
                <w:color w:val="auto"/>
              </w:rPr>
              <w:t>COMPENSATION</w:t>
            </w:r>
          </w:p>
        </w:tc>
        <w:tc>
          <w:tcPr>
            <w:tcW w:w="110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COMPENSATION</w:t>
            </w:r>
          </w:p>
        </w:tc>
        <w:tc>
          <w:tcPr>
            <w:tcW w:w="142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TOTAL FOR NON- CEO</w:t>
            </w:r>
          </w:p>
        </w:tc>
        <w:tc>
          <w:tcPr>
            <w:tcW w:w="1560" w:type="dxa"/>
            <w:vAlign w:val="bottom"/>
          </w:tcPr>
          <w:p>
            <w:pPr>
              <w:jc w:val="center"/>
              <w:ind w:right="20"/>
              <w:spacing w:after="0" w:line="95" w:lineRule="exact"/>
              <w:rPr>
                <w:sz w:val="20"/>
                <w:szCs w:val="20"/>
                <w:color w:val="auto"/>
              </w:rPr>
            </w:pPr>
            <w:r>
              <w:rPr>
                <w:rFonts w:ascii="Arial" w:cs="Arial" w:eastAsia="Arial" w:hAnsi="Arial"/>
                <w:sz w:val="10"/>
                <w:szCs w:val="10"/>
                <w:b w:val="1"/>
                <w:bCs w:val="1"/>
                <w:color w:val="auto"/>
              </w:rPr>
              <w:t>ACTUALLY PAID TO</w:t>
            </w:r>
          </w:p>
        </w:tc>
        <w:tc>
          <w:tcPr>
            <w:tcW w:w="660" w:type="dxa"/>
            <w:vAlign w:val="bottom"/>
            <w:tcBorders>
              <w:top w:val="single" w:sz="8" w:color="007B51"/>
            </w:tcBorders>
          </w:tcPr>
          <w:p>
            <w:pPr>
              <w:spacing w:after="0"/>
              <w:rPr>
                <w:sz w:val="8"/>
                <w:szCs w:val="8"/>
                <w:color w:val="auto"/>
              </w:rPr>
            </w:pPr>
          </w:p>
        </w:tc>
        <w:tc>
          <w:tcPr>
            <w:tcW w:w="800" w:type="dxa"/>
            <w:vAlign w:val="bottom"/>
            <w:tcBorders>
              <w:top w:val="single" w:sz="8" w:color="007B51"/>
            </w:tcBorders>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Pr>
          <w:p>
            <w:pPr>
              <w:jc w:val="center"/>
              <w:ind w:left="20"/>
              <w:spacing w:after="0" w:line="95" w:lineRule="exact"/>
              <w:rPr>
                <w:sz w:val="20"/>
                <w:szCs w:val="20"/>
                <w:color w:val="auto"/>
              </w:rPr>
            </w:pPr>
            <w:r>
              <w:rPr>
                <w:rFonts w:ascii="Arial" w:cs="Arial" w:eastAsia="Arial" w:hAnsi="Arial"/>
                <w:sz w:val="10"/>
                <w:szCs w:val="10"/>
                <w:b w:val="1"/>
                <w:bCs w:val="1"/>
                <w:color w:val="auto"/>
              </w:rPr>
              <w:t>PERFORMANCE</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300" w:type="dxa"/>
            <w:vAlign w:val="bottom"/>
          </w:tcPr>
          <w:p>
            <w:pPr>
              <w:jc w:val="center"/>
              <w:ind w:left="139"/>
              <w:spacing w:after="0"/>
              <w:rPr>
                <w:sz w:val="20"/>
                <w:szCs w:val="20"/>
                <w:color w:val="auto"/>
              </w:rPr>
            </w:pPr>
            <w:r>
              <w:rPr>
                <w:rFonts w:ascii="Arial" w:cs="Arial" w:eastAsia="Arial" w:hAnsi="Arial"/>
                <w:sz w:val="11"/>
                <w:szCs w:val="11"/>
                <w:b w:val="1"/>
                <w:bCs w:val="1"/>
                <w:color w:val="auto"/>
                <w:w w:val="96"/>
              </w:rPr>
              <w:t>TABLE TOTAL</w:t>
            </w: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w w:val="94"/>
              </w:rPr>
              <w:t>ACTUALLY PAID</w:t>
            </w:r>
          </w:p>
        </w:tc>
        <w:tc>
          <w:tcPr>
            <w:tcW w:w="1420" w:type="dxa"/>
            <w:vAlign w:val="bottom"/>
          </w:tcPr>
          <w:p>
            <w:pPr>
              <w:jc w:val="center"/>
              <w:spacing w:after="0"/>
              <w:rPr>
                <w:sz w:val="20"/>
                <w:szCs w:val="20"/>
                <w:color w:val="auto"/>
              </w:rPr>
            </w:pPr>
            <w:r>
              <w:rPr>
                <w:rFonts w:ascii="Arial" w:cs="Arial" w:eastAsia="Arial" w:hAnsi="Arial"/>
                <w:sz w:val="11"/>
                <w:szCs w:val="11"/>
                <w:b w:val="1"/>
                <w:bCs w:val="1"/>
                <w:color w:val="auto"/>
                <w:w w:val="98"/>
              </w:rPr>
              <w:t>NAMED EXECUTIVE</w:t>
            </w:r>
          </w:p>
        </w:tc>
        <w:tc>
          <w:tcPr>
            <w:tcW w:w="1560" w:type="dxa"/>
            <w:vAlign w:val="bottom"/>
          </w:tcPr>
          <w:p>
            <w:pPr>
              <w:jc w:val="center"/>
              <w:ind w:right="20"/>
              <w:spacing w:after="0"/>
              <w:rPr>
                <w:sz w:val="20"/>
                <w:szCs w:val="20"/>
                <w:color w:val="auto"/>
              </w:rPr>
            </w:pPr>
            <w:r>
              <w:rPr>
                <w:rFonts w:ascii="Arial" w:cs="Arial" w:eastAsia="Arial" w:hAnsi="Arial"/>
                <w:sz w:val="11"/>
                <w:szCs w:val="11"/>
                <w:b w:val="1"/>
                <w:bCs w:val="1"/>
                <w:color w:val="auto"/>
                <w:w w:val="97"/>
              </w:rPr>
              <w:t>NON- CEO NAMED</w:t>
            </w:r>
          </w:p>
        </w:tc>
        <w:tc>
          <w:tcPr>
            <w:tcW w:w="660" w:type="dxa"/>
            <w:vAlign w:val="bottom"/>
          </w:tcPr>
          <w:p>
            <w:pPr>
              <w:jc w:val="right"/>
              <w:ind w:right="39"/>
              <w:spacing w:after="0"/>
              <w:rPr>
                <w:sz w:val="20"/>
                <w:szCs w:val="20"/>
                <w:color w:val="auto"/>
              </w:rPr>
            </w:pPr>
            <w:r>
              <w:rPr>
                <w:rFonts w:ascii="Arial" w:cs="Arial" w:eastAsia="Arial" w:hAnsi="Arial"/>
                <w:sz w:val="11"/>
                <w:szCs w:val="11"/>
                <w:b w:val="1"/>
                <w:bCs w:val="1"/>
                <w:color w:val="auto"/>
                <w:w w:val="95"/>
              </w:rPr>
              <w:t>COMPANY</w:t>
            </w:r>
          </w:p>
        </w:tc>
        <w:tc>
          <w:tcPr>
            <w:tcW w:w="8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PEER GROUP</w:t>
            </w:r>
          </w:p>
        </w:tc>
        <w:tc>
          <w:tcPr>
            <w:tcW w:w="1000" w:type="dxa"/>
            <w:vAlign w:val="bottom"/>
          </w:tcPr>
          <w:p>
            <w:pPr>
              <w:jc w:val="right"/>
              <w:ind w:right="95"/>
              <w:spacing w:after="0"/>
              <w:rPr>
                <w:sz w:val="20"/>
                <w:szCs w:val="20"/>
                <w:color w:val="auto"/>
              </w:rPr>
            </w:pPr>
            <w:r>
              <w:rPr>
                <w:rFonts w:ascii="Arial" w:cs="Arial" w:eastAsia="Arial" w:hAnsi="Arial"/>
                <w:sz w:val="11"/>
                <w:szCs w:val="11"/>
                <w:b w:val="1"/>
                <w:bCs w:val="1"/>
                <w:color w:val="auto"/>
              </w:rPr>
              <w:t>NET INCOME</w:t>
            </w:r>
          </w:p>
        </w:tc>
        <w:tc>
          <w:tcPr>
            <w:tcW w:w="1040" w:type="dxa"/>
            <w:vAlign w:val="bottom"/>
          </w:tcPr>
          <w:p>
            <w:pPr>
              <w:jc w:val="center"/>
              <w:ind w:left="40"/>
              <w:spacing w:after="0"/>
              <w:rPr>
                <w:sz w:val="20"/>
                <w:szCs w:val="20"/>
                <w:color w:val="auto"/>
              </w:rPr>
            </w:pPr>
            <w:r>
              <w:rPr>
                <w:rFonts w:ascii="Arial" w:cs="Arial" w:eastAsia="Arial" w:hAnsi="Arial"/>
                <w:sz w:val="11"/>
                <w:szCs w:val="11"/>
                <w:b w:val="1"/>
                <w:bCs w:val="1"/>
                <w:color w:val="auto"/>
                <w:w w:val="97"/>
              </w:rPr>
              <w:t>MEASURE (PBOP)</w:t>
            </w:r>
          </w:p>
        </w:tc>
        <w:tc>
          <w:tcPr>
            <w:tcW w:w="0" w:type="dxa"/>
            <w:vAlign w:val="bottom"/>
          </w:tcPr>
          <w:p>
            <w:pPr>
              <w:spacing w:after="0"/>
              <w:rPr>
                <w:sz w:val="1"/>
                <w:szCs w:val="1"/>
                <w:color w:val="auto"/>
              </w:rPr>
            </w:pPr>
          </w:p>
        </w:tc>
      </w:tr>
      <w:tr>
        <w:trPr>
          <w:trHeight w:val="148"/>
        </w:trPr>
        <w:tc>
          <w:tcPr>
            <w:tcW w:w="760" w:type="dxa"/>
            <w:vAlign w:val="bottom"/>
            <w:tcBorders>
              <w:bottom w:val="single" w:sz="8" w:color="007B51"/>
            </w:tcBorders>
          </w:tcPr>
          <w:p>
            <w:pPr>
              <w:ind w:left="60"/>
              <w:spacing w:after="0"/>
              <w:rPr>
                <w:sz w:val="20"/>
                <w:szCs w:val="20"/>
                <w:color w:val="auto"/>
              </w:rPr>
            </w:pPr>
            <w:r>
              <w:rPr>
                <w:rFonts w:ascii="Arial" w:cs="Arial" w:eastAsia="Arial" w:hAnsi="Arial"/>
                <w:sz w:val="11"/>
                <w:szCs w:val="11"/>
                <w:b w:val="1"/>
                <w:bCs w:val="1"/>
                <w:color w:val="auto"/>
              </w:rPr>
              <w:t>YEAR</w:t>
            </w:r>
          </w:p>
        </w:tc>
        <w:tc>
          <w:tcPr>
            <w:tcW w:w="1300" w:type="dxa"/>
            <w:vAlign w:val="bottom"/>
            <w:tcBorders>
              <w:bottom w:val="single" w:sz="8" w:color="007B51"/>
            </w:tcBorders>
          </w:tcPr>
          <w:p>
            <w:pPr>
              <w:jc w:val="center"/>
              <w:ind w:left="139"/>
              <w:spacing w:after="0" w:line="149" w:lineRule="exact"/>
              <w:rPr>
                <w:sz w:val="20"/>
                <w:szCs w:val="20"/>
                <w:color w:val="auto"/>
              </w:rPr>
            </w:pPr>
            <w:r>
              <w:rPr>
                <w:rFonts w:ascii="Arial" w:cs="Arial" w:eastAsia="Arial" w:hAnsi="Arial"/>
                <w:sz w:val="11"/>
                <w:szCs w:val="11"/>
                <w:b w:val="1"/>
                <w:bCs w:val="1"/>
                <w:color w:val="auto"/>
                <w:w w:val="96"/>
              </w:rPr>
              <w:t>FOR CEO</w:t>
            </w:r>
            <w:r>
              <w:rPr>
                <w:rFonts w:ascii="Arial" w:cs="Arial" w:eastAsia="Arial" w:hAnsi="Arial"/>
                <w:sz w:val="17"/>
                <w:szCs w:val="17"/>
                <w:b w:val="1"/>
                <w:bCs w:val="1"/>
                <w:color w:val="auto"/>
                <w:w w:val="96"/>
                <w:vertAlign w:val="superscript"/>
              </w:rPr>
              <w:t>(1)</w:t>
            </w:r>
          </w:p>
        </w:tc>
        <w:tc>
          <w:tcPr>
            <w:tcW w:w="1100" w:type="dxa"/>
            <w:vAlign w:val="bottom"/>
            <w:tcBorders>
              <w:bottom w:val="single" w:sz="8" w:color="007B51"/>
            </w:tcBorders>
          </w:tcPr>
          <w:p>
            <w:pPr>
              <w:jc w:val="center"/>
              <w:spacing w:after="0" w:line="149" w:lineRule="exact"/>
              <w:rPr>
                <w:sz w:val="20"/>
                <w:szCs w:val="20"/>
                <w:color w:val="auto"/>
              </w:rPr>
            </w:pPr>
            <w:r>
              <w:rPr>
                <w:rFonts w:ascii="Arial" w:cs="Arial" w:eastAsia="Arial" w:hAnsi="Arial"/>
                <w:sz w:val="11"/>
                <w:szCs w:val="11"/>
                <w:b w:val="1"/>
                <w:bCs w:val="1"/>
                <w:color w:val="auto"/>
                <w:w w:val="92"/>
              </w:rPr>
              <w:t>TO CEO</w:t>
            </w:r>
            <w:r>
              <w:rPr>
                <w:rFonts w:ascii="Arial" w:cs="Arial" w:eastAsia="Arial" w:hAnsi="Arial"/>
                <w:sz w:val="17"/>
                <w:szCs w:val="17"/>
                <w:b w:val="1"/>
                <w:bCs w:val="1"/>
                <w:color w:val="auto"/>
                <w:w w:val="92"/>
                <w:vertAlign w:val="superscript"/>
              </w:rPr>
              <w:t>(1)</w:t>
            </w:r>
          </w:p>
        </w:tc>
        <w:tc>
          <w:tcPr>
            <w:tcW w:w="1420" w:type="dxa"/>
            <w:vAlign w:val="bottom"/>
            <w:tcBorders>
              <w:bottom w:val="single" w:sz="8" w:color="007B51"/>
            </w:tcBorders>
          </w:tcPr>
          <w:p>
            <w:pPr>
              <w:jc w:val="center"/>
              <w:spacing w:after="0" w:line="149" w:lineRule="exact"/>
              <w:rPr>
                <w:sz w:val="20"/>
                <w:szCs w:val="20"/>
                <w:color w:val="auto"/>
              </w:rPr>
            </w:pPr>
            <w:r>
              <w:rPr>
                <w:rFonts w:ascii="Arial" w:cs="Arial" w:eastAsia="Arial" w:hAnsi="Arial"/>
                <w:sz w:val="11"/>
                <w:szCs w:val="11"/>
                <w:b w:val="1"/>
                <w:bCs w:val="1"/>
                <w:color w:val="auto"/>
                <w:w w:val="94"/>
              </w:rPr>
              <w:t>OFFICERS</w:t>
            </w:r>
            <w:r>
              <w:rPr>
                <w:rFonts w:ascii="Arial" w:cs="Arial" w:eastAsia="Arial" w:hAnsi="Arial"/>
                <w:sz w:val="17"/>
                <w:szCs w:val="17"/>
                <w:b w:val="1"/>
                <w:bCs w:val="1"/>
                <w:color w:val="auto"/>
                <w:w w:val="94"/>
                <w:vertAlign w:val="superscript"/>
              </w:rPr>
              <w:t>(2)</w:t>
            </w:r>
          </w:p>
        </w:tc>
        <w:tc>
          <w:tcPr>
            <w:tcW w:w="1560" w:type="dxa"/>
            <w:vAlign w:val="bottom"/>
            <w:tcBorders>
              <w:bottom w:val="single" w:sz="8" w:color="007B51"/>
            </w:tcBorders>
          </w:tcPr>
          <w:p>
            <w:pPr>
              <w:jc w:val="center"/>
              <w:ind w:right="40"/>
              <w:spacing w:after="0" w:line="149" w:lineRule="exact"/>
              <w:rPr>
                <w:sz w:val="20"/>
                <w:szCs w:val="20"/>
                <w:color w:val="auto"/>
              </w:rPr>
            </w:pPr>
            <w:r>
              <w:rPr>
                <w:rFonts w:ascii="Arial" w:cs="Arial" w:eastAsia="Arial" w:hAnsi="Arial"/>
                <w:sz w:val="11"/>
                <w:szCs w:val="11"/>
                <w:b w:val="1"/>
                <w:bCs w:val="1"/>
                <w:color w:val="auto"/>
                <w:w w:val="96"/>
              </w:rPr>
              <w:t>EXECUTIVE OFFICERS</w:t>
            </w:r>
            <w:r>
              <w:rPr>
                <w:rFonts w:ascii="Arial" w:cs="Arial" w:eastAsia="Arial" w:hAnsi="Arial"/>
                <w:sz w:val="17"/>
                <w:szCs w:val="17"/>
                <w:b w:val="1"/>
                <w:bCs w:val="1"/>
                <w:color w:val="auto"/>
                <w:w w:val="96"/>
                <w:vertAlign w:val="superscript"/>
              </w:rPr>
              <w:t>(2)</w:t>
            </w:r>
          </w:p>
        </w:tc>
        <w:tc>
          <w:tcPr>
            <w:tcW w:w="660" w:type="dxa"/>
            <w:vAlign w:val="bottom"/>
            <w:tcBorders>
              <w:bottom w:val="single" w:sz="8" w:color="007B51"/>
            </w:tcBorders>
          </w:tcPr>
          <w:p>
            <w:pPr>
              <w:jc w:val="right"/>
              <w:ind w:right="199"/>
              <w:spacing w:after="0"/>
              <w:rPr>
                <w:sz w:val="20"/>
                <w:szCs w:val="20"/>
                <w:color w:val="auto"/>
              </w:rPr>
            </w:pPr>
            <w:r>
              <w:rPr>
                <w:rFonts w:ascii="Arial" w:cs="Arial" w:eastAsia="Arial" w:hAnsi="Arial"/>
                <w:sz w:val="11"/>
                <w:szCs w:val="11"/>
                <w:b w:val="1"/>
                <w:bCs w:val="1"/>
                <w:color w:val="auto"/>
              </w:rPr>
              <w:t>TSR</w:t>
            </w:r>
          </w:p>
        </w:tc>
        <w:tc>
          <w:tcPr>
            <w:tcW w:w="880" w:type="dxa"/>
            <w:vAlign w:val="bottom"/>
            <w:tcBorders>
              <w:bottom w:val="single" w:sz="8" w:color="007B51"/>
            </w:tcBorders>
            <w:gridSpan w:val="2"/>
          </w:tcPr>
          <w:p>
            <w:pPr>
              <w:jc w:val="right"/>
              <w:ind w:right="280"/>
              <w:spacing w:after="0" w:line="149" w:lineRule="exact"/>
              <w:rPr>
                <w:sz w:val="20"/>
                <w:szCs w:val="20"/>
                <w:color w:val="auto"/>
              </w:rPr>
            </w:pPr>
            <w:r>
              <w:rPr>
                <w:rFonts w:ascii="Arial" w:cs="Arial" w:eastAsia="Arial" w:hAnsi="Arial"/>
                <w:sz w:val="11"/>
                <w:szCs w:val="11"/>
                <w:b w:val="1"/>
                <w:bCs w:val="1"/>
                <w:color w:val="auto"/>
              </w:rPr>
              <w:t>TSR</w:t>
            </w:r>
            <w:r>
              <w:rPr>
                <w:rFonts w:ascii="Arial" w:cs="Arial" w:eastAsia="Arial" w:hAnsi="Arial"/>
                <w:sz w:val="17"/>
                <w:szCs w:val="17"/>
                <w:b w:val="1"/>
                <w:bCs w:val="1"/>
                <w:color w:val="auto"/>
                <w:vertAlign w:val="superscript"/>
              </w:rPr>
              <w:t>(4)</w:t>
            </w:r>
          </w:p>
        </w:tc>
        <w:tc>
          <w:tcPr>
            <w:tcW w:w="1000" w:type="dxa"/>
            <w:vAlign w:val="bottom"/>
            <w:tcBorders>
              <w:bottom w:val="single" w:sz="8" w:color="007B51"/>
            </w:tcBorders>
          </w:tcPr>
          <w:p>
            <w:pPr>
              <w:jc w:val="right"/>
              <w:ind w:right="15"/>
              <w:spacing w:after="0" w:line="149" w:lineRule="exact"/>
              <w:rPr>
                <w:sz w:val="20"/>
                <w:szCs w:val="20"/>
                <w:color w:val="auto"/>
              </w:rPr>
            </w:pPr>
            <w:r>
              <w:rPr>
                <w:rFonts w:ascii="Arial" w:cs="Arial" w:eastAsia="Arial" w:hAnsi="Arial"/>
                <w:sz w:val="11"/>
                <w:szCs w:val="11"/>
                <w:b w:val="1"/>
                <w:bCs w:val="1"/>
                <w:color w:val="auto"/>
              </w:rPr>
              <w:t>(IN MILLIONS)</w:t>
            </w:r>
            <w:r>
              <w:rPr>
                <w:rFonts w:ascii="Arial" w:cs="Arial" w:eastAsia="Arial" w:hAnsi="Arial"/>
                <w:sz w:val="17"/>
                <w:szCs w:val="17"/>
                <w:b w:val="1"/>
                <w:bCs w:val="1"/>
                <w:color w:val="auto"/>
                <w:vertAlign w:val="superscript"/>
              </w:rPr>
              <w:t>(5)</w:t>
            </w:r>
          </w:p>
        </w:tc>
        <w:tc>
          <w:tcPr>
            <w:tcW w:w="1040" w:type="dxa"/>
            <w:vAlign w:val="bottom"/>
            <w:tcBorders>
              <w:bottom w:val="single" w:sz="8" w:color="007B51"/>
            </w:tcBorders>
          </w:tcPr>
          <w:p>
            <w:pPr>
              <w:jc w:val="center"/>
              <w:ind w:left="20"/>
              <w:spacing w:after="0" w:line="149" w:lineRule="exact"/>
              <w:rPr>
                <w:sz w:val="20"/>
                <w:szCs w:val="20"/>
                <w:color w:val="auto"/>
              </w:rPr>
            </w:pPr>
            <w:r>
              <w:rPr>
                <w:rFonts w:ascii="Arial" w:cs="Arial" w:eastAsia="Arial" w:hAnsi="Arial"/>
                <w:sz w:val="11"/>
                <w:szCs w:val="11"/>
                <w:b w:val="1"/>
                <w:bCs w:val="1"/>
                <w:color w:val="auto"/>
                <w:w w:val="95"/>
              </w:rPr>
              <w:t>(IN MILLIONS)</w:t>
            </w:r>
            <w:r>
              <w:rPr>
                <w:rFonts w:ascii="Arial" w:cs="Arial" w:eastAsia="Arial" w:hAnsi="Arial"/>
                <w:sz w:val="17"/>
                <w:szCs w:val="17"/>
                <w:b w:val="1"/>
                <w:bCs w:val="1"/>
                <w:color w:val="auto"/>
                <w:w w:val="95"/>
                <w:vertAlign w:val="superscript"/>
              </w:rPr>
              <w:t>(6)</w:t>
            </w:r>
          </w:p>
        </w:tc>
        <w:tc>
          <w:tcPr>
            <w:tcW w:w="0" w:type="dxa"/>
            <w:vAlign w:val="bottom"/>
          </w:tcPr>
          <w:p>
            <w:pPr>
              <w:spacing w:after="0"/>
              <w:rPr>
                <w:sz w:val="1"/>
                <w:szCs w:val="1"/>
                <w:color w:val="auto"/>
              </w:rPr>
            </w:pPr>
          </w:p>
        </w:tc>
      </w:tr>
      <w:tr>
        <w:trPr>
          <w:trHeight w:val="223"/>
        </w:trPr>
        <w:tc>
          <w:tcPr>
            <w:tcW w:w="760" w:type="dxa"/>
            <w:vAlign w:val="bottom"/>
            <w:tcBorders>
              <w:bottom w:val="single" w:sz="8" w:color="007B51"/>
            </w:tcBorders>
          </w:tcPr>
          <w:p>
            <w:pPr>
              <w:ind w:left="60"/>
              <w:spacing w:after="0" w:line="223" w:lineRule="exact"/>
              <w:rPr>
                <w:sz w:val="20"/>
                <w:szCs w:val="20"/>
                <w:color w:val="auto"/>
              </w:rPr>
            </w:pPr>
            <w:r>
              <w:rPr>
                <w:rFonts w:ascii="Arial" w:cs="Arial" w:eastAsia="Arial" w:hAnsi="Arial"/>
                <w:sz w:val="13"/>
                <w:szCs w:val="13"/>
                <w:b w:val="1"/>
                <w:bCs w:val="1"/>
                <w:color w:val="017B52"/>
              </w:rPr>
              <w:t>2022</w:t>
            </w:r>
            <w:r>
              <w:rPr>
                <w:rFonts w:ascii="Arial" w:cs="Arial" w:eastAsia="Arial" w:hAnsi="Arial"/>
                <w:sz w:val="20"/>
                <w:szCs w:val="20"/>
                <w:b w:val="1"/>
                <w:bCs w:val="1"/>
                <w:color w:val="017B52"/>
                <w:vertAlign w:val="superscript"/>
              </w:rPr>
              <w:t>(7)</w:t>
            </w:r>
          </w:p>
        </w:tc>
        <w:tc>
          <w:tcPr>
            <w:tcW w:w="1300" w:type="dxa"/>
            <w:vAlign w:val="bottom"/>
            <w:tcBorders>
              <w:bottom w:val="single" w:sz="8" w:color="007B51"/>
            </w:tcBorders>
          </w:tcPr>
          <w:p>
            <w:pPr>
              <w:jc w:val="center"/>
              <w:ind w:left="119"/>
              <w:spacing w:after="0"/>
              <w:rPr>
                <w:sz w:val="20"/>
                <w:szCs w:val="20"/>
                <w:color w:val="auto"/>
              </w:rPr>
            </w:pPr>
            <w:r>
              <w:rPr>
                <w:rFonts w:ascii="Arial" w:cs="Arial" w:eastAsia="Arial" w:hAnsi="Arial"/>
                <w:sz w:val="14"/>
                <w:szCs w:val="14"/>
                <w:color w:val="auto"/>
              </w:rPr>
              <w:t>$10,299,274</w:t>
            </w:r>
          </w:p>
        </w:tc>
        <w:tc>
          <w:tcPr>
            <w:tcW w:w="1100" w:type="dxa"/>
            <w:vAlign w:val="bottom"/>
            <w:tcBorders>
              <w:bottom w:val="single" w:sz="8" w:color="007B51"/>
            </w:tcBorders>
          </w:tcPr>
          <w:p>
            <w:pPr>
              <w:jc w:val="right"/>
              <w:ind w:right="38"/>
              <w:spacing w:after="0"/>
              <w:rPr>
                <w:sz w:val="20"/>
                <w:szCs w:val="20"/>
                <w:color w:val="auto"/>
              </w:rPr>
            </w:pPr>
            <w:r>
              <w:rPr>
                <w:rFonts w:ascii="Arial" w:cs="Arial" w:eastAsia="Arial" w:hAnsi="Arial"/>
                <w:sz w:val="14"/>
                <w:szCs w:val="14"/>
                <w:color w:val="auto"/>
              </w:rPr>
              <w:t>$8,172,530</w:t>
            </w:r>
          </w:p>
        </w:tc>
        <w:tc>
          <w:tcPr>
            <w:tcW w:w="1420" w:type="dxa"/>
            <w:vAlign w:val="bottom"/>
            <w:tcBorders>
              <w:bottom w:val="single" w:sz="8" w:color="007B51"/>
            </w:tcBorders>
          </w:tcPr>
          <w:p>
            <w:pPr>
              <w:jc w:val="right"/>
              <w:ind w:right="20"/>
              <w:spacing w:after="0"/>
              <w:rPr>
                <w:sz w:val="20"/>
                <w:szCs w:val="20"/>
                <w:color w:val="auto"/>
              </w:rPr>
            </w:pPr>
            <w:r>
              <w:rPr>
                <w:rFonts w:ascii="Arial" w:cs="Arial" w:eastAsia="Arial" w:hAnsi="Arial"/>
                <w:sz w:val="14"/>
                <w:szCs w:val="14"/>
                <w:color w:val="auto"/>
              </w:rPr>
              <w:t>$4,761,045</w:t>
            </w:r>
          </w:p>
        </w:tc>
        <w:tc>
          <w:tcPr>
            <w:tcW w:w="1560" w:type="dxa"/>
            <w:vAlign w:val="bottom"/>
            <w:tcBorders>
              <w:bottom w:val="single" w:sz="8" w:color="007B51"/>
            </w:tcBorders>
          </w:tcPr>
          <w:p>
            <w:pPr>
              <w:jc w:val="right"/>
              <w:ind w:right="100"/>
              <w:spacing w:after="0"/>
              <w:rPr>
                <w:sz w:val="20"/>
                <w:szCs w:val="20"/>
                <w:color w:val="auto"/>
              </w:rPr>
            </w:pPr>
            <w:r>
              <w:rPr>
                <w:rFonts w:ascii="Arial" w:cs="Arial" w:eastAsia="Arial" w:hAnsi="Arial"/>
                <w:sz w:val="14"/>
                <w:szCs w:val="14"/>
                <w:color w:val="auto"/>
              </w:rPr>
              <w:t>$4,448,741</w:t>
            </w:r>
          </w:p>
        </w:tc>
        <w:tc>
          <w:tcPr>
            <w:tcW w:w="660" w:type="dxa"/>
            <w:vAlign w:val="bottom"/>
            <w:tcBorders>
              <w:bottom w:val="single" w:sz="8" w:color="007B51"/>
            </w:tcBorders>
          </w:tcPr>
          <w:p>
            <w:pPr>
              <w:jc w:val="right"/>
              <w:ind w:right="19"/>
              <w:spacing w:after="0"/>
              <w:rPr>
                <w:sz w:val="20"/>
                <w:szCs w:val="20"/>
                <w:color w:val="auto"/>
              </w:rPr>
            </w:pPr>
            <w:r>
              <w:rPr>
                <w:rFonts w:ascii="Arial" w:cs="Arial" w:eastAsia="Arial" w:hAnsi="Arial"/>
                <w:sz w:val="14"/>
                <w:szCs w:val="14"/>
                <w:color w:val="auto"/>
              </w:rPr>
              <w:t>$167</w:t>
            </w:r>
          </w:p>
        </w:tc>
        <w:tc>
          <w:tcPr>
            <w:tcW w:w="880" w:type="dxa"/>
            <w:vAlign w:val="bottom"/>
            <w:tcBorders>
              <w:bottom w:val="single" w:sz="8" w:color="007B51"/>
            </w:tcBorders>
            <w:gridSpan w:val="2"/>
          </w:tcPr>
          <w:p>
            <w:pPr>
              <w:jc w:val="right"/>
              <w:ind w:right="80"/>
              <w:spacing w:after="0"/>
              <w:rPr>
                <w:sz w:val="20"/>
                <w:szCs w:val="20"/>
                <w:color w:val="auto"/>
              </w:rPr>
            </w:pPr>
            <w:r>
              <w:rPr>
                <w:rFonts w:ascii="Arial" w:cs="Arial" w:eastAsia="Arial" w:hAnsi="Arial"/>
                <w:sz w:val="14"/>
                <w:szCs w:val="14"/>
                <w:color w:val="auto"/>
              </w:rPr>
              <w:t>$119</w:t>
            </w:r>
          </w:p>
        </w:tc>
        <w:tc>
          <w:tcPr>
            <w:tcW w:w="1000" w:type="dxa"/>
            <w:vAlign w:val="bottom"/>
            <w:tcBorders>
              <w:bottom w:val="single" w:sz="8" w:color="007B51"/>
            </w:tcBorders>
          </w:tcPr>
          <w:p>
            <w:pPr>
              <w:jc w:val="right"/>
              <w:ind w:right="15"/>
              <w:spacing w:after="0"/>
              <w:rPr>
                <w:sz w:val="20"/>
                <w:szCs w:val="20"/>
                <w:color w:val="auto"/>
              </w:rPr>
            </w:pPr>
            <w:r>
              <w:rPr>
                <w:rFonts w:ascii="Arial" w:cs="Arial" w:eastAsia="Arial" w:hAnsi="Arial"/>
                <w:sz w:val="14"/>
                <w:szCs w:val="14"/>
                <w:color w:val="auto"/>
              </w:rPr>
              <w:t>$693</w:t>
            </w:r>
          </w:p>
        </w:tc>
        <w:tc>
          <w:tcPr>
            <w:tcW w:w="104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223"/>
        </w:trPr>
        <w:tc>
          <w:tcPr>
            <w:tcW w:w="760" w:type="dxa"/>
            <w:vAlign w:val="bottom"/>
            <w:tcBorders>
              <w:bottom w:val="single" w:sz="8" w:color="007B51"/>
            </w:tcBorders>
          </w:tcPr>
          <w:p>
            <w:pPr>
              <w:ind w:left="60"/>
              <w:spacing w:after="0" w:line="223" w:lineRule="exact"/>
              <w:rPr>
                <w:sz w:val="20"/>
                <w:szCs w:val="20"/>
                <w:color w:val="auto"/>
              </w:rPr>
            </w:pPr>
            <w:r>
              <w:rPr>
                <w:rFonts w:ascii="Arial" w:cs="Arial" w:eastAsia="Arial" w:hAnsi="Arial"/>
                <w:sz w:val="13"/>
                <w:szCs w:val="13"/>
                <w:b w:val="1"/>
                <w:bCs w:val="1"/>
                <w:color w:val="017B52"/>
              </w:rPr>
              <w:t>2021</w:t>
            </w:r>
            <w:r>
              <w:rPr>
                <w:rFonts w:ascii="Arial" w:cs="Arial" w:eastAsia="Arial" w:hAnsi="Arial"/>
                <w:sz w:val="20"/>
                <w:szCs w:val="20"/>
                <w:b w:val="1"/>
                <w:bCs w:val="1"/>
                <w:color w:val="017B52"/>
                <w:vertAlign w:val="superscript"/>
              </w:rPr>
              <w:t>(7)</w:t>
            </w:r>
          </w:p>
        </w:tc>
        <w:tc>
          <w:tcPr>
            <w:tcW w:w="1300" w:type="dxa"/>
            <w:vAlign w:val="bottom"/>
            <w:tcBorders>
              <w:bottom w:val="single" w:sz="8" w:color="007B51"/>
            </w:tcBorders>
          </w:tcPr>
          <w:p>
            <w:pPr>
              <w:jc w:val="center"/>
              <w:ind w:left="119"/>
              <w:spacing w:after="0"/>
              <w:rPr>
                <w:sz w:val="20"/>
                <w:szCs w:val="20"/>
                <w:color w:val="auto"/>
              </w:rPr>
            </w:pPr>
            <w:r>
              <w:rPr>
                <w:rFonts w:ascii="Arial" w:cs="Arial" w:eastAsia="Arial" w:hAnsi="Arial"/>
                <w:sz w:val="14"/>
                <w:szCs w:val="14"/>
                <w:color w:val="auto"/>
              </w:rPr>
              <w:t>$9,757,808</w:t>
            </w:r>
          </w:p>
        </w:tc>
        <w:tc>
          <w:tcPr>
            <w:tcW w:w="1100" w:type="dxa"/>
            <w:vAlign w:val="bottom"/>
            <w:tcBorders>
              <w:bottom w:val="single" w:sz="8" w:color="007B51"/>
            </w:tcBorders>
          </w:tcPr>
          <w:p>
            <w:pPr>
              <w:jc w:val="right"/>
              <w:ind w:right="38"/>
              <w:spacing w:after="0"/>
              <w:rPr>
                <w:sz w:val="20"/>
                <w:szCs w:val="20"/>
                <w:color w:val="auto"/>
              </w:rPr>
            </w:pPr>
            <w:r>
              <w:rPr>
                <w:rFonts w:ascii="Arial" w:cs="Arial" w:eastAsia="Arial" w:hAnsi="Arial"/>
                <w:sz w:val="14"/>
                <w:szCs w:val="14"/>
                <w:color w:val="auto"/>
              </w:rPr>
              <w:t>$16,098,142</w:t>
            </w:r>
          </w:p>
        </w:tc>
        <w:tc>
          <w:tcPr>
            <w:tcW w:w="1420" w:type="dxa"/>
            <w:vAlign w:val="bottom"/>
            <w:tcBorders>
              <w:bottom w:val="single" w:sz="8" w:color="007B51"/>
            </w:tcBorders>
          </w:tcPr>
          <w:p>
            <w:pPr>
              <w:jc w:val="right"/>
              <w:ind w:right="20"/>
              <w:spacing w:after="0"/>
              <w:rPr>
                <w:sz w:val="20"/>
                <w:szCs w:val="20"/>
                <w:color w:val="auto"/>
              </w:rPr>
            </w:pPr>
            <w:r>
              <w:rPr>
                <w:rFonts w:ascii="Arial" w:cs="Arial" w:eastAsia="Arial" w:hAnsi="Arial"/>
                <w:sz w:val="14"/>
                <w:szCs w:val="14"/>
                <w:color w:val="auto"/>
              </w:rPr>
              <w:t>$4,728,970</w:t>
            </w:r>
          </w:p>
        </w:tc>
        <w:tc>
          <w:tcPr>
            <w:tcW w:w="1560" w:type="dxa"/>
            <w:vAlign w:val="bottom"/>
            <w:tcBorders>
              <w:bottom w:val="single" w:sz="8" w:color="007B51"/>
            </w:tcBorders>
          </w:tcPr>
          <w:p>
            <w:pPr>
              <w:jc w:val="right"/>
              <w:ind w:right="100"/>
              <w:spacing w:after="0"/>
              <w:rPr>
                <w:sz w:val="20"/>
                <w:szCs w:val="20"/>
                <w:color w:val="auto"/>
              </w:rPr>
            </w:pPr>
            <w:r>
              <w:rPr>
                <w:rFonts w:ascii="Arial" w:cs="Arial" w:eastAsia="Arial" w:hAnsi="Arial"/>
                <w:sz w:val="14"/>
                <w:szCs w:val="14"/>
                <w:color w:val="auto"/>
              </w:rPr>
              <w:t>$7,399,581</w:t>
            </w:r>
          </w:p>
        </w:tc>
        <w:tc>
          <w:tcPr>
            <w:tcW w:w="660" w:type="dxa"/>
            <w:vAlign w:val="bottom"/>
            <w:tcBorders>
              <w:bottom w:val="single" w:sz="8" w:color="007B51"/>
            </w:tcBorders>
          </w:tcPr>
          <w:p>
            <w:pPr>
              <w:jc w:val="right"/>
              <w:ind w:right="19"/>
              <w:spacing w:after="0"/>
              <w:rPr>
                <w:sz w:val="20"/>
                <w:szCs w:val="20"/>
                <w:color w:val="auto"/>
              </w:rPr>
            </w:pPr>
            <w:r>
              <w:rPr>
                <w:rFonts w:ascii="Arial" w:cs="Arial" w:eastAsia="Arial" w:hAnsi="Arial"/>
                <w:sz w:val="14"/>
                <w:szCs w:val="14"/>
                <w:color w:val="auto"/>
              </w:rPr>
              <w:t>$183</w:t>
            </w:r>
          </w:p>
        </w:tc>
        <w:tc>
          <w:tcPr>
            <w:tcW w:w="880" w:type="dxa"/>
            <w:vAlign w:val="bottom"/>
            <w:tcBorders>
              <w:bottom w:val="single" w:sz="8" w:color="007B51"/>
            </w:tcBorders>
            <w:gridSpan w:val="2"/>
          </w:tcPr>
          <w:p>
            <w:pPr>
              <w:jc w:val="right"/>
              <w:ind w:right="80"/>
              <w:spacing w:after="0"/>
              <w:rPr>
                <w:sz w:val="20"/>
                <w:szCs w:val="20"/>
                <w:color w:val="auto"/>
              </w:rPr>
            </w:pPr>
            <w:r>
              <w:rPr>
                <w:rFonts w:ascii="Arial" w:cs="Arial" w:eastAsia="Arial" w:hAnsi="Arial"/>
                <w:sz w:val="14"/>
                <w:szCs w:val="14"/>
                <w:color w:val="auto"/>
              </w:rPr>
              <w:t>$163</w:t>
            </w:r>
          </w:p>
        </w:tc>
        <w:tc>
          <w:tcPr>
            <w:tcW w:w="1000" w:type="dxa"/>
            <w:vAlign w:val="bottom"/>
            <w:tcBorders>
              <w:bottom w:val="single" w:sz="8" w:color="007B51"/>
            </w:tcBorders>
          </w:tcPr>
          <w:p>
            <w:pPr>
              <w:jc w:val="right"/>
              <w:ind w:right="15"/>
              <w:spacing w:after="0"/>
              <w:rPr>
                <w:sz w:val="20"/>
                <w:szCs w:val="20"/>
                <w:color w:val="auto"/>
              </w:rPr>
            </w:pPr>
            <w:r>
              <w:rPr>
                <w:rFonts w:ascii="Arial" w:cs="Arial" w:eastAsia="Arial" w:hAnsi="Arial"/>
                <w:sz w:val="14"/>
                <w:szCs w:val="14"/>
                <w:color w:val="auto"/>
              </w:rPr>
              <w:t>$536</w:t>
            </w:r>
          </w:p>
        </w:tc>
        <w:tc>
          <w:tcPr>
            <w:tcW w:w="104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223"/>
        </w:trPr>
        <w:tc>
          <w:tcPr>
            <w:tcW w:w="760" w:type="dxa"/>
            <w:vAlign w:val="bottom"/>
            <w:tcBorders>
              <w:bottom w:val="single" w:sz="8" w:color="007B51"/>
            </w:tcBorders>
          </w:tcPr>
          <w:p>
            <w:pPr>
              <w:ind w:left="60"/>
              <w:spacing w:after="0" w:line="223" w:lineRule="exact"/>
              <w:rPr>
                <w:sz w:val="20"/>
                <w:szCs w:val="20"/>
                <w:color w:val="auto"/>
              </w:rPr>
            </w:pPr>
            <w:r>
              <w:rPr>
                <w:rFonts w:ascii="Arial" w:cs="Arial" w:eastAsia="Arial" w:hAnsi="Arial"/>
                <w:sz w:val="13"/>
                <w:szCs w:val="13"/>
                <w:b w:val="1"/>
                <w:bCs w:val="1"/>
                <w:color w:val="017B52"/>
              </w:rPr>
              <w:t>2020</w:t>
            </w:r>
            <w:r>
              <w:rPr>
                <w:rFonts w:ascii="Arial" w:cs="Arial" w:eastAsia="Arial" w:hAnsi="Arial"/>
                <w:sz w:val="20"/>
                <w:szCs w:val="20"/>
                <w:b w:val="1"/>
                <w:bCs w:val="1"/>
                <w:color w:val="017B52"/>
                <w:vertAlign w:val="superscript"/>
              </w:rPr>
              <w:t>(7)</w:t>
            </w:r>
          </w:p>
        </w:tc>
        <w:tc>
          <w:tcPr>
            <w:tcW w:w="1300" w:type="dxa"/>
            <w:vAlign w:val="bottom"/>
            <w:tcBorders>
              <w:bottom w:val="single" w:sz="8" w:color="007B51"/>
            </w:tcBorders>
          </w:tcPr>
          <w:p>
            <w:pPr>
              <w:jc w:val="center"/>
              <w:ind w:left="119"/>
              <w:spacing w:after="0"/>
              <w:rPr>
                <w:sz w:val="20"/>
                <w:szCs w:val="20"/>
                <w:color w:val="auto"/>
              </w:rPr>
            </w:pPr>
            <w:r>
              <w:rPr>
                <w:rFonts w:ascii="Arial" w:cs="Arial" w:eastAsia="Arial" w:hAnsi="Arial"/>
                <w:sz w:val="14"/>
                <w:szCs w:val="14"/>
                <w:color w:val="auto"/>
              </w:rPr>
              <w:t>$6,220,661</w:t>
            </w:r>
          </w:p>
        </w:tc>
        <w:tc>
          <w:tcPr>
            <w:tcW w:w="1100" w:type="dxa"/>
            <w:vAlign w:val="bottom"/>
            <w:tcBorders>
              <w:bottom w:val="single" w:sz="8" w:color="007B51"/>
            </w:tcBorders>
          </w:tcPr>
          <w:p>
            <w:pPr>
              <w:jc w:val="right"/>
              <w:ind w:right="38"/>
              <w:spacing w:after="0"/>
              <w:rPr>
                <w:sz w:val="20"/>
                <w:szCs w:val="20"/>
                <w:color w:val="auto"/>
              </w:rPr>
            </w:pPr>
            <w:r>
              <w:rPr>
                <w:rFonts w:ascii="Arial" w:cs="Arial" w:eastAsia="Arial" w:hAnsi="Arial"/>
                <w:sz w:val="14"/>
                <w:szCs w:val="14"/>
                <w:color w:val="auto"/>
              </w:rPr>
              <w:t>$6,430,626</w:t>
            </w:r>
          </w:p>
        </w:tc>
        <w:tc>
          <w:tcPr>
            <w:tcW w:w="1420" w:type="dxa"/>
            <w:vAlign w:val="bottom"/>
            <w:tcBorders>
              <w:bottom w:val="single" w:sz="8" w:color="007B51"/>
            </w:tcBorders>
          </w:tcPr>
          <w:p>
            <w:pPr>
              <w:jc w:val="right"/>
              <w:ind w:right="20"/>
              <w:spacing w:after="0"/>
              <w:rPr>
                <w:sz w:val="20"/>
                <w:szCs w:val="20"/>
                <w:color w:val="auto"/>
              </w:rPr>
            </w:pPr>
            <w:r>
              <w:rPr>
                <w:rFonts w:ascii="Arial" w:cs="Arial" w:eastAsia="Arial" w:hAnsi="Arial"/>
                <w:sz w:val="14"/>
                <w:szCs w:val="14"/>
                <w:color w:val="auto"/>
              </w:rPr>
              <w:t>$3,029,958</w:t>
            </w:r>
          </w:p>
        </w:tc>
        <w:tc>
          <w:tcPr>
            <w:tcW w:w="1560" w:type="dxa"/>
            <w:vAlign w:val="bottom"/>
            <w:tcBorders>
              <w:bottom w:val="single" w:sz="8" w:color="007B51"/>
            </w:tcBorders>
          </w:tcPr>
          <w:p>
            <w:pPr>
              <w:jc w:val="right"/>
              <w:ind w:right="100"/>
              <w:spacing w:after="0"/>
              <w:rPr>
                <w:sz w:val="20"/>
                <w:szCs w:val="20"/>
                <w:color w:val="auto"/>
              </w:rPr>
            </w:pPr>
            <w:r>
              <w:rPr>
                <w:rFonts w:ascii="Arial" w:cs="Arial" w:eastAsia="Arial" w:hAnsi="Arial"/>
                <w:sz w:val="14"/>
                <w:szCs w:val="14"/>
                <w:color w:val="auto"/>
              </w:rPr>
              <w:t>$3,431,864</w:t>
            </w:r>
          </w:p>
        </w:tc>
        <w:tc>
          <w:tcPr>
            <w:tcW w:w="660" w:type="dxa"/>
            <w:vAlign w:val="bottom"/>
            <w:tcBorders>
              <w:bottom w:val="single" w:sz="8" w:color="007B51"/>
            </w:tcBorders>
          </w:tcPr>
          <w:p>
            <w:pPr>
              <w:jc w:val="right"/>
              <w:ind w:right="19"/>
              <w:spacing w:after="0"/>
              <w:rPr>
                <w:sz w:val="20"/>
                <w:szCs w:val="20"/>
                <w:color w:val="auto"/>
              </w:rPr>
            </w:pPr>
            <w:r>
              <w:rPr>
                <w:rFonts w:ascii="Arial" w:cs="Arial" w:eastAsia="Arial" w:hAnsi="Arial"/>
                <w:sz w:val="14"/>
                <w:szCs w:val="14"/>
                <w:color w:val="auto"/>
              </w:rPr>
              <w:t>$117</w:t>
            </w:r>
          </w:p>
        </w:tc>
        <w:tc>
          <w:tcPr>
            <w:tcW w:w="880" w:type="dxa"/>
            <w:vAlign w:val="bottom"/>
            <w:tcBorders>
              <w:bottom w:val="single" w:sz="8" w:color="007B51"/>
            </w:tcBorders>
            <w:gridSpan w:val="2"/>
          </w:tcPr>
          <w:p>
            <w:pPr>
              <w:jc w:val="right"/>
              <w:ind w:right="80"/>
              <w:spacing w:after="0"/>
              <w:rPr>
                <w:sz w:val="20"/>
                <w:szCs w:val="20"/>
                <w:color w:val="auto"/>
              </w:rPr>
            </w:pPr>
            <w:r>
              <w:rPr>
                <w:rFonts w:ascii="Arial" w:cs="Arial" w:eastAsia="Arial" w:hAnsi="Arial"/>
                <w:sz w:val="14"/>
                <w:szCs w:val="14"/>
                <w:color w:val="auto"/>
              </w:rPr>
              <w:t>$125</w:t>
            </w:r>
          </w:p>
        </w:tc>
        <w:tc>
          <w:tcPr>
            <w:tcW w:w="1000" w:type="dxa"/>
            <w:vAlign w:val="bottom"/>
            <w:tcBorders>
              <w:bottom w:val="single" w:sz="8" w:color="007B51"/>
            </w:tcBorders>
          </w:tcPr>
          <w:p>
            <w:pPr>
              <w:jc w:val="right"/>
              <w:ind w:right="15"/>
              <w:spacing w:after="0"/>
              <w:rPr>
                <w:sz w:val="20"/>
                <w:szCs w:val="20"/>
                <w:color w:val="auto"/>
              </w:rPr>
            </w:pPr>
            <w:r>
              <w:rPr>
                <w:rFonts w:ascii="Arial" w:cs="Arial" w:eastAsia="Arial" w:hAnsi="Arial"/>
                <w:sz w:val="14"/>
                <w:szCs w:val="14"/>
                <w:color w:val="auto"/>
              </w:rPr>
              <w:t>$247</w:t>
            </w:r>
          </w:p>
        </w:tc>
        <w:tc>
          <w:tcPr>
            <w:tcW w:w="104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6"/>
        <w:spacing w:after="0"/>
        <w:tabs>
          <w:tab w:leader="none" w:pos="260" w:val="left"/>
        </w:tabs>
        <w:numPr>
          <w:ilvl w:val="0"/>
          <w:numId w:val="50"/>
        </w:numPr>
        <w:rPr>
          <w:rFonts w:ascii="Arial" w:cs="Arial" w:eastAsia="Arial" w:hAnsi="Arial"/>
          <w:sz w:val="13"/>
          <w:szCs w:val="13"/>
          <w:color w:val="58595B"/>
        </w:rPr>
      </w:pPr>
      <w:r>
        <w:rPr>
          <w:rFonts w:ascii="Arial" w:cs="Arial" w:eastAsia="Arial" w:hAnsi="Arial"/>
          <w:sz w:val="13"/>
          <w:szCs w:val="13"/>
          <w:color w:val="58595B"/>
        </w:rPr>
        <w:t>Matthew Missad served as our CEO for the entirety of 2022, 2021 and 2020.</w:t>
      </w:r>
    </w:p>
    <w:p>
      <w:pPr>
        <w:spacing w:after="0" w:line="66" w:lineRule="exact"/>
        <w:rPr>
          <w:rFonts w:ascii="Arial" w:cs="Arial" w:eastAsia="Arial" w:hAnsi="Arial"/>
          <w:sz w:val="13"/>
          <w:szCs w:val="13"/>
          <w:color w:val="58595B"/>
        </w:rPr>
      </w:pPr>
    </w:p>
    <w:p>
      <w:pPr>
        <w:ind w:left="260" w:hanging="256"/>
        <w:spacing w:after="0"/>
        <w:tabs>
          <w:tab w:leader="none" w:pos="260" w:val="left"/>
        </w:tabs>
        <w:numPr>
          <w:ilvl w:val="0"/>
          <w:numId w:val="50"/>
        </w:numPr>
        <w:rPr>
          <w:rFonts w:ascii="Arial" w:cs="Arial" w:eastAsia="Arial" w:hAnsi="Arial"/>
          <w:sz w:val="13"/>
          <w:szCs w:val="13"/>
          <w:color w:val="58595B"/>
        </w:rPr>
      </w:pPr>
      <w:r>
        <w:rPr>
          <w:rFonts w:ascii="Arial" w:cs="Arial" w:eastAsia="Arial" w:hAnsi="Arial"/>
          <w:sz w:val="13"/>
          <w:szCs w:val="13"/>
          <w:color w:val="58595B"/>
        </w:rPr>
        <w:t>The NEOs included in this calculation for each year are:</w:t>
      </w:r>
    </w:p>
    <w:p>
      <w:pPr>
        <w:spacing w:after="0" w:line="93" w:lineRule="exact"/>
        <w:rPr>
          <w:rFonts w:ascii="Arial" w:cs="Arial" w:eastAsia="Arial" w:hAnsi="Arial"/>
          <w:sz w:val="13"/>
          <w:szCs w:val="13"/>
          <w:color w:val="58595B"/>
        </w:rPr>
      </w:pPr>
    </w:p>
    <w:p>
      <w:pPr>
        <w:jc w:val="both"/>
        <w:ind w:left="260" w:right="5160"/>
        <w:spacing w:after="0" w:line="406" w:lineRule="auto"/>
        <w:rPr>
          <w:rFonts w:ascii="Arial" w:cs="Arial" w:eastAsia="Arial" w:hAnsi="Arial"/>
          <w:sz w:val="13"/>
          <w:szCs w:val="13"/>
          <w:color w:val="58595B"/>
        </w:rPr>
      </w:pPr>
      <w:r>
        <w:rPr>
          <w:rFonts w:ascii="Arial" w:cs="Arial" w:eastAsia="Arial" w:hAnsi="Arial"/>
          <w:sz w:val="12"/>
          <w:szCs w:val="12"/>
          <w:color w:val="58595B"/>
        </w:rPr>
        <w:t>2022 – Patrick Benton, Michael Cole, Patrick Webster, and Scott Worthington 2021 – Patrick Benton, Michael Cole, Patrick Webster, and Scott Worthington 2020 – Patrick Benton, Michael Cole, Patrick Webster, and Allen Peters</w:t>
      </w:r>
    </w:p>
    <w:p>
      <w:pPr>
        <w:spacing w:after="0" w:line="1" w:lineRule="exact"/>
        <w:rPr>
          <w:rFonts w:ascii="Arial" w:cs="Arial" w:eastAsia="Arial" w:hAnsi="Arial"/>
          <w:sz w:val="13"/>
          <w:szCs w:val="13"/>
          <w:color w:val="58595B"/>
        </w:rPr>
      </w:pPr>
    </w:p>
    <w:p>
      <w:pPr>
        <w:ind w:left="260" w:hanging="256"/>
        <w:spacing w:after="0"/>
        <w:tabs>
          <w:tab w:leader="none" w:pos="260" w:val="left"/>
        </w:tabs>
        <w:numPr>
          <w:ilvl w:val="0"/>
          <w:numId w:val="50"/>
        </w:numPr>
        <w:rPr>
          <w:rFonts w:ascii="Arial" w:cs="Arial" w:eastAsia="Arial" w:hAnsi="Arial"/>
          <w:sz w:val="13"/>
          <w:szCs w:val="13"/>
          <w:color w:val="58595B"/>
        </w:rPr>
      </w:pPr>
      <w:r>
        <w:rPr>
          <w:rFonts w:ascii="Arial" w:cs="Arial" w:eastAsia="Arial" w:hAnsi="Arial"/>
          <w:sz w:val="13"/>
          <w:szCs w:val="13"/>
          <w:color w:val="58595B"/>
        </w:rPr>
        <w:t>This comparison assumes $100 was invested on Dec 28, 2019 in our common stock and in an index of our peers.</w:t>
      </w:r>
    </w:p>
    <w:p>
      <w:pPr>
        <w:spacing w:after="0" w:line="66" w:lineRule="exact"/>
        <w:rPr>
          <w:rFonts w:ascii="Arial" w:cs="Arial" w:eastAsia="Arial" w:hAnsi="Arial"/>
          <w:sz w:val="13"/>
          <w:szCs w:val="13"/>
          <w:color w:val="58595B"/>
        </w:rPr>
      </w:pPr>
    </w:p>
    <w:p>
      <w:pPr>
        <w:ind w:left="260" w:right="120" w:hanging="256"/>
        <w:spacing w:after="0" w:line="229" w:lineRule="auto"/>
        <w:tabs>
          <w:tab w:leader="none" w:pos="260" w:val="left"/>
        </w:tabs>
        <w:numPr>
          <w:ilvl w:val="0"/>
          <w:numId w:val="50"/>
        </w:numPr>
        <w:rPr>
          <w:rFonts w:ascii="Arial" w:cs="Arial" w:eastAsia="Arial" w:hAnsi="Arial"/>
          <w:sz w:val="13"/>
          <w:szCs w:val="13"/>
          <w:color w:val="58595B"/>
        </w:rPr>
      </w:pPr>
      <w:r>
        <w:rPr>
          <w:rFonts w:ascii="Arial" w:cs="Arial" w:eastAsia="Arial" w:hAnsi="Arial"/>
          <w:sz w:val="13"/>
          <w:szCs w:val="13"/>
          <w:color w:val="58595B"/>
        </w:rPr>
        <w:t>Represents the weighted peer group TSR, weighted according to the respective companies’ stock market capitalization as of December 28, 2019. The peer group used for this purpose is our self-determined industry peer group as disclosed in our annual report. This peer group is as follows: American Woodmark Corporation, Louisiana-Pacific Corporation, Masco Corporation, Boise Cascade Company, Patrick Industries, Inc., Builders FirstSource, Inc., Simpson Manufacturing Company, Inc., Sonoco Products Company, Gibraltar Industries, Inc., Trex Company, Inc., Greif, Inc., and WestRock Company</w:t>
      </w:r>
    </w:p>
    <w:p>
      <w:pPr>
        <w:spacing w:after="0" w:line="50" w:lineRule="exact"/>
        <w:rPr>
          <w:rFonts w:ascii="Arial" w:cs="Arial" w:eastAsia="Arial" w:hAnsi="Arial"/>
          <w:sz w:val="13"/>
          <w:szCs w:val="13"/>
          <w:color w:val="58595B"/>
        </w:rPr>
      </w:pPr>
    </w:p>
    <w:p>
      <w:pPr>
        <w:ind w:left="260" w:hanging="256"/>
        <w:spacing w:after="0"/>
        <w:tabs>
          <w:tab w:leader="none" w:pos="260" w:val="left"/>
        </w:tabs>
        <w:numPr>
          <w:ilvl w:val="0"/>
          <w:numId w:val="50"/>
        </w:numPr>
        <w:rPr>
          <w:rFonts w:ascii="Arial" w:cs="Arial" w:eastAsia="Arial" w:hAnsi="Arial"/>
          <w:sz w:val="13"/>
          <w:szCs w:val="13"/>
          <w:color w:val="58595B"/>
        </w:rPr>
      </w:pPr>
      <w:r>
        <w:rPr>
          <w:rFonts w:ascii="Arial" w:cs="Arial" w:eastAsia="Arial" w:hAnsi="Arial"/>
          <w:sz w:val="13"/>
          <w:szCs w:val="13"/>
          <w:color w:val="58595B"/>
        </w:rPr>
        <w:t>The dollar amounts reported represent the net income reflected in the company’s audited consolidated financial statements for the applicable year.</w:t>
      </w:r>
    </w:p>
    <w:p>
      <w:pPr>
        <w:spacing w:after="0" w:line="66" w:lineRule="exact"/>
        <w:rPr>
          <w:rFonts w:ascii="Arial" w:cs="Arial" w:eastAsia="Arial" w:hAnsi="Arial"/>
          <w:sz w:val="13"/>
          <w:szCs w:val="13"/>
          <w:color w:val="58595B"/>
        </w:rPr>
      </w:pPr>
    </w:p>
    <w:p>
      <w:pPr>
        <w:ind w:left="260" w:right="40" w:hanging="256"/>
        <w:spacing w:after="0" w:line="259" w:lineRule="auto"/>
        <w:tabs>
          <w:tab w:leader="none" w:pos="260" w:val="left"/>
        </w:tabs>
        <w:numPr>
          <w:ilvl w:val="0"/>
          <w:numId w:val="50"/>
        </w:numPr>
        <w:rPr>
          <w:rFonts w:ascii="Arial" w:cs="Arial" w:eastAsia="Arial" w:hAnsi="Arial"/>
          <w:sz w:val="12"/>
          <w:szCs w:val="12"/>
          <w:color w:val="58595B"/>
        </w:rPr>
      </w:pPr>
      <w:r>
        <w:rPr>
          <w:rFonts w:ascii="Arial" w:cs="Arial" w:eastAsia="Arial" w:hAnsi="Arial"/>
          <w:sz w:val="12"/>
          <w:szCs w:val="12"/>
          <w:color w:val="58595B"/>
        </w:rPr>
        <w:t>PBOP represents pre-incentive compensation operating profit of each plant, region/business unit, segment as well as Corporate. ROI is determined based upon the Profit Center’s pre-incentive compensation operating profit, less income taxes, divided by the average investment of the Profit Center. Average investment is defined as the average of inventory, plus accounts receivable, plus net property, plant and equipment, plus intangibles, less accumulated amortization and less accounts payable.</w:t>
      </w:r>
    </w:p>
    <w:p>
      <w:pPr>
        <w:spacing w:after="0" w:line="39" w:lineRule="exact"/>
        <w:rPr>
          <w:rFonts w:ascii="Arial" w:cs="Arial" w:eastAsia="Arial" w:hAnsi="Arial"/>
          <w:sz w:val="12"/>
          <w:szCs w:val="12"/>
          <w:color w:val="58595B"/>
        </w:rPr>
      </w:pPr>
    </w:p>
    <w:p>
      <w:pPr>
        <w:ind w:left="260" w:right="80" w:hanging="256"/>
        <w:spacing w:after="0" w:line="229" w:lineRule="auto"/>
        <w:tabs>
          <w:tab w:leader="none" w:pos="260" w:val="left"/>
        </w:tabs>
        <w:numPr>
          <w:ilvl w:val="0"/>
          <w:numId w:val="50"/>
        </w:numPr>
        <w:rPr>
          <w:rFonts w:ascii="Arial" w:cs="Arial" w:eastAsia="Arial" w:hAnsi="Arial"/>
          <w:sz w:val="13"/>
          <w:szCs w:val="13"/>
          <w:color w:val="58595B"/>
        </w:rPr>
      </w:pPr>
      <w:r>
        <w:rPr>
          <w:rFonts w:ascii="Arial" w:cs="Arial" w:eastAsia="Arial" w:hAnsi="Arial"/>
          <w:sz w:val="13"/>
          <w:szCs w:val="13"/>
          <w:color w:val="58595B"/>
        </w:rPr>
        <w:t>The table below sets forth each of the amounts required by SEC rule to be deducted from and added to the amount of total compensation as reflected in the Summary Compensation Table, to calculate Compensation Actually Paid. Because the PSUs are earned based on specified performance-criteria, in computing these amounts with respect to PSUs, total fair value (FV) as of year-end is based on the expected payout of the PSUs using data through year-end. There were no other assumptions made in the valuation of equity awards that differs materially from those disclosed as of the grant date of such equity awards.</w:t>
      </w:r>
    </w:p>
    <w:p>
      <w:pPr>
        <w:spacing w:after="0" w:line="293"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41</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180" w:type="dxa"/>
            <w:vAlign w:val="bottom"/>
            <w:tcBorders>
              <w:bottom w:val="single" w:sz="8" w:color="007B51"/>
            </w:tcBorders>
          </w:tcPr>
          <w:p>
            <w:pPr>
              <w:spacing w:after="0"/>
              <w:rPr>
                <w:sz w:val="13"/>
                <w:szCs w:val="13"/>
                <w:color w:val="auto"/>
              </w:rPr>
            </w:pPr>
          </w:p>
        </w:tc>
        <w:tc>
          <w:tcPr>
            <w:tcW w:w="320" w:type="dxa"/>
            <w:vAlign w:val="bottom"/>
            <w:tcBorders>
              <w:bottom w:val="single" w:sz="8" w:color="007B51"/>
            </w:tcBorders>
          </w:tcPr>
          <w:p>
            <w:pPr>
              <w:spacing w:after="0"/>
              <w:rPr>
                <w:sz w:val="13"/>
                <w:szCs w:val="13"/>
                <w:color w:val="auto"/>
              </w:rPr>
            </w:pPr>
          </w:p>
        </w:tc>
        <w:tc>
          <w:tcPr>
            <w:tcW w:w="1620" w:type="dxa"/>
            <w:vAlign w:val="bottom"/>
            <w:tcBorders>
              <w:bottom w:val="single" w:sz="8" w:color="007B51"/>
            </w:tcBorders>
            <w:gridSpan w:val="2"/>
          </w:tcPr>
          <w:p>
            <w:pPr>
              <w:jc w:val="right"/>
              <w:ind w:right="771"/>
              <w:spacing w:after="0"/>
              <w:rPr>
                <w:sz w:val="20"/>
                <w:szCs w:val="20"/>
                <w:color w:val="auto"/>
              </w:rPr>
            </w:pPr>
            <w:r>
              <w:rPr>
                <w:rFonts w:ascii="Arial" w:cs="Arial" w:eastAsia="Arial" w:hAnsi="Arial"/>
                <w:sz w:val="11"/>
                <w:szCs w:val="11"/>
                <w:color w:val="auto"/>
              </w:rPr>
              <w:t>2022</w:t>
            </w:r>
          </w:p>
        </w:tc>
        <w:tc>
          <w:tcPr>
            <w:tcW w:w="1880" w:type="dxa"/>
            <w:vAlign w:val="bottom"/>
            <w:tcBorders>
              <w:bottom w:val="single" w:sz="8" w:color="007B51"/>
            </w:tcBorders>
            <w:gridSpan w:val="2"/>
          </w:tcPr>
          <w:p>
            <w:pPr>
              <w:jc w:val="right"/>
              <w:ind w:right="751"/>
              <w:spacing w:after="0"/>
              <w:rPr>
                <w:sz w:val="20"/>
                <w:szCs w:val="20"/>
                <w:color w:val="auto"/>
              </w:rPr>
            </w:pPr>
            <w:r>
              <w:rPr>
                <w:rFonts w:ascii="Arial" w:cs="Arial" w:eastAsia="Arial" w:hAnsi="Arial"/>
                <w:sz w:val="11"/>
                <w:szCs w:val="11"/>
                <w:color w:val="auto"/>
              </w:rPr>
              <w:t>2021</w:t>
            </w:r>
          </w:p>
        </w:tc>
        <w:tc>
          <w:tcPr>
            <w:tcW w:w="1720" w:type="dxa"/>
            <w:vAlign w:val="bottom"/>
            <w:tcBorders>
              <w:bottom w:val="single" w:sz="8" w:color="007B51"/>
            </w:tcBorders>
            <w:gridSpan w:val="2"/>
          </w:tcPr>
          <w:p>
            <w:pPr>
              <w:jc w:val="right"/>
              <w:ind w:right="631"/>
              <w:spacing w:after="0"/>
              <w:rPr>
                <w:sz w:val="20"/>
                <w:szCs w:val="20"/>
                <w:color w:val="auto"/>
              </w:rPr>
            </w:pPr>
            <w:r>
              <w:rPr>
                <w:rFonts w:ascii="Arial" w:cs="Arial" w:eastAsia="Arial" w:hAnsi="Arial"/>
                <w:sz w:val="11"/>
                <w:szCs w:val="11"/>
                <w:color w:val="auto"/>
              </w:rPr>
              <w:t>2020</w:t>
            </w:r>
          </w:p>
        </w:tc>
      </w:tr>
      <w:tr>
        <w:trPr>
          <w:trHeight w:val="135"/>
        </w:trPr>
        <w:tc>
          <w:tcPr>
            <w:tcW w:w="4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jc w:val="right"/>
              <w:ind w:right="71"/>
              <w:spacing w:after="0"/>
              <w:rPr>
                <w:sz w:val="20"/>
                <w:szCs w:val="20"/>
                <w:color w:val="auto"/>
              </w:rPr>
            </w:pPr>
            <w:r>
              <w:rPr>
                <w:rFonts w:ascii="Arial" w:cs="Arial" w:eastAsia="Arial" w:hAnsi="Arial"/>
                <w:sz w:val="11"/>
                <w:szCs w:val="11"/>
                <w:b w:val="1"/>
                <w:bCs w:val="1"/>
                <w:color w:val="auto"/>
              </w:rPr>
              <w:t>OTHER NEOS</w:t>
            </w:r>
          </w:p>
        </w:tc>
        <w:tc>
          <w:tcPr>
            <w:tcW w:w="960" w:type="dxa"/>
            <w:vAlign w:val="bottom"/>
          </w:tcPr>
          <w:p>
            <w:pPr>
              <w:spacing w:after="0"/>
              <w:rPr>
                <w:sz w:val="11"/>
                <w:szCs w:val="11"/>
                <w:color w:val="auto"/>
              </w:rPr>
            </w:pPr>
          </w:p>
        </w:tc>
        <w:tc>
          <w:tcPr>
            <w:tcW w:w="920" w:type="dxa"/>
            <w:vAlign w:val="bottom"/>
          </w:tcPr>
          <w:p>
            <w:pPr>
              <w:jc w:val="right"/>
              <w:ind w:right="51"/>
              <w:spacing w:after="0"/>
              <w:rPr>
                <w:sz w:val="20"/>
                <w:szCs w:val="20"/>
                <w:color w:val="auto"/>
              </w:rPr>
            </w:pPr>
            <w:r>
              <w:rPr>
                <w:rFonts w:ascii="Arial" w:cs="Arial" w:eastAsia="Arial" w:hAnsi="Arial"/>
                <w:sz w:val="11"/>
                <w:szCs w:val="11"/>
                <w:b w:val="1"/>
                <w:bCs w:val="1"/>
                <w:color w:val="auto"/>
              </w:rPr>
              <w:t>OTHER NEOS</w:t>
            </w:r>
          </w:p>
        </w:tc>
        <w:tc>
          <w:tcPr>
            <w:tcW w:w="9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OTHER NEOS</w:t>
            </w:r>
          </w:p>
        </w:tc>
      </w:tr>
      <w:tr>
        <w:trPr>
          <w:trHeight w:val="155"/>
        </w:trPr>
        <w:tc>
          <w:tcPr>
            <w:tcW w:w="4180" w:type="dxa"/>
            <w:vAlign w:val="bottom"/>
            <w:tcBorders>
              <w:bottom w:val="single" w:sz="8" w:color="007B51"/>
            </w:tcBorders>
          </w:tcPr>
          <w:p>
            <w:pPr>
              <w:spacing w:after="0"/>
              <w:rPr>
                <w:sz w:val="13"/>
                <w:szCs w:val="13"/>
                <w:color w:val="auto"/>
              </w:rPr>
            </w:pPr>
          </w:p>
        </w:tc>
        <w:tc>
          <w:tcPr>
            <w:tcW w:w="320" w:type="dxa"/>
            <w:vAlign w:val="bottom"/>
            <w:tcBorders>
              <w:bottom w:val="single" w:sz="8" w:color="007B51"/>
            </w:tcBorders>
          </w:tcPr>
          <w:p>
            <w:pPr>
              <w:spacing w:after="0"/>
              <w:rPr>
                <w:sz w:val="13"/>
                <w:szCs w:val="13"/>
                <w:color w:val="auto"/>
              </w:rPr>
            </w:pPr>
          </w:p>
        </w:tc>
        <w:tc>
          <w:tcPr>
            <w:tcW w:w="680" w:type="dxa"/>
            <w:vAlign w:val="bottom"/>
            <w:tcBorders>
              <w:bottom w:val="single" w:sz="8" w:color="007B51"/>
            </w:tcBorders>
          </w:tcPr>
          <w:p>
            <w:pPr>
              <w:jc w:val="right"/>
              <w:ind w:right="294"/>
              <w:spacing w:after="0"/>
              <w:rPr>
                <w:sz w:val="20"/>
                <w:szCs w:val="20"/>
                <w:color w:val="auto"/>
              </w:rPr>
            </w:pPr>
            <w:r>
              <w:rPr>
                <w:rFonts w:ascii="Arial" w:cs="Arial" w:eastAsia="Arial" w:hAnsi="Arial"/>
                <w:sz w:val="11"/>
                <w:szCs w:val="11"/>
                <w:b w:val="1"/>
                <w:bCs w:val="1"/>
                <w:color w:val="auto"/>
              </w:rPr>
              <w:t>CEO</w:t>
            </w:r>
          </w:p>
        </w:tc>
        <w:tc>
          <w:tcPr>
            <w:tcW w:w="940" w:type="dxa"/>
            <w:vAlign w:val="bottom"/>
            <w:tcBorders>
              <w:bottom w:val="single" w:sz="8" w:color="007B51"/>
            </w:tcBorders>
          </w:tcPr>
          <w:p>
            <w:pPr>
              <w:jc w:val="right"/>
              <w:ind w:right="131"/>
              <w:spacing w:after="0"/>
              <w:rPr>
                <w:sz w:val="20"/>
                <w:szCs w:val="20"/>
                <w:color w:val="auto"/>
              </w:rPr>
            </w:pPr>
            <w:r>
              <w:rPr>
                <w:rFonts w:ascii="Arial" w:cs="Arial" w:eastAsia="Arial" w:hAnsi="Arial"/>
                <w:sz w:val="11"/>
                <w:szCs w:val="11"/>
                <w:b w:val="1"/>
                <w:bCs w:val="1"/>
                <w:color w:val="auto"/>
              </w:rPr>
              <w:t>AVERAGE</w:t>
            </w:r>
          </w:p>
        </w:tc>
        <w:tc>
          <w:tcPr>
            <w:tcW w:w="960" w:type="dxa"/>
            <w:vAlign w:val="bottom"/>
            <w:tcBorders>
              <w:bottom w:val="single" w:sz="8" w:color="007B51"/>
            </w:tcBorders>
          </w:tcPr>
          <w:p>
            <w:pPr>
              <w:jc w:val="right"/>
              <w:ind w:right="311"/>
              <w:spacing w:after="0"/>
              <w:rPr>
                <w:sz w:val="20"/>
                <w:szCs w:val="20"/>
                <w:color w:val="auto"/>
              </w:rPr>
            </w:pPr>
            <w:r>
              <w:rPr>
                <w:rFonts w:ascii="Arial" w:cs="Arial" w:eastAsia="Arial" w:hAnsi="Arial"/>
                <w:sz w:val="11"/>
                <w:szCs w:val="11"/>
                <w:b w:val="1"/>
                <w:bCs w:val="1"/>
                <w:color w:val="auto"/>
              </w:rPr>
              <w:t>CEO</w:t>
            </w:r>
          </w:p>
        </w:tc>
        <w:tc>
          <w:tcPr>
            <w:tcW w:w="920" w:type="dxa"/>
            <w:vAlign w:val="bottom"/>
            <w:tcBorders>
              <w:bottom w:val="single" w:sz="8" w:color="007B51"/>
            </w:tcBorders>
          </w:tcPr>
          <w:p>
            <w:pPr>
              <w:jc w:val="right"/>
              <w:ind w:right="131"/>
              <w:spacing w:after="0"/>
              <w:rPr>
                <w:sz w:val="20"/>
                <w:szCs w:val="20"/>
                <w:color w:val="auto"/>
              </w:rPr>
            </w:pPr>
            <w:r>
              <w:rPr>
                <w:rFonts w:ascii="Arial" w:cs="Arial" w:eastAsia="Arial" w:hAnsi="Arial"/>
                <w:sz w:val="11"/>
                <w:szCs w:val="11"/>
                <w:b w:val="1"/>
                <w:bCs w:val="1"/>
                <w:color w:val="auto"/>
              </w:rPr>
              <w:t>AVERAGE</w:t>
            </w:r>
          </w:p>
        </w:tc>
        <w:tc>
          <w:tcPr>
            <w:tcW w:w="900" w:type="dxa"/>
            <w:vAlign w:val="bottom"/>
            <w:tcBorders>
              <w:bottom w:val="single" w:sz="8" w:color="007B51"/>
            </w:tcBorders>
          </w:tcPr>
          <w:p>
            <w:pPr>
              <w:jc w:val="right"/>
              <w:ind w:right="271"/>
              <w:spacing w:after="0"/>
              <w:rPr>
                <w:sz w:val="20"/>
                <w:szCs w:val="20"/>
                <w:color w:val="auto"/>
              </w:rPr>
            </w:pPr>
            <w:r>
              <w:rPr>
                <w:rFonts w:ascii="Arial" w:cs="Arial" w:eastAsia="Arial" w:hAnsi="Arial"/>
                <w:sz w:val="11"/>
                <w:szCs w:val="11"/>
                <w:b w:val="1"/>
                <w:bCs w:val="1"/>
                <w:color w:val="auto"/>
              </w:rPr>
              <w:t>CEO</w:t>
            </w:r>
          </w:p>
        </w:tc>
        <w:tc>
          <w:tcPr>
            <w:tcW w:w="820" w:type="dxa"/>
            <w:vAlign w:val="bottom"/>
            <w:tcBorders>
              <w:bottom w:val="single" w:sz="8" w:color="007B51"/>
            </w:tcBorders>
          </w:tcPr>
          <w:p>
            <w:pPr>
              <w:jc w:val="right"/>
              <w:ind w:right="51"/>
              <w:spacing w:after="0"/>
              <w:rPr>
                <w:sz w:val="20"/>
                <w:szCs w:val="20"/>
                <w:color w:val="auto"/>
              </w:rPr>
            </w:pPr>
            <w:r>
              <w:rPr>
                <w:rFonts w:ascii="Arial" w:cs="Arial" w:eastAsia="Arial" w:hAnsi="Arial"/>
                <w:sz w:val="11"/>
                <w:szCs w:val="11"/>
                <w:b w:val="1"/>
                <w:bCs w:val="1"/>
                <w:color w:val="auto"/>
              </w:rPr>
              <w:t>AVERAGE</w:t>
            </w:r>
          </w:p>
        </w:tc>
      </w:tr>
      <w:tr>
        <w:trPr>
          <w:trHeight w:val="202"/>
        </w:trPr>
        <w:tc>
          <w:tcPr>
            <w:tcW w:w="4180" w:type="dxa"/>
            <w:vAlign w:val="bottom"/>
          </w:tcPr>
          <w:p>
            <w:pPr>
              <w:ind w:left="100"/>
              <w:spacing w:after="0"/>
              <w:rPr>
                <w:sz w:val="20"/>
                <w:szCs w:val="20"/>
                <w:color w:val="auto"/>
              </w:rPr>
            </w:pPr>
            <w:r>
              <w:rPr>
                <w:rFonts w:ascii="Arial" w:cs="Arial" w:eastAsia="Arial" w:hAnsi="Arial"/>
                <w:sz w:val="16"/>
                <w:szCs w:val="16"/>
                <w:b w:val="1"/>
                <w:bCs w:val="1"/>
                <w:color w:val="auto"/>
              </w:rPr>
              <w:t>Total Compensation for covered</w:t>
            </w:r>
          </w:p>
        </w:tc>
        <w:tc>
          <w:tcPr>
            <w:tcW w:w="1000" w:type="dxa"/>
            <w:vAlign w:val="bottom"/>
            <w:gridSpan w:val="2"/>
          </w:tcPr>
          <w:p>
            <w:pPr>
              <w:jc w:val="right"/>
              <w:ind w:right="14"/>
              <w:spacing w:after="0"/>
              <w:rPr>
                <w:sz w:val="20"/>
                <w:szCs w:val="20"/>
                <w:color w:val="auto"/>
              </w:rPr>
            </w:pPr>
            <w:r>
              <w:rPr>
                <w:rFonts w:ascii="Arial" w:cs="Arial" w:eastAsia="Arial" w:hAnsi="Arial"/>
                <w:sz w:val="14"/>
                <w:szCs w:val="14"/>
                <w:color w:val="auto"/>
              </w:rPr>
              <w:t>$10,299,274</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$4,761,045</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$9,757,808</w:t>
            </w: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$4,728,970</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$6,220,661</w:t>
            </w:r>
          </w:p>
        </w:tc>
        <w:tc>
          <w:tcPr>
            <w:tcW w:w="820" w:type="dxa"/>
            <w:vAlign w:val="bottom"/>
          </w:tcPr>
          <w:p>
            <w:pPr>
              <w:jc w:val="right"/>
              <w:spacing w:after="0"/>
              <w:rPr>
                <w:sz w:val="20"/>
                <w:szCs w:val="20"/>
                <w:color w:val="auto"/>
              </w:rPr>
            </w:pPr>
            <w:r>
              <w:rPr>
                <w:rFonts w:ascii="Arial" w:cs="Arial" w:eastAsia="Arial" w:hAnsi="Arial"/>
                <w:sz w:val="14"/>
                <w:szCs w:val="14"/>
                <w:color w:val="auto"/>
              </w:rPr>
              <w:t>$3,029,958</w:t>
            </w:r>
          </w:p>
        </w:tc>
      </w:tr>
      <w:tr>
        <w:trPr>
          <w:trHeight w:val="189"/>
        </w:trPr>
        <w:tc>
          <w:tcPr>
            <w:tcW w:w="4180" w:type="dxa"/>
            <w:vAlign w:val="bottom"/>
          </w:tcPr>
          <w:p>
            <w:pPr>
              <w:ind w:left="100"/>
              <w:spacing w:after="0"/>
              <w:rPr>
                <w:sz w:val="20"/>
                <w:szCs w:val="20"/>
                <w:color w:val="auto"/>
              </w:rPr>
            </w:pPr>
            <w:r>
              <w:rPr>
                <w:rFonts w:ascii="Arial" w:cs="Arial" w:eastAsia="Arial" w:hAnsi="Arial"/>
                <w:sz w:val="16"/>
                <w:szCs w:val="16"/>
                <w:b w:val="1"/>
                <w:bCs w:val="1"/>
                <w:color w:val="auto"/>
              </w:rPr>
              <w:t>fiscal year (FY) from Summary</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6"/>
        </w:trPr>
        <w:tc>
          <w:tcPr>
            <w:tcW w:w="4180" w:type="dxa"/>
            <w:vAlign w:val="bottom"/>
            <w:tcBorders>
              <w:bottom w:val="single" w:sz="8" w:color="007B51"/>
            </w:tcBorders>
          </w:tcPr>
          <w:p>
            <w:pPr>
              <w:ind w:left="100"/>
              <w:spacing w:after="0"/>
              <w:rPr>
                <w:sz w:val="20"/>
                <w:szCs w:val="20"/>
                <w:color w:val="auto"/>
              </w:rPr>
            </w:pPr>
            <w:r>
              <w:rPr>
                <w:rFonts w:ascii="Arial" w:cs="Arial" w:eastAsia="Arial" w:hAnsi="Arial"/>
                <w:sz w:val="16"/>
                <w:szCs w:val="16"/>
                <w:b w:val="1"/>
                <w:bCs w:val="1"/>
                <w:color w:val="auto"/>
              </w:rPr>
              <w:t>Compensation Table (SCT)</w:t>
            </w:r>
          </w:p>
        </w:tc>
        <w:tc>
          <w:tcPr>
            <w:tcW w:w="320" w:type="dxa"/>
            <w:vAlign w:val="bottom"/>
            <w:tcBorders>
              <w:bottom w:val="single" w:sz="8" w:color="007B51"/>
            </w:tcBorders>
          </w:tcPr>
          <w:p>
            <w:pPr>
              <w:spacing w:after="0"/>
              <w:rPr>
                <w:sz w:val="19"/>
                <w:szCs w:val="19"/>
                <w:color w:val="auto"/>
              </w:rPr>
            </w:pPr>
          </w:p>
        </w:tc>
        <w:tc>
          <w:tcPr>
            <w:tcW w:w="680" w:type="dxa"/>
            <w:vAlign w:val="bottom"/>
            <w:tcBorders>
              <w:bottom w:val="single" w:sz="8" w:color="007B51"/>
            </w:tcBorders>
          </w:tcPr>
          <w:p>
            <w:pPr>
              <w:spacing w:after="0"/>
              <w:rPr>
                <w:sz w:val="19"/>
                <w:szCs w:val="19"/>
                <w:color w:val="auto"/>
              </w:rPr>
            </w:pPr>
          </w:p>
        </w:tc>
        <w:tc>
          <w:tcPr>
            <w:tcW w:w="940" w:type="dxa"/>
            <w:vAlign w:val="bottom"/>
            <w:tcBorders>
              <w:bottom w:val="single" w:sz="8" w:color="007B51"/>
            </w:tcBorders>
          </w:tcPr>
          <w:p>
            <w:pPr>
              <w:spacing w:after="0"/>
              <w:rPr>
                <w:sz w:val="19"/>
                <w:szCs w:val="19"/>
                <w:color w:val="auto"/>
              </w:rPr>
            </w:pPr>
          </w:p>
        </w:tc>
        <w:tc>
          <w:tcPr>
            <w:tcW w:w="960" w:type="dxa"/>
            <w:vAlign w:val="bottom"/>
            <w:tcBorders>
              <w:bottom w:val="single" w:sz="8" w:color="007B51"/>
            </w:tcBorders>
          </w:tcPr>
          <w:p>
            <w:pPr>
              <w:spacing w:after="0"/>
              <w:rPr>
                <w:sz w:val="19"/>
                <w:szCs w:val="19"/>
                <w:color w:val="auto"/>
              </w:rPr>
            </w:pPr>
          </w:p>
        </w:tc>
        <w:tc>
          <w:tcPr>
            <w:tcW w:w="920" w:type="dxa"/>
            <w:vAlign w:val="bottom"/>
            <w:tcBorders>
              <w:bottom w:val="single" w:sz="8" w:color="007B51"/>
            </w:tcBorders>
          </w:tcPr>
          <w:p>
            <w:pPr>
              <w:spacing w:after="0"/>
              <w:rPr>
                <w:sz w:val="19"/>
                <w:szCs w:val="19"/>
                <w:color w:val="auto"/>
              </w:rPr>
            </w:pPr>
          </w:p>
        </w:tc>
        <w:tc>
          <w:tcPr>
            <w:tcW w:w="900" w:type="dxa"/>
            <w:vAlign w:val="bottom"/>
            <w:tcBorders>
              <w:bottom w:val="single" w:sz="8" w:color="007B51"/>
            </w:tcBorders>
          </w:tcPr>
          <w:p>
            <w:pPr>
              <w:spacing w:after="0"/>
              <w:rPr>
                <w:sz w:val="19"/>
                <w:szCs w:val="19"/>
                <w:color w:val="auto"/>
              </w:rPr>
            </w:pPr>
          </w:p>
        </w:tc>
        <w:tc>
          <w:tcPr>
            <w:tcW w:w="820" w:type="dxa"/>
            <w:vAlign w:val="bottom"/>
            <w:tcBorders>
              <w:bottom w:val="single" w:sz="8" w:color="007B51"/>
            </w:tcBorders>
          </w:tcPr>
          <w:p>
            <w:pPr>
              <w:spacing w:after="0"/>
              <w:rPr>
                <w:sz w:val="19"/>
                <w:szCs w:val="19"/>
                <w:color w:val="auto"/>
              </w:rPr>
            </w:pPr>
          </w:p>
        </w:tc>
      </w:tr>
      <w:tr>
        <w:trPr>
          <w:trHeight w:val="258"/>
        </w:trPr>
        <w:tc>
          <w:tcPr>
            <w:tcW w:w="4180" w:type="dxa"/>
            <w:vAlign w:val="bottom"/>
          </w:tcPr>
          <w:p>
            <w:pPr>
              <w:ind w:left="100"/>
              <w:spacing w:after="0"/>
              <w:rPr>
                <w:sz w:val="20"/>
                <w:szCs w:val="20"/>
                <w:color w:val="auto"/>
              </w:rPr>
            </w:pPr>
            <w:r>
              <w:rPr>
                <w:rFonts w:ascii="Arial" w:cs="Arial" w:eastAsia="Arial" w:hAnsi="Arial"/>
                <w:sz w:val="16"/>
                <w:szCs w:val="16"/>
                <w:b w:val="1"/>
                <w:bCs w:val="1"/>
                <w:color w:val="auto"/>
              </w:rPr>
              <w:t xml:space="preserve">DEDUCT: </w:t>
            </w:r>
            <w:r>
              <w:rPr>
                <w:rFonts w:ascii="Arial" w:cs="Arial" w:eastAsia="Arial" w:hAnsi="Arial"/>
                <w:sz w:val="14"/>
                <w:szCs w:val="14"/>
                <w:color w:val="auto"/>
              </w:rPr>
              <w:t>grant date fair value (GDFV) of equity awards</w:t>
            </w:r>
          </w:p>
        </w:tc>
        <w:tc>
          <w:tcPr>
            <w:tcW w:w="1000" w:type="dxa"/>
            <w:vAlign w:val="bottom"/>
            <w:gridSpan w:val="2"/>
          </w:tcPr>
          <w:p>
            <w:pPr>
              <w:jc w:val="right"/>
              <w:ind w:right="14"/>
              <w:spacing w:after="0"/>
              <w:rPr>
                <w:sz w:val="20"/>
                <w:szCs w:val="20"/>
                <w:color w:val="auto"/>
              </w:rPr>
            </w:pPr>
            <w:r>
              <w:rPr>
                <w:rFonts w:ascii="Arial" w:cs="Arial" w:eastAsia="Arial" w:hAnsi="Arial"/>
                <w:sz w:val="14"/>
                <w:szCs w:val="14"/>
                <w:color w:val="auto"/>
              </w:rPr>
              <w:t>$7,697,308</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$3,477,611</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$7,244,629</w:t>
            </w: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$3,579,830</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$3,720,191</w:t>
            </w:r>
          </w:p>
        </w:tc>
        <w:tc>
          <w:tcPr>
            <w:tcW w:w="820" w:type="dxa"/>
            <w:vAlign w:val="bottom"/>
          </w:tcPr>
          <w:p>
            <w:pPr>
              <w:jc w:val="right"/>
              <w:spacing w:after="0"/>
              <w:rPr>
                <w:sz w:val="20"/>
                <w:szCs w:val="20"/>
                <w:color w:val="auto"/>
              </w:rPr>
            </w:pPr>
            <w:r>
              <w:rPr>
                <w:rFonts w:ascii="Arial" w:cs="Arial" w:eastAsia="Arial" w:hAnsi="Arial"/>
                <w:sz w:val="14"/>
                <w:szCs w:val="14"/>
                <w:color w:val="auto"/>
              </w:rPr>
              <w:t>$1,859,954</w:t>
            </w:r>
          </w:p>
        </w:tc>
      </w:tr>
      <w:tr>
        <w:trPr>
          <w:trHeight w:val="194"/>
        </w:trPr>
        <w:tc>
          <w:tcPr>
            <w:tcW w:w="4180" w:type="dxa"/>
            <w:vAlign w:val="bottom"/>
            <w:tcBorders>
              <w:bottom w:val="single" w:sz="8" w:color="007B51"/>
            </w:tcBorders>
          </w:tcPr>
          <w:p>
            <w:pPr>
              <w:ind w:left="100"/>
              <w:spacing w:after="0"/>
              <w:rPr>
                <w:sz w:val="20"/>
                <w:szCs w:val="20"/>
                <w:color w:val="auto"/>
              </w:rPr>
            </w:pPr>
            <w:r>
              <w:rPr>
                <w:rFonts w:ascii="Arial" w:cs="Arial" w:eastAsia="Arial" w:hAnsi="Arial"/>
                <w:sz w:val="14"/>
                <w:szCs w:val="14"/>
                <w:color w:val="auto"/>
              </w:rPr>
              <w:t>reported in SCT</w:t>
            </w:r>
          </w:p>
        </w:tc>
        <w:tc>
          <w:tcPr>
            <w:tcW w:w="320" w:type="dxa"/>
            <w:vAlign w:val="bottom"/>
            <w:tcBorders>
              <w:bottom w:val="single" w:sz="8" w:color="007B51"/>
            </w:tcBorders>
          </w:tcPr>
          <w:p>
            <w:pPr>
              <w:spacing w:after="0"/>
              <w:rPr>
                <w:sz w:val="16"/>
                <w:szCs w:val="16"/>
                <w:color w:val="auto"/>
              </w:rPr>
            </w:pPr>
          </w:p>
        </w:tc>
        <w:tc>
          <w:tcPr>
            <w:tcW w:w="680" w:type="dxa"/>
            <w:vAlign w:val="bottom"/>
            <w:tcBorders>
              <w:bottom w:val="single" w:sz="8" w:color="007B51"/>
            </w:tcBorders>
          </w:tcPr>
          <w:p>
            <w:pPr>
              <w:spacing w:after="0"/>
              <w:rPr>
                <w:sz w:val="16"/>
                <w:szCs w:val="16"/>
                <w:color w:val="auto"/>
              </w:rPr>
            </w:pPr>
          </w:p>
        </w:tc>
        <w:tc>
          <w:tcPr>
            <w:tcW w:w="940" w:type="dxa"/>
            <w:vAlign w:val="bottom"/>
            <w:tcBorders>
              <w:bottom w:val="single" w:sz="8" w:color="007B51"/>
            </w:tcBorders>
          </w:tcPr>
          <w:p>
            <w:pPr>
              <w:spacing w:after="0"/>
              <w:rPr>
                <w:sz w:val="16"/>
                <w:szCs w:val="16"/>
                <w:color w:val="auto"/>
              </w:rPr>
            </w:pPr>
          </w:p>
        </w:tc>
        <w:tc>
          <w:tcPr>
            <w:tcW w:w="960" w:type="dxa"/>
            <w:vAlign w:val="bottom"/>
            <w:tcBorders>
              <w:bottom w:val="single" w:sz="8" w:color="007B51"/>
            </w:tcBorders>
          </w:tcPr>
          <w:p>
            <w:pPr>
              <w:spacing w:after="0"/>
              <w:rPr>
                <w:sz w:val="16"/>
                <w:szCs w:val="16"/>
                <w:color w:val="auto"/>
              </w:rPr>
            </w:pPr>
          </w:p>
        </w:tc>
        <w:tc>
          <w:tcPr>
            <w:tcW w:w="920" w:type="dxa"/>
            <w:vAlign w:val="bottom"/>
            <w:tcBorders>
              <w:bottom w:val="single" w:sz="8" w:color="007B51"/>
            </w:tcBorders>
          </w:tcPr>
          <w:p>
            <w:pPr>
              <w:spacing w:after="0"/>
              <w:rPr>
                <w:sz w:val="16"/>
                <w:szCs w:val="16"/>
                <w:color w:val="auto"/>
              </w:rPr>
            </w:pPr>
          </w:p>
        </w:tc>
        <w:tc>
          <w:tcPr>
            <w:tcW w:w="900" w:type="dxa"/>
            <w:vAlign w:val="bottom"/>
            <w:tcBorders>
              <w:bottom w:val="single" w:sz="8" w:color="007B51"/>
            </w:tcBorders>
          </w:tcPr>
          <w:p>
            <w:pPr>
              <w:spacing w:after="0"/>
              <w:rPr>
                <w:sz w:val="16"/>
                <w:szCs w:val="16"/>
                <w:color w:val="auto"/>
              </w:rPr>
            </w:pPr>
          </w:p>
        </w:tc>
        <w:tc>
          <w:tcPr>
            <w:tcW w:w="820" w:type="dxa"/>
            <w:vAlign w:val="bottom"/>
            <w:tcBorders>
              <w:bottom w:val="single" w:sz="8" w:color="007B51"/>
            </w:tcBorders>
          </w:tcPr>
          <w:p>
            <w:pPr>
              <w:spacing w:after="0"/>
              <w:rPr>
                <w:sz w:val="16"/>
                <w:szCs w:val="16"/>
                <w:color w:val="auto"/>
              </w:rPr>
            </w:pPr>
          </w:p>
        </w:tc>
      </w:tr>
      <w:tr>
        <w:trPr>
          <w:trHeight w:val="258"/>
        </w:trPr>
        <w:tc>
          <w:tcPr>
            <w:tcW w:w="4180" w:type="dxa"/>
            <w:vAlign w:val="bottom"/>
          </w:tcPr>
          <w:p>
            <w:pPr>
              <w:ind w:left="100"/>
              <w:spacing w:after="0"/>
              <w:rPr>
                <w:sz w:val="20"/>
                <w:szCs w:val="20"/>
                <w:color w:val="auto"/>
              </w:rPr>
            </w:pPr>
            <w:r>
              <w:rPr>
                <w:rFonts w:ascii="Arial" w:cs="Arial" w:eastAsia="Arial" w:hAnsi="Arial"/>
                <w:sz w:val="16"/>
                <w:szCs w:val="16"/>
                <w:b w:val="1"/>
                <w:bCs w:val="1"/>
                <w:color w:val="auto"/>
              </w:rPr>
              <w:t xml:space="preserve">ADD: </w:t>
            </w:r>
            <w:r>
              <w:rPr>
                <w:rFonts w:ascii="Arial" w:cs="Arial" w:eastAsia="Arial" w:hAnsi="Arial"/>
                <w:sz w:val="14"/>
                <w:szCs w:val="14"/>
                <w:color w:val="auto"/>
              </w:rPr>
              <w:t>FV as of FY-end of equity awards granted during the</w:t>
            </w:r>
          </w:p>
        </w:tc>
        <w:tc>
          <w:tcPr>
            <w:tcW w:w="1000" w:type="dxa"/>
            <w:vAlign w:val="bottom"/>
            <w:gridSpan w:val="2"/>
          </w:tcPr>
          <w:p>
            <w:pPr>
              <w:jc w:val="right"/>
              <w:ind w:right="14"/>
              <w:spacing w:after="0"/>
              <w:rPr>
                <w:sz w:val="20"/>
                <w:szCs w:val="20"/>
                <w:color w:val="auto"/>
              </w:rPr>
            </w:pPr>
            <w:r>
              <w:rPr>
                <w:rFonts w:ascii="Arial" w:cs="Arial" w:eastAsia="Arial" w:hAnsi="Arial"/>
                <w:sz w:val="14"/>
                <w:szCs w:val="14"/>
                <w:color w:val="auto"/>
              </w:rPr>
              <w:t>$7,108,725</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$3,860,576</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$6,491,406</w:t>
            </w: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$2,900,557</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$2,463,917</w:t>
            </w:r>
          </w:p>
        </w:tc>
        <w:tc>
          <w:tcPr>
            <w:tcW w:w="820" w:type="dxa"/>
            <w:vAlign w:val="bottom"/>
          </w:tcPr>
          <w:p>
            <w:pPr>
              <w:jc w:val="right"/>
              <w:spacing w:after="0"/>
              <w:rPr>
                <w:sz w:val="20"/>
                <w:szCs w:val="20"/>
                <w:color w:val="auto"/>
              </w:rPr>
            </w:pPr>
            <w:r>
              <w:rPr>
                <w:rFonts w:ascii="Arial" w:cs="Arial" w:eastAsia="Arial" w:hAnsi="Arial"/>
                <w:sz w:val="14"/>
                <w:szCs w:val="14"/>
                <w:color w:val="auto"/>
              </w:rPr>
              <w:t>$1,457,169</w:t>
            </w:r>
          </w:p>
        </w:tc>
      </w:tr>
      <w:tr>
        <w:trPr>
          <w:trHeight w:val="194"/>
        </w:trPr>
        <w:tc>
          <w:tcPr>
            <w:tcW w:w="4180" w:type="dxa"/>
            <w:vAlign w:val="bottom"/>
            <w:tcBorders>
              <w:bottom w:val="single" w:sz="8" w:color="007B51"/>
            </w:tcBorders>
          </w:tcPr>
          <w:p>
            <w:pPr>
              <w:ind w:left="100"/>
              <w:spacing w:after="0"/>
              <w:rPr>
                <w:sz w:val="20"/>
                <w:szCs w:val="20"/>
                <w:color w:val="auto"/>
              </w:rPr>
            </w:pPr>
            <w:r>
              <w:rPr>
                <w:rFonts w:ascii="Arial" w:cs="Arial" w:eastAsia="Arial" w:hAnsi="Arial"/>
                <w:sz w:val="14"/>
                <w:szCs w:val="14"/>
                <w:color w:val="auto"/>
              </w:rPr>
              <w:t>year that are outstanding and unvested as of FY-end</w:t>
            </w:r>
          </w:p>
        </w:tc>
        <w:tc>
          <w:tcPr>
            <w:tcW w:w="320" w:type="dxa"/>
            <w:vAlign w:val="bottom"/>
            <w:tcBorders>
              <w:bottom w:val="single" w:sz="8" w:color="007B51"/>
            </w:tcBorders>
          </w:tcPr>
          <w:p>
            <w:pPr>
              <w:spacing w:after="0"/>
              <w:rPr>
                <w:sz w:val="16"/>
                <w:szCs w:val="16"/>
                <w:color w:val="auto"/>
              </w:rPr>
            </w:pPr>
          </w:p>
        </w:tc>
        <w:tc>
          <w:tcPr>
            <w:tcW w:w="680" w:type="dxa"/>
            <w:vAlign w:val="bottom"/>
            <w:tcBorders>
              <w:bottom w:val="single" w:sz="8" w:color="007B51"/>
            </w:tcBorders>
          </w:tcPr>
          <w:p>
            <w:pPr>
              <w:spacing w:after="0"/>
              <w:rPr>
                <w:sz w:val="16"/>
                <w:szCs w:val="16"/>
                <w:color w:val="auto"/>
              </w:rPr>
            </w:pPr>
          </w:p>
        </w:tc>
        <w:tc>
          <w:tcPr>
            <w:tcW w:w="940" w:type="dxa"/>
            <w:vAlign w:val="bottom"/>
            <w:tcBorders>
              <w:bottom w:val="single" w:sz="8" w:color="007B51"/>
            </w:tcBorders>
          </w:tcPr>
          <w:p>
            <w:pPr>
              <w:spacing w:after="0"/>
              <w:rPr>
                <w:sz w:val="16"/>
                <w:szCs w:val="16"/>
                <w:color w:val="auto"/>
              </w:rPr>
            </w:pPr>
          </w:p>
        </w:tc>
        <w:tc>
          <w:tcPr>
            <w:tcW w:w="960" w:type="dxa"/>
            <w:vAlign w:val="bottom"/>
            <w:tcBorders>
              <w:bottom w:val="single" w:sz="8" w:color="007B51"/>
            </w:tcBorders>
          </w:tcPr>
          <w:p>
            <w:pPr>
              <w:spacing w:after="0"/>
              <w:rPr>
                <w:sz w:val="16"/>
                <w:szCs w:val="16"/>
                <w:color w:val="auto"/>
              </w:rPr>
            </w:pPr>
          </w:p>
        </w:tc>
        <w:tc>
          <w:tcPr>
            <w:tcW w:w="920" w:type="dxa"/>
            <w:vAlign w:val="bottom"/>
            <w:tcBorders>
              <w:bottom w:val="single" w:sz="8" w:color="007B51"/>
            </w:tcBorders>
          </w:tcPr>
          <w:p>
            <w:pPr>
              <w:spacing w:after="0"/>
              <w:rPr>
                <w:sz w:val="16"/>
                <w:szCs w:val="16"/>
                <w:color w:val="auto"/>
              </w:rPr>
            </w:pPr>
          </w:p>
        </w:tc>
        <w:tc>
          <w:tcPr>
            <w:tcW w:w="900" w:type="dxa"/>
            <w:vAlign w:val="bottom"/>
            <w:tcBorders>
              <w:bottom w:val="single" w:sz="8" w:color="007B51"/>
            </w:tcBorders>
          </w:tcPr>
          <w:p>
            <w:pPr>
              <w:spacing w:after="0"/>
              <w:rPr>
                <w:sz w:val="16"/>
                <w:szCs w:val="16"/>
                <w:color w:val="auto"/>
              </w:rPr>
            </w:pPr>
          </w:p>
        </w:tc>
        <w:tc>
          <w:tcPr>
            <w:tcW w:w="820" w:type="dxa"/>
            <w:vAlign w:val="bottom"/>
            <w:tcBorders>
              <w:bottom w:val="single" w:sz="8" w:color="007B51"/>
            </w:tcBorders>
          </w:tcPr>
          <w:p>
            <w:pPr>
              <w:spacing w:after="0"/>
              <w:rPr>
                <w:sz w:val="16"/>
                <w:szCs w:val="16"/>
                <w:color w:val="auto"/>
              </w:rPr>
            </w:pPr>
          </w:p>
        </w:tc>
      </w:tr>
      <w:tr>
        <w:trPr>
          <w:trHeight w:val="258"/>
        </w:trPr>
        <w:tc>
          <w:tcPr>
            <w:tcW w:w="4180" w:type="dxa"/>
            <w:vAlign w:val="bottom"/>
          </w:tcPr>
          <w:p>
            <w:pPr>
              <w:ind w:left="100"/>
              <w:spacing w:after="0"/>
              <w:rPr>
                <w:sz w:val="20"/>
                <w:szCs w:val="20"/>
                <w:color w:val="auto"/>
              </w:rPr>
            </w:pPr>
            <w:r>
              <w:rPr>
                <w:rFonts w:ascii="Arial" w:cs="Arial" w:eastAsia="Arial" w:hAnsi="Arial"/>
                <w:sz w:val="16"/>
                <w:szCs w:val="16"/>
                <w:b w:val="1"/>
                <w:bCs w:val="1"/>
                <w:color w:val="auto"/>
              </w:rPr>
              <w:t xml:space="preserve">ADD: </w:t>
            </w:r>
            <w:r>
              <w:rPr>
                <w:rFonts w:ascii="Arial" w:cs="Arial" w:eastAsia="Arial" w:hAnsi="Arial"/>
                <w:sz w:val="14"/>
                <w:szCs w:val="14"/>
                <w:color w:val="auto"/>
              </w:rPr>
              <w:t>change as of end of FY in FV of awards granted in any</w:t>
            </w:r>
          </w:p>
        </w:tc>
        <w:tc>
          <w:tcPr>
            <w:tcW w:w="1000" w:type="dxa"/>
            <w:vAlign w:val="bottom"/>
            <w:gridSpan w:val="2"/>
          </w:tcPr>
          <w:p>
            <w:pPr>
              <w:jc w:val="right"/>
              <w:ind w:right="14"/>
              <w:spacing w:after="0"/>
              <w:rPr>
                <w:sz w:val="20"/>
                <w:szCs w:val="20"/>
                <w:color w:val="auto"/>
              </w:rPr>
            </w:pPr>
            <w:r>
              <w:rPr>
                <w:rFonts w:ascii="Arial" w:cs="Arial" w:eastAsia="Arial" w:hAnsi="Arial"/>
                <w:sz w:val="14"/>
                <w:szCs w:val="14"/>
                <w:color w:val="auto"/>
              </w:rPr>
              <w:t>$(1,647,460)</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$(725,974)</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$5,254,494</w:t>
            </w: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$2,603,131</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$1,206,131</w:t>
            </w:r>
          </w:p>
        </w:tc>
        <w:tc>
          <w:tcPr>
            <w:tcW w:w="820" w:type="dxa"/>
            <w:vAlign w:val="bottom"/>
          </w:tcPr>
          <w:p>
            <w:pPr>
              <w:jc w:val="right"/>
              <w:spacing w:after="0"/>
              <w:rPr>
                <w:sz w:val="20"/>
                <w:szCs w:val="20"/>
                <w:color w:val="auto"/>
              </w:rPr>
            </w:pPr>
            <w:r>
              <w:rPr>
                <w:rFonts w:ascii="Arial" w:cs="Arial" w:eastAsia="Arial" w:hAnsi="Arial"/>
                <w:sz w:val="14"/>
                <w:szCs w:val="14"/>
                <w:color w:val="auto"/>
              </w:rPr>
              <w:t>$723,467</w:t>
            </w:r>
          </w:p>
        </w:tc>
      </w:tr>
      <w:tr>
        <w:trPr>
          <w:trHeight w:val="194"/>
        </w:trPr>
        <w:tc>
          <w:tcPr>
            <w:tcW w:w="4180" w:type="dxa"/>
            <w:vAlign w:val="bottom"/>
            <w:tcBorders>
              <w:bottom w:val="single" w:sz="8" w:color="007B51"/>
            </w:tcBorders>
          </w:tcPr>
          <w:p>
            <w:pPr>
              <w:ind w:left="100"/>
              <w:spacing w:after="0"/>
              <w:rPr>
                <w:sz w:val="20"/>
                <w:szCs w:val="20"/>
                <w:color w:val="auto"/>
              </w:rPr>
            </w:pPr>
            <w:r>
              <w:rPr>
                <w:rFonts w:ascii="Arial" w:cs="Arial" w:eastAsia="Arial" w:hAnsi="Arial"/>
                <w:sz w:val="14"/>
                <w:szCs w:val="14"/>
                <w:color w:val="auto"/>
              </w:rPr>
              <w:t>prior year that are outstanding and unvested as of FY-end</w:t>
            </w:r>
          </w:p>
        </w:tc>
        <w:tc>
          <w:tcPr>
            <w:tcW w:w="320" w:type="dxa"/>
            <w:vAlign w:val="bottom"/>
            <w:tcBorders>
              <w:bottom w:val="single" w:sz="8" w:color="007B51"/>
            </w:tcBorders>
          </w:tcPr>
          <w:p>
            <w:pPr>
              <w:spacing w:after="0"/>
              <w:rPr>
                <w:sz w:val="16"/>
                <w:szCs w:val="16"/>
                <w:color w:val="auto"/>
              </w:rPr>
            </w:pPr>
          </w:p>
        </w:tc>
        <w:tc>
          <w:tcPr>
            <w:tcW w:w="680" w:type="dxa"/>
            <w:vAlign w:val="bottom"/>
            <w:tcBorders>
              <w:bottom w:val="single" w:sz="8" w:color="007B51"/>
            </w:tcBorders>
          </w:tcPr>
          <w:p>
            <w:pPr>
              <w:spacing w:after="0"/>
              <w:rPr>
                <w:sz w:val="16"/>
                <w:szCs w:val="16"/>
                <w:color w:val="auto"/>
              </w:rPr>
            </w:pPr>
          </w:p>
        </w:tc>
        <w:tc>
          <w:tcPr>
            <w:tcW w:w="940" w:type="dxa"/>
            <w:vAlign w:val="bottom"/>
            <w:tcBorders>
              <w:bottom w:val="single" w:sz="8" w:color="007B51"/>
            </w:tcBorders>
          </w:tcPr>
          <w:p>
            <w:pPr>
              <w:spacing w:after="0"/>
              <w:rPr>
                <w:sz w:val="16"/>
                <w:szCs w:val="16"/>
                <w:color w:val="auto"/>
              </w:rPr>
            </w:pPr>
          </w:p>
        </w:tc>
        <w:tc>
          <w:tcPr>
            <w:tcW w:w="960" w:type="dxa"/>
            <w:vAlign w:val="bottom"/>
            <w:tcBorders>
              <w:bottom w:val="single" w:sz="8" w:color="007B51"/>
            </w:tcBorders>
          </w:tcPr>
          <w:p>
            <w:pPr>
              <w:spacing w:after="0"/>
              <w:rPr>
                <w:sz w:val="16"/>
                <w:szCs w:val="16"/>
                <w:color w:val="auto"/>
              </w:rPr>
            </w:pPr>
          </w:p>
        </w:tc>
        <w:tc>
          <w:tcPr>
            <w:tcW w:w="920" w:type="dxa"/>
            <w:vAlign w:val="bottom"/>
            <w:tcBorders>
              <w:bottom w:val="single" w:sz="8" w:color="007B51"/>
            </w:tcBorders>
          </w:tcPr>
          <w:p>
            <w:pPr>
              <w:spacing w:after="0"/>
              <w:rPr>
                <w:sz w:val="16"/>
                <w:szCs w:val="16"/>
                <w:color w:val="auto"/>
              </w:rPr>
            </w:pPr>
          </w:p>
        </w:tc>
        <w:tc>
          <w:tcPr>
            <w:tcW w:w="900" w:type="dxa"/>
            <w:vAlign w:val="bottom"/>
            <w:tcBorders>
              <w:bottom w:val="single" w:sz="8" w:color="007B51"/>
            </w:tcBorders>
          </w:tcPr>
          <w:p>
            <w:pPr>
              <w:spacing w:after="0"/>
              <w:rPr>
                <w:sz w:val="16"/>
                <w:szCs w:val="16"/>
                <w:color w:val="auto"/>
              </w:rPr>
            </w:pPr>
          </w:p>
        </w:tc>
        <w:tc>
          <w:tcPr>
            <w:tcW w:w="820" w:type="dxa"/>
            <w:vAlign w:val="bottom"/>
            <w:tcBorders>
              <w:bottom w:val="single" w:sz="8" w:color="007B51"/>
            </w:tcBorders>
          </w:tcPr>
          <w:p>
            <w:pPr>
              <w:spacing w:after="0"/>
              <w:rPr>
                <w:sz w:val="16"/>
                <w:szCs w:val="16"/>
                <w:color w:val="auto"/>
              </w:rPr>
            </w:pPr>
          </w:p>
        </w:tc>
      </w:tr>
      <w:tr>
        <w:trPr>
          <w:trHeight w:val="258"/>
        </w:trPr>
        <w:tc>
          <w:tcPr>
            <w:tcW w:w="4180" w:type="dxa"/>
            <w:vAlign w:val="bottom"/>
          </w:tcPr>
          <w:p>
            <w:pPr>
              <w:ind w:left="100"/>
              <w:spacing w:after="0"/>
              <w:rPr>
                <w:sz w:val="20"/>
                <w:szCs w:val="20"/>
                <w:color w:val="auto"/>
              </w:rPr>
            </w:pPr>
            <w:r>
              <w:rPr>
                <w:rFonts w:ascii="Arial" w:cs="Arial" w:eastAsia="Arial" w:hAnsi="Arial"/>
                <w:sz w:val="16"/>
                <w:szCs w:val="16"/>
                <w:b w:val="1"/>
                <w:bCs w:val="1"/>
                <w:color w:val="auto"/>
              </w:rPr>
              <w:t xml:space="preserve">ADD: </w:t>
            </w:r>
            <w:r>
              <w:rPr>
                <w:rFonts w:ascii="Arial" w:cs="Arial" w:eastAsia="Arial" w:hAnsi="Arial"/>
                <w:sz w:val="14"/>
                <w:szCs w:val="14"/>
                <w:color w:val="auto"/>
              </w:rPr>
              <w:t>change as of the vesting date (from end of prior FY) in</w:t>
            </w:r>
          </w:p>
        </w:tc>
        <w:tc>
          <w:tcPr>
            <w:tcW w:w="1000" w:type="dxa"/>
            <w:vAlign w:val="bottom"/>
            <w:gridSpan w:val="2"/>
          </w:tcPr>
          <w:p>
            <w:pPr>
              <w:jc w:val="right"/>
              <w:ind w:right="14"/>
              <w:spacing w:after="0"/>
              <w:rPr>
                <w:sz w:val="20"/>
                <w:szCs w:val="20"/>
                <w:color w:val="auto"/>
              </w:rPr>
            </w:pPr>
            <w:r>
              <w:rPr>
                <w:rFonts w:ascii="Arial" w:cs="Arial" w:eastAsia="Arial" w:hAnsi="Arial"/>
                <w:sz w:val="14"/>
                <w:szCs w:val="14"/>
                <w:color w:val="auto"/>
              </w:rPr>
              <w:t>$(256,368)</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$(127,302)</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$1,546,200</w:t>
            </w: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$638,919</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$66,571</w:t>
            </w:r>
          </w:p>
        </w:tc>
        <w:tc>
          <w:tcPr>
            <w:tcW w:w="820" w:type="dxa"/>
            <w:vAlign w:val="bottom"/>
          </w:tcPr>
          <w:p>
            <w:pPr>
              <w:jc w:val="right"/>
              <w:spacing w:after="0"/>
              <w:rPr>
                <w:sz w:val="20"/>
                <w:szCs w:val="20"/>
                <w:color w:val="auto"/>
              </w:rPr>
            </w:pPr>
            <w:r>
              <w:rPr>
                <w:rFonts w:ascii="Arial" w:cs="Arial" w:eastAsia="Arial" w:hAnsi="Arial"/>
                <w:sz w:val="14"/>
                <w:szCs w:val="14"/>
                <w:color w:val="auto"/>
              </w:rPr>
              <w:t>$2,005</w:t>
            </w:r>
          </w:p>
        </w:tc>
      </w:tr>
      <w:tr>
        <w:trPr>
          <w:trHeight w:val="162"/>
        </w:trPr>
        <w:tc>
          <w:tcPr>
            <w:tcW w:w="4180" w:type="dxa"/>
            <w:vAlign w:val="bottom"/>
          </w:tcPr>
          <w:p>
            <w:pPr>
              <w:ind w:left="100"/>
              <w:spacing w:after="0"/>
              <w:rPr>
                <w:sz w:val="20"/>
                <w:szCs w:val="20"/>
                <w:color w:val="auto"/>
              </w:rPr>
            </w:pPr>
            <w:r>
              <w:rPr>
                <w:rFonts w:ascii="Arial" w:cs="Arial" w:eastAsia="Arial" w:hAnsi="Arial"/>
                <w:sz w:val="14"/>
                <w:szCs w:val="14"/>
                <w:color w:val="auto"/>
              </w:rPr>
              <w:t>FV for any equity awards granted in any prior year that vested</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4"/>
        </w:trPr>
        <w:tc>
          <w:tcPr>
            <w:tcW w:w="4180" w:type="dxa"/>
            <w:vAlign w:val="bottom"/>
            <w:tcBorders>
              <w:bottom w:val="single" w:sz="8" w:color="007B51"/>
            </w:tcBorders>
          </w:tcPr>
          <w:p>
            <w:pPr>
              <w:ind w:left="100"/>
              <w:spacing w:after="0"/>
              <w:rPr>
                <w:sz w:val="20"/>
                <w:szCs w:val="20"/>
                <w:color w:val="auto"/>
              </w:rPr>
            </w:pPr>
            <w:r>
              <w:rPr>
                <w:rFonts w:ascii="Arial" w:cs="Arial" w:eastAsia="Arial" w:hAnsi="Arial"/>
                <w:sz w:val="14"/>
                <w:szCs w:val="14"/>
                <w:color w:val="auto"/>
              </w:rPr>
              <w:t>at the end of or during FY</w:t>
            </w:r>
          </w:p>
        </w:tc>
        <w:tc>
          <w:tcPr>
            <w:tcW w:w="320" w:type="dxa"/>
            <w:vAlign w:val="bottom"/>
            <w:tcBorders>
              <w:bottom w:val="single" w:sz="8" w:color="007B51"/>
            </w:tcBorders>
          </w:tcPr>
          <w:p>
            <w:pPr>
              <w:spacing w:after="0"/>
              <w:rPr>
                <w:sz w:val="16"/>
                <w:szCs w:val="16"/>
                <w:color w:val="auto"/>
              </w:rPr>
            </w:pPr>
          </w:p>
        </w:tc>
        <w:tc>
          <w:tcPr>
            <w:tcW w:w="680" w:type="dxa"/>
            <w:vAlign w:val="bottom"/>
            <w:tcBorders>
              <w:bottom w:val="single" w:sz="8" w:color="007B51"/>
            </w:tcBorders>
          </w:tcPr>
          <w:p>
            <w:pPr>
              <w:spacing w:after="0"/>
              <w:rPr>
                <w:sz w:val="16"/>
                <w:szCs w:val="16"/>
                <w:color w:val="auto"/>
              </w:rPr>
            </w:pPr>
          </w:p>
        </w:tc>
        <w:tc>
          <w:tcPr>
            <w:tcW w:w="940" w:type="dxa"/>
            <w:vAlign w:val="bottom"/>
            <w:tcBorders>
              <w:bottom w:val="single" w:sz="8" w:color="007B51"/>
            </w:tcBorders>
          </w:tcPr>
          <w:p>
            <w:pPr>
              <w:spacing w:after="0"/>
              <w:rPr>
                <w:sz w:val="16"/>
                <w:szCs w:val="16"/>
                <w:color w:val="auto"/>
              </w:rPr>
            </w:pPr>
          </w:p>
        </w:tc>
        <w:tc>
          <w:tcPr>
            <w:tcW w:w="960" w:type="dxa"/>
            <w:vAlign w:val="bottom"/>
            <w:tcBorders>
              <w:bottom w:val="single" w:sz="8" w:color="007B51"/>
            </w:tcBorders>
          </w:tcPr>
          <w:p>
            <w:pPr>
              <w:spacing w:after="0"/>
              <w:rPr>
                <w:sz w:val="16"/>
                <w:szCs w:val="16"/>
                <w:color w:val="auto"/>
              </w:rPr>
            </w:pPr>
          </w:p>
        </w:tc>
        <w:tc>
          <w:tcPr>
            <w:tcW w:w="920" w:type="dxa"/>
            <w:vAlign w:val="bottom"/>
            <w:tcBorders>
              <w:bottom w:val="single" w:sz="8" w:color="007B51"/>
            </w:tcBorders>
          </w:tcPr>
          <w:p>
            <w:pPr>
              <w:spacing w:after="0"/>
              <w:rPr>
                <w:sz w:val="16"/>
                <w:szCs w:val="16"/>
                <w:color w:val="auto"/>
              </w:rPr>
            </w:pPr>
          </w:p>
        </w:tc>
        <w:tc>
          <w:tcPr>
            <w:tcW w:w="900" w:type="dxa"/>
            <w:vAlign w:val="bottom"/>
            <w:tcBorders>
              <w:bottom w:val="single" w:sz="8" w:color="007B51"/>
            </w:tcBorders>
          </w:tcPr>
          <w:p>
            <w:pPr>
              <w:spacing w:after="0"/>
              <w:rPr>
                <w:sz w:val="16"/>
                <w:szCs w:val="16"/>
                <w:color w:val="auto"/>
              </w:rPr>
            </w:pPr>
          </w:p>
        </w:tc>
        <w:tc>
          <w:tcPr>
            <w:tcW w:w="820" w:type="dxa"/>
            <w:vAlign w:val="bottom"/>
            <w:tcBorders>
              <w:bottom w:val="single" w:sz="8" w:color="007B51"/>
            </w:tcBorders>
          </w:tcPr>
          <w:p>
            <w:pPr>
              <w:spacing w:after="0"/>
              <w:rPr>
                <w:sz w:val="16"/>
                <w:szCs w:val="16"/>
                <w:color w:val="auto"/>
              </w:rPr>
            </w:pPr>
          </w:p>
        </w:tc>
      </w:tr>
      <w:tr>
        <w:trPr>
          <w:trHeight w:val="258"/>
        </w:trPr>
        <w:tc>
          <w:tcPr>
            <w:tcW w:w="4180" w:type="dxa"/>
            <w:vAlign w:val="bottom"/>
          </w:tcPr>
          <w:p>
            <w:pPr>
              <w:ind w:left="100"/>
              <w:spacing w:after="0"/>
              <w:rPr>
                <w:sz w:val="20"/>
                <w:szCs w:val="20"/>
                <w:color w:val="auto"/>
              </w:rPr>
            </w:pPr>
            <w:r>
              <w:rPr>
                <w:rFonts w:ascii="Arial" w:cs="Arial" w:eastAsia="Arial" w:hAnsi="Arial"/>
                <w:sz w:val="16"/>
                <w:szCs w:val="16"/>
                <w:b w:val="1"/>
                <w:bCs w:val="1"/>
                <w:color w:val="auto"/>
              </w:rPr>
              <w:t xml:space="preserve">ADD: </w:t>
            </w:r>
            <w:r>
              <w:rPr>
                <w:rFonts w:ascii="Arial" w:cs="Arial" w:eastAsia="Arial" w:hAnsi="Arial"/>
                <w:sz w:val="14"/>
                <w:szCs w:val="14"/>
                <w:color w:val="auto"/>
              </w:rPr>
              <w:t>FV as of the vesting date for awards that are granted</w:t>
            </w:r>
          </w:p>
        </w:tc>
        <w:tc>
          <w:tcPr>
            <w:tcW w:w="32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Arial" w:cs="Arial" w:eastAsia="Arial" w:hAnsi="Arial"/>
                <w:sz w:val="14"/>
                <w:szCs w:val="14"/>
                <w:color w:val="auto"/>
              </w:rPr>
              <w:t>$89,500</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$22,375</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$135,718</w:t>
            </w: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$33,930</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$89,756</w:t>
            </w:r>
          </w:p>
        </w:tc>
        <w:tc>
          <w:tcPr>
            <w:tcW w:w="820" w:type="dxa"/>
            <w:vAlign w:val="bottom"/>
          </w:tcPr>
          <w:p>
            <w:pPr>
              <w:jc w:val="right"/>
              <w:spacing w:after="0"/>
              <w:rPr>
                <w:sz w:val="20"/>
                <w:szCs w:val="20"/>
                <w:color w:val="auto"/>
              </w:rPr>
            </w:pPr>
            <w:r>
              <w:rPr>
                <w:rFonts w:ascii="Arial" w:cs="Arial" w:eastAsia="Arial" w:hAnsi="Arial"/>
                <w:sz w:val="14"/>
                <w:szCs w:val="14"/>
                <w:color w:val="auto"/>
              </w:rPr>
              <w:t>$20,004</w:t>
            </w:r>
          </w:p>
        </w:tc>
      </w:tr>
      <w:tr>
        <w:trPr>
          <w:trHeight w:val="194"/>
        </w:trPr>
        <w:tc>
          <w:tcPr>
            <w:tcW w:w="4180" w:type="dxa"/>
            <w:vAlign w:val="bottom"/>
            <w:tcBorders>
              <w:bottom w:val="single" w:sz="8" w:color="007B51"/>
            </w:tcBorders>
          </w:tcPr>
          <w:p>
            <w:pPr>
              <w:ind w:left="100"/>
              <w:spacing w:after="0"/>
              <w:rPr>
                <w:sz w:val="20"/>
                <w:szCs w:val="20"/>
                <w:color w:val="auto"/>
              </w:rPr>
            </w:pPr>
            <w:r>
              <w:rPr>
                <w:rFonts w:ascii="Arial" w:cs="Arial" w:eastAsia="Arial" w:hAnsi="Arial"/>
                <w:sz w:val="14"/>
                <w:szCs w:val="14"/>
                <w:color w:val="auto"/>
              </w:rPr>
              <w:t>and vest in the same FY</w:t>
            </w:r>
          </w:p>
        </w:tc>
        <w:tc>
          <w:tcPr>
            <w:tcW w:w="320" w:type="dxa"/>
            <w:vAlign w:val="bottom"/>
            <w:tcBorders>
              <w:bottom w:val="single" w:sz="8" w:color="007B51"/>
            </w:tcBorders>
          </w:tcPr>
          <w:p>
            <w:pPr>
              <w:spacing w:after="0"/>
              <w:rPr>
                <w:sz w:val="16"/>
                <w:szCs w:val="16"/>
                <w:color w:val="auto"/>
              </w:rPr>
            </w:pPr>
          </w:p>
        </w:tc>
        <w:tc>
          <w:tcPr>
            <w:tcW w:w="680" w:type="dxa"/>
            <w:vAlign w:val="bottom"/>
            <w:tcBorders>
              <w:bottom w:val="single" w:sz="8" w:color="007B51"/>
            </w:tcBorders>
          </w:tcPr>
          <w:p>
            <w:pPr>
              <w:spacing w:after="0"/>
              <w:rPr>
                <w:sz w:val="16"/>
                <w:szCs w:val="16"/>
                <w:color w:val="auto"/>
              </w:rPr>
            </w:pPr>
          </w:p>
        </w:tc>
        <w:tc>
          <w:tcPr>
            <w:tcW w:w="940" w:type="dxa"/>
            <w:vAlign w:val="bottom"/>
            <w:tcBorders>
              <w:bottom w:val="single" w:sz="8" w:color="007B51"/>
            </w:tcBorders>
          </w:tcPr>
          <w:p>
            <w:pPr>
              <w:spacing w:after="0"/>
              <w:rPr>
                <w:sz w:val="16"/>
                <w:szCs w:val="16"/>
                <w:color w:val="auto"/>
              </w:rPr>
            </w:pPr>
          </w:p>
        </w:tc>
        <w:tc>
          <w:tcPr>
            <w:tcW w:w="960" w:type="dxa"/>
            <w:vAlign w:val="bottom"/>
            <w:tcBorders>
              <w:bottom w:val="single" w:sz="8" w:color="007B51"/>
            </w:tcBorders>
          </w:tcPr>
          <w:p>
            <w:pPr>
              <w:spacing w:after="0"/>
              <w:rPr>
                <w:sz w:val="16"/>
                <w:szCs w:val="16"/>
                <w:color w:val="auto"/>
              </w:rPr>
            </w:pPr>
          </w:p>
        </w:tc>
        <w:tc>
          <w:tcPr>
            <w:tcW w:w="920" w:type="dxa"/>
            <w:vAlign w:val="bottom"/>
            <w:tcBorders>
              <w:bottom w:val="single" w:sz="8" w:color="007B51"/>
            </w:tcBorders>
          </w:tcPr>
          <w:p>
            <w:pPr>
              <w:spacing w:after="0"/>
              <w:rPr>
                <w:sz w:val="16"/>
                <w:szCs w:val="16"/>
                <w:color w:val="auto"/>
              </w:rPr>
            </w:pPr>
          </w:p>
        </w:tc>
        <w:tc>
          <w:tcPr>
            <w:tcW w:w="900" w:type="dxa"/>
            <w:vAlign w:val="bottom"/>
            <w:tcBorders>
              <w:bottom w:val="single" w:sz="8" w:color="007B51"/>
            </w:tcBorders>
          </w:tcPr>
          <w:p>
            <w:pPr>
              <w:spacing w:after="0"/>
              <w:rPr>
                <w:sz w:val="16"/>
                <w:szCs w:val="16"/>
                <w:color w:val="auto"/>
              </w:rPr>
            </w:pPr>
          </w:p>
        </w:tc>
        <w:tc>
          <w:tcPr>
            <w:tcW w:w="820" w:type="dxa"/>
            <w:vAlign w:val="bottom"/>
            <w:tcBorders>
              <w:bottom w:val="single" w:sz="8" w:color="007B51"/>
            </w:tcBorders>
          </w:tcPr>
          <w:p>
            <w:pPr>
              <w:spacing w:after="0"/>
              <w:rPr>
                <w:sz w:val="16"/>
                <w:szCs w:val="16"/>
                <w:color w:val="auto"/>
              </w:rPr>
            </w:pPr>
          </w:p>
        </w:tc>
      </w:tr>
      <w:tr>
        <w:trPr>
          <w:trHeight w:val="258"/>
        </w:trPr>
        <w:tc>
          <w:tcPr>
            <w:tcW w:w="4180" w:type="dxa"/>
            <w:vAlign w:val="bottom"/>
          </w:tcPr>
          <w:p>
            <w:pPr>
              <w:ind w:left="100"/>
              <w:spacing w:after="0"/>
              <w:rPr>
                <w:sz w:val="20"/>
                <w:szCs w:val="20"/>
                <w:color w:val="auto"/>
              </w:rPr>
            </w:pPr>
            <w:r>
              <w:rPr>
                <w:rFonts w:ascii="Arial" w:cs="Arial" w:eastAsia="Arial" w:hAnsi="Arial"/>
                <w:sz w:val="16"/>
                <w:szCs w:val="16"/>
                <w:b w:val="1"/>
                <w:bCs w:val="1"/>
                <w:color w:val="auto"/>
              </w:rPr>
              <w:t xml:space="preserve">ADD: </w:t>
            </w:r>
            <w:r>
              <w:rPr>
                <w:rFonts w:ascii="Arial" w:cs="Arial" w:eastAsia="Arial" w:hAnsi="Arial"/>
                <w:sz w:val="14"/>
                <w:szCs w:val="14"/>
                <w:color w:val="auto"/>
              </w:rPr>
              <w:t>Dividends or other earnings paid on stock or option</w:t>
            </w:r>
          </w:p>
        </w:tc>
        <w:tc>
          <w:tcPr>
            <w:tcW w:w="32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Arial" w:cs="Arial" w:eastAsia="Arial" w:hAnsi="Arial"/>
                <w:sz w:val="14"/>
                <w:szCs w:val="14"/>
                <w:color w:val="auto"/>
                <w:w w:val="99"/>
              </w:rPr>
              <w:t>$276,168</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$135,631</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$157,145</w:t>
            </w: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$73,904</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$103,702</w:t>
            </w:r>
          </w:p>
        </w:tc>
        <w:tc>
          <w:tcPr>
            <w:tcW w:w="820" w:type="dxa"/>
            <w:vAlign w:val="bottom"/>
          </w:tcPr>
          <w:p>
            <w:pPr>
              <w:jc w:val="right"/>
              <w:spacing w:after="0"/>
              <w:rPr>
                <w:sz w:val="20"/>
                <w:szCs w:val="20"/>
                <w:color w:val="auto"/>
              </w:rPr>
            </w:pPr>
            <w:r>
              <w:rPr>
                <w:rFonts w:ascii="Arial" w:cs="Arial" w:eastAsia="Arial" w:hAnsi="Arial"/>
                <w:sz w:val="14"/>
                <w:szCs w:val="14"/>
                <w:color w:val="auto"/>
              </w:rPr>
              <w:t>$59,215</w:t>
            </w:r>
          </w:p>
        </w:tc>
      </w:tr>
      <w:tr>
        <w:trPr>
          <w:trHeight w:val="162"/>
        </w:trPr>
        <w:tc>
          <w:tcPr>
            <w:tcW w:w="4180" w:type="dxa"/>
            <w:vAlign w:val="bottom"/>
          </w:tcPr>
          <w:p>
            <w:pPr>
              <w:ind w:left="100"/>
              <w:spacing w:after="0"/>
              <w:rPr>
                <w:sz w:val="20"/>
                <w:szCs w:val="20"/>
                <w:color w:val="auto"/>
              </w:rPr>
            </w:pPr>
            <w:r>
              <w:rPr>
                <w:rFonts w:ascii="Arial" w:cs="Arial" w:eastAsia="Arial" w:hAnsi="Arial"/>
                <w:sz w:val="14"/>
                <w:szCs w:val="14"/>
                <w:color w:val="auto"/>
              </w:rPr>
              <w:t>awards in the covered FYY prior to the vesting date that are</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4180" w:type="dxa"/>
            <w:vAlign w:val="bottom"/>
          </w:tcPr>
          <w:p>
            <w:pPr>
              <w:ind w:left="100"/>
              <w:spacing w:after="0"/>
              <w:rPr>
                <w:sz w:val="20"/>
                <w:szCs w:val="20"/>
                <w:color w:val="auto"/>
              </w:rPr>
            </w:pPr>
            <w:r>
              <w:rPr>
                <w:rFonts w:ascii="Arial" w:cs="Arial" w:eastAsia="Arial" w:hAnsi="Arial"/>
                <w:sz w:val="14"/>
                <w:szCs w:val="14"/>
                <w:color w:val="auto"/>
              </w:rPr>
              <w:t>not otherwise included in the total compensation for the</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4"/>
        </w:trPr>
        <w:tc>
          <w:tcPr>
            <w:tcW w:w="4180" w:type="dxa"/>
            <w:vAlign w:val="bottom"/>
            <w:tcBorders>
              <w:bottom w:val="single" w:sz="8" w:color="007B51"/>
            </w:tcBorders>
          </w:tcPr>
          <w:p>
            <w:pPr>
              <w:ind w:left="100"/>
              <w:spacing w:after="0"/>
              <w:rPr>
                <w:sz w:val="20"/>
                <w:szCs w:val="20"/>
                <w:color w:val="auto"/>
              </w:rPr>
            </w:pPr>
            <w:r>
              <w:rPr>
                <w:rFonts w:ascii="Arial" w:cs="Arial" w:eastAsia="Arial" w:hAnsi="Arial"/>
                <w:sz w:val="14"/>
                <w:szCs w:val="14"/>
                <w:color w:val="auto"/>
              </w:rPr>
              <w:t>covered FY</w:t>
            </w:r>
          </w:p>
        </w:tc>
        <w:tc>
          <w:tcPr>
            <w:tcW w:w="320" w:type="dxa"/>
            <w:vAlign w:val="bottom"/>
            <w:tcBorders>
              <w:bottom w:val="single" w:sz="8" w:color="007B51"/>
            </w:tcBorders>
          </w:tcPr>
          <w:p>
            <w:pPr>
              <w:spacing w:after="0"/>
              <w:rPr>
                <w:sz w:val="16"/>
                <w:szCs w:val="16"/>
                <w:color w:val="auto"/>
              </w:rPr>
            </w:pPr>
          </w:p>
        </w:tc>
        <w:tc>
          <w:tcPr>
            <w:tcW w:w="680" w:type="dxa"/>
            <w:vAlign w:val="bottom"/>
            <w:tcBorders>
              <w:bottom w:val="single" w:sz="8" w:color="007B51"/>
            </w:tcBorders>
          </w:tcPr>
          <w:p>
            <w:pPr>
              <w:spacing w:after="0"/>
              <w:rPr>
                <w:sz w:val="16"/>
                <w:szCs w:val="16"/>
                <w:color w:val="auto"/>
              </w:rPr>
            </w:pPr>
          </w:p>
        </w:tc>
        <w:tc>
          <w:tcPr>
            <w:tcW w:w="940" w:type="dxa"/>
            <w:vAlign w:val="bottom"/>
            <w:tcBorders>
              <w:bottom w:val="single" w:sz="8" w:color="007B51"/>
            </w:tcBorders>
          </w:tcPr>
          <w:p>
            <w:pPr>
              <w:spacing w:after="0"/>
              <w:rPr>
                <w:sz w:val="16"/>
                <w:szCs w:val="16"/>
                <w:color w:val="auto"/>
              </w:rPr>
            </w:pPr>
          </w:p>
        </w:tc>
        <w:tc>
          <w:tcPr>
            <w:tcW w:w="960" w:type="dxa"/>
            <w:vAlign w:val="bottom"/>
            <w:tcBorders>
              <w:bottom w:val="single" w:sz="8" w:color="007B51"/>
            </w:tcBorders>
          </w:tcPr>
          <w:p>
            <w:pPr>
              <w:spacing w:after="0"/>
              <w:rPr>
                <w:sz w:val="16"/>
                <w:szCs w:val="16"/>
                <w:color w:val="auto"/>
              </w:rPr>
            </w:pPr>
          </w:p>
        </w:tc>
        <w:tc>
          <w:tcPr>
            <w:tcW w:w="920" w:type="dxa"/>
            <w:vAlign w:val="bottom"/>
            <w:tcBorders>
              <w:bottom w:val="single" w:sz="8" w:color="007B51"/>
            </w:tcBorders>
          </w:tcPr>
          <w:p>
            <w:pPr>
              <w:spacing w:after="0"/>
              <w:rPr>
                <w:sz w:val="16"/>
                <w:szCs w:val="16"/>
                <w:color w:val="auto"/>
              </w:rPr>
            </w:pPr>
          </w:p>
        </w:tc>
        <w:tc>
          <w:tcPr>
            <w:tcW w:w="900" w:type="dxa"/>
            <w:vAlign w:val="bottom"/>
            <w:tcBorders>
              <w:bottom w:val="single" w:sz="8" w:color="007B51"/>
            </w:tcBorders>
          </w:tcPr>
          <w:p>
            <w:pPr>
              <w:spacing w:after="0"/>
              <w:rPr>
                <w:sz w:val="16"/>
                <w:szCs w:val="16"/>
                <w:color w:val="auto"/>
              </w:rPr>
            </w:pPr>
          </w:p>
        </w:tc>
        <w:tc>
          <w:tcPr>
            <w:tcW w:w="820" w:type="dxa"/>
            <w:vAlign w:val="bottom"/>
            <w:tcBorders>
              <w:bottom w:val="single" w:sz="8" w:color="007B51"/>
            </w:tcBorders>
          </w:tcPr>
          <w:p>
            <w:pPr>
              <w:spacing w:after="0"/>
              <w:rPr>
                <w:sz w:val="16"/>
                <w:szCs w:val="16"/>
                <w:color w:val="auto"/>
              </w:rPr>
            </w:pPr>
          </w:p>
        </w:tc>
      </w:tr>
      <w:tr>
        <w:trPr>
          <w:trHeight w:val="258"/>
        </w:trPr>
        <w:tc>
          <w:tcPr>
            <w:tcW w:w="4180" w:type="dxa"/>
            <w:vAlign w:val="bottom"/>
          </w:tcPr>
          <w:p>
            <w:pPr>
              <w:ind w:left="100"/>
              <w:spacing w:after="0"/>
              <w:rPr>
                <w:sz w:val="20"/>
                <w:szCs w:val="20"/>
                <w:color w:val="auto"/>
              </w:rPr>
            </w:pPr>
            <w:r>
              <w:rPr>
                <w:rFonts w:ascii="Arial" w:cs="Arial" w:eastAsia="Arial" w:hAnsi="Arial"/>
                <w:sz w:val="16"/>
                <w:szCs w:val="16"/>
                <w:b w:val="1"/>
                <w:bCs w:val="1"/>
                <w:color w:val="auto"/>
              </w:rPr>
              <w:t xml:space="preserve">DEDUCT: </w:t>
            </w:r>
            <w:r>
              <w:rPr>
                <w:rFonts w:ascii="Arial" w:cs="Arial" w:eastAsia="Arial" w:hAnsi="Arial"/>
                <w:sz w:val="14"/>
                <w:szCs w:val="14"/>
                <w:color w:val="auto"/>
              </w:rPr>
              <w:t>FV at the end of the prior FY for awards granted in</w:t>
            </w:r>
          </w:p>
        </w:tc>
        <w:tc>
          <w:tcPr>
            <w:tcW w:w="32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Arial" w:cs="Arial" w:eastAsia="Arial" w:hAnsi="Arial"/>
                <w:sz w:val="14"/>
                <w:szCs w:val="14"/>
                <w:color w:val="auto"/>
              </w:rPr>
              <w:t>$0</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$0</w:t>
            </w: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$0</w:t>
            </w: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180" w:type="dxa"/>
            <w:vAlign w:val="bottom"/>
          </w:tcPr>
          <w:p>
            <w:pPr>
              <w:ind w:left="100"/>
              <w:spacing w:after="0"/>
              <w:rPr>
                <w:sz w:val="20"/>
                <w:szCs w:val="20"/>
                <w:color w:val="auto"/>
              </w:rPr>
            </w:pPr>
            <w:r>
              <w:rPr>
                <w:rFonts w:ascii="Arial" w:cs="Arial" w:eastAsia="Arial" w:hAnsi="Arial"/>
                <w:sz w:val="14"/>
                <w:szCs w:val="14"/>
                <w:color w:val="auto"/>
              </w:rPr>
              <w:t>any prior year that failed to meet applicable vesting conditions</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4"/>
        </w:trPr>
        <w:tc>
          <w:tcPr>
            <w:tcW w:w="4180" w:type="dxa"/>
            <w:vAlign w:val="bottom"/>
            <w:tcBorders>
              <w:bottom w:val="single" w:sz="8" w:color="007B51"/>
            </w:tcBorders>
          </w:tcPr>
          <w:p>
            <w:pPr>
              <w:ind w:left="100"/>
              <w:spacing w:after="0"/>
              <w:rPr>
                <w:sz w:val="20"/>
                <w:szCs w:val="20"/>
                <w:color w:val="auto"/>
              </w:rPr>
            </w:pPr>
            <w:r>
              <w:rPr>
                <w:rFonts w:ascii="Arial" w:cs="Arial" w:eastAsia="Arial" w:hAnsi="Arial"/>
                <w:sz w:val="14"/>
                <w:szCs w:val="14"/>
                <w:color w:val="auto"/>
              </w:rPr>
              <w:t>during FY</w:t>
            </w:r>
          </w:p>
        </w:tc>
        <w:tc>
          <w:tcPr>
            <w:tcW w:w="320" w:type="dxa"/>
            <w:vAlign w:val="bottom"/>
            <w:tcBorders>
              <w:bottom w:val="single" w:sz="8" w:color="007B51"/>
            </w:tcBorders>
          </w:tcPr>
          <w:p>
            <w:pPr>
              <w:spacing w:after="0"/>
              <w:rPr>
                <w:sz w:val="16"/>
                <w:szCs w:val="16"/>
                <w:color w:val="auto"/>
              </w:rPr>
            </w:pPr>
          </w:p>
        </w:tc>
        <w:tc>
          <w:tcPr>
            <w:tcW w:w="680" w:type="dxa"/>
            <w:vAlign w:val="bottom"/>
            <w:tcBorders>
              <w:bottom w:val="single" w:sz="8" w:color="007B51"/>
            </w:tcBorders>
          </w:tcPr>
          <w:p>
            <w:pPr>
              <w:spacing w:after="0"/>
              <w:rPr>
                <w:sz w:val="16"/>
                <w:szCs w:val="16"/>
                <w:color w:val="auto"/>
              </w:rPr>
            </w:pPr>
          </w:p>
        </w:tc>
        <w:tc>
          <w:tcPr>
            <w:tcW w:w="940" w:type="dxa"/>
            <w:vAlign w:val="bottom"/>
            <w:tcBorders>
              <w:bottom w:val="single" w:sz="8" w:color="007B51"/>
            </w:tcBorders>
          </w:tcPr>
          <w:p>
            <w:pPr>
              <w:spacing w:after="0"/>
              <w:rPr>
                <w:sz w:val="16"/>
                <w:szCs w:val="16"/>
                <w:color w:val="auto"/>
              </w:rPr>
            </w:pPr>
          </w:p>
        </w:tc>
        <w:tc>
          <w:tcPr>
            <w:tcW w:w="960" w:type="dxa"/>
            <w:vAlign w:val="bottom"/>
            <w:tcBorders>
              <w:bottom w:val="single" w:sz="8" w:color="007B51"/>
            </w:tcBorders>
          </w:tcPr>
          <w:p>
            <w:pPr>
              <w:spacing w:after="0"/>
              <w:rPr>
                <w:sz w:val="16"/>
                <w:szCs w:val="16"/>
                <w:color w:val="auto"/>
              </w:rPr>
            </w:pPr>
          </w:p>
        </w:tc>
        <w:tc>
          <w:tcPr>
            <w:tcW w:w="920" w:type="dxa"/>
            <w:vAlign w:val="bottom"/>
            <w:tcBorders>
              <w:bottom w:val="single" w:sz="8" w:color="007B51"/>
            </w:tcBorders>
          </w:tcPr>
          <w:p>
            <w:pPr>
              <w:spacing w:after="0"/>
              <w:rPr>
                <w:sz w:val="16"/>
                <w:szCs w:val="16"/>
                <w:color w:val="auto"/>
              </w:rPr>
            </w:pPr>
          </w:p>
        </w:tc>
        <w:tc>
          <w:tcPr>
            <w:tcW w:w="900" w:type="dxa"/>
            <w:vAlign w:val="bottom"/>
            <w:tcBorders>
              <w:bottom w:val="single" w:sz="8" w:color="007B51"/>
            </w:tcBorders>
          </w:tcPr>
          <w:p>
            <w:pPr>
              <w:spacing w:after="0"/>
              <w:rPr>
                <w:sz w:val="16"/>
                <w:szCs w:val="16"/>
                <w:color w:val="auto"/>
              </w:rPr>
            </w:pPr>
          </w:p>
        </w:tc>
        <w:tc>
          <w:tcPr>
            <w:tcW w:w="820" w:type="dxa"/>
            <w:vAlign w:val="bottom"/>
            <w:tcBorders>
              <w:bottom w:val="single" w:sz="8" w:color="007B51"/>
            </w:tcBorders>
          </w:tcPr>
          <w:p>
            <w:pPr>
              <w:spacing w:after="0"/>
              <w:rPr>
                <w:sz w:val="16"/>
                <w:szCs w:val="16"/>
                <w:color w:val="auto"/>
              </w:rPr>
            </w:pPr>
          </w:p>
        </w:tc>
      </w:tr>
      <w:tr>
        <w:trPr>
          <w:trHeight w:val="258"/>
        </w:trPr>
        <w:tc>
          <w:tcPr>
            <w:tcW w:w="4180" w:type="dxa"/>
            <w:vAlign w:val="bottom"/>
          </w:tcPr>
          <w:p>
            <w:pPr>
              <w:ind w:left="100"/>
              <w:spacing w:after="0"/>
              <w:rPr>
                <w:sz w:val="20"/>
                <w:szCs w:val="20"/>
                <w:color w:val="auto"/>
              </w:rPr>
            </w:pPr>
            <w:r>
              <w:rPr>
                <w:rFonts w:ascii="Arial" w:cs="Arial" w:eastAsia="Arial" w:hAnsi="Arial"/>
                <w:sz w:val="16"/>
                <w:szCs w:val="16"/>
                <w:b w:val="1"/>
                <w:bCs w:val="1"/>
                <w:color w:val="auto"/>
              </w:rPr>
              <w:t xml:space="preserve">DEDUCT: </w:t>
            </w:r>
            <w:r>
              <w:rPr>
                <w:rFonts w:ascii="Arial" w:cs="Arial" w:eastAsia="Arial" w:hAnsi="Arial"/>
                <w:sz w:val="14"/>
                <w:szCs w:val="14"/>
                <w:color w:val="auto"/>
              </w:rPr>
              <w:t>change in actuarial present value of the</w:t>
            </w:r>
          </w:p>
        </w:tc>
        <w:tc>
          <w:tcPr>
            <w:tcW w:w="32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Arial" w:cs="Arial" w:eastAsia="Arial" w:hAnsi="Arial"/>
                <w:sz w:val="14"/>
                <w:szCs w:val="14"/>
                <w:color w:val="auto"/>
              </w:rPr>
              <w:t>$0</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$0</w:t>
            </w: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$0</w:t>
            </w: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180" w:type="dxa"/>
            <w:vAlign w:val="bottom"/>
          </w:tcPr>
          <w:p>
            <w:pPr>
              <w:ind w:left="100"/>
              <w:spacing w:after="0"/>
              <w:rPr>
                <w:sz w:val="20"/>
                <w:szCs w:val="20"/>
                <w:color w:val="auto"/>
              </w:rPr>
            </w:pPr>
            <w:r>
              <w:rPr>
                <w:rFonts w:ascii="Arial" w:cs="Arial" w:eastAsia="Arial" w:hAnsi="Arial"/>
                <w:sz w:val="14"/>
                <w:szCs w:val="14"/>
                <w:color w:val="auto"/>
              </w:rPr>
              <w:t>accumulated benefit under all defined benefit and actuarial</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4"/>
        </w:trPr>
        <w:tc>
          <w:tcPr>
            <w:tcW w:w="4180" w:type="dxa"/>
            <w:vAlign w:val="bottom"/>
            <w:tcBorders>
              <w:bottom w:val="single" w:sz="8" w:color="007B51"/>
            </w:tcBorders>
          </w:tcPr>
          <w:p>
            <w:pPr>
              <w:ind w:left="100"/>
              <w:spacing w:after="0"/>
              <w:rPr>
                <w:sz w:val="20"/>
                <w:szCs w:val="20"/>
                <w:color w:val="auto"/>
              </w:rPr>
            </w:pPr>
            <w:r>
              <w:rPr>
                <w:rFonts w:ascii="Arial" w:cs="Arial" w:eastAsia="Arial" w:hAnsi="Arial"/>
                <w:sz w:val="14"/>
                <w:szCs w:val="14"/>
                <w:color w:val="auto"/>
              </w:rPr>
              <w:t>pension plans reported in SCT</w:t>
            </w:r>
          </w:p>
        </w:tc>
        <w:tc>
          <w:tcPr>
            <w:tcW w:w="320" w:type="dxa"/>
            <w:vAlign w:val="bottom"/>
            <w:tcBorders>
              <w:bottom w:val="single" w:sz="8" w:color="007B51"/>
            </w:tcBorders>
          </w:tcPr>
          <w:p>
            <w:pPr>
              <w:spacing w:after="0"/>
              <w:rPr>
                <w:sz w:val="16"/>
                <w:szCs w:val="16"/>
                <w:color w:val="auto"/>
              </w:rPr>
            </w:pPr>
          </w:p>
        </w:tc>
        <w:tc>
          <w:tcPr>
            <w:tcW w:w="680" w:type="dxa"/>
            <w:vAlign w:val="bottom"/>
            <w:tcBorders>
              <w:bottom w:val="single" w:sz="8" w:color="007B51"/>
            </w:tcBorders>
          </w:tcPr>
          <w:p>
            <w:pPr>
              <w:spacing w:after="0"/>
              <w:rPr>
                <w:sz w:val="16"/>
                <w:szCs w:val="16"/>
                <w:color w:val="auto"/>
              </w:rPr>
            </w:pPr>
          </w:p>
        </w:tc>
        <w:tc>
          <w:tcPr>
            <w:tcW w:w="940" w:type="dxa"/>
            <w:vAlign w:val="bottom"/>
            <w:tcBorders>
              <w:bottom w:val="single" w:sz="8" w:color="007B51"/>
            </w:tcBorders>
          </w:tcPr>
          <w:p>
            <w:pPr>
              <w:spacing w:after="0"/>
              <w:rPr>
                <w:sz w:val="16"/>
                <w:szCs w:val="16"/>
                <w:color w:val="auto"/>
              </w:rPr>
            </w:pPr>
          </w:p>
        </w:tc>
        <w:tc>
          <w:tcPr>
            <w:tcW w:w="960" w:type="dxa"/>
            <w:vAlign w:val="bottom"/>
            <w:tcBorders>
              <w:bottom w:val="single" w:sz="8" w:color="007B51"/>
            </w:tcBorders>
          </w:tcPr>
          <w:p>
            <w:pPr>
              <w:spacing w:after="0"/>
              <w:rPr>
                <w:sz w:val="16"/>
                <w:szCs w:val="16"/>
                <w:color w:val="auto"/>
              </w:rPr>
            </w:pPr>
          </w:p>
        </w:tc>
        <w:tc>
          <w:tcPr>
            <w:tcW w:w="920" w:type="dxa"/>
            <w:vAlign w:val="bottom"/>
            <w:tcBorders>
              <w:bottom w:val="single" w:sz="8" w:color="007B51"/>
            </w:tcBorders>
          </w:tcPr>
          <w:p>
            <w:pPr>
              <w:spacing w:after="0"/>
              <w:rPr>
                <w:sz w:val="16"/>
                <w:szCs w:val="16"/>
                <w:color w:val="auto"/>
              </w:rPr>
            </w:pPr>
          </w:p>
        </w:tc>
        <w:tc>
          <w:tcPr>
            <w:tcW w:w="900" w:type="dxa"/>
            <w:vAlign w:val="bottom"/>
            <w:tcBorders>
              <w:bottom w:val="single" w:sz="8" w:color="007B51"/>
            </w:tcBorders>
          </w:tcPr>
          <w:p>
            <w:pPr>
              <w:spacing w:after="0"/>
              <w:rPr>
                <w:sz w:val="16"/>
                <w:szCs w:val="16"/>
                <w:color w:val="auto"/>
              </w:rPr>
            </w:pPr>
          </w:p>
        </w:tc>
        <w:tc>
          <w:tcPr>
            <w:tcW w:w="820" w:type="dxa"/>
            <w:vAlign w:val="bottom"/>
            <w:tcBorders>
              <w:bottom w:val="single" w:sz="8" w:color="007B51"/>
            </w:tcBorders>
          </w:tcPr>
          <w:p>
            <w:pPr>
              <w:spacing w:after="0"/>
              <w:rPr>
                <w:sz w:val="16"/>
                <w:szCs w:val="16"/>
                <w:color w:val="auto"/>
              </w:rPr>
            </w:pPr>
          </w:p>
        </w:tc>
      </w:tr>
      <w:tr>
        <w:trPr>
          <w:trHeight w:val="258"/>
        </w:trPr>
        <w:tc>
          <w:tcPr>
            <w:tcW w:w="4180" w:type="dxa"/>
            <w:vAlign w:val="bottom"/>
          </w:tcPr>
          <w:p>
            <w:pPr>
              <w:ind w:left="100"/>
              <w:spacing w:after="0"/>
              <w:rPr>
                <w:sz w:val="20"/>
                <w:szCs w:val="20"/>
                <w:color w:val="auto"/>
              </w:rPr>
            </w:pPr>
            <w:r>
              <w:rPr>
                <w:rFonts w:ascii="Arial" w:cs="Arial" w:eastAsia="Arial" w:hAnsi="Arial"/>
                <w:sz w:val="16"/>
                <w:szCs w:val="16"/>
                <w:b w:val="1"/>
                <w:bCs w:val="1"/>
                <w:color w:val="auto"/>
              </w:rPr>
              <w:t xml:space="preserve">ADD: </w:t>
            </w:r>
            <w:r>
              <w:rPr>
                <w:rFonts w:ascii="Arial" w:cs="Arial" w:eastAsia="Arial" w:hAnsi="Arial"/>
                <w:sz w:val="14"/>
                <w:szCs w:val="14"/>
                <w:color w:val="auto"/>
              </w:rPr>
              <w:t>aggregate of (i) pension service cost attributable to</w:t>
            </w:r>
          </w:p>
        </w:tc>
        <w:tc>
          <w:tcPr>
            <w:tcW w:w="32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Arial" w:cs="Arial" w:eastAsia="Arial" w:hAnsi="Arial"/>
                <w:sz w:val="14"/>
                <w:szCs w:val="14"/>
                <w:color w:val="auto"/>
              </w:rPr>
              <w:t>$0</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$0</w:t>
            </w: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$0</w:t>
            </w: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180" w:type="dxa"/>
            <w:vAlign w:val="bottom"/>
          </w:tcPr>
          <w:p>
            <w:pPr>
              <w:ind w:left="100"/>
              <w:spacing w:after="0"/>
              <w:rPr>
                <w:sz w:val="20"/>
                <w:szCs w:val="20"/>
                <w:color w:val="auto"/>
              </w:rPr>
            </w:pPr>
            <w:r>
              <w:rPr>
                <w:rFonts w:ascii="Arial" w:cs="Arial" w:eastAsia="Arial" w:hAnsi="Arial"/>
                <w:sz w:val="14"/>
                <w:szCs w:val="14"/>
                <w:color w:val="auto"/>
              </w:rPr>
              <w:t>services rendered during the FY and (ii) any prior service cost</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4180" w:type="dxa"/>
            <w:vAlign w:val="bottom"/>
          </w:tcPr>
          <w:p>
            <w:pPr>
              <w:ind w:left="100"/>
              <w:spacing w:after="0"/>
              <w:rPr>
                <w:sz w:val="20"/>
                <w:szCs w:val="20"/>
                <w:color w:val="auto"/>
              </w:rPr>
            </w:pPr>
            <w:r>
              <w:rPr>
                <w:rFonts w:ascii="Arial" w:cs="Arial" w:eastAsia="Arial" w:hAnsi="Arial"/>
                <w:sz w:val="14"/>
                <w:szCs w:val="14"/>
                <w:color w:val="auto"/>
              </w:rPr>
              <w:t>attributable to services rendered in prior periods, as</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4180" w:type="dxa"/>
            <w:vAlign w:val="bottom"/>
          </w:tcPr>
          <w:p>
            <w:pPr>
              <w:ind w:left="100"/>
              <w:spacing w:after="0"/>
              <w:rPr>
                <w:sz w:val="20"/>
                <w:szCs w:val="20"/>
                <w:color w:val="auto"/>
              </w:rPr>
            </w:pPr>
            <w:r>
              <w:rPr>
                <w:rFonts w:ascii="Arial" w:cs="Arial" w:eastAsia="Arial" w:hAnsi="Arial"/>
                <w:sz w:val="14"/>
                <w:szCs w:val="14"/>
                <w:color w:val="auto"/>
              </w:rPr>
              <w:t>determined under Accounting Standards Codification (ASC)</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4"/>
        </w:trPr>
        <w:tc>
          <w:tcPr>
            <w:tcW w:w="4180" w:type="dxa"/>
            <w:vAlign w:val="bottom"/>
            <w:tcBorders>
              <w:bottom w:val="single" w:sz="8" w:color="007B51"/>
            </w:tcBorders>
          </w:tcPr>
          <w:p>
            <w:pPr>
              <w:ind w:left="100"/>
              <w:spacing w:after="0"/>
              <w:rPr>
                <w:sz w:val="20"/>
                <w:szCs w:val="20"/>
                <w:color w:val="auto"/>
              </w:rPr>
            </w:pPr>
            <w:r>
              <w:rPr>
                <w:rFonts w:ascii="Arial" w:cs="Arial" w:eastAsia="Arial" w:hAnsi="Arial"/>
                <w:sz w:val="14"/>
                <w:szCs w:val="14"/>
                <w:color w:val="auto"/>
              </w:rPr>
              <w:t>715</w:t>
            </w:r>
          </w:p>
        </w:tc>
        <w:tc>
          <w:tcPr>
            <w:tcW w:w="320" w:type="dxa"/>
            <w:vAlign w:val="bottom"/>
            <w:tcBorders>
              <w:bottom w:val="single" w:sz="8" w:color="007B51"/>
            </w:tcBorders>
          </w:tcPr>
          <w:p>
            <w:pPr>
              <w:spacing w:after="0"/>
              <w:rPr>
                <w:sz w:val="16"/>
                <w:szCs w:val="16"/>
                <w:color w:val="auto"/>
              </w:rPr>
            </w:pPr>
          </w:p>
        </w:tc>
        <w:tc>
          <w:tcPr>
            <w:tcW w:w="680" w:type="dxa"/>
            <w:vAlign w:val="bottom"/>
            <w:tcBorders>
              <w:bottom w:val="single" w:sz="8" w:color="007B51"/>
            </w:tcBorders>
          </w:tcPr>
          <w:p>
            <w:pPr>
              <w:spacing w:after="0"/>
              <w:rPr>
                <w:sz w:val="16"/>
                <w:szCs w:val="16"/>
                <w:color w:val="auto"/>
              </w:rPr>
            </w:pPr>
          </w:p>
        </w:tc>
        <w:tc>
          <w:tcPr>
            <w:tcW w:w="940" w:type="dxa"/>
            <w:vAlign w:val="bottom"/>
            <w:tcBorders>
              <w:bottom w:val="single" w:sz="8" w:color="007B51"/>
            </w:tcBorders>
          </w:tcPr>
          <w:p>
            <w:pPr>
              <w:spacing w:after="0"/>
              <w:rPr>
                <w:sz w:val="16"/>
                <w:szCs w:val="16"/>
                <w:color w:val="auto"/>
              </w:rPr>
            </w:pPr>
          </w:p>
        </w:tc>
        <w:tc>
          <w:tcPr>
            <w:tcW w:w="960" w:type="dxa"/>
            <w:vAlign w:val="bottom"/>
            <w:tcBorders>
              <w:bottom w:val="single" w:sz="8" w:color="007B51"/>
            </w:tcBorders>
          </w:tcPr>
          <w:p>
            <w:pPr>
              <w:spacing w:after="0"/>
              <w:rPr>
                <w:sz w:val="16"/>
                <w:szCs w:val="16"/>
                <w:color w:val="auto"/>
              </w:rPr>
            </w:pPr>
          </w:p>
        </w:tc>
        <w:tc>
          <w:tcPr>
            <w:tcW w:w="920" w:type="dxa"/>
            <w:vAlign w:val="bottom"/>
            <w:tcBorders>
              <w:bottom w:val="single" w:sz="8" w:color="007B51"/>
            </w:tcBorders>
          </w:tcPr>
          <w:p>
            <w:pPr>
              <w:spacing w:after="0"/>
              <w:rPr>
                <w:sz w:val="16"/>
                <w:szCs w:val="16"/>
                <w:color w:val="auto"/>
              </w:rPr>
            </w:pPr>
          </w:p>
        </w:tc>
        <w:tc>
          <w:tcPr>
            <w:tcW w:w="900" w:type="dxa"/>
            <w:vAlign w:val="bottom"/>
            <w:tcBorders>
              <w:bottom w:val="single" w:sz="8" w:color="007B51"/>
            </w:tcBorders>
          </w:tcPr>
          <w:p>
            <w:pPr>
              <w:spacing w:after="0"/>
              <w:rPr>
                <w:sz w:val="16"/>
                <w:szCs w:val="16"/>
                <w:color w:val="auto"/>
              </w:rPr>
            </w:pPr>
          </w:p>
        </w:tc>
        <w:tc>
          <w:tcPr>
            <w:tcW w:w="820" w:type="dxa"/>
            <w:vAlign w:val="bottom"/>
            <w:tcBorders>
              <w:bottom w:val="single" w:sz="8" w:color="007B51"/>
            </w:tcBorders>
          </w:tcPr>
          <w:p>
            <w:pPr>
              <w:spacing w:after="0"/>
              <w:rPr>
                <w:sz w:val="16"/>
                <w:szCs w:val="16"/>
                <w:color w:val="auto"/>
              </w:rPr>
            </w:pPr>
          </w:p>
        </w:tc>
      </w:tr>
      <w:tr>
        <w:trPr>
          <w:trHeight w:val="199"/>
        </w:trPr>
        <w:tc>
          <w:tcPr>
            <w:tcW w:w="4180" w:type="dxa"/>
            <w:vAlign w:val="bottom"/>
          </w:tcPr>
          <w:p>
            <w:pPr>
              <w:ind w:left="100"/>
              <w:spacing w:after="0"/>
              <w:rPr>
                <w:sz w:val="20"/>
                <w:szCs w:val="20"/>
                <w:color w:val="auto"/>
              </w:rPr>
            </w:pPr>
            <w:r>
              <w:rPr>
                <w:rFonts w:ascii="Arial" w:cs="Arial" w:eastAsia="Arial" w:hAnsi="Arial"/>
                <w:sz w:val="16"/>
                <w:szCs w:val="16"/>
                <w:b w:val="1"/>
                <w:bCs w:val="1"/>
                <w:color w:val="auto"/>
              </w:rPr>
              <w:t>Compensation Actually Paid (as defined by SEC</w:t>
            </w:r>
          </w:p>
        </w:tc>
        <w:tc>
          <w:tcPr>
            <w:tcW w:w="1000" w:type="dxa"/>
            <w:vAlign w:val="bottom"/>
            <w:gridSpan w:val="2"/>
          </w:tcPr>
          <w:p>
            <w:pPr>
              <w:jc w:val="right"/>
              <w:ind w:right="14"/>
              <w:spacing w:after="0"/>
              <w:rPr>
                <w:sz w:val="20"/>
                <w:szCs w:val="20"/>
                <w:color w:val="auto"/>
              </w:rPr>
            </w:pPr>
            <w:r>
              <w:rPr>
                <w:rFonts w:ascii="Arial" w:cs="Arial" w:eastAsia="Arial" w:hAnsi="Arial"/>
                <w:sz w:val="14"/>
                <w:szCs w:val="14"/>
                <w:color w:val="auto"/>
              </w:rPr>
              <w:t>$8,172,530</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$4,448,741</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$16,098,142</w:t>
            </w: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$7,399,581</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$6,430,626</w:t>
            </w:r>
          </w:p>
        </w:tc>
        <w:tc>
          <w:tcPr>
            <w:tcW w:w="820" w:type="dxa"/>
            <w:vAlign w:val="bottom"/>
          </w:tcPr>
          <w:p>
            <w:pPr>
              <w:jc w:val="right"/>
              <w:spacing w:after="0"/>
              <w:rPr>
                <w:sz w:val="20"/>
                <w:szCs w:val="20"/>
                <w:color w:val="auto"/>
              </w:rPr>
            </w:pPr>
            <w:r>
              <w:rPr>
                <w:rFonts w:ascii="Arial" w:cs="Arial" w:eastAsia="Arial" w:hAnsi="Arial"/>
                <w:sz w:val="14"/>
                <w:szCs w:val="14"/>
                <w:color w:val="auto"/>
              </w:rPr>
              <w:t>$3,431,864</w:t>
            </w:r>
          </w:p>
        </w:tc>
      </w:tr>
      <w:tr>
        <w:trPr>
          <w:trHeight w:val="226"/>
        </w:trPr>
        <w:tc>
          <w:tcPr>
            <w:tcW w:w="4180" w:type="dxa"/>
            <w:vAlign w:val="bottom"/>
            <w:tcBorders>
              <w:bottom w:val="single" w:sz="8" w:color="007B51"/>
            </w:tcBorders>
          </w:tcPr>
          <w:p>
            <w:pPr>
              <w:ind w:left="100"/>
              <w:spacing w:after="0"/>
              <w:rPr>
                <w:sz w:val="20"/>
                <w:szCs w:val="20"/>
                <w:color w:val="auto"/>
              </w:rPr>
            </w:pPr>
            <w:r>
              <w:rPr>
                <w:rFonts w:ascii="Arial" w:cs="Arial" w:eastAsia="Arial" w:hAnsi="Arial"/>
                <w:sz w:val="16"/>
                <w:szCs w:val="16"/>
                <w:b w:val="1"/>
                <w:bCs w:val="1"/>
                <w:color w:val="auto"/>
              </w:rPr>
              <w:t>rule)</w:t>
            </w:r>
          </w:p>
        </w:tc>
        <w:tc>
          <w:tcPr>
            <w:tcW w:w="320" w:type="dxa"/>
            <w:vAlign w:val="bottom"/>
            <w:tcBorders>
              <w:bottom w:val="single" w:sz="8" w:color="007B51"/>
            </w:tcBorders>
          </w:tcPr>
          <w:p>
            <w:pPr>
              <w:spacing w:after="0"/>
              <w:rPr>
                <w:sz w:val="19"/>
                <w:szCs w:val="19"/>
                <w:color w:val="auto"/>
              </w:rPr>
            </w:pPr>
          </w:p>
        </w:tc>
        <w:tc>
          <w:tcPr>
            <w:tcW w:w="680" w:type="dxa"/>
            <w:vAlign w:val="bottom"/>
            <w:tcBorders>
              <w:bottom w:val="single" w:sz="8" w:color="007B51"/>
            </w:tcBorders>
          </w:tcPr>
          <w:p>
            <w:pPr>
              <w:spacing w:after="0"/>
              <w:rPr>
                <w:sz w:val="19"/>
                <w:szCs w:val="19"/>
                <w:color w:val="auto"/>
              </w:rPr>
            </w:pPr>
          </w:p>
        </w:tc>
        <w:tc>
          <w:tcPr>
            <w:tcW w:w="940" w:type="dxa"/>
            <w:vAlign w:val="bottom"/>
            <w:tcBorders>
              <w:bottom w:val="single" w:sz="8" w:color="007B51"/>
            </w:tcBorders>
          </w:tcPr>
          <w:p>
            <w:pPr>
              <w:spacing w:after="0"/>
              <w:rPr>
                <w:sz w:val="19"/>
                <w:szCs w:val="19"/>
                <w:color w:val="auto"/>
              </w:rPr>
            </w:pPr>
          </w:p>
        </w:tc>
        <w:tc>
          <w:tcPr>
            <w:tcW w:w="960" w:type="dxa"/>
            <w:vAlign w:val="bottom"/>
            <w:tcBorders>
              <w:bottom w:val="single" w:sz="8" w:color="007B51"/>
            </w:tcBorders>
          </w:tcPr>
          <w:p>
            <w:pPr>
              <w:spacing w:after="0"/>
              <w:rPr>
                <w:sz w:val="19"/>
                <w:szCs w:val="19"/>
                <w:color w:val="auto"/>
              </w:rPr>
            </w:pPr>
          </w:p>
        </w:tc>
        <w:tc>
          <w:tcPr>
            <w:tcW w:w="920" w:type="dxa"/>
            <w:vAlign w:val="bottom"/>
            <w:tcBorders>
              <w:bottom w:val="single" w:sz="8" w:color="007B51"/>
            </w:tcBorders>
          </w:tcPr>
          <w:p>
            <w:pPr>
              <w:spacing w:after="0"/>
              <w:rPr>
                <w:sz w:val="19"/>
                <w:szCs w:val="19"/>
                <w:color w:val="auto"/>
              </w:rPr>
            </w:pPr>
          </w:p>
        </w:tc>
        <w:tc>
          <w:tcPr>
            <w:tcW w:w="900" w:type="dxa"/>
            <w:vAlign w:val="bottom"/>
            <w:tcBorders>
              <w:bottom w:val="single" w:sz="8" w:color="007B51"/>
            </w:tcBorders>
          </w:tcPr>
          <w:p>
            <w:pPr>
              <w:spacing w:after="0"/>
              <w:rPr>
                <w:sz w:val="19"/>
                <w:szCs w:val="19"/>
                <w:color w:val="auto"/>
              </w:rPr>
            </w:pPr>
          </w:p>
        </w:tc>
        <w:tc>
          <w:tcPr>
            <w:tcW w:w="820" w:type="dxa"/>
            <w:vAlign w:val="bottom"/>
            <w:tcBorders>
              <w:bottom w:val="single" w:sz="8" w:color="007B51"/>
            </w:tcBorders>
          </w:tcPr>
          <w:p>
            <w:pPr>
              <w:spacing w:after="0"/>
              <w:rPr>
                <w:sz w:val="19"/>
                <w:szCs w:val="19"/>
                <w:color w:val="auto"/>
              </w:rPr>
            </w:pPr>
          </w:p>
        </w:tc>
      </w:tr>
      <w:tr>
        <w:trPr>
          <w:trHeight w:val="456"/>
        </w:trPr>
        <w:tc>
          <w:tcPr>
            <w:tcW w:w="4500" w:type="dxa"/>
            <w:vAlign w:val="bottom"/>
            <w:tcBorders>
              <w:bottom w:val="single" w:sz="8" w:color="auto"/>
            </w:tcBorders>
            <w:gridSpan w:val="2"/>
          </w:tcPr>
          <w:p>
            <w:pPr>
              <w:ind w:left="3600"/>
              <w:spacing w:after="0"/>
              <w:rPr>
                <w:sz w:val="20"/>
                <w:szCs w:val="20"/>
                <w:color w:val="auto"/>
              </w:rPr>
            </w:pPr>
            <w:r>
              <w:rPr>
                <w:rFonts w:ascii="Arial" w:cs="Arial" w:eastAsia="Arial" w:hAnsi="Arial"/>
                <w:sz w:val="13"/>
                <w:szCs w:val="13"/>
                <w:b w:val="1"/>
                <w:bCs w:val="1"/>
                <w:color w:val="auto"/>
                <w:w w:val="95"/>
              </w:rPr>
              <w:t>UFP Industries</w:t>
            </w: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42</w:t>
            </w:r>
          </w:p>
        </w:tc>
        <w:tc>
          <w:tcPr>
            <w:tcW w:w="1900" w:type="dxa"/>
            <w:vAlign w:val="bottom"/>
            <w:tcBorders>
              <w:bottom w:val="single" w:sz="8" w:color="auto"/>
            </w:tcBorders>
            <w:gridSpan w:val="2"/>
          </w:tcPr>
          <w:p>
            <w:pPr>
              <w:jc w:val="right"/>
              <w:ind w:right="511"/>
              <w:spacing w:after="0"/>
              <w:rPr>
                <w:sz w:val="20"/>
                <w:szCs w:val="20"/>
                <w:color w:val="auto"/>
              </w:rPr>
            </w:pPr>
            <w:r>
              <w:rPr>
                <w:rFonts w:ascii="Arial" w:cs="Arial" w:eastAsia="Arial" w:hAnsi="Arial"/>
                <w:sz w:val="13"/>
                <w:szCs w:val="13"/>
                <w:color w:val="auto"/>
              </w:rPr>
              <w:t>2023 Proxy Statement</w:t>
            </w: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720"/>
          </w:cols>
          <w:pgMar w:left="1080" w:top="229" w:right="10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Financial Performance Measures</w:t>
      </w:r>
    </w:p>
    <w:p>
      <w:pPr>
        <w:spacing w:after="0" w:line="16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As discussed in the Compensation Discussion and Analysis, our executive compensation program and compensation decisions reflect a pay-for-performance philosophy. The metrics used within our incentive plans are selected to support these objectives. As explained in the Compensation Discuss and Analysis, the most important financial performance measure used by the Company to link executive compensation actually paid to the Company’s NEOs for the most recently completed fiscal year to the Company’s performance is pre-bonus operating profit relative to target levels of return on investment.</w:t>
      </w:r>
    </w:p>
    <w:p>
      <w:pPr>
        <w:spacing w:after="0" w:line="12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graphs below describe the relationship between pay and performance by comparing compensation actually paid to our Chief Executive Officer as well as average actual compensation paid to our non-Chief Executive Officer, Named Executives in relation to our cumulative TSR, peer group TSR, net income and PBOP, as defined in footnote six (6) to the Pay versus Performance table above.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Actually Paid and Total Shareholder Return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Compensation Actually Paid vs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100965</wp:posOffset>
            </wp:positionV>
            <wp:extent cx="4714875" cy="19716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71487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Actually Paid and Net Income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Compensation Actually Paid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92075</wp:posOffset>
            </wp:positionV>
            <wp:extent cx="4714875" cy="1602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14875"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43</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61722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680"/>
          </w:cols>
          <w:pgMar w:left="1080" w:top="229" w:right="11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Actually Paid and Pre-Bonus Operating Profit</w:t>
      </w:r>
    </w:p>
    <w:p>
      <w:pPr>
        <w:spacing w:after="0" w:line="156" w:lineRule="exact"/>
        <w:rPr>
          <w:sz w:val="20"/>
          <w:szCs w:val="20"/>
          <w:color w:val="auto"/>
        </w:rPr>
      </w:pPr>
    </w:p>
    <w:p>
      <w:pPr>
        <w:jc w:val="right"/>
        <w:ind w:right="2639"/>
        <w:spacing w:after="0"/>
        <w:rPr>
          <w:sz w:val="20"/>
          <w:szCs w:val="20"/>
          <w:color w:val="auto"/>
        </w:rPr>
      </w:pPr>
      <w:r>
        <w:rPr>
          <w:rFonts w:ascii="Arial" w:cs="Arial" w:eastAsia="Arial" w:hAnsi="Arial"/>
          <w:sz w:val="14"/>
          <w:szCs w:val="14"/>
          <w:color w:val="auto"/>
        </w:rPr>
        <w:t>Compensation Actually Paid vs Pre-Bonus Operating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92075</wp:posOffset>
            </wp:positionV>
            <wp:extent cx="4714875" cy="17576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14875"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44</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61722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9" w:right="1440"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Director Compensation</w:t>
      </w:r>
    </w:p>
    <w:p>
      <w:pPr>
        <w:spacing w:after="0" w:line="22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For 2022, each non-employee director (except Mr. Currie) received a $60,000 annual cash retainer fee and a $135,000 annual stock retainer fee. In addition, each member of the Audit Committee received $10,000 for serving on that committee, and each member of the Nominating and Corporate Governance Committee and the Personnel and Compensation Committee received $5,000 for serving on those committees. In addition to these committee service fees, the chairperson of the Audit Committee received $20,000, and the chairpersons of the Nominating and Corporate Governance Committee and the Personnel and Compensation Committee each received $10,000. No fees are payable for attendance at either Board or Committee meetings.</w:t>
      </w:r>
    </w:p>
    <w:p>
      <w:pPr>
        <w:spacing w:after="0" w:line="12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Each independent director may participate in the Director Compensation Plan (the "DCP"). The annual retainer amounts, both cash (including committee retainers and chairperson fees) and stock consideration, are paid quarterly and either or both (in total or in part) may be deferred in accordance with the DCP. Under the terms of the DCP, deferred cash is used to purchase Company common stock on a deferred basis at the rate of 110% of the deferred cash amount. No such credit applies to the deferral of the stock portion of the retainer. For 2022, Messrs. Currie, McLean, Rhodes, Walker and Wooldridge, and Ms. Budden participated in the DCP and were allocated shares of Company common stock, in lieu of cash fees, in the following amounts: 3,467 shares; 1,772 shares; 3,467 shares, 1,993 shares; 2,209 shares; and 2,798 shares, respectively.</w:t>
      </w:r>
    </w:p>
    <w:p>
      <w:pPr>
        <w:spacing w:after="0" w:line="12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following table sets forth certain information regarding the compensation earned by or awarded to each non-employee director for their service on our Board in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0" w:type="dxa"/>
            <w:vAlign w:val="bottom"/>
            <w:tcBorders>
              <w:bottom w:val="single" w:sz="8" w:color="007B51"/>
            </w:tcBorders>
          </w:tcPr>
          <w:p>
            <w:pPr>
              <w:ind w:left="100"/>
              <w:spacing w:after="0"/>
              <w:rPr>
                <w:sz w:val="20"/>
                <w:szCs w:val="20"/>
                <w:color w:val="auto"/>
              </w:rPr>
            </w:pPr>
            <w:r>
              <w:rPr>
                <w:rFonts w:ascii="Arial" w:cs="Arial" w:eastAsia="Arial" w:hAnsi="Arial"/>
                <w:sz w:val="11"/>
                <w:szCs w:val="11"/>
                <w:b w:val="1"/>
                <w:bCs w:val="1"/>
                <w:color w:val="auto"/>
              </w:rPr>
              <w:t>NAMES</w:t>
            </w:r>
          </w:p>
        </w:tc>
        <w:tc>
          <w:tcPr>
            <w:tcW w:w="3580" w:type="dxa"/>
            <w:vAlign w:val="bottom"/>
            <w:tcBorders>
              <w:bottom w:val="single" w:sz="8" w:color="007B51"/>
            </w:tcBorders>
          </w:tcPr>
          <w:p>
            <w:pPr>
              <w:jc w:val="right"/>
              <w:ind w:right="470"/>
              <w:spacing w:after="0"/>
              <w:rPr>
                <w:sz w:val="20"/>
                <w:szCs w:val="20"/>
                <w:color w:val="auto"/>
              </w:rPr>
            </w:pPr>
            <w:r>
              <w:rPr>
                <w:rFonts w:ascii="Arial" w:cs="Arial" w:eastAsia="Arial" w:hAnsi="Arial"/>
                <w:sz w:val="11"/>
                <w:szCs w:val="11"/>
                <w:b w:val="1"/>
                <w:bCs w:val="1"/>
                <w:color w:val="auto"/>
              </w:rPr>
              <w:t>FEES EARNED OR PAID IN CASH</w:t>
            </w:r>
            <w:r>
              <w:rPr>
                <w:rFonts w:ascii="Arial" w:cs="Arial" w:eastAsia="Arial" w:hAnsi="Arial"/>
                <w:sz w:val="17"/>
                <w:szCs w:val="17"/>
                <w:b w:val="1"/>
                <w:bCs w:val="1"/>
                <w:color w:val="auto"/>
                <w:vertAlign w:val="superscript"/>
              </w:rPr>
              <w:t>(1)</w:t>
            </w:r>
          </w:p>
        </w:tc>
        <w:tc>
          <w:tcPr>
            <w:tcW w:w="1980" w:type="dxa"/>
            <w:vAlign w:val="bottom"/>
            <w:tcBorders>
              <w:bottom w:val="single" w:sz="8" w:color="007B51"/>
            </w:tcBorders>
          </w:tcPr>
          <w:p>
            <w:pPr>
              <w:jc w:val="right"/>
              <w:ind w:right="510"/>
              <w:spacing w:after="0"/>
              <w:rPr>
                <w:sz w:val="20"/>
                <w:szCs w:val="20"/>
                <w:color w:val="auto"/>
              </w:rPr>
            </w:pPr>
            <w:r>
              <w:rPr>
                <w:rFonts w:ascii="Arial" w:cs="Arial" w:eastAsia="Arial" w:hAnsi="Arial"/>
                <w:sz w:val="11"/>
                <w:szCs w:val="11"/>
                <w:b w:val="1"/>
                <w:bCs w:val="1"/>
                <w:color w:val="auto"/>
              </w:rPr>
              <w:t>STOCK AWARDS</w:t>
            </w:r>
          </w:p>
        </w:tc>
        <w:tc>
          <w:tcPr>
            <w:tcW w:w="1160" w:type="dxa"/>
            <w:vAlign w:val="bottom"/>
            <w:tcBorders>
              <w:bottom w:val="single" w:sz="8" w:color="007B51"/>
            </w:tcBorders>
          </w:tcPr>
          <w:p>
            <w:pPr>
              <w:jc w:val="right"/>
              <w:spacing w:after="0"/>
              <w:rPr>
                <w:sz w:val="20"/>
                <w:szCs w:val="20"/>
                <w:color w:val="auto"/>
              </w:rPr>
            </w:pPr>
            <w:r>
              <w:rPr>
                <w:rFonts w:ascii="Arial" w:cs="Arial" w:eastAsia="Arial" w:hAnsi="Arial"/>
                <w:sz w:val="11"/>
                <w:szCs w:val="11"/>
                <w:b w:val="1"/>
                <w:bCs w:val="1"/>
                <w:color w:val="auto"/>
              </w:rPr>
              <w:t>TOTAL</w:t>
            </w:r>
          </w:p>
        </w:tc>
      </w:tr>
      <w:tr>
        <w:trPr>
          <w:trHeight w:val="208"/>
        </w:trPr>
        <w:tc>
          <w:tcPr>
            <w:tcW w:w="3000" w:type="dxa"/>
            <w:vAlign w:val="bottom"/>
            <w:tcBorders>
              <w:bottom w:val="single" w:sz="8" w:color="007B51"/>
            </w:tcBorders>
          </w:tcPr>
          <w:p>
            <w:pPr>
              <w:ind w:left="100"/>
              <w:spacing w:after="0"/>
              <w:rPr>
                <w:sz w:val="20"/>
                <w:szCs w:val="20"/>
                <w:color w:val="auto"/>
              </w:rPr>
            </w:pPr>
            <w:r>
              <w:rPr>
                <w:rFonts w:ascii="Arial" w:cs="Arial" w:eastAsia="Arial" w:hAnsi="Arial"/>
                <w:sz w:val="14"/>
                <w:szCs w:val="14"/>
                <w:b w:val="1"/>
                <w:bCs w:val="1"/>
                <w:color w:val="017B52"/>
              </w:rPr>
              <w:t>Joan A. Budden</w:t>
            </w:r>
          </w:p>
        </w:tc>
        <w:tc>
          <w:tcPr>
            <w:tcW w:w="3580" w:type="dxa"/>
            <w:vAlign w:val="bottom"/>
            <w:tcBorders>
              <w:bottom w:val="single" w:sz="8" w:color="007B51"/>
            </w:tcBorders>
          </w:tcPr>
          <w:p>
            <w:pPr>
              <w:jc w:val="right"/>
              <w:ind w:right="470"/>
              <w:spacing w:after="0"/>
              <w:rPr>
                <w:sz w:val="20"/>
                <w:szCs w:val="20"/>
                <w:color w:val="auto"/>
              </w:rPr>
            </w:pPr>
            <w:r>
              <w:rPr>
                <w:rFonts w:ascii="Arial" w:cs="Arial" w:eastAsia="Arial" w:hAnsi="Arial"/>
                <w:sz w:val="14"/>
                <w:szCs w:val="14"/>
                <w:color w:val="auto"/>
              </w:rPr>
              <w:t>$ 70,000</w:t>
            </w:r>
          </w:p>
        </w:tc>
        <w:tc>
          <w:tcPr>
            <w:tcW w:w="1980" w:type="dxa"/>
            <w:vAlign w:val="bottom"/>
            <w:tcBorders>
              <w:bottom w:val="single" w:sz="8" w:color="007B51"/>
            </w:tcBorders>
          </w:tcPr>
          <w:p>
            <w:pPr>
              <w:jc w:val="right"/>
              <w:ind w:right="510"/>
              <w:spacing w:after="0"/>
              <w:rPr>
                <w:sz w:val="20"/>
                <w:szCs w:val="20"/>
                <w:color w:val="auto"/>
              </w:rPr>
            </w:pPr>
            <w:r>
              <w:rPr>
                <w:rFonts w:ascii="Arial" w:cs="Arial" w:eastAsia="Arial" w:hAnsi="Arial"/>
                <w:sz w:val="14"/>
                <w:szCs w:val="14"/>
                <w:color w:val="auto"/>
              </w:rPr>
              <w:t>$135,000</w:t>
            </w:r>
          </w:p>
        </w:tc>
        <w:tc>
          <w:tcPr>
            <w:tcW w:w="11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$205,000</w:t>
            </w:r>
          </w:p>
        </w:tc>
      </w:tr>
      <w:tr>
        <w:trPr>
          <w:trHeight w:val="238"/>
        </w:trPr>
        <w:tc>
          <w:tcPr>
            <w:tcW w:w="3000" w:type="dxa"/>
            <w:vAlign w:val="bottom"/>
            <w:tcBorders>
              <w:bottom w:val="single" w:sz="8" w:color="007B51"/>
            </w:tcBorders>
          </w:tcPr>
          <w:p>
            <w:pPr>
              <w:ind w:left="100"/>
              <w:spacing w:after="0" w:line="237" w:lineRule="exact"/>
              <w:rPr>
                <w:sz w:val="20"/>
                <w:szCs w:val="20"/>
                <w:color w:val="auto"/>
              </w:rPr>
            </w:pPr>
            <w:r>
              <w:rPr>
                <w:rFonts w:ascii="Arial" w:cs="Arial" w:eastAsia="Arial" w:hAnsi="Arial"/>
                <w:sz w:val="14"/>
                <w:szCs w:val="14"/>
                <w:b w:val="1"/>
                <w:bCs w:val="1"/>
                <w:color w:val="017B52"/>
              </w:rPr>
              <w:t>William G. Currie</w:t>
            </w:r>
            <w:r>
              <w:rPr>
                <w:rFonts w:ascii="Arial" w:cs="Arial" w:eastAsia="Arial" w:hAnsi="Arial"/>
                <w:sz w:val="23"/>
                <w:szCs w:val="23"/>
                <w:b w:val="1"/>
                <w:bCs w:val="1"/>
                <w:color w:val="017B52"/>
                <w:vertAlign w:val="superscript"/>
              </w:rPr>
              <w:t>(2)</w:t>
            </w:r>
          </w:p>
        </w:tc>
        <w:tc>
          <w:tcPr>
            <w:tcW w:w="3580" w:type="dxa"/>
            <w:vAlign w:val="bottom"/>
            <w:tcBorders>
              <w:bottom w:val="single" w:sz="8" w:color="007B51"/>
            </w:tcBorders>
          </w:tcPr>
          <w:p>
            <w:pPr>
              <w:jc w:val="right"/>
              <w:ind w:right="470"/>
              <w:spacing w:after="0"/>
              <w:rPr>
                <w:sz w:val="20"/>
                <w:szCs w:val="20"/>
                <w:color w:val="auto"/>
              </w:rPr>
            </w:pPr>
            <w:r>
              <w:rPr>
                <w:rFonts w:ascii="Arial" w:cs="Arial" w:eastAsia="Arial" w:hAnsi="Arial"/>
                <w:sz w:val="14"/>
                <w:szCs w:val="14"/>
                <w:color w:val="auto"/>
              </w:rPr>
              <w:t>$120,000</w:t>
            </w:r>
          </w:p>
        </w:tc>
        <w:tc>
          <w:tcPr>
            <w:tcW w:w="1980" w:type="dxa"/>
            <w:vAlign w:val="bottom"/>
            <w:tcBorders>
              <w:bottom w:val="single" w:sz="8" w:color="007B51"/>
            </w:tcBorders>
          </w:tcPr>
          <w:p>
            <w:pPr>
              <w:jc w:val="right"/>
              <w:ind w:right="510"/>
              <w:spacing w:after="0"/>
              <w:rPr>
                <w:sz w:val="20"/>
                <w:szCs w:val="20"/>
                <w:color w:val="auto"/>
              </w:rPr>
            </w:pPr>
            <w:r>
              <w:rPr>
                <w:rFonts w:ascii="Arial" w:cs="Arial" w:eastAsia="Arial" w:hAnsi="Arial"/>
                <w:sz w:val="14"/>
                <w:szCs w:val="14"/>
                <w:color w:val="auto"/>
              </w:rPr>
              <w:t>$250,000</w:t>
            </w:r>
          </w:p>
        </w:tc>
        <w:tc>
          <w:tcPr>
            <w:tcW w:w="11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$370,000</w:t>
            </w:r>
          </w:p>
        </w:tc>
      </w:tr>
      <w:tr>
        <w:trPr>
          <w:trHeight w:val="208"/>
        </w:trPr>
        <w:tc>
          <w:tcPr>
            <w:tcW w:w="3000" w:type="dxa"/>
            <w:vAlign w:val="bottom"/>
            <w:tcBorders>
              <w:bottom w:val="single" w:sz="8" w:color="007B51"/>
            </w:tcBorders>
          </w:tcPr>
          <w:p>
            <w:pPr>
              <w:ind w:left="100"/>
              <w:spacing w:after="0"/>
              <w:rPr>
                <w:sz w:val="20"/>
                <w:szCs w:val="20"/>
                <w:color w:val="auto"/>
              </w:rPr>
            </w:pPr>
            <w:r>
              <w:rPr>
                <w:rFonts w:ascii="Arial" w:cs="Arial" w:eastAsia="Arial" w:hAnsi="Arial"/>
                <w:sz w:val="14"/>
                <w:szCs w:val="14"/>
                <w:b w:val="1"/>
                <w:bCs w:val="1"/>
                <w:color w:val="017B52"/>
              </w:rPr>
              <w:t>Benjamin J. McLean</w:t>
            </w:r>
          </w:p>
        </w:tc>
        <w:tc>
          <w:tcPr>
            <w:tcW w:w="3580" w:type="dxa"/>
            <w:vAlign w:val="bottom"/>
            <w:tcBorders>
              <w:bottom w:val="single" w:sz="8" w:color="007B51"/>
            </w:tcBorders>
          </w:tcPr>
          <w:p>
            <w:pPr>
              <w:jc w:val="right"/>
              <w:ind w:right="470"/>
              <w:spacing w:after="0"/>
              <w:rPr>
                <w:sz w:val="20"/>
                <w:szCs w:val="20"/>
                <w:color w:val="auto"/>
              </w:rPr>
            </w:pPr>
            <w:r>
              <w:rPr>
                <w:rFonts w:ascii="Arial" w:cs="Arial" w:eastAsia="Arial" w:hAnsi="Arial"/>
                <w:sz w:val="14"/>
                <w:szCs w:val="14"/>
                <w:color w:val="auto"/>
              </w:rPr>
              <w:t>$ 70,000</w:t>
            </w:r>
          </w:p>
        </w:tc>
        <w:tc>
          <w:tcPr>
            <w:tcW w:w="1980" w:type="dxa"/>
            <w:vAlign w:val="bottom"/>
            <w:tcBorders>
              <w:bottom w:val="single" w:sz="8" w:color="007B51"/>
            </w:tcBorders>
          </w:tcPr>
          <w:p>
            <w:pPr>
              <w:jc w:val="right"/>
              <w:ind w:right="510"/>
              <w:spacing w:after="0"/>
              <w:rPr>
                <w:sz w:val="20"/>
                <w:szCs w:val="20"/>
                <w:color w:val="auto"/>
              </w:rPr>
            </w:pPr>
            <w:r>
              <w:rPr>
                <w:rFonts w:ascii="Arial" w:cs="Arial" w:eastAsia="Arial" w:hAnsi="Arial"/>
                <w:sz w:val="14"/>
                <w:szCs w:val="14"/>
                <w:color w:val="auto"/>
              </w:rPr>
              <w:t>$135,000</w:t>
            </w:r>
          </w:p>
        </w:tc>
        <w:tc>
          <w:tcPr>
            <w:tcW w:w="11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$205,000</w:t>
            </w:r>
          </w:p>
        </w:tc>
      </w:tr>
      <w:tr>
        <w:trPr>
          <w:trHeight w:val="209"/>
        </w:trPr>
        <w:tc>
          <w:tcPr>
            <w:tcW w:w="3000" w:type="dxa"/>
            <w:vAlign w:val="bottom"/>
            <w:tcBorders>
              <w:bottom w:val="single" w:sz="8" w:color="007B51"/>
            </w:tcBorders>
          </w:tcPr>
          <w:p>
            <w:pPr>
              <w:ind w:left="100"/>
              <w:spacing w:after="0"/>
              <w:rPr>
                <w:sz w:val="20"/>
                <w:szCs w:val="20"/>
                <w:color w:val="auto"/>
              </w:rPr>
            </w:pPr>
            <w:r>
              <w:rPr>
                <w:rFonts w:ascii="Arial" w:cs="Arial" w:eastAsia="Arial" w:hAnsi="Arial"/>
                <w:sz w:val="14"/>
                <w:szCs w:val="14"/>
                <w:b w:val="1"/>
                <w:bCs w:val="1"/>
                <w:color w:val="017B52"/>
              </w:rPr>
              <w:t>Bruce A. Merino</w:t>
            </w:r>
          </w:p>
        </w:tc>
        <w:tc>
          <w:tcPr>
            <w:tcW w:w="3580" w:type="dxa"/>
            <w:vAlign w:val="bottom"/>
            <w:tcBorders>
              <w:bottom w:val="single" w:sz="8" w:color="007B51"/>
            </w:tcBorders>
          </w:tcPr>
          <w:p>
            <w:pPr>
              <w:jc w:val="right"/>
              <w:ind w:right="470"/>
              <w:spacing w:after="0"/>
              <w:rPr>
                <w:sz w:val="20"/>
                <w:szCs w:val="20"/>
                <w:color w:val="auto"/>
              </w:rPr>
            </w:pPr>
            <w:r>
              <w:rPr>
                <w:rFonts w:ascii="Arial" w:cs="Arial" w:eastAsia="Arial" w:hAnsi="Arial"/>
                <w:sz w:val="14"/>
                <w:szCs w:val="14"/>
                <w:color w:val="auto"/>
              </w:rPr>
              <w:t>$ 70,000</w:t>
            </w:r>
          </w:p>
        </w:tc>
        <w:tc>
          <w:tcPr>
            <w:tcW w:w="1980" w:type="dxa"/>
            <w:vAlign w:val="bottom"/>
            <w:tcBorders>
              <w:bottom w:val="single" w:sz="8" w:color="007B51"/>
            </w:tcBorders>
          </w:tcPr>
          <w:p>
            <w:pPr>
              <w:jc w:val="right"/>
              <w:ind w:right="510"/>
              <w:spacing w:after="0"/>
              <w:rPr>
                <w:sz w:val="20"/>
                <w:szCs w:val="20"/>
                <w:color w:val="auto"/>
              </w:rPr>
            </w:pPr>
            <w:r>
              <w:rPr>
                <w:rFonts w:ascii="Arial" w:cs="Arial" w:eastAsia="Arial" w:hAnsi="Arial"/>
                <w:sz w:val="14"/>
                <w:szCs w:val="14"/>
                <w:color w:val="auto"/>
              </w:rPr>
              <w:t>$135,000</w:t>
            </w:r>
          </w:p>
        </w:tc>
        <w:tc>
          <w:tcPr>
            <w:tcW w:w="11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$205,000</w:t>
            </w:r>
          </w:p>
        </w:tc>
      </w:tr>
      <w:tr>
        <w:trPr>
          <w:trHeight w:val="238"/>
        </w:trPr>
        <w:tc>
          <w:tcPr>
            <w:tcW w:w="3000" w:type="dxa"/>
            <w:vAlign w:val="bottom"/>
            <w:tcBorders>
              <w:bottom w:val="single" w:sz="8" w:color="007B51"/>
            </w:tcBorders>
          </w:tcPr>
          <w:p>
            <w:pPr>
              <w:ind w:left="100"/>
              <w:spacing w:after="0" w:line="237" w:lineRule="exact"/>
              <w:rPr>
                <w:sz w:val="20"/>
                <w:szCs w:val="20"/>
                <w:color w:val="auto"/>
              </w:rPr>
            </w:pPr>
            <w:r>
              <w:rPr>
                <w:rFonts w:ascii="Arial" w:cs="Arial" w:eastAsia="Arial" w:hAnsi="Arial"/>
                <w:sz w:val="14"/>
                <w:szCs w:val="14"/>
                <w:b w:val="1"/>
                <w:bCs w:val="1"/>
                <w:color w:val="017B52"/>
              </w:rPr>
              <w:t>Thomas W. Rhodes</w:t>
            </w:r>
            <w:r>
              <w:rPr>
                <w:rFonts w:ascii="Arial" w:cs="Arial" w:eastAsia="Arial" w:hAnsi="Arial"/>
                <w:sz w:val="23"/>
                <w:szCs w:val="23"/>
                <w:b w:val="1"/>
                <w:bCs w:val="1"/>
                <w:color w:val="017B52"/>
                <w:vertAlign w:val="superscript"/>
              </w:rPr>
              <w:t>(3)</w:t>
            </w:r>
          </w:p>
        </w:tc>
        <w:tc>
          <w:tcPr>
            <w:tcW w:w="3580" w:type="dxa"/>
            <w:vAlign w:val="bottom"/>
            <w:tcBorders>
              <w:bottom w:val="single" w:sz="8" w:color="007B51"/>
            </w:tcBorders>
          </w:tcPr>
          <w:p>
            <w:pPr>
              <w:jc w:val="right"/>
              <w:ind w:right="470"/>
              <w:spacing w:after="0"/>
              <w:rPr>
                <w:sz w:val="20"/>
                <w:szCs w:val="20"/>
                <w:color w:val="auto"/>
              </w:rPr>
            </w:pPr>
            <w:r>
              <w:rPr>
                <w:rFonts w:ascii="Arial" w:cs="Arial" w:eastAsia="Arial" w:hAnsi="Arial"/>
                <w:sz w:val="14"/>
                <w:szCs w:val="14"/>
                <w:color w:val="auto"/>
              </w:rPr>
              <w:t>$ 85,000</w:t>
            </w:r>
          </w:p>
        </w:tc>
        <w:tc>
          <w:tcPr>
            <w:tcW w:w="1980" w:type="dxa"/>
            <w:vAlign w:val="bottom"/>
            <w:tcBorders>
              <w:bottom w:val="single" w:sz="8" w:color="007B51"/>
            </w:tcBorders>
          </w:tcPr>
          <w:p>
            <w:pPr>
              <w:jc w:val="right"/>
              <w:ind w:right="510"/>
              <w:spacing w:after="0"/>
              <w:rPr>
                <w:sz w:val="20"/>
                <w:szCs w:val="20"/>
                <w:color w:val="auto"/>
              </w:rPr>
            </w:pPr>
            <w:r>
              <w:rPr>
                <w:rFonts w:ascii="Arial" w:cs="Arial" w:eastAsia="Arial" w:hAnsi="Arial"/>
                <w:sz w:val="14"/>
                <w:szCs w:val="14"/>
                <w:color w:val="auto"/>
              </w:rPr>
              <w:t>$135,000</w:t>
            </w:r>
          </w:p>
        </w:tc>
        <w:tc>
          <w:tcPr>
            <w:tcW w:w="11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$220,000</w:t>
            </w:r>
          </w:p>
        </w:tc>
      </w:tr>
      <w:tr>
        <w:trPr>
          <w:trHeight w:val="208"/>
        </w:trPr>
        <w:tc>
          <w:tcPr>
            <w:tcW w:w="3000" w:type="dxa"/>
            <w:vAlign w:val="bottom"/>
            <w:tcBorders>
              <w:bottom w:val="single" w:sz="8" w:color="007B51"/>
            </w:tcBorders>
          </w:tcPr>
          <w:p>
            <w:pPr>
              <w:ind w:left="100"/>
              <w:spacing w:after="0"/>
              <w:rPr>
                <w:sz w:val="20"/>
                <w:szCs w:val="20"/>
                <w:color w:val="auto"/>
              </w:rPr>
            </w:pPr>
            <w:r>
              <w:rPr>
                <w:rFonts w:ascii="Arial" w:cs="Arial" w:eastAsia="Arial" w:hAnsi="Arial"/>
                <w:sz w:val="14"/>
                <w:szCs w:val="14"/>
                <w:b w:val="1"/>
                <w:bCs w:val="1"/>
                <w:color w:val="017B52"/>
              </w:rPr>
              <w:t>Mary Tuuk Kuras</w:t>
            </w:r>
          </w:p>
        </w:tc>
        <w:tc>
          <w:tcPr>
            <w:tcW w:w="3580" w:type="dxa"/>
            <w:vAlign w:val="bottom"/>
            <w:tcBorders>
              <w:bottom w:val="single" w:sz="8" w:color="007B51"/>
            </w:tcBorders>
          </w:tcPr>
          <w:p>
            <w:pPr>
              <w:jc w:val="right"/>
              <w:ind w:right="470"/>
              <w:spacing w:after="0"/>
              <w:rPr>
                <w:sz w:val="20"/>
                <w:szCs w:val="20"/>
                <w:color w:val="auto"/>
              </w:rPr>
            </w:pPr>
            <w:r>
              <w:rPr>
                <w:rFonts w:ascii="Arial" w:cs="Arial" w:eastAsia="Arial" w:hAnsi="Arial"/>
                <w:sz w:val="14"/>
                <w:szCs w:val="14"/>
                <w:color w:val="auto"/>
              </w:rPr>
              <w:t>$ 75,000</w:t>
            </w:r>
          </w:p>
        </w:tc>
        <w:tc>
          <w:tcPr>
            <w:tcW w:w="1980" w:type="dxa"/>
            <w:vAlign w:val="bottom"/>
            <w:tcBorders>
              <w:bottom w:val="single" w:sz="8" w:color="007B51"/>
            </w:tcBorders>
          </w:tcPr>
          <w:p>
            <w:pPr>
              <w:jc w:val="right"/>
              <w:ind w:right="510"/>
              <w:spacing w:after="0"/>
              <w:rPr>
                <w:sz w:val="20"/>
                <w:szCs w:val="20"/>
                <w:color w:val="auto"/>
              </w:rPr>
            </w:pPr>
            <w:r>
              <w:rPr>
                <w:rFonts w:ascii="Arial" w:cs="Arial" w:eastAsia="Arial" w:hAnsi="Arial"/>
                <w:sz w:val="14"/>
                <w:szCs w:val="14"/>
                <w:color w:val="auto"/>
              </w:rPr>
              <w:t>$135,000</w:t>
            </w:r>
          </w:p>
        </w:tc>
        <w:tc>
          <w:tcPr>
            <w:tcW w:w="11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$210,000</w:t>
            </w:r>
          </w:p>
        </w:tc>
      </w:tr>
      <w:tr>
        <w:trPr>
          <w:trHeight w:val="238"/>
        </w:trPr>
        <w:tc>
          <w:tcPr>
            <w:tcW w:w="3000" w:type="dxa"/>
            <w:vAlign w:val="bottom"/>
            <w:tcBorders>
              <w:bottom w:val="single" w:sz="8" w:color="007B51"/>
            </w:tcBorders>
          </w:tcPr>
          <w:p>
            <w:pPr>
              <w:ind w:left="100"/>
              <w:spacing w:after="0" w:line="237" w:lineRule="exact"/>
              <w:rPr>
                <w:sz w:val="20"/>
                <w:szCs w:val="20"/>
                <w:color w:val="auto"/>
              </w:rPr>
            </w:pPr>
            <w:r>
              <w:rPr>
                <w:rFonts w:ascii="Arial" w:cs="Arial" w:eastAsia="Arial" w:hAnsi="Arial"/>
                <w:sz w:val="14"/>
                <w:szCs w:val="14"/>
                <w:b w:val="1"/>
                <w:bCs w:val="1"/>
                <w:color w:val="017B52"/>
              </w:rPr>
              <w:t>Brian C. Walker</w:t>
            </w:r>
            <w:r>
              <w:rPr>
                <w:rFonts w:ascii="Arial" w:cs="Arial" w:eastAsia="Arial" w:hAnsi="Arial"/>
                <w:sz w:val="23"/>
                <w:szCs w:val="23"/>
                <w:b w:val="1"/>
                <w:bCs w:val="1"/>
                <w:color w:val="017B52"/>
                <w:vertAlign w:val="superscript"/>
              </w:rPr>
              <w:t>(3)</w:t>
            </w:r>
          </w:p>
        </w:tc>
        <w:tc>
          <w:tcPr>
            <w:tcW w:w="3580" w:type="dxa"/>
            <w:vAlign w:val="bottom"/>
            <w:tcBorders>
              <w:bottom w:val="single" w:sz="8" w:color="007B51"/>
            </w:tcBorders>
          </w:tcPr>
          <w:p>
            <w:pPr>
              <w:jc w:val="right"/>
              <w:ind w:right="470"/>
              <w:spacing w:after="0"/>
              <w:rPr>
                <w:sz w:val="20"/>
                <w:szCs w:val="20"/>
                <w:color w:val="auto"/>
              </w:rPr>
            </w:pPr>
            <w:r>
              <w:rPr>
                <w:rFonts w:ascii="Arial" w:cs="Arial" w:eastAsia="Arial" w:hAnsi="Arial"/>
                <w:sz w:val="14"/>
                <w:szCs w:val="14"/>
                <w:color w:val="auto"/>
              </w:rPr>
              <w:t>$ 90,000</w:t>
            </w:r>
          </w:p>
        </w:tc>
        <w:tc>
          <w:tcPr>
            <w:tcW w:w="1980" w:type="dxa"/>
            <w:vAlign w:val="bottom"/>
            <w:tcBorders>
              <w:bottom w:val="single" w:sz="8" w:color="007B51"/>
            </w:tcBorders>
          </w:tcPr>
          <w:p>
            <w:pPr>
              <w:jc w:val="right"/>
              <w:ind w:right="510"/>
              <w:spacing w:after="0"/>
              <w:rPr>
                <w:sz w:val="20"/>
                <w:szCs w:val="20"/>
                <w:color w:val="auto"/>
              </w:rPr>
            </w:pPr>
            <w:r>
              <w:rPr>
                <w:rFonts w:ascii="Arial" w:cs="Arial" w:eastAsia="Arial" w:hAnsi="Arial"/>
                <w:sz w:val="14"/>
                <w:szCs w:val="14"/>
                <w:color w:val="auto"/>
              </w:rPr>
              <w:t>$135,000</w:t>
            </w:r>
          </w:p>
        </w:tc>
        <w:tc>
          <w:tcPr>
            <w:tcW w:w="11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$225,000</w:t>
            </w:r>
          </w:p>
        </w:tc>
      </w:tr>
      <w:tr>
        <w:trPr>
          <w:trHeight w:val="236"/>
        </w:trPr>
        <w:tc>
          <w:tcPr>
            <w:tcW w:w="3000" w:type="dxa"/>
            <w:vAlign w:val="bottom"/>
            <w:tcBorders>
              <w:bottom w:val="single" w:sz="8" w:color="007B51"/>
            </w:tcBorders>
          </w:tcPr>
          <w:p>
            <w:pPr>
              <w:ind w:left="100"/>
              <w:spacing w:after="0" w:line="236" w:lineRule="exact"/>
              <w:rPr>
                <w:sz w:val="20"/>
                <w:szCs w:val="20"/>
                <w:color w:val="auto"/>
              </w:rPr>
            </w:pPr>
            <w:r>
              <w:rPr>
                <w:rFonts w:ascii="Arial" w:cs="Arial" w:eastAsia="Arial" w:hAnsi="Arial"/>
                <w:sz w:val="14"/>
                <w:szCs w:val="14"/>
                <w:b w:val="1"/>
                <w:bCs w:val="1"/>
                <w:color w:val="017B52"/>
              </w:rPr>
              <w:t>Michael G. Wooldridge</w:t>
            </w:r>
            <w:r>
              <w:rPr>
                <w:rFonts w:ascii="Arial" w:cs="Arial" w:eastAsia="Arial" w:hAnsi="Arial"/>
                <w:sz w:val="23"/>
                <w:szCs w:val="23"/>
                <w:b w:val="1"/>
                <w:bCs w:val="1"/>
                <w:color w:val="017B52"/>
                <w:vertAlign w:val="superscript"/>
              </w:rPr>
              <w:t>(3)</w:t>
            </w:r>
          </w:p>
        </w:tc>
        <w:tc>
          <w:tcPr>
            <w:tcW w:w="3580" w:type="dxa"/>
            <w:vAlign w:val="bottom"/>
            <w:tcBorders>
              <w:bottom w:val="single" w:sz="8" w:color="007B51"/>
            </w:tcBorders>
          </w:tcPr>
          <w:p>
            <w:pPr>
              <w:jc w:val="right"/>
              <w:ind w:right="470"/>
              <w:spacing w:after="0"/>
              <w:rPr>
                <w:sz w:val="20"/>
                <w:szCs w:val="20"/>
                <w:color w:val="auto"/>
              </w:rPr>
            </w:pPr>
            <w:r>
              <w:rPr>
                <w:rFonts w:ascii="Arial" w:cs="Arial" w:eastAsia="Arial" w:hAnsi="Arial"/>
                <w:sz w:val="14"/>
                <w:szCs w:val="14"/>
                <w:color w:val="auto"/>
              </w:rPr>
              <w:t>$ 80,000</w:t>
            </w:r>
          </w:p>
        </w:tc>
        <w:tc>
          <w:tcPr>
            <w:tcW w:w="1980" w:type="dxa"/>
            <w:vAlign w:val="bottom"/>
            <w:tcBorders>
              <w:bottom w:val="single" w:sz="8" w:color="007B51"/>
            </w:tcBorders>
          </w:tcPr>
          <w:p>
            <w:pPr>
              <w:jc w:val="right"/>
              <w:ind w:right="510"/>
              <w:spacing w:after="0"/>
              <w:rPr>
                <w:sz w:val="20"/>
                <w:szCs w:val="20"/>
                <w:color w:val="auto"/>
              </w:rPr>
            </w:pPr>
            <w:r>
              <w:rPr>
                <w:rFonts w:ascii="Arial" w:cs="Arial" w:eastAsia="Arial" w:hAnsi="Arial"/>
                <w:sz w:val="14"/>
                <w:szCs w:val="14"/>
                <w:color w:val="auto"/>
              </w:rPr>
              <w:t>$135,000</w:t>
            </w:r>
          </w:p>
        </w:tc>
        <w:tc>
          <w:tcPr>
            <w:tcW w:w="1160" w:type="dxa"/>
            <w:vAlign w:val="bottom"/>
            <w:tcBorders>
              <w:bottom w:val="single" w:sz="8" w:color="007B51"/>
            </w:tcBorders>
          </w:tcPr>
          <w:p>
            <w:pPr>
              <w:jc w:val="right"/>
              <w:spacing w:after="0"/>
              <w:rPr>
                <w:sz w:val="20"/>
                <w:szCs w:val="20"/>
                <w:color w:val="auto"/>
              </w:rPr>
            </w:pPr>
            <w:r>
              <w:rPr>
                <w:rFonts w:ascii="Arial" w:cs="Arial" w:eastAsia="Arial" w:hAnsi="Arial"/>
                <w:sz w:val="14"/>
                <w:szCs w:val="14"/>
                <w:color w:val="auto"/>
              </w:rPr>
              <w:t>$215,000</w:t>
            </w:r>
          </w:p>
        </w:tc>
      </w:tr>
    </w:tbl>
    <w:p>
      <w:pPr>
        <w:spacing w:after="0" w:line="225" w:lineRule="exact"/>
        <w:rPr>
          <w:sz w:val="20"/>
          <w:szCs w:val="20"/>
          <w:color w:val="auto"/>
        </w:rPr>
      </w:pPr>
    </w:p>
    <w:p>
      <w:pPr>
        <w:ind w:left="260" w:hanging="256"/>
        <w:spacing w:after="0"/>
        <w:tabs>
          <w:tab w:leader="none" w:pos="260" w:val="left"/>
        </w:tabs>
        <w:numPr>
          <w:ilvl w:val="0"/>
          <w:numId w:val="51"/>
        </w:numPr>
        <w:rPr>
          <w:rFonts w:ascii="Arial" w:cs="Arial" w:eastAsia="Arial" w:hAnsi="Arial"/>
          <w:sz w:val="13"/>
          <w:szCs w:val="13"/>
          <w:color w:val="58595B"/>
        </w:rPr>
      </w:pPr>
      <w:r>
        <w:rPr>
          <w:rFonts w:ascii="Arial" w:cs="Arial" w:eastAsia="Arial" w:hAnsi="Arial"/>
          <w:sz w:val="13"/>
          <w:szCs w:val="13"/>
          <w:color w:val="58595B"/>
        </w:rPr>
        <w:t>Includes amounts that may be deferred under our DCP and used to purchase shares of our common stock.</w:t>
      </w:r>
    </w:p>
    <w:p>
      <w:pPr>
        <w:spacing w:after="0" w:line="93" w:lineRule="exact"/>
        <w:rPr>
          <w:rFonts w:ascii="Arial" w:cs="Arial" w:eastAsia="Arial" w:hAnsi="Arial"/>
          <w:sz w:val="13"/>
          <w:szCs w:val="13"/>
          <w:color w:val="58595B"/>
        </w:rPr>
      </w:pPr>
    </w:p>
    <w:p>
      <w:pPr>
        <w:ind w:left="260" w:hanging="256"/>
        <w:spacing w:after="0"/>
        <w:tabs>
          <w:tab w:leader="none" w:pos="260" w:val="left"/>
        </w:tabs>
        <w:numPr>
          <w:ilvl w:val="0"/>
          <w:numId w:val="51"/>
        </w:numPr>
        <w:rPr>
          <w:rFonts w:ascii="Arial" w:cs="Arial" w:eastAsia="Arial" w:hAnsi="Arial"/>
          <w:sz w:val="13"/>
          <w:szCs w:val="13"/>
          <w:color w:val="58595B"/>
        </w:rPr>
      </w:pPr>
      <w:r>
        <w:rPr>
          <w:rFonts w:ascii="Arial" w:cs="Arial" w:eastAsia="Arial" w:hAnsi="Arial"/>
          <w:sz w:val="13"/>
          <w:szCs w:val="13"/>
          <w:color w:val="58595B"/>
        </w:rPr>
        <w:t>Mr. Currie received a $120,000 cash retainer fee and a $250,000 stock retainer fee for serving as Chairman of the Board for 2022.</w:t>
      </w:r>
    </w:p>
    <w:p>
      <w:pPr>
        <w:spacing w:after="0" w:line="93" w:lineRule="exact"/>
        <w:rPr>
          <w:rFonts w:ascii="Arial" w:cs="Arial" w:eastAsia="Arial" w:hAnsi="Arial"/>
          <w:sz w:val="13"/>
          <w:szCs w:val="13"/>
          <w:color w:val="58595B"/>
        </w:rPr>
      </w:pPr>
    </w:p>
    <w:p>
      <w:pPr>
        <w:ind w:left="260" w:right="380" w:hanging="256"/>
        <w:spacing w:after="0" w:line="233" w:lineRule="auto"/>
        <w:tabs>
          <w:tab w:leader="none" w:pos="260" w:val="left"/>
        </w:tabs>
        <w:numPr>
          <w:ilvl w:val="0"/>
          <w:numId w:val="51"/>
        </w:numPr>
        <w:rPr>
          <w:rFonts w:ascii="Arial" w:cs="Arial" w:eastAsia="Arial" w:hAnsi="Arial"/>
          <w:sz w:val="13"/>
          <w:szCs w:val="13"/>
          <w:color w:val="58595B"/>
        </w:rPr>
      </w:pPr>
      <w:r>
        <w:rPr>
          <w:rFonts w:ascii="Arial" w:cs="Arial" w:eastAsia="Arial" w:hAnsi="Arial"/>
          <w:sz w:val="13"/>
          <w:szCs w:val="13"/>
          <w:color w:val="58595B"/>
        </w:rPr>
        <w:t>Mr. Rhodes was Chairman of the Personnel and Compensation Committee and received an additional $10,000 per year for serving in that capacity. Mr. Walker was Chairman of the Audit Committee and received an additional $20,000 for serving in that capacity. Mr. Wooldridge was Chairman of the Nominating and Corporate Governance Committee and received an additional $10,000 for serving in that capacity.</w:t>
      </w:r>
    </w:p>
    <w:p>
      <w:pPr>
        <w:spacing w:after="0" w:line="135" w:lineRule="exact"/>
        <w:rPr>
          <w:sz w:val="20"/>
          <w:szCs w:val="20"/>
          <w:color w:val="auto"/>
        </w:rPr>
      </w:pPr>
    </w:p>
    <w:p>
      <w:pPr>
        <w:jc w:val="both"/>
        <w:ind w:right="100"/>
        <w:spacing w:after="0" w:line="256" w:lineRule="auto"/>
        <w:rPr>
          <w:sz w:val="20"/>
          <w:szCs w:val="20"/>
          <w:color w:val="auto"/>
        </w:rPr>
      </w:pPr>
      <w:r>
        <w:rPr>
          <w:rFonts w:ascii="Arial" w:cs="Arial" w:eastAsia="Arial" w:hAnsi="Arial"/>
          <w:sz w:val="16"/>
          <w:szCs w:val="16"/>
          <w:color w:val="auto"/>
        </w:rPr>
        <w:t>Mr. Missad, our Chief Executive Officer, receives no additional compensation for his service as a Director or as Chairman of the Board of Directors. Each independent director is also entitled to reimbursement for his or her reasonable out-of-pocket expenses incurred in connection with travel to and from, and attendance at, meetings of our Board or its committees and related activities, including director education courses. Each independent director is required to own a minimum of 7,500 shares of our Company stock within two years of joining our Board.</w:t>
      </w:r>
    </w:p>
    <w:p>
      <w:pPr>
        <w:spacing w:after="0" w:line="311"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45</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Equity Compensation Plan Information</w:t>
      </w:r>
    </w:p>
    <w:p>
      <w:pPr>
        <w:spacing w:after="0" w:line="166"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As discussed above, we maintain certain equity compensation plans under which shares of our common stock are authorized for issuance to employees and directors in exchange for services. The following table sets forth certain information regarding our equity compensation plans as of December 31,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140" w:type="dxa"/>
            <w:vAlign w:val="bottom"/>
          </w:tcPr>
          <w:p>
            <w:pPr>
              <w:jc w:val="right"/>
              <w:spacing w:after="0"/>
              <w:rPr>
                <w:sz w:val="20"/>
                <w:szCs w:val="20"/>
                <w:color w:val="auto"/>
              </w:rPr>
            </w:pPr>
            <w:r>
              <w:rPr>
                <w:rFonts w:ascii="Arial" w:cs="Arial" w:eastAsia="Arial" w:hAnsi="Arial"/>
                <w:sz w:val="11"/>
                <w:szCs w:val="11"/>
                <w:b w:val="1"/>
                <w:bCs w:val="1"/>
                <w:color w:val="auto"/>
              </w:rPr>
              <w:t>NUMBER OF SHARES REMAINING</w:t>
            </w:r>
          </w:p>
        </w:tc>
      </w:tr>
      <w:tr>
        <w:trPr>
          <w:trHeight w:val="121"/>
        </w:trPr>
        <w:tc>
          <w:tcPr>
            <w:tcW w:w="30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1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AVAILABLE FOR FUTURE ISSUANCE</w:t>
            </w:r>
          </w:p>
        </w:tc>
      </w:tr>
      <w:tr>
        <w:trPr>
          <w:trHeight w:val="135"/>
        </w:trPr>
        <w:tc>
          <w:tcPr>
            <w:tcW w:w="3020" w:type="dxa"/>
            <w:vAlign w:val="bottom"/>
          </w:tcPr>
          <w:p>
            <w:pPr>
              <w:spacing w:after="0"/>
              <w:rPr>
                <w:sz w:val="11"/>
                <w:szCs w:val="11"/>
                <w:color w:val="auto"/>
              </w:rPr>
            </w:pPr>
          </w:p>
        </w:tc>
        <w:tc>
          <w:tcPr>
            <w:tcW w:w="2340" w:type="dxa"/>
            <w:vAlign w:val="bottom"/>
          </w:tcPr>
          <w:p>
            <w:pPr>
              <w:jc w:val="right"/>
              <w:ind w:right="83"/>
              <w:spacing w:after="0"/>
              <w:rPr>
                <w:sz w:val="20"/>
                <w:szCs w:val="20"/>
                <w:color w:val="auto"/>
              </w:rPr>
            </w:pPr>
            <w:r>
              <w:rPr>
                <w:rFonts w:ascii="Arial" w:cs="Arial" w:eastAsia="Arial" w:hAnsi="Arial"/>
                <w:sz w:val="11"/>
                <w:szCs w:val="11"/>
                <w:b w:val="1"/>
                <w:bCs w:val="1"/>
                <w:color w:val="auto"/>
              </w:rPr>
              <w:t>NUMBER OF SHARES TO BE ISSUED</w:t>
            </w:r>
          </w:p>
        </w:tc>
        <w:tc>
          <w:tcPr>
            <w:tcW w:w="2220" w:type="dxa"/>
            <w:vAlign w:val="bottom"/>
          </w:tcPr>
          <w:p>
            <w:pPr>
              <w:spacing w:after="0"/>
              <w:rPr>
                <w:sz w:val="11"/>
                <w:szCs w:val="11"/>
                <w:color w:val="auto"/>
              </w:rPr>
            </w:pPr>
          </w:p>
        </w:tc>
        <w:tc>
          <w:tcPr>
            <w:tcW w:w="2140" w:type="dxa"/>
            <w:vAlign w:val="bottom"/>
          </w:tcPr>
          <w:p>
            <w:pPr>
              <w:jc w:val="right"/>
              <w:spacing w:after="0"/>
              <w:rPr>
                <w:sz w:val="20"/>
                <w:szCs w:val="20"/>
                <w:color w:val="auto"/>
              </w:rPr>
            </w:pPr>
            <w:r>
              <w:rPr>
                <w:rFonts w:ascii="Arial" w:cs="Arial" w:eastAsia="Arial" w:hAnsi="Arial"/>
                <w:sz w:val="11"/>
                <w:szCs w:val="11"/>
                <w:b w:val="1"/>
                <w:bCs w:val="1"/>
                <w:color w:val="auto"/>
              </w:rPr>
              <w:t>UNDER EQUITY COMPENSATION</w:t>
            </w:r>
          </w:p>
        </w:tc>
      </w:tr>
      <w:tr>
        <w:trPr>
          <w:trHeight w:val="122"/>
        </w:trPr>
        <w:tc>
          <w:tcPr>
            <w:tcW w:w="3020" w:type="dxa"/>
            <w:vAlign w:val="bottom"/>
          </w:tcPr>
          <w:p>
            <w:pPr>
              <w:spacing w:after="0"/>
              <w:rPr>
                <w:sz w:val="10"/>
                <w:szCs w:val="10"/>
                <w:color w:val="auto"/>
              </w:rPr>
            </w:pPr>
          </w:p>
        </w:tc>
        <w:tc>
          <w:tcPr>
            <w:tcW w:w="2340" w:type="dxa"/>
            <w:vAlign w:val="bottom"/>
          </w:tcPr>
          <w:p>
            <w:pPr>
              <w:jc w:val="right"/>
              <w:ind w:right="83"/>
              <w:spacing w:after="0" w:line="122" w:lineRule="exact"/>
              <w:rPr>
                <w:sz w:val="20"/>
                <w:szCs w:val="20"/>
                <w:color w:val="auto"/>
              </w:rPr>
            </w:pPr>
            <w:r>
              <w:rPr>
                <w:rFonts w:ascii="Arial" w:cs="Arial" w:eastAsia="Arial" w:hAnsi="Arial"/>
                <w:sz w:val="11"/>
                <w:szCs w:val="11"/>
                <w:b w:val="1"/>
                <w:bCs w:val="1"/>
                <w:color w:val="auto"/>
              </w:rPr>
              <w:t>UPON EXERCISE OF OUTSTANDING</w:t>
            </w:r>
          </w:p>
        </w:tc>
        <w:tc>
          <w:tcPr>
            <w:tcW w:w="2220" w:type="dxa"/>
            <w:vAlign w:val="bottom"/>
          </w:tcPr>
          <w:p>
            <w:pPr>
              <w:jc w:val="right"/>
              <w:ind w:right="184"/>
              <w:spacing w:after="0" w:line="122" w:lineRule="exact"/>
              <w:rPr>
                <w:sz w:val="20"/>
                <w:szCs w:val="20"/>
                <w:color w:val="auto"/>
              </w:rPr>
            </w:pPr>
            <w:r>
              <w:rPr>
                <w:rFonts w:ascii="Arial" w:cs="Arial" w:eastAsia="Arial" w:hAnsi="Arial"/>
                <w:sz w:val="11"/>
                <w:szCs w:val="11"/>
                <w:b w:val="1"/>
                <w:bCs w:val="1"/>
                <w:color w:val="auto"/>
              </w:rPr>
              <w:t>WEIGHTED AVERAGE EXERCISE</w:t>
            </w:r>
          </w:p>
        </w:tc>
        <w:tc>
          <w:tcPr>
            <w:tcW w:w="21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PLANS [EXCLUDING SHARES</w:t>
            </w:r>
          </w:p>
        </w:tc>
      </w:tr>
      <w:tr>
        <w:trPr>
          <w:trHeight w:val="135"/>
        </w:trPr>
        <w:tc>
          <w:tcPr>
            <w:tcW w:w="3020" w:type="dxa"/>
            <w:vAlign w:val="bottom"/>
          </w:tcPr>
          <w:p>
            <w:pPr>
              <w:spacing w:after="0"/>
              <w:rPr>
                <w:sz w:val="11"/>
                <w:szCs w:val="11"/>
                <w:color w:val="auto"/>
              </w:rPr>
            </w:pPr>
          </w:p>
        </w:tc>
        <w:tc>
          <w:tcPr>
            <w:tcW w:w="2340" w:type="dxa"/>
            <w:vAlign w:val="bottom"/>
          </w:tcPr>
          <w:p>
            <w:pPr>
              <w:jc w:val="right"/>
              <w:ind w:right="83"/>
              <w:spacing w:after="0"/>
              <w:rPr>
                <w:sz w:val="20"/>
                <w:szCs w:val="20"/>
                <w:color w:val="auto"/>
              </w:rPr>
            </w:pPr>
            <w:r>
              <w:rPr>
                <w:rFonts w:ascii="Arial" w:cs="Arial" w:eastAsia="Arial" w:hAnsi="Arial"/>
                <w:sz w:val="11"/>
                <w:szCs w:val="11"/>
                <w:b w:val="1"/>
                <w:bCs w:val="1"/>
                <w:color w:val="auto"/>
              </w:rPr>
              <w:t>OPTIONS</w:t>
            </w:r>
          </w:p>
        </w:tc>
        <w:tc>
          <w:tcPr>
            <w:tcW w:w="2220" w:type="dxa"/>
            <w:vAlign w:val="bottom"/>
          </w:tcPr>
          <w:p>
            <w:pPr>
              <w:jc w:val="right"/>
              <w:ind w:right="184"/>
              <w:spacing w:after="0"/>
              <w:rPr>
                <w:sz w:val="20"/>
                <w:szCs w:val="20"/>
                <w:color w:val="auto"/>
              </w:rPr>
            </w:pPr>
            <w:r>
              <w:rPr>
                <w:rFonts w:ascii="Arial" w:cs="Arial" w:eastAsia="Arial" w:hAnsi="Arial"/>
                <w:sz w:val="11"/>
                <w:szCs w:val="11"/>
                <w:b w:val="1"/>
                <w:bCs w:val="1"/>
                <w:color w:val="auto"/>
              </w:rPr>
              <w:t>PRICE OF OUTSTANDING OPTIONS</w:t>
            </w:r>
          </w:p>
        </w:tc>
        <w:tc>
          <w:tcPr>
            <w:tcW w:w="2140" w:type="dxa"/>
            <w:vAlign w:val="bottom"/>
          </w:tcPr>
          <w:p>
            <w:pPr>
              <w:jc w:val="right"/>
              <w:spacing w:after="0" w:line="136" w:lineRule="exact"/>
              <w:rPr>
                <w:sz w:val="20"/>
                <w:szCs w:val="20"/>
                <w:color w:val="auto"/>
              </w:rPr>
            </w:pPr>
            <w:r>
              <w:rPr>
                <w:rFonts w:ascii="Arial" w:cs="Arial" w:eastAsia="Arial" w:hAnsi="Arial"/>
                <w:sz w:val="10"/>
                <w:szCs w:val="10"/>
                <w:b w:val="1"/>
                <w:bCs w:val="1"/>
                <w:color w:val="auto"/>
              </w:rPr>
              <w:t>REFLECTED IN COLUMN (A)]</w:t>
            </w:r>
            <w:r>
              <w:rPr>
                <w:rFonts w:ascii="Arial" w:cs="Arial" w:eastAsia="Arial" w:hAnsi="Arial"/>
                <w:sz w:val="15"/>
                <w:szCs w:val="15"/>
                <w:b w:val="1"/>
                <w:bCs w:val="1"/>
                <w:color w:val="auto"/>
                <w:vertAlign w:val="superscript"/>
              </w:rPr>
              <w:t>(1)</w:t>
            </w:r>
          </w:p>
        </w:tc>
      </w:tr>
      <w:tr>
        <w:trPr>
          <w:trHeight w:val="155"/>
        </w:trPr>
        <w:tc>
          <w:tcPr>
            <w:tcW w:w="3020" w:type="dxa"/>
            <w:vAlign w:val="bottom"/>
            <w:tcBorders>
              <w:bottom w:val="single" w:sz="8" w:color="007B51"/>
            </w:tcBorders>
          </w:tcPr>
          <w:p>
            <w:pPr>
              <w:spacing w:after="0"/>
              <w:rPr>
                <w:sz w:val="13"/>
                <w:szCs w:val="13"/>
                <w:color w:val="auto"/>
              </w:rPr>
            </w:pPr>
          </w:p>
        </w:tc>
        <w:tc>
          <w:tcPr>
            <w:tcW w:w="2340" w:type="dxa"/>
            <w:vAlign w:val="bottom"/>
            <w:tcBorders>
              <w:bottom w:val="single" w:sz="8" w:color="007B51"/>
            </w:tcBorders>
          </w:tcPr>
          <w:p>
            <w:pPr>
              <w:jc w:val="right"/>
              <w:ind w:right="83"/>
              <w:spacing w:after="0"/>
              <w:rPr>
                <w:sz w:val="20"/>
                <w:szCs w:val="20"/>
                <w:color w:val="auto"/>
              </w:rPr>
            </w:pPr>
            <w:r>
              <w:rPr>
                <w:rFonts w:ascii="Arial" w:cs="Arial" w:eastAsia="Arial" w:hAnsi="Arial"/>
                <w:sz w:val="11"/>
                <w:szCs w:val="11"/>
                <w:b w:val="1"/>
                <w:bCs w:val="1"/>
                <w:color w:val="auto"/>
              </w:rPr>
              <w:t>(A)</w:t>
            </w:r>
          </w:p>
        </w:tc>
        <w:tc>
          <w:tcPr>
            <w:tcW w:w="2220" w:type="dxa"/>
            <w:vAlign w:val="bottom"/>
            <w:tcBorders>
              <w:bottom w:val="single" w:sz="8" w:color="007B51"/>
            </w:tcBorders>
          </w:tcPr>
          <w:p>
            <w:pPr>
              <w:jc w:val="right"/>
              <w:ind w:right="184"/>
              <w:spacing w:after="0"/>
              <w:rPr>
                <w:sz w:val="20"/>
                <w:szCs w:val="20"/>
                <w:color w:val="auto"/>
              </w:rPr>
            </w:pPr>
            <w:r>
              <w:rPr>
                <w:rFonts w:ascii="Arial" w:cs="Arial" w:eastAsia="Arial" w:hAnsi="Arial"/>
                <w:sz w:val="11"/>
                <w:szCs w:val="11"/>
                <w:b w:val="1"/>
                <w:bCs w:val="1"/>
                <w:color w:val="auto"/>
              </w:rPr>
              <w:t>(B)</w:t>
            </w:r>
          </w:p>
        </w:tc>
        <w:tc>
          <w:tcPr>
            <w:tcW w:w="2140" w:type="dxa"/>
            <w:vAlign w:val="bottom"/>
            <w:tcBorders>
              <w:bottom w:val="single" w:sz="8" w:color="007B51"/>
            </w:tcBorders>
          </w:tcPr>
          <w:p>
            <w:pPr>
              <w:jc w:val="right"/>
              <w:spacing w:after="0"/>
              <w:rPr>
                <w:sz w:val="20"/>
                <w:szCs w:val="20"/>
                <w:color w:val="auto"/>
              </w:rPr>
            </w:pPr>
            <w:r>
              <w:rPr>
                <w:rFonts w:ascii="Arial" w:cs="Arial" w:eastAsia="Arial" w:hAnsi="Arial"/>
                <w:sz w:val="11"/>
                <w:szCs w:val="11"/>
                <w:b w:val="1"/>
                <w:bCs w:val="1"/>
                <w:color w:val="auto"/>
              </w:rPr>
              <w:t>(C)</w:t>
            </w:r>
          </w:p>
        </w:tc>
      </w:tr>
      <w:tr>
        <w:trPr>
          <w:trHeight w:val="225"/>
        </w:trPr>
        <w:tc>
          <w:tcPr>
            <w:tcW w:w="3020" w:type="dxa"/>
            <w:vAlign w:val="bottom"/>
          </w:tcPr>
          <w:p>
            <w:pPr>
              <w:ind w:left="100"/>
              <w:spacing w:after="0"/>
              <w:rPr>
                <w:sz w:val="20"/>
                <w:szCs w:val="20"/>
                <w:color w:val="auto"/>
              </w:rPr>
            </w:pPr>
            <w:r>
              <w:rPr>
                <w:rFonts w:ascii="Arial" w:cs="Arial" w:eastAsia="Arial" w:hAnsi="Arial"/>
                <w:sz w:val="13"/>
                <w:szCs w:val="13"/>
                <w:b w:val="1"/>
                <w:bCs w:val="1"/>
                <w:color w:val="017B52"/>
              </w:rPr>
              <w:t>Equity compensation plans approved by</w:t>
            </w:r>
          </w:p>
        </w:tc>
        <w:tc>
          <w:tcPr>
            <w:tcW w:w="2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176"/>
        </w:trPr>
        <w:tc>
          <w:tcPr>
            <w:tcW w:w="3020" w:type="dxa"/>
            <w:vAlign w:val="bottom"/>
            <w:tcBorders>
              <w:bottom w:val="single" w:sz="8" w:color="007B51"/>
            </w:tcBorders>
          </w:tcPr>
          <w:p>
            <w:pPr>
              <w:ind w:left="100"/>
              <w:spacing w:after="0"/>
              <w:rPr>
                <w:sz w:val="20"/>
                <w:szCs w:val="20"/>
                <w:color w:val="auto"/>
              </w:rPr>
            </w:pPr>
            <w:r>
              <w:rPr>
                <w:rFonts w:ascii="Arial" w:cs="Arial" w:eastAsia="Arial" w:hAnsi="Arial"/>
                <w:sz w:val="13"/>
                <w:szCs w:val="13"/>
                <w:b w:val="1"/>
                <w:bCs w:val="1"/>
                <w:color w:val="017B52"/>
              </w:rPr>
              <w:t>security holders</w:t>
            </w:r>
          </w:p>
        </w:tc>
        <w:tc>
          <w:tcPr>
            <w:tcW w:w="2340" w:type="dxa"/>
            <w:vAlign w:val="bottom"/>
            <w:tcBorders>
              <w:bottom w:val="single" w:sz="8" w:color="007B51"/>
            </w:tcBorders>
          </w:tcPr>
          <w:p>
            <w:pPr>
              <w:jc w:val="right"/>
              <w:ind w:right="83"/>
              <w:spacing w:after="0"/>
              <w:rPr>
                <w:sz w:val="20"/>
                <w:szCs w:val="20"/>
                <w:color w:val="auto"/>
              </w:rPr>
            </w:pPr>
            <w:r>
              <w:rPr>
                <w:rFonts w:ascii="Arial" w:cs="Arial" w:eastAsia="Arial" w:hAnsi="Arial"/>
                <w:sz w:val="13"/>
                <w:szCs w:val="13"/>
                <w:color w:val="58595B"/>
              </w:rPr>
              <w:t>0</w:t>
            </w:r>
          </w:p>
        </w:tc>
        <w:tc>
          <w:tcPr>
            <w:tcW w:w="2220" w:type="dxa"/>
            <w:vAlign w:val="bottom"/>
            <w:tcBorders>
              <w:bottom w:val="single" w:sz="8" w:color="007B51"/>
            </w:tcBorders>
          </w:tcPr>
          <w:p>
            <w:pPr>
              <w:jc w:val="right"/>
              <w:ind w:right="184"/>
              <w:spacing w:after="0"/>
              <w:rPr>
                <w:sz w:val="20"/>
                <w:szCs w:val="20"/>
                <w:color w:val="auto"/>
              </w:rPr>
            </w:pPr>
            <w:r>
              <w:rPr>
                <w:rFonts w:ascii="Arial" w:cs="Arial" w:eastAsia="Arial" w:hAnsi="Arial"/>
                <w:sz w:val="13"/>
                <w:szCs w:val="13"/>
                <w:color w:val="58595B"/>
              </w:rPr>
              <w:t>$0.00</w:t>
            </w:r>
          </w:p>
        </w:tc>
        <w:tc>
          <w:tcPr>
            <w:tcW w:w="2140" w:type="dxa"/>
            <w:vAlign w:val="bottom"/>
            <w:tcBorders>
              <w:bottom w:val="single" w:sz="8" w:color="007B51"/>
            </w:tcBorders>
          </w:tcPr>
          <w:p>
            <w:pPr>
              <w:jc w:val="right"/>
              <w:spacing w:after="0"/>
              <w:rPr>
                <w:sz w:val="20"/>
                <w:szCs w:val="20"/>
                <w:color w:val="auto"/>
              </w:rPr>
            </w:pPr>
            <w:r>
              <w:rPr>
                <w:rFonts w:ascii="Arial" w:cs="Arial" w:eastAsia="Arial" w:hAnsi="Arial"/>
                <w:sz w:val="13"/>
                <w:szCs w:val="13"/>
                <w:color w:val="58595B"/>
              </w:rPr>
              <w:t>3,279,150</w:t>
            </w:r>
          </w:p>
        </w:tc>
      </w:tr>
      <w:tr>
        <w:trPr>
          <w:trHeight w:val="223"/>
        </w:trPr>
        <w:tc>
          <w:tcPr>
            <w:tcW w:w="3020" w:type="dxa"/>
            <w:vAlign w:val="bottom"/>
          </w:tcPr>
          <w:p>
            <w:pPr>
              <w:ind w:left="100"/>
              <w:spacing w:after="0"/>
              <w:rPr>
                <w:sz w:val="20"/>
                <w:szCs w:val="20"/>
                <w:color w:val="auto"/>
              </w:rPr>
            </w:pPr>
            <w:r>
              <w:rPr>
                <w:rFonts w:ascii="Arial" w:cs="Arial" w:eastAsia="Arial" w:hAnsi="Arial"/>
                <w:sz w:val="13"/>
                <w:szCs w:val="13"/>
                <w:b w:val="1"/>
                <w:bCs w:val="1"/>
                <w:color w:val="017B52"/>
              </w:rPr>
              <w:t>Equity compensation plans not approved by</w:t>
            </w:r>
          </w:p>
        </w:tc>
        <w:tc>
          <w:tcPr>
            <w:tcW w:w="2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176"/>
        </w:trPr>
        <w:tc>
          <w:tcPr>
            <w:tcW w:w="3020" w:type="dxa"/>
            <w:vAlign w:val="bottom"/>
            <w:tcBorders>
              <w:bottom w:val="single" w:sz="8" w:color="007B51"/>
            </w:tcBorders>
          </w:tcPr>
          <w:p>
            <w:pPr>
              <w:ind w:left="100"/>
              <w:spacing w:after="0"/>
              <w:rPr>
                <w:sz w:val="20"/>
                <w:szCs w:val="20"/>
                <w:color w:val="auto"/>
              </w:rPr>
            </w:pPr>
            <w:r>
              <w:rPr>
                <w:rFonts w:ascii="Arial" w:cs="Arial" w:eastAsia="Arial" w:hAnsi="Arial"/>
                <w:sz w:val="13"/>
                <w:szCs w:val="13"/>
                <w:b w:val="1"/>
                <w:bCs w:val="1"/>
                <w:color w:val="017B52"/>
              </w:rPr>
              <w:t>security holders</w:t>
            </w:r>
          </w:p>
        </w:tc>
        <w:tc>
          <w:tcPr>
            <w:tcW w:w="2340" w:type="dxa"/>
            <w:vAlign w:val="bottom"/>
            <w:tcBorders>
              <w:bottom w:val="single" w:sz="8" w:color="007B51"/>
            </w:tcBorders>
          </w:tcPr>
          <w:p>
            <w:pPr>
              <w:jc w:val="right"/>
              <w:ind w:right="83"/>
              <w:spacing w:after="0"/>
              <w:rPr>
                <w:sz w:val="20"/>
                <w:szCs w:val="20"/>
                <w:color w:val="auto"/>
              </w:rPr>
            </w:pPr>
            <w:r>
              <w:rPr>
                <w:rFonts w:ascii="Arial" w:cs="Arial" w:eastAsia="Arial" w:hAnsi="Arial"/>
                <w:sz w:val="13"/>
                <w:szCs w:val="13"/>
                <w:color w:val="58595B"/>
              </w:rPr>
              <w:t>none</w:t>
            </w:r>
          </w:p>
        </w:tc>
        <w:tc>
          <w:tcPr>
            <w:tcW w:w="2220" w:type="dxa"/>
            <w:vAlign w:val="bottom"/>
            <w:tcBorders>
              <w:bottom w:val="single" w:sz="8" w:color="007B51"/>
            </w:tcBorders>
          </w:tcPr>
          <w:p>
            <w:pPr>
              <w:spacing w:after="0"/>
              <w:rPr>
                <w:sz w:val="15"/>
                <w:szCs w:val="15"/>
                <w:color w:val="auto"/>
              </w:rPr>
            </w:pPr>
          </w:p>
        </w:tc>
        <w:tc>
          <w:tcPr>
            <w:tcW w:w="2140" w:type="dxa"/>
            <w:vAlign w:val="bottom"/>
            <w:tcBorders>
              <w:bottom w:val="single" w:sz="8" w:color="007B51"/>
            </w:tcBorders>
          </w:tcPr>
          <w:p>
            <w:pPr>
              <w:spacing w:after="0"/>
              <w:rPr>
                <w:sz w:val="15"/>
                <w:szCs w:val="15"/>
                <w:color w:val="auto"/>
              </w:rPr>
            </w:pPr>
          </w:p>
        </w:tc>
      </w:tr>
    </w:tbl>
    <w:p>
      <w:pPr>
        <w:spacing w:after="0" w:line="225" w:lineRule="exact"/>
        <w:rPr>
          <w:sz w:val="20"/>
          <w:szCs w:val="20"/>
          <w:color w:val="auto"/>
        </w:rPr>
      </w:pPr>
    </w:p>
    <w:p>
      <w:pPr>
        <w:ind w:left="260" w:right="20" w:hanging="256"/>
        <w:spacing w:after="0" w:line="229" w:lineRule="auto"/>
        <w:tabs>
          <w:tab w:leader="none" w:pos="260" w:val="left"/>
        </w:tabs>
        <w:numPr>
          <w:ilvl w:val="0"/>
          <w:numId w:val="52"/>
        </w:numPr>
        <w:rPr>
          <w:rFonts w:ascii="Arial" w:cs="Arial" w:eastAsia="Arial" w:hAnsi="Arial"/>
          <w:sz w:val="13"/>
          <w:szCs w:val="13"/>
          <w:color w:val="58595B"/>
        </w:rPr>
      </w:pPr>
      <w:r>
        <w:rPr>
          <w:rFonts w:ascii="Arial" w:cs="Arial" w:eastAsia="Arial" w:hAnsi="Arial"/>
          <w:sz w:val="13"/>
          <w:szCs w:val="13"/>
          <w:color w:val="58595B"/>
        </w:rPr>
        <w:t>The number of shares remaining available for future issuance under equity compensation plans, excluding outstanding options, warrants or similar rights, as of December 31, 2022, is as follows: 412,011 shares for the ESPP; 181,443 shares for the Director Compensation Plan; and 11,875 shares for the Stock Gift Plan. In addition, of the remaining 2,673,821 shares available for future issuance under the LTSIP, those shares may be issued in the form of options as well as stock appreciation rights, restricted stock, performance shares or other stock-based awards.</w:t>
      </w:r>
    </w:p>
    <w:p>
      <w:pPr>
        <w:spacing w:after="0" w:line="320"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46</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335" w:lineRule="exact"/>
        <w:rPr>
          <w:sz w:val="20"/>
          <w:szCs w:val="20"/>
          <w:color w:val="auto"/>
        </w:rPr>
      </w:pPr>
    </w:p>
    <w:p>
      <w:pPr>
        <w:spacing w:after="0"/>
        <w:rPr>
          <w:sz w:val="20"/>
          <w:szCs w:val="20"/>
          <w:color w:val="auto"/>
        </w:rPr>
      </w:pPr>
      <w:r>
        <w:rPr>
          <w:rFonts w:ascii="Arial" w:cs="Arial" w:eastAsia="Arial" w:hAnsi="Arial"/>
          <w:sz w:val="32"/>
          <w:szCs w:val="32"/>
          <w:b w:val="1"/>
          <w:bCs w:val="1"/>
          <w:color w:val="017B52"/>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3086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Section 16(a) of the Exchange Act requires directors, executive officers and greater than 10% beneficial owners to file reports of ownership and changes in ownership of shares of common stock with the SEC, and applicable regulations require them to furnish us with copies of all Section 16(a) reports they file. Based solely upon review of the copies of such reports furnished to us, or written representations that no such reports were required, all Section 16(a) filing requirements applicable to the reporting persons were made in compliance with the Exchange Act except for eight reports, each covering one transaction for each of Ms. Budden, Ms. Tuuk Kuras and Messrs. Currie, McLean, Merino, Rhodes, Walker, and Wooldridge.</w:t>
      </w:r>
    </w:p>
    <w:p>
      <w:pPr>
        <w:spacing w:after="0" w:line="112" w:lineRule="exact"/>
        <w:rPr>
          <w:sz w:val="20"/>
          <w:szCs w:val="20"/>
          <w:color w:val="auto"/>
        </w:rPr>
      </w:pPr>
    </w:p>
    <w:p>
      <w:pPr>
        <w:spacing w:after="0"/>
        <w:rPr>
          <w:sz w:val="20"/>
          <w:szCs w:val="20"/>
          <w:color w:val="auto"/>
        </w:rPr>
      </w:pPr>
      <w:r>
        <w:rPr>
          <w:rFonts w:ascii="Arial" w:cs="Arial" w:eastAsia="Arial" w:hAnsi="Arial"/>
          <w:sz w:val="32"/>
          <w:szCs w:val="32"/>
          <w:b w:val="1"/>
          <w:bCs w:val="1"/>
          <w:color w:val="017B52"/>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30861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The cost of the solicitation of proxies will be paid by our Company. In addition to the use of the United States Postal Service, proxies may be solicited personally, by telephone, by facsimile or by electronic mail by our employees who will not receive additional compensation for solicitation of proxies. We do not intend to pay any compensation for the solicitation of proxies, except that we will reimburse brokers, nominees, custodians and other fiduciaries for their expenses in connection with sending materials to beneficial owners and obtaining their proxies.</w:t>
      </w:r>
    </w:p>
    <w:p>
      <w:pPr>
        <w:spacing w:after="0" w:line="110" w:lineRule="exact"/>
        <w:rPr>
          <w:sz w:val="20"/>
          <w:szCs w:val="20"/>
          <w:color w:val="auto"/>
        </w:rPr>
      </w:pPr>
    </w:p>
    <w:p>
      <w:pPr>
        <w:spacing w:after="0"/>
        <w:rPr>
          <w:sz w:val="20"/>
          <w:szCs w:val="20"/>
          <w:color w:val="auto"/>
        </w:rPr>
      </w:pPr>
      <w:r>
        <w:rPr>
          <w:rFonts w:ascii="Arial" w:cs="Arial" w:eastAsia="Arial" w:hAnsi="Arial"/>
          <w:sz w:val="32"/>
          <w:szCs w:val="32"/>
          <w:b w:val="1"/>
          <w:bCs w:val="1"/>
          <w:color w:val="017B52"/>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3086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Audit Committee has a responsibility to review, approve or ratify related party transactions involving directors, executive officers and their respective affiliates and immediate family members. As a general practice, our Board has required the related party, if a Board member, to recuse himself or herself from the meeting, and the Board considers the proposed transaction based on what is fair to our Company and is in the best interest of our shareholders. During 2022, our Company paid Ruan Transportation Management Services (“Ruan”), the company for which our director Mr. McLean serves as Chief Executive Officer, $3,290,306 for services provided by Ruan. Additionally, the Company was paid $530,544 for goods provided to Ruan. These were both arm’s length transactions, on terms generally available to third parties under the same or similar circumstances. Neither of the transactions is deemed material to</w:t>
      </w:r>
    </w:p>
    <w:p>
      <w:pPr>
        <w:spacing w:after="0" w:line="3"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Mr. McLean, and Mr. McLean did not participate or take part in discussions or negotiations in connection with the services provided by Ruan or the goods sold to it.</w:t>
      </w:r>
    </w:p>
    <w:p>
      <w:pPr>
        <w:spacing w:after="0" w:line="102" w:lineRule="exact"/>
        <w:rPr>
          <w:sz w:val="20"/>
          <w:szCs w:val="20"/>
          <w:color w:val="auto"/>
        </w:rPr>
      </w:pPr>
    </w:p>
    <w:p>
      <w:pPr>
        <w:spacing w:after="0"/>
        <w:rPr>
          <w:sz w:val="20"/>
          <w:szCs w:val="20"/>
          <w:color w:val="auto"/>
        </w:rPr>
      </w:pPr>
      <w:r>
        <w:rPr>
          <w:rFonts w:ascii="Arial" w:cs="Arial" w:eastAsia="Arial" w:hAnsi="Arial"/>
          <w:sz w:val="32"/>
          <w:szCs w:val="32"/>
          <w:b w:val="1"/>
          <w:bCs w:val="1"/>
          <w:color w:val="017B52"/>
        </w:rPr>
        <w:t>Availability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3086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Shares of our common stock are traded under the symbol UFPI on The Nasdaq Stock Market. Our Form 10-K filed with the SEC will be provided free of charge to any shareholder upon written request. Significant financial information is available on our website at http://www.ufpi.com. For more information, contact our Investor Relations Department at 2801 East Beltline NE, Grand Rapids, MI 49525.</w:t>
      </w:r>
    </w:p>
    <w:p>
      <w:pPr>
        <w:spacing w:after="0" w:line="309"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47</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00"/>
          </w:cols>
          <w:pgMar w:left="1080" w:top="229" w:right="111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335" w:lineRule="exact"/>
        <w:rPr>
          <w:sz w:val="20"/>
          <w:szCs w:val="20"/>
          <w:color w:val="auto"/>
        </w:rPr>
      </w:pPr>
    </w:p>
    <w:p>
      <w:pPr>
        <w:spacing w:after="0"/>
        <w:rPr>
          <w:sz w:val="20"/>
          <w:szCs w:val="20"/>
          <w:color w:val="auto"/>
        </w:rPr>
      </w:pPr>
      <w:r>
        <w:rPr>
          <w:rFonts w:ascii="Arial" w:cs="Arial" w:eastAsia="Arial" w:hAnsi="Arial"/>
          <w:sz w:val="32"/>
          <w:szCs w:val="32"/>
          <w:b w:val="1"/>
          <w:bCs w:val="1"/>
          <w:color w:val="017B52"/>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3086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Shareholders who intend to submit a proposal for inclusion in our proxy materials for our 2024 Annual Meeting of Shareholders may do so by following the procedures described in SEC Rule 14a-8. To be eligible for inclusion, shareholder proposals must be received by our Secretary no later than November 16, 2023. Proposals of shareholders should be addressed to UFP Industries, Inc., Attention: Secretary, 2801 East Beltline NE, Grand Rapids, MI 49525.</w:t>
      </w:r>
    </w:p>
    <w:p>
      <w:pPr>
        <w:spacing w:after="0" w:line="12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In addition, under our Bylaws, no business may be brought before an annual meeting unless it is specified in a notice of the meeting or is otherwise brought before the meeting by or at the direction of the Board or by a shareholder who has delivered written notice to our Secretary (containing certain information specified in our Bylaws about the shareholder and the proposed</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action), not less than 90 days nor more than 120 days prior to the date of the first anniversary of the preceding year's annual meeting of shareholders. If our 2024 Annual Meeting of Shareholders is held more than 30 days before or more than 60 days after the first anniversary of our 2023 Annual Meeting, the notice must be received not less than 90 days nor more than 120 days prior to the date of that meeting, unless the first public announcement of the meeting is made less than 100 days prior to the date of the meeting, in which case notice must be received within ten days after the date we mail or otherwise give notice of the date of that meeting. This requirement is separate from and in addition to the SEC’s requirements that a shareholder must meet in order to have a shareholder proposal included in our proxy materials.</w:t>
      </w:r>
    </w:p>
    <w:p>
      <w:pPr>
        <w:spacing w:after="0" w:line="13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of the date of this Proxy Statement, we have not received any proposals from any shareholders to be presented at the 2023 Annual Meeting.</w:t>
      </w:r>
    </w:p>
    <w:p>
      <w:pPr>
        <w:spacing w:after="0" w:line="85" w:lineRule="exact"/>
        <w:rPr>
          <w:sz w:val="20"/>
          <w:szCs w:val="20"/>
          <w:color w:val="auto"/>
        </w:rPr>
      </w:pPr>
    </w:p>
    <w:p>
      <w:pPr>
        <w:spacing w:after="0"/>
        <w:rPr>
          <w:sz w:val="20"/>
          <w:szCs w:val="20"/>
          <w:color w:val="auto"/>
        </w:rPr>
      </w:pPr>
      <w:r>
        <w:rPr>
          <w:rFonts w:ascii="Arial" w:cs="Arial" w:eastAsia="Arial" w:hAnsi="Arial"/>
          <w:sz w:val="32"/>
          <w:szCs w:val="32"/>
          <w:b w:val="1"/>
          <w:bCs w:val="1"/>
          <w:color w:val="017B52"/>
        </w:rPr>
        <w:t>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3086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Only one annual report and proxy statement are sent to multiple shareholders sharing a single address, unless we have received instructions to the contrary from one or more of such shareholders. If you prefer to receive individual copies of the proxy materials, send your request in writing to the UFP Industries, Inc., Attention: Investor Relations Department, 2801 East Beltline NE, Grand Rapids, MI 49525, or call 800-598-9663.</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March 17, 2023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114935</wp:posOffset>
            </wp:positionV>
            <wp:extent cx="1543050" cy="4540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David A. Tutas,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and Secretary</w:t>
      </w:r>
    </w:p>
    <w:p>
      <w:pPr>
        <w:spacing w:after="0" w:line="200" w:lineRule="exact"/>
        <w:rPr>
          <w:sz w:val="20"/>
          <w:szCs w:val="20"/>
          <w:color w:val="auto"/>
        </w:rPr>
      </w:pPr>
    </w:p>
    <w:p>
      <w:pPr>
        <w:spacing w:after="0" w:line="298" w:lineRule="exact"/>
        <w:rPr>
          <w:sz w:val="20"/>
          <w:szCs w:val="20"/>
          <w:color w:val="auto"/>
        </w:rPr>
      </w:pPr>
    </w:p>
    <w:p>
      <w:pPr>
        <w:ind w:left="3600"/>
        <w:spacing w:after="0"/>
        <w:tabs>
          <w:tab w:leader="none" w:pos="4780" w:val="left"/>
          <w:tab w:leader="none" w:pos="5240" w:val="left"/>
        </w:tabs>
        <w:rPr>
          <w:sz w:val="20"/>
          <w:szCs w:val="20"/>
          <w:color w:val="auto"/>
        </w:rPr>
      </w:pPr>
      <w:r>
        <w:rPr>
          <w:rFonts w:ascii="Arial" w:cs="Arial" w:eastAsia="Arial" w:hAnsi="Arial"/>
          <w:sz w:val="13"/>
          <w:szCs w:val="13"/>
          <w:b w:val="1"/>
          <w:bCs w:val="1"/>
          <w:color w:val="auto"/>
        </w:rPr>
        <w:t>UFP Industries</w:t>
      </w:r>
      <w:r>
        <w:rPr>
          <w:sz w:val="20"/>
          <w:szCs w:val="20"/>
          <w:color w:val="auto"/>
        </w:rPr>
        <w:tab/>
      </w:r>
      <w:r>
        <w:rPr>
          <w:rFonts w:ascii="Arial" w:cs="Arial" w:eastAsia="Arial" w:hAnsi="Arial"/>
          <w:sz w:val="13"/>
          <w:szCs w:val="13"/>
          <w:b w:val="1"/>
          <w:bCs w:val="1"/>
          <w:color w:val="auto"/>
        </w:rPr>
        <w:t>48</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239395</wp:posOffset>
            </wp:positionV>
            <wp:extent cx="6172200" cy="85039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72200" cy="8503920"/>
                    </a:xfrm>
                    <a:prstGeom prst="rect">
                      <a:avLst/>
                    </a:prstGeom>
                    <a:noFill/>
                  </pic:spPr>
                </pic:pic>
              </a:graphicData>
            </a:graphic>
          </wp:anchor>
        </w:drawing>
      </w:r>
    </w:p>
    <w:p>
      <w:pPr>
        <w:sectPr>
          <w:pgSz w:w="11900" w:h="16838" w:orient="portrait"/>
          <w:cols w:equalWidth="0" w:num="1">
            <w:col w:w="9379"/>
          </w:cols>
          <w:pgMar w:left="1080" w:top="229" w:right="1440"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239395</wp:posOffset>
            </wp:positionV>
            <wp:extent cx="6172200" cy="85896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72200" cy="8589645"/>
                    </a:xfrm>
                    <a:prstGeom prst="rect">
                      <a:avLst/>
                    </a:prstGeom>
                    <a:noFill/>
                  </pic:spPr>
                </pic:pic>
              </a:graphicData>
            </a:graphic>
          </wp:anchor>
        </w:drawing>
      </w:r>
    </w:p>
    <w:sectPr>
      <w:pgSz w:w="11900" w:h="16838" w:orient="portrait"/>
      <w:cols w:equalWidth="0" w:num="1">
        <w:col w:w="9379"/>
      </w:cols>
      <w:pgMar w:left="1080" w:top="2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o"/>
      <w:numFmt w:val="bullet"/>
      <w:start w:val="1"/>
    </w:lvl>
  </w:abstractNum>
  <w:abstractNum w:abstractNumId="1">
    <w:nsid w:val="54E49EB4"/>
    <w:multiLevelType w:val="hybridMultilevel"/>
    <w:lvl w:ilvl="0">
      <w:lvlJc w:val="left"/>
      <w:lvlText w:val="x"/>
      <w:numFmt w:val="bullet"/>
      <w:start w:val="1"/>
    </w:lvl>
  </w:abstractNum>
  <w:abstractNum w:abstractNumId="2">
    <w:nsid w:val="71F32454"/>
    <w:multiLevelType w:val="hybridMultilevel"/>
    <w:lvl w:ilvl="0">
      <w:lvlJc w:val="left"/>
      <w:lvlText w:val="o"/>
      <w:numFmt w:val="bullet"/>
      <w:start w:val="1"/>
    </w:lvl>
  </w:abstractNum>
  <w:abstractNum w:abstractNumId="3">
    <w:nsid w:val="2CA88611"/>
    <w:multiLevelType w:val="hybridMultilevel"/>
    <w:lvl w:ilvl="0">
      <w:lvlJc w:val="left"/>
      <w:lvlText w:val="o"/>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upperLetter"/>
      <w:start w:val="17"/>
    </w:lvl>
  </w:abstractNum>
  <w:abstractNum w:abstractNumId="6">
    <w:nsid w:val="3A95F874"/>
    <w:multiLevelType w:val="hybridMultilevel"/>
    <w:lvl w:ilvl="0">
      <w:lvlJc w:val="left"/>
      <w:lvlText w:val="%1:"/>
      <w:numFmt w:val="upperLetter"/>
      <w:start w:val="1"/>
    </w:lvl>
  </w:abstractNum>
  <w:abstractNum w:abstractNumId="7">
    <w:nsid w:val="8138641"/>
    <w:multiLevelType w:val="hybridMultilevel"/>
    <w:lvl w:ilvl="0">
      <w:lvlJc w:val="left"/>
      <w:lvlText w:val="%1:"/>
      <w:numFmt w:val="upperLetter"/>
      <w:start w:val="17"/>
    </w:lvl>
  </w:abstractNum>
  <w:abstractNum w:abstractNumId="8">
    <w:nsid w:val="1E7FF521"/>
    <w:multiLevelType w:val="hybridMultilevel"/>
    <w:lvl w:ilvl="0">
      <w:lvlJc w:val="left"/>
      <w:lvlText w:val="%1:"/>
      <w:numFmt w:val="upperLetter"/>
      <w:start w:val="1"/>
    </w:lvl>
  </w:abstractNum>
  <w:abstractNum w:abstractNumId="9">
    <w:nsid w:val="7C3DBD3D"/>
    <w:multiLevelType w:val="hybridMultilevel"/>
    <w:lvl w:ilvl="0">
      <w:lvlJc w:val="left"/>
      <w:lvlText w:val="%1:"/>
      <w:numFmt w:val="upperLetter"/>
      <w:start w:val="17"/>
    </w:lvl>
  </w:abstractNum>
  <w:abstractNum w:abstractNumId="10">
    <w:nsid w:val="737B8DDC"/>
    <w:multiLevelType w:val="hybridMultilevel"/>
    <w:lvl w:ilvl="0">
      <w:lvlJc w:val="left"/>
      <w:lvlText w:val="%1:"/>
      <w:numFmt w:val="upperLetter"/>
      <w:start w:val="1"/>
    </w:lvl>
  </w:abstractNum>
  <w:abstractNum w:abstractNumId="11">
    <w:nsid w:val="6CEAF087"/>
    <w:multiLevelType w:val="hybridMultilevel"/>
    <w:lvl w:ilvl="0">
      <w:lvlJc w:val="left"/>
      <w:lvlText w:val="%1:"/>
      <w:numFmt w:val="upperLetter"/>
      <w:start w:val="17"/>
    </w:lvl>
  </w:abstractNum>
  <w:abstractNum w:abstractNumId="12">
    <w:nsid w:val="22221A70"/>
    <w:multiLevelType w:val="hybridMultilevel"/>
    <w:lvl w:ilvl="0">
      <w:lvlJc w:val="left"/>
      <w:lvlText w:val="%1:"/>
      <w:numFmt w:val="upperLetter"/>
      <w:start w:val="1"/>
    </w:lvl>
  </w:abstractNum>
  <w:abstractNum w:abstractNumId="13">
    <w:nsid w:val="4516DDE9"/>
    <w:multiLevelType w:val="hybridMultilevel"/>
    <w:lvl w:ilvl="0">
      <w:lvlJc w:val="left"/>
      <w:lvlText w:val="%1:"/>
      <w:numFmt w:val="upperLetter"/>
      <w:start w:val="17"/>
    </w:lvl>
  </w:abstractNum>
  <w:abstractNum w:abstractNumId="14">
    <w:nsid w:val="3006C83E"/>
    <w:multiLevelType w:val="hybridMultilevel"/>
    <w:lvl w:ilvl="0">
      <w:lvlJc w:val="left"/>
      <w:lvlText w:val="%1:"/>
      <w:numFmt w:val="upperLetter"/>
      <w:start w:val="1"/>
    </w:lvl>
  </w:abstractNum>
  <w:abstractNum w:abstractNumId="15">
    <w:nsid w:val="614FD4A1"/>
    <w:multiLevelType w:val="hybridMultilevel"/>
    <w:lvl w:ilvl="0">
      <w:lvlJc w:val="left"/>
      <w:lvlText w:val="%1:"/>
      <w:numFmt w:val="upperLetter"/>
      <w:start w:val="17"/>
    </w:lvl>
  </w:abstractNum>
  <w:abstractNum w:abstractNumId="16">
    <w:nsid w:val="419AC241"/>
    <w:multiLevelType w:val="hybridMultilevel"/>
    <w:lvl w:ilvl="0">
      <w:lvlJc w:val="left"/>
      <w:lvlText w:val="%1:"/>
      <w:numFmt w:val="upperLetter"/>
      <w:start w:val="1"/>
    </w:lvl>
  </w:abstractNum>
  <w:abstractNum w:abstractNumId="17">
    <w:nsid w:val="5577F8E1"/>
    <w:multiLevelType w:val="hybridMultilevel"/>
    <w:lvl w:ilvl="0">
      <w:lvlJc w:val="left"/>
      <w:lvlText w:val="%1:"/>
      <w:numFmt w:val="upperLetter"/>
      <w:start w:val="17"/>
    </w:lvl>
  </w:abstractNum>
  <w:abstractNum w:abstractNumId="18">
    <w:nsid w:val="440BADFC"/>
    <w:multiLevelType w:val="hybridMultilevel"/>
    <w:lvl w:ilvl="0">
      <w:lvlJc w:val="left"/>
      <w:lvlText w:val="%1:"/>
      <w:numFmt w:val="upperLetter"/>
      <w:start w:val="17"/>
    </w:lvl>
  </w:abstractNum>
  <w:abstractNum w:abstractNumId="19">
    <w:nsid w:val="5072367"/>
    <w:multiLevelType w:val="hybridMultilevel"/>
    <w:lvl w:ilvl="0">
      <w:lvlJc w:val="left"/>
      <w:lvlText w:val="%1:"/>
      <w:numFmt w:val="upperLetter"/>
      <w:start w:val="1"/>
    </w:lvl>
    <w:lvl w:ilvl="1">
      <w:lvlJc w:val="left"/>
      <w:lvlText w:val="%2."/>
      <w:numFmt w:val="decimal"/>
      <w:start w:val="1"/>
    </w:lvl>
  </w:abstractNum>
  <w:abstractNum w:abstractNumId="20">
    <w:nsid w:val="3804823E"/>
    <w:multiLevelType w:val="hybridMultilevel"/>
    <w:lvl w:ilvl="0">
      <w:lvlJc w:val="left"/>
      <w:lvlText w:val="%1:"/>
      <w:numFmt w:val="upperLetter"/>
      <w:start w:val="17"/>
    </w:lvl>
  </w:abstractNum>
  <w:abstractNum w:abstractNumId="21">
    <w:nsid w:val="77465F01"/>
    <w:multiLevelType w:val="hybridMultilevel"/>
    <w:lvl w:ilvl="0">
      <w:lvlJc w:val="left"/>
      <w:lvlText w:val="%1:"/>
      <w:numFmt w:val="upperLetter"/>
      <w:start w:val="1"/>
    </w:lvl>
    <w:lvl w:ilvl="1">
      <w:lvlJc w:val="left"/>
      <w:lvlText w:val="•"/>
      <w:numFmt w:val="bullet"/>
      <w:start w:val="1"/>
    </w:lvl>
  </w:abstractNum>
  <w:abstractNum w:abstractNumId="22">
    <w:nsid w:val="7724C67E"/>
    <w:multiLevelType w:val="hybridMultilevel"/>
    <w:lvl w:ilvl="0">
      <w:lvlJc w:val="left"/>
      <w:lvlText w:val="%1:"/>
      <w:numFmt w:val="upperLetter"/>
      <w:start w:val="17"/>
    </w:lvl>
  </w:abstractNum>
  <w:abstractNum w:abstractNumId="23">
    <w:nsid w:val="5C482A97"/>
    <w:multiLevelType w:val="hybridMultilevel"/>
    <w:lvl w:ilvl="0">
      <w:lvlJc w:val="left"/>
      <w:lvlText w:val="%1:"/>
      <w:numFmt w:val="upperLetter"/>
      <w:start w:val="1"/>
    </w:lvl>
  </w:abstractNum>
  <w:abstractNum w:abstractNumId="24">
    <w:nsid w:val="2463B9EA"/>
    <w:multiLevelType w:val="hybridMultilevel"/>
    <w:lvl w:ilvl="0">
      <w:lvlJc w:val="left"/>
      <w:lvlText w:val="%1:"/>
      <w:numFmt w:val="upperLetter"/>
      <w:start w:val="17"/>
    </w:lvl>
  </w:abstractNum>
  <w:abstractNum w:abstractNumId="25">
    <w:nsid w:val="5E884ADC"/>
    <w:multiLevelType w:val="hybridMultilevel"/>
    <w:lvl w:ilvl="0">
      <w:lvlJc w:val="left"/>
      <w:lvlText w:val="%1:"/>
      <w:numFmt w:val="upperLetter"/>
      <w:start w:val="1"/>
    </w:lvl>
  </w:abstractNum>
  <w:abstractNum w:abstractNumId="26">
    <w:nsid w:val="51EAD36B"/>
    <w:multiLevelType w:val="hybridMultilevel"/>
    <w:lvl w:ilvl="0">
      <w:lvlJc w:val="left"/>
      <w:lvlText w:val="%1:"/>
      <w:numFmt w:val="upperLetter"/>
      <w:start w:val="17"/>
    </w:lvl>
  </w:abstractNum>
  <w:abstractNum w:abstractNumId="27">
    <w:nsid w:val="2D517796"/>
    <w:multiLevelType w:val="hybridMultilevel"/>
    <w:lvl w:ilvl="0">
      <w:lvlJc w:val="left"/>
      <w:lvlText w:val="%1:"/>
      <w:numFmt w:val="upperLetter"/>
      <w:start w:val="1"/>
    </w:lvl>
  </w:abstractNum>
  <w:abstractNum w:abstractNumId="28">
    <w:nsid w:val="580BD78F"/>
    <w:multiLevelType w:val="hybridMultilevel"/>
    <w:lvl w:ilvl="0">
      <w:lvlJc w:val="left"/>
      <w:lvlText w:val="%1:"/>
      <w:numFmt w:val="upperLetter"/>
      <w:start w:val="17"/>
    </w:lvl>
  </w:abstractNum>
  <w:abstractNum w:abstractNumId="29">
    <w:nsid w:val="153EA438"/>
    <w:multiLevelType w:val="hybridMultilevel"/>
    <w:lvl w:ilvl="0">
      <w:lvlJc w:val="left"/>
      <w:lvlText w:val="%1:"/>
      <w:numFmt w:val="upperLetter"/>
      <w:start w:val="1"/>
    </w:lvl>
  </w:abstractNum>
  <w:abstractNum w:abstractNumId="30">
    <w:nsid w:val="3855585C"/>
    <w:multiLevelType w:val="hybridMultilevel"/>
    <w:lvl w:ilvl="0">
      <w:lvlJc w:val="left"/>
      <w:lvlText w:val="%1:"/>
      <w:numFmt w:val="upperLetter"/>
      <w:start w:val="17"/>
    </w:lvl>
  </w:abstractNum>
  <w:abstractNum w:abstractNumId="31">
    <w:nsid w:val="70A64E2A"/>
    <w:multiLevelType w:val="hybridMultilevel"/>
    <w:lvl w:ilvl="0">
      <w:lvlJc w:val="left"/>
      <w:lvlText w:val="%1:"/>
      <w:numFmt w:val="upperLetter"/>
      <w:start w:val="1"/>
    </w:lvl>
  </w:abstractNum>
  <w:abstractNum w:abstractNumId="32">
    <w:nsid w:val="6A2342EC"/>
    <w:multiLevelType w:val="hybridMultilevel"/>
    <w:lvl w:ilvl="0">
      <w:lvlJc w:val="left"/>
      <w:lvlText w:val="%1:"/>
      <w:numFmt w:val="upperLetter"/>
      <w:start w:val="17"/>
    </w:lvl>
  </w:abstractNum>
  <w:abstractNum w:abstractNumId="33">
    <w:nsid w:val="2A487CB0"/>
    <w:multiLevelType w:val="hybridMultilevel"/>
    <w:lvl w:ilvl="0">
      <w:lvlJc w:val="left"/>
      <w:lvlText w:val="%1:"/>
      <w:numFmt w:val="upperLetter"/>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2023-03-17T11:35:25Z</dcterms:created>
  <dcterms:modified xsi:type="dcterms:W3CDTF">2023-03-17T11:35:25Z</dcterms:modified>
</cp:coreProperties>
</file>