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20, 2016</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Universal Forest Products,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143" w:right="259" w:bottom="1440" w:gutter="0" w:footer="0" w:header="0"/>
        </w:sectPr>
      </w:pPr>
    </w:p>
    <w:p>
      <w:pPr>
        <w:spacing w:after="0" w:line="36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Michigan</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0-22684</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38-1465835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00" w:space="720"/>
            <w:col w:w="3100"/>
          </w:cols>
          <w:pgMar w:left="240" w:top="1143" w:right="259" w:bottom="1440" w:gutter="0" w:footer="0" w:header="0"/>
          <w:type w:val="continuous"/>
        </w:sectPr>
      </w:pPr>
    </w:p>
    <w:p>
      <w:pPr>
        <w:spacing w:after="0" w:line="20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2801 East Beltline, NE</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Grand Rapids, Michigan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49525</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20"/>
          </w:cols>
          <w:pgMar w:left="240" w:top="1143" w:right="25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00"/>
          </w:cols>
          <w:pgMar w:left="240" w:top="1143" w:right="259" w:bottom="1440" w:gutter="0" w:footer="0" w:header="0"/>
          <w:type w:val="continuous"/>
        </w:sectPr>
      </w:pPr>
    </w:p>
    <w:bookmarkStart w:id="1" w:name="page2"/>
    <w:bookmarkEnd w:id="1"/>
    <w:p>
      <w:pPr>
        <w:ind w:left="40"/>
        <w:spacing w:after="0"/>
        <w:tabs>
          <w:tab w:leader="none" w:pos="14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20, 2016, the Registrant issued a press release announcing its financial results for the quarter ended June 25, 2016. A copy of the Registrant’s press release is attached as Exhibit 99(a) to this Current Report.</w:t>
      </w:r>
    </w:p>
    <w:p>
      <w:pPr>
        <w:spacing w:after="0" w:line="112"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  Exhibits</w:t>
      </w:r>
    </w:p>
    <w:p>
      <w:pPr>
        <w:spacing w:after="0" w:line="171"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July 20, 2016.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UNIVERSAL FOREST PRODUCTS, INC.</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Dated: July 20,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 and Treasurer</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w w:val="92"/>
              </w:rPr>
              <w:t>Exhibit Number</w:t>
            </w:r>
          </w:p>
        </w:tc>
        <w:tc>
          <w:tcPr>
            <w:tcW w:w="80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Document</w:t>
            </w:r>
          </w:p>
        </w:tc>
      </w:tr>
      <w:tr>
        <w:trPr>
          <w:trHeight w:val="20"/>
        </w:trPr>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42"/>
        </w:trPr>
        <w:tc>
          <w:tcPr>
            <w:tcW w:w="1160" w:type="dxa"/>
            <w:vAlign w:val="bottom"/>
          </w:tcPr>
          <w:p>
            <w:pPr>
              <w:spacing w:after="0"/>
              <w:rPr>
                <w:sz w:val="20"/>
                <w:szCs w:val="20"/>
                <w:color w:val="auto"/>
              </w:rPr>
            </w:pPr>
            <w:r>
              <w:rPr>
                <w:rFonts w:ascii="Arial" w:cs="Arial" w:eastAsia="Arial" w:hAnsi="Arial"/>
                <w:sz w:val="18"/>
                <w:szCs w:val="18"/>
                <w:color w:val="auto"/>
              </w:rPr>
              <w:t>99(a)</w:t>
            </w:r>
          </w:p>
        </w:tc>
        <w:tc>
          <w:tcPr>
            <w:tcW w:w="80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86"/>
              </w:rPr>
              <w:t>Press Release dated July 20, 2016.</w:t>
            </w: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r>
        <w:rPr>
          <w:rFonts w:ascii="Arial" w:cs="Arial" w:eastAsia="Arial" w:hAnsi="Arial"/>
          <w:sz w:val="18"/>
          <w:szCs w:val="18"/>
          <w:b w:val="1"/>
          <w:bCs w:val="1"/>
          <w:color w:val="FFFFFF"/>
        </w:rPr>
        <w:t>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382905</wp:posOffset>
            </wp:positionV>
            <wp:extent cx="708342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342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332105</wp:posOffset>
            </wp:positionV>
            <wp:extent cx="172402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9"/>
          <w:szCs w:val="29"/>
          <w:b w:val="1"/>
          <w:bCs w:val="1"/>
          <w:color w:val="auto"/>
        </w:rPr>
        <w:t>News release</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---------------AT THE COMPANY---------------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Wednesday, July 20,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UFPI posts record net earnings, net sales; retail and construction markets lead sales gains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Profits up 28.6 percent over previous year</w:t>
      </w:r>
    </w:p>
    <w:p>
      <w:pPr>
        <w:spacing w:after="0" w:line="395" w:lineRule="exact"/>
        <w:rPr>
          <w:sz w:val="20"/>
          <w:szCs w:val="20"/>
          <w:color w:val="auto"/>
        </w:rPr>
      </w:pPr>
    </w:p>
    <w:p>
      <w:pPr>
        <w:spacing w:after="0" w:line="404" w:lineRule="auto"/>
        <w:rPr>
          <w:sz w:val="20"/>
          <w:szCs w:val="20"/>
          <w:color w:val="auto"/>
        </w:rPr>
      </w:pPr>
      <w:r>
        <w:rPr>
          <w:rFonts w:ascii="Arial" w:cs="Arial" w:eastAsia="Arial" w:hAnsi="Arial"/>
          <w:sz w:val="18"/>
          <w:szCs w:val="18"/>
          <w:color w:val="auto"/>
        </w:rPr>
        <w:t>GRAND RAPIDS, Mich., July 20, 2016 - Universal Forest Products, Inc. (Nasdaq: UFPI) today reported net earnings attributable to controlling interest of $33.4 million for the second quarter of 2016, up 28.6 percent over net earnings attributable to controlling interest of $26.0 million for the same period of 2015. Second-quarter 2016 diluted earnings per share were $1.64, compared to diluted earnings per share of $1.28 for the second quarter of 2015. Net sales of $872.1 million in the second quarter of 2016 represent an increase of 4.0 percent over net sales of $838.2 for the same period of 2015. The net earnings and net sales numbers are the best of any quarter in the Company’s history.</w:t>
      </w:r>
    </w:p>
    <w:p>
      <w:pPr>
        <w:spacing w:after="0" w:line="122" w:lineRule="exact"/>
        <w:rPr>
          <w:sz w:val="20"/>
          <w:szCs w:val="20"/>
          <w:color w:val="auto"/>
        </w:rPr>
      </w:pPr>
    </w:p>
    <w:p>
      <w:pPr>
        <w:ind w:right="240"/>
        <w:spacing w:after="0" w:line="373" w:lineRule="auto"/>
        <w:rPr>
          <w:sz w:val="20"/>
          <w:szCs w:val="20"/>
          <w:color w:val="auto"/>
        </w:rPr>
      </w:pPr>
      <w:r>
        <w:rPr>
          <w:rFonts w:ascii="Arial" w:cs="Arial" w:eastAsia="Arial" w:hAnsi="Arial"/>
          <w:sz w:val="20"/>
          <w:szCs w:val="20"/>
          <w:color w:val="auto"/>
        </w:rPr>
        <w:t>The Company’s results were driven by strong sales gains in the retail and construction markets, which grew 7.5 and 6.5 percent, respectively, over the same period of last year.</w:t>
      </w:r>
    </w:p>
    <w:p>
      <w:pPr>
        <w:spacing w:after="0" w:line="136" w:lineRule="exact"/>
        <w:rPr>
          <w:sz w:val="20"/>
          <w:szCs w:val="20"/>
          <w:color w:val="auto"/>
        </w:rPr>
      </w:pPr>
    </w:p>
    <w:p>
      <w:pPr>
        <w:ind w:right="100"/>
        <w:spacing w:after="0" w:line="382" w:lineRule="auto"/>
        <w:rPr>
          <w:sz w:val="20"/>
          <w:szCs w:val="20"/>
          <w:color w:val="auto"/>
        </w:rPr>
      </w:pPr>
      <w:r>
        <w:rPr>
          <w:rFonts w:ascii="Arial" w:cs="Arial" w:eastAsia="Arial" w:hAnsi="Arial"/>
          <w:sz w:val="19"/>
          <w:szCs w:val="19"/>
          <w:color w:val="auto"/>
        </w:rPr>
        <w:t>“The employees of the companies of Universal delivered another outstanding quarter,” said CEO Matthew J. Missad. “The results confirm that our growth and improvement strategies, coupled with our balanced business model, are working. When we break records, we simply are setting the bar for the next record. We look forward to the challenge of trying to stay ahead of 2015’s record performance in the second half of the year. Fortunately, we have talented and hard-working employees who can make that happen.”</w:t>
      </w:r>
    </w:p>
    <w:p>
      <w:pPr>
        <w:spacing w:after="0" w:line="135" w:lineRule="exact"/>
        <w:rPr>
          <w:sz w:val="20"/>
          <w:szCs w:val="20"/>
          <w:color w:val="auto"/>
        </w:rPr>
      </w:pPr>
    </w:p>
    <w:p>
      <w:pPr>
        <w:jc w:val="both"/>
        <w:ind w:right="140"/>
        <w:spacing w:after="0" w:line="352" w:lineRule="auto"/>
        <w:rPr>
          <w:sz w:val="20"/>
          <w:szCs w:val="20"/>
          <w:color w:val="auto"/>
        </w:rPr>
      </w:pPr>
      <w:r>
        <w:rPr>
          <w:rFonts w:ascii="Arial" w:cs="Arial" w:eastAsia="Arial" w:hAnsi="Arial"/>
          <w:sz w:val="20"/>
          <w:szCs w:val="20"/>
          <w:color w:val="auto"/>
        </w:rPr>
        <w:t>Missad noted that new product sales grew 9.2 percent over the second quarter of 2015, and that the Company’s product mix continues to drive improvements in gross margins. Lower industrial production in the U.S. and a strong U.S. dollar adversely affected the Company’s industrial business during the second quarter.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-more-</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r>
        <w:rPr>
          <w:rFonts w:ascii="Arial" w:cs="Arial" w:eastAsia="Arial" w:hAnsi="Arial"/>
          <w:sz w:val="18"/>
          <w:szCs w:val="18"/>
          <w:b w:val="1"/>
          <w:bCs w:val="1"/>
          <w:color w:val="FFFFFF"/>
        </w:rPr>
        <w:t>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Page 2</w:t>
      </w:r>
    </w:p>
    <w:p>
      <w:pPr>
        <w:spacing w:after="0" w:line="200" w:lineRule="exact"/>
        <w:rPr>
          <w:sz w:val="20"/>
          <w:szCs w:val="20"/>
          <w:color w:val="auto"/>
        </w:rPr>
      </w:pPr>
    </w:p>
    <w:p>
      <w:pPr>
        <w:spacing w:after="0" w:line="305" w:lineRule="exact"/>
        <w:rPr>
          <w:sz w:val="20"/>
          <w:szCs w:val="20"/>
          <w:color w:val="auto"/>
        </w:rPr>
      </w:pPr>
    </w:p>
    <w:p>
      <w:pPr>
        <w:ind w:right="220"/>
        <w:spacing w:after="0" w:line="373" w:lineRule="auto"/>
        <w:rPr>
          <w:sz w:val="20"/>
          <w:szCs w:val="20"/>
          <w:color w:val="auto"/>
        </w:rPr>
      </w:pPr>
      <w:r>
        <w:rPr>
          <w:rFonts w:ascii="Arial" w:cs="Arial" w:eastAsia="Arial" w:hAnsi="Arial"/>
          <w:sz w:val="20"/>
          <w:szCs w:val="20"/>
          <w:color w:val="auto"/>
        </w:rPr>
        <w:t>Recently announced acquisitions - Idaho Western in Nampa, Idaho, and Tampa, Fla.-based Robbins Manufacturing Co. - are expected to add $100 million in annual gross sales.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By market, the Company posted the following gross sales results: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$406.7 million, up 7.5 percent over the second quarter of 2015</w:t>
      </w:r>
    </w:p>
    <w:p>
      <w:pPr>
        <w:spacing w:after="0" w:line="289" w:lineRule="exact"/>
        <w:rPr>
          <w:sz w:val="20"/>
          <w:szCs w:val="20"/>
          <w:color w:val="auto"/>
        </w:rPr>
      </w:pPr>
    </w:p>
    <w:p>
      <w:pPr>
        <w:ind w:right="20"/>
        <w:spacing w:after="0" w:line="359" w:lineRule="auto"/>
        <w:rPr>
          <w:sz w:val="20"/>
          <w:szCs w:val="20"/>
          <w:color w:val="auto"/>
        </w:rPr>
      </w:pPr>
      <w:r>
        <w:rPr>
          <w:rFonts w:ascii="Arial" w:cs="Arial" w:eastAsia="Arial" w:hAnsi="Arial"/>
          <w:sz w:val="20"/>
          <w:szCs w:val="20"/>
          <w:color w:val="auto"/>
        </w:rPr>
        <w:t>The Company’s performance in this market benefited from growth with independent and big box retailers, the latter of which saw healthy increases in comparable store sales in their most recently reported quarters. The Company also gained market share with certain customers and grew sales of new products to these customers. The Company anticipates healthy demand through the building season, barring adverse weather conditions and other unforeseen events.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Industrial: $231.4 million, down 2.9 percent over the second quarter of 2015</w:t>
      </w:r>
    </w:p>
    <w:p>
      <w:pPr>
        <w:spacing w:after="0" w:line="289" w:lineRule="exact"/>
        <w:rPr>
          <w:sz w:val="20"/>
          <w:szCs w:val="20"/>
          <w:color w:val="auto"/>
        </w:rPr>
      </w:pPr>
    </w:p>
    <w:p>
      <w:pPr>
        <w:ind w:right="120"/>
        <w:spacing w:after="0" w:line="404" w:lineRule="auto"/>
        <w:rPr>
          <w:sz w:val="20"/>
          <w:szCs w:val="20"/>
          <w:color w:val="auto"/>
        </w:rPr>
      </w:pPr>
      <w:r>
        <w:rPr>
          <w:rFonts w:ascii="Arial" w:cs="Arial" w:eastAsia="Arial" w:hAnsi="Arial"/>
          <w:sz w:val="18"/>
          <w:szCs w:val="18"/>
          <w:color w:val="auto"/>
        </w:rPr>
        <w:t>In this market, the Company sells packaging and material handling and related products for industrial and agricultural customers. Sales in this market have been adversely affected by a decrease in U.S. industrial production, which fell 0.7 percent year-over-year in the most recently reported month, and a strong U.S. dollar, which has adversely impacted the export sales of industrial customers. The Company also is being more selective by pursuing greater value-added business, which has contributed to improved gross profit margins in this market. It remains committed to growing industrial sales organically, through acquisitions, and by increasing its share of the market.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Construction: $249.3 million, up 6.5 percent over the same period of 2015</w:t>
      </w:r>
    </w:p>
    <w:p>
      <w:pPr>
        <w:spacing w:after="0" w:line="289" w:lineRule="exact"/>
        <w:rPr>
          <w:sz w:val="20"/>
          <w:szCs w:val="20"/>
          <w:color w:val="auto"/>
        </w:rPr>
      </w:pPr>
    </w:p>
    <w:p>
      <w:pPr>
        <w:ind w:right="400"/>
        <w:spacing w:after="0" w:line="363" w:lineRule="auto"/>
        <w:rPr>
          <w:sz w:val="20"/>
          <w:szCs w:val="20"/>
          <w:color w:val="auto"/>
        </w:rPr>
      </w:pPr>
      <w:r>
        <w:rPr>
          <w:rFonts w:ascii="Arial" w:cs="Arial" w:eastAsia="Arial" w:hAnsi="Arial"/>
          <w:sz w:val="20"/>
          <w:szCs w:val="20"/>
          <w:color w:val="auto"/>
        </w:rPr>
        <w:t>The Company saw unit sales increases of 10 percent in its residential construction business and 4 percent in commercial construction. The Company has benefitted from rising U.S. housing starts in both site-built and factory-built housing, and a strong increase in commercial construction spending.</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89" w:lineRule="exact"/>
        <w:rPr>
          <w:sz w:val="20"/>
          <w:szCs w:val="20"/>
          <w:color w:val="auto"/>
        </w:rPr>
      </w:pPr>
    </w:p>
    <w:p>
      <w:pPr>
        <w:spacing w:after="0" w:line="356" w:lineRule="auto"/>
        <w:rPr>
          <w:sz w:val="20"/>
          <w:szCs w:val="20"/>
          <w:color w:val="auto"/>
        </w:rPr>
      </w:pPr>
      <w:r>
        <w:rPr>
          <w:rFonts w:ascii="Arial" w:cs="Arial" w:eastAsia="Arial" w:hAnsi="Arial"/>
          <w:sz w:val="20"/>
          <w:szCs w:val="20"/>
          <w:color w:val="auto"/>
        </w:rPr>
        <w:t>Universal Forest Products will conduct a conference call to discuss information included in this news release and related matters at 8:30 a.m. ET on Thursday, July 21, 2016. The call will be hosted by CEO Matthew J. Missad and CFO Michael Cole, and will be available for analysts and institutional investors domestically at (888) 685-5759 and internationally at (503) 343-6031. Use conference ID 48931902. The conference call will be available simultaneously and in its entirety to all interested investors and news media through a webcast at http://www.ufpi.com. A replay of the call will be available through August 20, 2016, at any of the following numbers: (855) 859-2056 or (404) 537-3406 or (800) 585-8367.</w:t>
      </w:r>
    </w:p>
    <w:p>
      <w:pPr>
        <w:sectPr>
          <w:pgSz w:w="11900" w:h="16838" w:orient="portrait"/>
          <w:cols w:equalWidth="0" w:num="1">
            <w:col w:w="11360"/>
          </w:cols>
          <w:pgMar w:left="240" w:top="12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r>
        <w:rPr>
          <w:rFonts w:ascii="Arial" w:cs="Arial" w:eastAsia="Arial" w:hAnsi="Arial"/>
          <w:sz w:val="18"/>
          <w:szCs w:val="18"/>
          <w:b w:val="1"/>
          <w:bCs w:val="1"/>
          <w:color w:val="FFFFFF"/>
        </w:rPr>
        <w:t>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Page 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UNIVERSAL FOREST PRODUCTS, INC.</w:t>
      </w:r>
    </w:p>
    <w:p>
      <w:pPr>
        <w:spacing w:after="0" w:line="289" w:lineRule="exact"/>
        <w:rPr>
          <w:sz w:val="20"/>
          <w:szCs w:val="20"/>
          <w:color w:val="auto"/>
        </w:rPr>
      </w:pPr>
    </w:p>
    <w:p>
      <w:pPr>
        <w:ind w:right="280"/>
        <w:spacing w:after="0" w:line="416" w:lineRule="auto"/>
        <w:rPr>
          <w:sz w:val="20"/>
          <w:szCs w:val="20"/>
          <w:color w:val="auto"/>
        </w:rPr>
      </w:pPr>
      <w:r>
        <w:rPr>
          <w:rFonts w:ascii="Arial" w:cs="Arial" w:eastAsia="Arial" w:hAnsi="Arial"/>
          <w:sz w:val="18"/>
          <w:szCs w:val="18"/>
          <w:color w:val="auto"/>
        </w:rPr>
        <w:t>Universal Forest Products, Inc. is a holding company that provides capital, management and administrative resources to subsidiaries in three robust markets: retail, construction and industrial. Founded in 1955, the Company is headquartered in Grand Rapids, Mich., with affiliates throughout North America and Australia. For more about Universal Forest Products, go to www.ufpi.com.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468" w:lineRule="auto"/>
        <w:rPr>
          <w:sz w:val="20"/>
          <w:szCs w:val="20"/>
          <w:color w:val="auto"/>
        </w:rPr>
      </w:pPr>
      <w:r>
        <w:rPr>
          <w:rFonts w:ascii="Arial" w:cs="Arial" w:eastAsia="Arial" w:hAnsi="Arial"/>
          <w:sz w:val="15"/>
          <w:szCs w:val="15"/>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00"/>
          </w:cols>
          <w:pgMar w:left="240" w:top="12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r>
        <w:rPr>
          <w:rFonts w:ascii="Arial" w:cs="Arial" w:eastAsia="Arial" w:hAnsi="Arial"/>
          <w:sz w:val="18"/>
          <w:szCs w:val="18"/>
          <w:b w:val="1"/>
          <w:bCs w:val="1"/>
          <w:color w:val="FFFFFF"/>
        </w:rPr>
        <w:t>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Page 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2016/2015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211455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Period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to Date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872,093</w:t>
            </w:r>
          </w:p>
        </w:tc>
        <w:tc>
          <w:tcPr>
            <w:tcW w:w="800" w:type="dxa"/>
            <w:vAlign w:val="bottom"/>
            <w:tcBorders>
              <w:bottom w:val="single" w:sz="8" w:color="CCEEFF"/>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CCEEFF"/>
              <w:right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2"/>
              </w:rPr>
              <w:t>838,171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1,554,244</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1,471,195</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54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COST OF GOODS SOLD</w:t>
            </w:r>
          </w:p>
        </w:tc>
        <w:tc>
          <w:tcPr>
            <w:tcW w:w="100" w:type="dxa"/>
            <w:vAlign w:val="bottom"/>
            <w:tcBorders>
              <w:bottom w:val="single" w:sz="8" w:color="CCEEFF"/>
              <w:right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740,606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00" w:type="dxa"/>
            <w:vAlign w:val="bottom"/>
            <w:tcBorders>
              <w:bottom w:val="single" w:sz="8" w:color="CCEEFF"/>
              <w:right w:val="single" w:sz="8" w:color="auto"/>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2"/>
              </w:rPr>
              <w:t>725,728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20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1,320,018</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6"/>
              </w:rPr>
              <w:t>84.9</w:t>
            </w:r>
          </w:p>
        </w:tc>
        <w:tc>
          <w:tcPr>
            <w:tcW w:w="160" w:type="dxa"/>
            <w:vAlign w:val="bottom"/>
            <w:tcBorders>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1,279,170</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131,487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2"/>
              </w:rPr>
              <w:t>112,443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234,226</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6"/>
              </w:rPr>
              <w:t>15.1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192,025</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ADMINISTRATIVE EXPENSES</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77,762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right w:val="single" w:sz="8" w:color="auto"/>
            </w:tcBorders>
            <w:shd w:val="clear" w:color="auto" w:fill="CCEEFF"/>
          </w:tcPr>
          <w:p>
            <w:pPr>
              <w:spacing w:after="0"/>
              <w:rPr>
                <w:sz w:val="20"/>
                <w:szCs w:val="20"/>
                <w:color w:val="auto"/>
              </w:rPr>
            </w:pPr>
          </w:p>
        </w:tc>
        <w:tc>
          <w:tcPr>
            <w:tcW w:w="44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68,431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148,601</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130,136</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(GAIN) LOSS ON DISPOSITION</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AND IMPAIRMENT OF ASSETS</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4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CCEEFF"/>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300" w:type="dxa"/>
            <w:vAlign w:val="bottom"/>
            <w:tcBorders>
              <w:top w:val="single" w:sz="8" w:color="CCEEFF"/>
              <w:righ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60" w:type="dxa"/>
            <w:vAlign w:val="bottom"/>
            <w:tcBorders>
              <w:top w:val="single" w:sz="8" w:color="CCEEFF"/>
              <w:right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FROM OPERATIONS</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53,665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44,188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85,575</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62,051</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NET</w:t>
            </w:r>
          </w:p>
        </w:tc>
        <w:tc>
          <w:tcPr>
            <w:tcW w:w="100" w:type="dxa"/>
            <w:vAlign w:val="bottom"/>
            <w:tcBorders>
              <w:bottom w:val="single" w:sz="8" w:color="CCEEFF"/>
              <w:right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right w:val="single" w:sz="8" w:color="auto"/>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1,675</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right w:val="single" w:sz="8" w:color="auto"/>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4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CCEEFF"/>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300" w:type="dxa"/>
            <w:vAlign w:val="bottom"/>
            <w:tcBorders>
              <w:top w:val="single" w:sz="8" w:color="CCEEFF"/>
              <w:righ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60" w:type="dxa"/>
            <w:vAlign w:val="bottom"/>
            <w:tcBorders>
              <w:top w:val="single" w:sz="8" w:color="CCEEFF"/>
              <w:right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52,880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42,950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83,900</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59,858</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Borders>
              <w:bottom w:val="single" w:sz="8" w:color="CCEEFF"/>
              <w:right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18,643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right w:val="single" w:sz="8" w:color="auto"/>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16,066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29,407</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right w:val="single" w:sz="8" w:color="auto"/>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22,170</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4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CCEEFF"/>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300" w:type="dxa"/>
            <w:vAlign w:val="bottom"/>
            <w:tcBorders>
              <w:top w:val="single" w:sz="8" w:color="CCEEFF"/>
              <w:righ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60" w:type="dxa"/>
            <w:vAlign w:val="bottom"/>
            <w:tcBorders>
              <w:top w:val="single" w:sz="8" w:color="CCEEFF"/>
              <w:right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34,237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26,884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54,493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37,688</w:t>
            </w:r>
          </w:p>
        </w:tc>
        <w:tc>
          <w:tcPr>
            <w:tcW w:w="780" w:type="dxa"/>
            <w:vAlign w:val="bottom"/>
            <w:tcBorders>
              <w:bottom w:val="single" w:sz="8" w:color="CCEEFF"/>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LESS NET EARNINGS ATTRIBUTABLE</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 NONCONTROLLING INTEREST</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800" w:type="dxa"/>
            <w:vAlign w:val="bottom"/>
            <w:tcBorders>
              <w:bottom w:val="single" w:sz="8" w:color="CCEEFF"/>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44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(1,550)</w:t>
            </w:r>
          </w:p>
        </w:tc>
        <w:tc>
          <w:tcPr>
            <w:tcW w:w="780" w:type="dxa"/>
            <w:vAlign w:val="bottom"/>
            <w:tcBorders>
              <w:bottom w:val="single" w:sz="8" w:color="CCEEFF"/>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33,398</w:t>
            </w:r>
          </w:p>
        </w:tc>
        <w:tc>
          <w:tcPr>
            <w:tcW w:w="50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CCEEFF"/>
            </w:tcBorders>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8"/>
              </w:rPr>
              <w:t>25,976</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52,611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36,138</w:t>
            </w:r>
          </w:p>
        </w:tc>
        <w:tc>
          <w:tcPr>
            <w:tcW w:w="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CONTROLLING INTEREST</w:t>
            </w:r>
          </w:p>
        </w:tc>
        <w:tc>
          <w:tcPr>
            <w:tcW w:w="100" w:type="dxa"/>
            <w:vAlign w:val="bottom"/>
            <w:tcBorders>
              <w:right w:val="single" w:sz="8" w:color="auto"/>
            </w:tcBorders>
            <w:shd w:val="clear" w:color="auto" w:fill="CCEEFF"/>
          </w:tcPr>
          <w:p>
            <w:pPr>
              <w:spacing w:after="0"/>
              <w:rPr>
                <w:sz w:val="24"/>
                <w:szCs w:val="24"/>
                <w:color w:val="auto"/>
              </w:rPr>
            </w:pPr>
          </w:p>
        </w:tc>
        <w:tc>
          <w:tcPr>
            <w:tcW w:w="220" w:type="dxa"/>
            <w:vAlign w:val="bottom"/>
            <w:vMerge w:val="continue"/>
            <w:shd w:val="clear" w:color="auto" w:fill="CCEEFF"/>
          </w:tcPr>
          <w:p>
            <w:pPr>
              <w:spacing w:after="0"/>
              <w:rPr>
                <w:sz w:val="24"/>
                <w:szCs w:val="24"/>
                <w:color w:val="auto"/>
              </w:rPr>
            </w:pPr>
          </w:p>
        </w:tc>
        <w:tc>
          <w:tcPr>
            <w:tcW w:w="940" w:type="dxa"/>
            <w:vAlign w:val="bottom"/>
            <w:tcBorders>
              <w:right w:val="single" w:sz="8" w:color="CCEEFF"/>
            </w:tcBorders>
            <w:vMerge w:val="continue"/>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right w:val="single" w:sz="8" w:color="auto"/>
            </w:tcBorders>
            <w:shd w:val="clear" w:color="auto" w:fill="CCEEFF"/>
          </w:tcPr>
          <w:p>
            <w:pPr>
              <w:spacing w:after="0"/>
              <w:rPr>
                <w:sz w:val="24"/>
                <w:szCs w:val="24"/>
                <w:color w:val="auto"/>
              </w:rPr>
            </w:pPr>
          </w:p>
        </w:tc>
        <w:tc>
          <w:tcPr>
            <w:tcW w:w="440" w:type="dxa"/>
            <w:vAlign w:val="bottom"/>
            <w:tcBorders>
              <w:right w:val="single" w:sz="8" w:color="CCEEFF"/>
            </w:tcBorders>
            <w:vMerge w:val="continue"/>
            <w:shd w:val="clear" w:color="auto" w:fill="CCEEFF"/>
          </w:tcPr>
          <w:p>
            <w:pPr>
              <w:spacing w:after="0"/>
              <w:rPr>
                <w:sz w:val="24"/>
                <w:szCs w:val="24"/>
                <w:color w:val="auto"/>
              </w:rPr>
            </w:pPr>
          </w:p>
        </w:tc>
        <w:tc>
          <w:tcPr>
            <w:tcW w:w="6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Borders>
              <w:right w:val="single" w:sz="8" w:color="auto"/>
            </w:tcBorders>
            <w:shd w:val="clear" w:color="auto" w:fill="CCEEFF"/>
          </w:tcPr>
          <w:p>
            <w:pPr>
              <w:spacing w:after="0"/>
              <w:rPr>
                <w:sz w:val="24"/>
                <w:szCs w:val="24"/>
                <w:color w:val="auto"/>
              </w:rPr>
            </w:pPr>
          </w:p>
        </w:tc>
        <w:tc>
          <w:tcPr>
            <w:tcW w:w="200" w:type="dxa"/>
            <w:vAlign w:val="bottom"/>
            <w:vMerge w:val="continue"/>
            <w:shd w:val="clear" w:color="auto" w:fill="CCEEFF"/>
          </w:tcPr>
          <w:p>
            <w:pPr>
              <w:spacing w:after="0"/>
              <w:rPr>
                <w:sz w:val="24"/>
                <w:szCs w:val="24"/>
                <w:color w:val="auto"/>
              </w:rPr>
            </w:pPr>
          </w:p>
        </w:tc>
        <w:tc>
          <w:tcPr>
            <w:tcW w:w="960" w:type="dxa"/>
            <w:vAlign w:val="bottom"/>
            <w:tcBorders>
              <w:right w:val="single" w:sz="8" w:color="CCEEFF"/>
            </w:tcBorders>
            <w:vMerge w:val="continue"/>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auto"/>
            </w:tcBorders>
            <w:shd w:val="clear" w:color="auto" w:fill="CCEEFF"/>
          </w:tcPr>
          <w:p>
            <w:pPr>
              <w:spacing w:after="0"/>
              <w:rPr>
                <w:sz w:val="24"/>
                <w:szCs w:val="24"/>
                <w:color w:val="auto"/>
              </w:rPr>
            </w:pPr>
          </w:p>
        </w:tc>
        <w:tc>
          <w:tcPr>
            <w:tcW w:w="420" w:type="dxa"/>
            <w:vAlign w:val="bottom"/>
            <w:vMerge w:val="continue"/>
            <w:shd w:val="clear" w:color="auto" w:fill="CCEEFF"/>
          </w:tcPr>
          <w:p>
            <w:pPr>
              <w:spacing w:after="0"/>
              <w:rPr>
                <w:sz w:val="24"/>
                <w:szCs w:val="24"/>
                <w:color w:val="auto"/>
              </w:rPr>
            </w:pPr>
          </w:p>
        </w:tc>
        <w:tc>
          <w:tcPr>
            <w:tcW w:w="680" w:type="dxa"/>
            <w:vAlign w:val="bottom"/>
            <w:gridSpan w:val="2"/>
            <w:vMerge w:val="continue"/>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4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CCEEFF"/>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300" w:type="dxa"/>
            <w:vAlign w:val="bottom"/>
            <w:tcBorders>
              <w:top w:val="single" w:sz="8" w:color="CCEEFF"/>
              <w:righ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200" w:type="dxa"/>
            <w:vAlign w:val="bottom"/>
            <w:tcBorders>
              <w:top w:val="single" w:sz="8" w:color="CCEEFF"/>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60" w:type="dxa"/>
            <w:vAlign w:val="bottom"/>
            <w:tcBorders>
              <w:top w:val="single" w:sz="8" w:color="CCEEFF"/>
              <w:right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60" w:type="dxa"/>
            <w:vAlign w:val="bottom"/>
            <w:tcBorders>
              <w:top w:val="single" w:sz="8" w:color="CCEEFF"/>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 BASIC</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 DILUTED</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33,430</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26,358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54,128</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36,159</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LESS COMPREHENSIVE INCOME</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ATTRIBUTABLE TO</w:t>
            </w:r>
          </w:p>
        </w:tc>
        <w:tc>
          <w:tcPr>
            <w:tcW w:w="1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ATTRIBUTABLE TO CONTROLLING</w:t>
            </w:r>
          </w:p>
        </w:tc>
        <w:tc>
          <w:tcPr>
            <w:tcW w:w="100" w:type="dxa"/>
            <w:vAlign w:val="bottom"/>
            <w:tcBorders>
              <w:right w:val="single" w:sz="8" w:color="auto"/>
            </w:tcBorders>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33,195</w:t>
            </w:r>
          </w:p>
        </w:tc>
        <w:tc>
          <w:tcPr>
            <w:tcW w:w="5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440" w:type="dxa"/>
            <w:vAlign w:val="bottom"/>
            <w:tcBorders>
              <w:right w:val="single" w:sz="8" w:color="CCEEFF"/>
            </w:tcBorders>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8"/>
              </w:rPr>
              <w:t>25,722</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53,047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35,026</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46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INTEREST</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right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right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right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40" w:type="dxa"/>
            <w:vAlign w:val="bottom"/>
            <w:gridSpan w:val="5"/>
          </w:tcPr>
          <w:p>
            <w:pPr>
              <w:ind w:left="40"/>
              <w:spacing w:after="0"/>
              <w:rPr>
                <w:sz w:val="20"/>
                <w:szCs w:val="20"/>
                <w:color w:val="auto"/>
              </w:rPr>
            </w:pPr>
            <w:r>
              <w:rPr>
                <w:rFonts w:ascii="Arial" w:cs="Arial" w:eastAsia="Arial" w:hAnsi="Arial"/>
                <w:sz w:val="18"/>
                <w:szCs w:val="18"/>
                <w:b w:val="1"/>
                <w:bCs w:val="1"/>
                <w:color w:val="auto"/>
              </w:rPr>
              <w:t>SUPPLEMENTAL SALES DATA</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5"/>
              </w:rPr>
              <w:t>Quarter Period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Year to Date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5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Market Classification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right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2016</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440" w:type="dxa"/>
            <w:vAlign w:val="bottom"/>
            <w:tcBorders>
              <w:right w:val="single" w:sz="8" w:color="auto"/>
            </w:tcBorders>
          </w:tcPr>
          <w:p>
            <w:pPr>
              <w:spacing w:after="0"/>
              <w:rPr>
                <w:sz w:val="17"/>
                <w:szCs w:val="17"/>
                <w:color w:val="auto"/>
              </w:rPr>
            </w:pP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right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1100" w:type="dxa"/>
            <w:vAlign w:val="bottom"/>
            <w:gridSpan w:val="3"/>
          </w:tcPr>
          <w:p>
            <w:pPr>
              <w:jc w:val="right"/>
              <w:ind w:right="310"/>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900" w:type="dxa"/>
            <w:vAlign w:val="bottom"/>
            <w:tcBorders>
              <w:bottom w:val="single" w:sz="8" w:color="CCEEFF"/>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500" w:type="dxa"/>
            <w:vAlign w:val="bottom"/>
            <w:tcBorders>
              <w:bottom w:val="single" w:sz="8" w:color="CCEEFF"/>
              <w:right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Retail</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406,738</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378,357</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8 %</w:t>
            </w:r>
          </w:p>
        </w:tc>
        <w:tc>
          <w:tcPr>
            <w:tcW w:w="20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677,481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609,804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5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Industrial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231,388</w:t>
            </w:r>
          </w:p>
        </w:tc>
        <w:tc>
          <w:tcPr>
            <w:tcW w:w="50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9"/>
              </w:rPr>
              <w:t>238,372</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435,632</w:t>
            </w: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448,388</w:t>
            </w:r>
          </w:p>
        </w:tc>
        <w:tc>
          <w:tcPr>
            <w:tcW w:w="12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right w:val="single" w:sz="8" w:color="auto"/>
            </w:tcBorders>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Borders>
              <w:right w:val="single" w:sz="8" w:color="auto"/>
            </w:tcBorders>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bottom w:val="single" w:sz="8" w:color="CCEEFF"/>
            </w:tcBorders>
            <w:shd w:val="clear" w:color="auto" w:fill="CCEEFF"/>
          </w:tcPr>
          <w:p>
            <w:pPr>
              <w:spacing w:after="0"/>
              <w:rPr>
                <w:sz w:val="23"/>
                <w:szCs w:val="23"/>
                <w:color w:val="auto"/>
              </w:rPr>
            </w:pPr>
          </w:p>
        </w:tc>
        <w:tc>
          <w:tcPr>
            <w:tcW w:w="3500" w:type="dxa"/>
            <w:vAlign w:val="bottom"/>
            <w:tcBorders>
              <w:bottom w:val="single" w:sz="8" w:color="CCEEFF"/>
              <w:right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Construction</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249,261</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2"/>
              </w:rPr>
              <w:t>234,112</w:t>
            </w: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6 %</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468,138</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434,418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Total Gross Sales</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887,387</w:t>
            </w: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9"/>
              </w:rPr>
              <w:t>850,841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4 %</w:t>
            </w: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1,581,251</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1,492,610</w:t>
            </w:r>
          </w:p>
        </w:tc>
        <w:tc>
          <w:tcPr>
            <w:tcW w:w="120" w:type="dxa"/>
            <w:vAlign w:val="bottom"/>
            <w:tcBorders>
              <w:top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right w:val="single" w:sz="8" w:color="auto"/>
            </w:tcBorders>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Borders>
              <w:right w:val="single" w:sz="8" w:color="auto"/>
            </w:tcBorders>
            <w:gridSpan w:val="3"/>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bottom w:val="single" w:sz="8" w:color="CCEEFF"/>
            </w:tcBorders>
            <w:shd w:val="clear" w:color="auto" w:fill="CCEEFF"/>
          </w:tcPr>
          <w:p>
            <w:pPr>
              <w:spacing w:after="0"/>
              <w:rPr>
                <w:sz w:val="23"/>
                <w:szCs w:val="23"/>
                <w:color w:val="auto"/>
              </w:rPr>
            </w:pPr>
          </w:p>
        </w:tc>
        <w:tc>
          <w:tcPr>
            <w:tcW w:w="3500" w:type="dxa"/>
            <w:vAlign w:val="bottom"/>
            <w:tcBorders>
              <w:bottom w:val="single" w:sz="8" w:color="CCEEFF"/>
              <w:right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Sales Allowances</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(12,670)</w:t>
            </w: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(27,007)</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(21,415)</w:t>
            </w:r>
          </w:p>
        </w:tc>
        <w:tc>
          <w:tcPr>
            <w:tcW w:w="5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bottom w:val="single" w:sz="8" w:color="auto"/>
            </w:tcBorders>
          </w:tcPr>
          <w:p>
            <w:pPr>
              <w:spacing w:after="0"/>
              <w:rPr>
                <w:sz w:val="24"/>
                <w:szCs w:val="24"/>
                <w:color w:val="auto"/>
              </w:rPr>
            </w:pPr>
          </w:p>
        </w:tc>
        <w:tc>
          <w:tcPr>
            <w:tcW w:w="35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Total Net Sales</w:t>
            </w: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872,093</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9"/>
              </w:rPr>
              <w:t>838,171</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1,554,244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1,471,195</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r>
        <w:rPr>
          <w:rFonts w:ascii="Arial" w:cs="Arial" w:eastAsia="Arial" w:hAnsi="Arial"/>
          <w:sz w:val="18"/>
          <w:szCs w:val="18"/>
          <w:b w:val="1"/>
          <w:bCs w:val="1"/>
          <w:color w:val="FFFFFF"/>
        </w:rPr>
        <w:t>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Page 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2016/2015</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2"/>
                <w:szCs w:val="22"/>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2"/>
                <w:szCs w:val="22"/>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2"/>
                <w:szCs w:val="22"/>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2"/>
                <w:szCs w:val="22"/>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87,517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24,756</w:t>
            </w:r>
          </w:p>
        </w:tc>
        <w:tc>
          <w:tcPr>
            <w:tcW w:w="286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Cash Overdraft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710</w:t>
            </w:r>
          </w:p>
        </w:tc>
        <w:tc>
          <w:tcPr>
            <w:tcW w:w="28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126,095</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114,354</w:t>
            </w:r>
          </w:p>
        </w:tc>
        <w:tc>
          <w:tcPr>
            <w:tcW w:w="0" w:type="dxa"/>
            <w:vAlign w:val="bottom"/>
          </w:tcPr>
          <w:p>
            <w:pPr>
              <w:spacing w:after="0"/>
              <w:rPr>
                <w:sz w:val="1"/>
                <w:szCs w:val="1"/>
                <w:color w:val="auto"/>
              </w:rPr>
            </w:pPr>
          </w:p>
        </w:tc>
      </w:tr>
      <w:tr>
        <w:trPr>
          <w:trHeight w:val="27"/>
        </w:trPr>
        <w:tc>
          <w:tcPr>
            <w:tcW w:w="2860" w:type="dxa"/>
            <w:vAlign w:val="bottom"/>
            <w:tcBorders>
              <w:left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9,740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111,995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97,069</w:t>
            </w: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318,505</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302,538</w:t>
            </w:r>
          </w:p>
        </w:tc>
        <w:tc>
          <w:tcPr>
            <w:tcW w:w="28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Current portion of debt</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1,093</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CCEEFF"/>
              <w:right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right w:val="single" w:sz="8" w:color="auto"/>
            </w:tcBorders>
          </w:tcPr>
          <w:p>
            <w:pPr>
              <w:spacing w:after="0"/>
              <w:rPr>
                <w:sz w:val="2"/>
                <w:szCs w:val="2"/>
                <w:color w:val="auto"/>
              </w:rPr>
            </w:pPr>
          </w:p>
        </w:tc>
        <w:tc>
          <w:tcPr>
            <w:tcW w:w="286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297,796</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330,235</w:t>
            </w:r>
          </w:p>
        </w:tc>
        <w:tc>
          <w:tcPr>
            <w:tcW w:w="286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15,238</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21,205</w:t>
            </w:r>
          </w:p>
        </w:tc>
        <w:tc>
          <w:tcPr>
            <w:tcW w:w="28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CCEEFF"/>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right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860" w:type="dxa"/>
            <w:vAlign w:val="bottom"/>
            <w:tcBorders>
              <w:left w:val="single" w:sz="8" w:color="auto"/>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286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21"/>
                <w:szCs w:val="21"/>
                <w:color w:val="auto"/>
              </w:rPr>
            </w:pPr>
          </w:p>
        </w:tc>
        <w:tc>
          <w:tcPr>
            <w:tcW w:w="1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729,705</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679,444</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239,183</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234,249</w:t>
            </w:r>
          </w:p>
        </w:tc>
        <w:tc>
          <w:tcPr>
            <w:tcW w:w="0" w:type="dxa"/>
            <w:vAlign w:val="bottom"/>
          </w:tcPr>
          <w:p>
            <w:pPr>
              <w:spacing w:after="0"/>
              <w:rPr>
                <w:sz w:val="1"/>
                <w:szCs w:val="1"/>
                <w:color w:val="auto"/>
              </w:rPr>
            </w:pPr>
          </w:p>
        </w:tc>
      </w:tr>
      <w:tr>
        <w:trPr>
          <w:trHeight w:val="27"/>
        </w:trPr>
        <w:tc>
          <w:tcPr>
            <w:tcW w:w="2860" w:type="dxa"/>
            <w:vAlign w:val="bottom"/>
            <w:tcBorders>
              <w:left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860" w:type="dxa"/>
            <w:vAlign w:val="bottom"/>
            <w:tcBorders>
              <w:left w:val="single" w:sz="8" w:color="auto"/>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286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21"/>
                <w:szCs w:val="21"/>
                <w:color w:val="auto"/>
              </w:rPr>
            </w:pPr>
          </w:p>
        </w:tc>
        <w:tc>
          <w:tcPr>
            <w:tcW w:w="1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10,011</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9,986</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LONG-TERM DEBT AND</w:t>
            </w:r>
          </w:p>
        </w:tc>
        <w:tc>
          <w:tcPr>
            <w:tcW w:w="30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197,891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192,505</w:t>
            </w:r>
          </w:p>
        </w:tc>
        <w:tc>
          <w:tcPr>
            <w:tcW w:w="2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84,530</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122,303</w:t>
            </w: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PROPERTY, PLANT</w:t>
            </w:r>
          </w:p>
        </w:tc>
        <w:tc>
          <w:tcPr>
            <w:tcW w:w="34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21"/>
                <w:szCs w:val="21"/>
                <w:color w:val="auto"/>
              </w:rPr>
            </w:pP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51,158</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50,302</w:t>
            </w:r>
          </w:p>
        </w:tc>
        <w:tc>
          <w:tcPr>
            <w:tcW w:w="0" w:type="dxa"/>
            <w:vAlign w:val="bottom"/>
          </w:tcPr>
          <w:p>
            <w:pPr>
              <w:spacing w:after="0"/>
              <w:rPr>
                <w:sz w:val="1"/>
                <w:szCs w:val="1"/>
                <w:color w:val="auto"/>
              </w:rPr>
            </w:pPr>
          </w:p>
        </w:tc>
      </w:tr>
      <w:tr>
        <w:trPr>
          <w:trHeight w:val="27"/>
        </w:trPr>
        <w:tc>
          <w:tcPr>
            <w:tcW w:w="2860" w:type="dxa"/>
            <w:vAlign w:val="bottom"/>
            <w:tcBorders>
              <w:left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AND EQUIPMENT,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256,899</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257,731</w:t>
            </w:r>
          </w:p>
        </w:tc>
        <w:tc>
          <w:tcPr>
            <w:tcW w:w="28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819,635</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318"/>
        </w:trPr>
        <w:tc>
          <w:tcPr>
            <w:tcW w:w="2860" w:type="dxa"/>
            <w:vAlign w:val="bottom"/>
            <w:tcBorders>
              <w:left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60" w:type="dxa"/>
            <w:vAlign w:val="bottom"/>
            <w:tcBorders>
              <w:left w:val="single" w:sz="8" w:color="auto"/>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286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Borders>
              <w:left w:val="single" w:sz="8" w:color="auto"/>
              <w:right w:val="single" w:sz="8" w:color="auto"/>
            </w:tcBorders>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1,194,506</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1,139,666</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1,194,506</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1,139,666</w:t>
            </w:r>
          </w:p>
        </w:tc>
        <w:tc>
          <w:tcPr>
            <w:tcW w:w="0" w:type="dxa"/>
            <w:vAlign w:val="bottom"/>
          </w:tcPr>
          <w:p>
            <w:pPr>
              <w:spacing w:after="0"/>
              <w:rPr>
                <w:sz w:val="1"/>
                <w:szCs w:val="1"/>
                <w:color w:val="auto"/>
              </w:rPr>
            </w:pPr>
          </w:p>
        </w:tc>
      </w:tr>
      <w:tr>
        <w:trPr>
          <w:trHeight w:val="281"/>
        </w:trPr>
        <w:tc>
          <w:tcPr>
            <w:tcW w:w="2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EQUITY</w:t>
            </w:r>
          </w:p>
        </w:tc>
        <w:tc>
          <w:tcPr>
            <w:tcW w:w="3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r>
        <w:rPr>
          <w:rFonts w:ascii="Arial" w:cs="Arial" w:eastAsia="Arial" w:hAnsi="Arial"/>
          <w:sz w:val="18"/>
          <w:szCs w:val="18"/>
          <w:b w:val="1"/>
          <w:bCs w:val="1"/>
          <w:color w:val="FFFFFF"/>
        </w:rPr>
        <w:t>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Page 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2016/2015</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7"/>
        </w:trPr>
        <w:tc>
          <w:tcPr>
            <w:tcW w:w="8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54,493</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37,688</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3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19,178</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18,406</w:t>
            </w:r>
          </w:p>
        </w:tc>
      </w:tr>
      <w:tr>
        <w:trPr>
          <w:trHeight w:val="243"/>
        </w:trPr>
        <w:tc>
          <w:tcPr>
            <w:tcW w:w="8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1,285</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1,888</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Expense associated with share-based compensation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977</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874</w:t>
            </w:r>
          </w:p>
        </w:tc>
      </w:tr>
      <w:tr>
        <w:trPr>
          <w:trHeight w:val="243"/>
        </w:trPr>
        <w:tc>
          <w:tcPr>
            <w:tcW w:w="822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Expense tax benefits from share-based compensation arrangements</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Expense associated with stock grant plans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822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Deferred income tax credit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Equity in earnings of investee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822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Net loss (gain) on disposition and impairment of assets</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Changes in: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82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(95,198)</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(104,929)</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7,564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9,806</w:t>
            </w:r>
          </w:p>
        </w:tc>
      </w:tr>
      <w:tr>
        <w:trPr>
          <w:trHeight w:val="243"/>
        </w:trPr>
        <w:tc>
          <w:tcPr>
            <w:tcW w:w="82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Accounts payable and cash overdraft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31,320</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45,798</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70"/>
        </w:trPr>
        <w:tc>
          <w:tcPr>
            <w:tcW w:w="8220" w:type="dxa"/>
            <w:vAlign w:val="bottom"/>
            <w:tcBorders>
              <w:left w:val="single" w:sz="8" w:color="auto"/>
              <w:bottom w:val="single" w:sz="8" w:color="CCEEFF"/>
              <w:righ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Accrued liabilities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20,439</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27,625</w:t>
            </w:r>
          </w:p>
        </w:tc>
      </w:tr>
      <w:tr>
        <w:trPr>
          <w:trHeight w:val="237"/>
        </w:trPr>
        <w:tc>
          <w:tcPr>
            <w:tcW w:w="822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NET CASH FROM OPERATING ACTIVITIES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40,041</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36,822</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84"/>
        </w:trPr>
        <w:tc>
          <w:tcPr>
            <w:tcW w:w="8220" w:type="dxa"/>
            <w:vAlign w:val="bottom"/>
            <w:tcBorders>
              <w:left w:val="single" w:sz="8" w:color="auto"/>
              <w:right w:val="single" w:sz="8" w:color="auto"/>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(27,756)</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1,085</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received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Purchases of noncontrolling interest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(1,256)</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Advances of notes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Collections of notes receivable and related interest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3,731</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7,059</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Proceeds from sale of investments</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901</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restricted as to use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220" w:type="dxa"/>
            <w:vAlign w:val="bottom"/>
            <w:tcBorders>
              <w:left w:val="single" w:sz="8" w:color="auto"/>
              <w:bottom w:val="single" w:sz="8" w:color="CCEEFF"/>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44"/>
        </w:trPr>
        <w:tc>
          <w:tcPr>
            <w:tcW w:w="8220" w:type="dxa"/>
            <w:vAlign w:val="bottom"/>
            <w:tcBorders>
              <w:left w:val="single" w:sz="8" w:color="auto"/>
              <w:bottom w:val="single" w:sz="8" w:color="CCEEFF"/>
              <w:right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(26,898)</w:t>
            </w:r>
          </w:p>
        </w:tc>
      </w:tr>
      <w:tr>
        <w:trPr>
          <w:trHeight w:val="284"/>
        </w:trPr>
        <w:tc>
          <w:tcPr>
            <w:tcW w:w="822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Borrowings under revolving credit facilities</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3,162</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259,734</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Repayments under revolving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(235,993)</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724</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Dividends paid to shareholders</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(8,050)</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5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8220" w:type="dxa"/>
            <w:vAlign w:val="bottom"/>
            <w:tcBorders>
              <w:left w:val="single" w:sz="8" w:color="auto"/>
              <w:bottom w:val="single" w:sz="8" w:color="CCEEFF"/>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44"/>
        </w:trPr>
        <w:tc>
          <w:tcPr>
            <w:tcW w:w="8220" w:type="dxa"/>
            <w:vAlign w:val="bottom"/>
            <w:tcBorders>
              <w:left w:val="single" w:sz="8" w:color="auto"/>
              <w:bottom w:val="single" w:sz="8" w:color="CCEEFF"/>
              <w:right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15,112</w:t>
            </w:r>
          </w:p>
        </w:tc>
      </w:tr>
      <w:tr>
        <w:trPr>
          <w:trHeight w:val="284"/>
        </w:trPr>
        <w:tc>
          <w:tcPr>
            <w:tcW w:w="822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r>
      <w:tr>
        <w:trPr>
          <w:trHeight w:val="270"/>
        </w:trPr>
        <w:tc>
          <w:tcPr>
            <w:tcW w:w="8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24,756</w:t>
            </w:r>
          </w:p>
        </w:tc>
      </w:tr>
      <w:tr>
        <w:trPr>
          <w:trHeight w:val="27"/>
        </w:trPr>
        <w:tc>
          <w:tcPr>
            <w:tcW w:w="8220" w:type="dxa"/>
            <w:vAlign w:val="bottom"/>
            <w:tcBorders>
              <w:left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r>
      <w:tr>
        <w:trPr>
          <w:trHeight w:val="284"/>
        </w:trPr>
        <w:tc>
          <w:tcPr>
            <w:tcW w:w="8220" w:type="dxa"/>
            <w:vAlign w:val="bottom"/>
            <w:tcBorders>
              <w:left w:val="single" w:sz="8" w:color="auto"/>
              <w:right w:val="single" w:sz="8" w:color="auto"/>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r>
      <w:tr>
        <w:trPr>
          <w:trHeight w:val="243"/>
        </w:trPr>
        <w:tc>
          <w:tcPr>
            <w:tcW w:w="8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87,756</w:t>
            </w:r>
          </w:p>
        </w:tc>
        <w:tc>
          <w:tcPr>
            <w:tcW w:w="340" w:type="dxa"/>
            <w:vAlign w:val="bottom"/>
          </w:tcPr>
          <w:p>
            <w:pPr>
              <w:spacing w:after="0"/>
              <w:rPr>
                <w:sz w:val="21"/>
                <w:szCs w:val="21"/>
                <w:color w:val="auto"/>
              </w:rPr>
            </w:pP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left w:val="single" w:sz="8" w:color="auto"/>
              <w:bottom w:val="single" w:sz="8" w:color="CCEEFF"/>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77"/>
        </w:trPr>
        <w:tc>
          <w:tcPr>
            <w:tcW w:w="8220" w:type="dxa"/>
            <w:vAlign w:val="bottom"/>
            <w:tcBorders>
              <w:left w:val="single" w:sz="8" w:color="auto"/>
              <w:right w:val="single" w:sz="8" w:color="auto"/>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r>
      <w:tr>
        <w:trPr>
          <w:trHeight w:val="304"/>
        </w:trPr>
        <w:tc>
          <w:tcPr>
            <w:tcW w:w="8220" w:type="dxa"/>
            <w:vAlign w:val="bottom"/>
            <w:tcBorders>
              <w:left w:val="single" w:sz="8" w:color="auto"/>
              <w:bottom w:val="single" w:sz="8" w:color="CCEEFF"/>
              <w:right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87,517</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24,756</w:t>
            </w:r>
          </w:p>
        </w:tc>
      </w:tr>
      <w:tr>
        <w:trPr>
          <w:trHeight w:val="271"/>
        </w:trPr>
        <w:tc>
          <w:tcPr>
            <w:tcW w:w="822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right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right w:val="single" w:sz="8" w:color="auto"/>
            </w:tcBorders>
            <w:shd w:val="clear" w:color="auto" w:fill="CCEEFF"/>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40"/>
      </w:cols>
      <w:pgMar w:left="240" w:top="121" w:right="219" w:bottom="68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2019-12-06T03:49:01Z</dcterms:created>
  <dcterms:modified xsi:type="dcterms:W3CDTF">2019-12-06T03:49:01Z</dcterms:modified>
</cp:coreProperties>
</file>