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20"/>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120" w:type="dxa"/>
            <w:vAlign w:val="bottom"/>
          </w:tcPr>
          <w:p>
            <w:pPr>
              <w:spacing w:after="0" w:line="20" w:lineRule="exact"/>
              <w:rPr>
                <w:sz w:val="1"/>
                <w:szCs w:val="1"/>
                <w:color w:val="auto"/>
              </w:rPr>
            </w:pPr>
          </w:p>
        </w:tc>
        <w:tc>
          <w:tcPr>
            <w:tcW w:w="6240" w:type="dxa"/>
            <w:vAlign w:val="bottom"/>
            <w:gridSpan w:val="19"/>
            <w:vMerge w:val="restart"/>
          </w:tcPr>
          <w:p>
            <w:pPr>
              <w:jc w:val="center"/>
              <w:ind w:right="70"/>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24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120" w:type="dxa"/>
            <w:vAlign w:val="bottom"/>
          </w:tcPr>
          <w:p>
            <w:pPr>
              <w:spacing w:after="0"/>
              <w:rPr>
                <w:sz w:val="5"/>
                <w:szCs w:val="5"/>
                <w:color w:val="auto"/>
              </w:rPr>
            </w:pPr>
          </w:p>
        </w:tc>
        <w:tc>
          <w:tcPr>
            <w:tcW w:w="624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440" w:type="dxa"/>
            <w:vAlign w:val="bottom"/>
            <w:gridSpan w:val="16"/>
            <w:vMerge w:val="restart"/>
          </w:tcPr>
          <w:p>
            <w:pPr>
              <w:jc w:val="center"/>
              <w:ind w:left="591"/>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120" w:type="dxa"/>
            <w:vAlign w:val="bottom"/>
          </w:tcPr>
          <w:p>
            <w:pPr>
              <w:spacing w:after="0"/>
              <w:rPr>
                <w:sz w:val="21"/>
                <w:szCs w:val="21"/>
                <w:color w:val="auto"/>
              </w:rPr>
            </w:pPr>
          </w:p>
        </w:tc>
        <w:tc>
          <w:tcPr>
            <w:tcW w:w="544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4"/>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GREENE CHARLES SCOTT</w:t>
              </w:r>
            </w:hyperlink>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Borders>
              <w:bottom w:val="single" w:sz="8" w:color="0000EE"/>
            </w:tcBorders>
            <w:gridSpan w:val="4"/>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gridSpan w:val="4"/>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restart"/>
          </w:tcPr>
          <w:p>
            <w:pPr>
              <w:ind w:left="340"/>
              <w:spacing w:after="0" w:line="195" w:lineRule="exact"/>
              <w:rPr>
                <w:sz w:val="20"/>
                <w:szCs w:val="20"/>
                <w:color w:val="auto"/>
              </w:rPr>
            </w:pPr>
            <w:r>
              <w:rPr>
                <w:rFonts w:ascii="Arial" w:cs="Arial" w:eastAsia="Arial" w:hAnsi="Arial"/>
                <w:sz w:val="18"/>
                <w:szCs w:val="18"/>
                <w:color w:val="0000FF"/>
              </w:rPr>
              <w:t>President, UFP Eastern Div.</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2801 EAST BELTLINE, N.E.</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12/25/2010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7"/>
              </w:rPr>
              <w:t>31,734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20" w:type="dxa"/>
            <w:vAlign w:val="bottom"/>
            <w:gridSpan w:val="2"/>
          </w:tcPr>
          <w:p>
            <w:pPr>
              <w:jc w:val="right"/>
              <w:ind w:right="51"/>
              <w:spacing w:after="0"/>
              <w:rPr>
                <w:sz w:val="20"/>
                <w:szCs w:val="20"/>
                <w:color w:val="auto"/>
              </w:rPr>
            </w:pPr>
            <w:r>
              <w:rPr>
                <w:rFonts w:ascii="Arial" w:cs="Arial" w:eastAsia="Arial" w:hAnsi="Arial"/>
                <w:sz w:val="18"/>
                <w:szCs w:val="18"/>
                <w:color w:val="0000FF"/>
              </w:rPr>
              <w:t>12/25/2010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54"/>
              <w:spacing w:after="0"/>
              <w:rPr>
                <w:sz w:val="20"/>
                <w:szCs w:val="20"/>
                <w:color w:val="auto"/>
              </w:rPr>
            </w:pPr>
            <w:r>
              <w:rPr>
                <w:rFonts w:ascii="Arial" w:cs="Arial" w:eastAsia="Arial" w:hAnsi="Arial"/>
                <w:sz w:val="18"/>
                <w:szCs w:val="18"/>
                <w:color w:val="0000FF"/>
              </w:rPr>
              <w:t>635</w:t>
            </w:r>
          </w:p>
        </w:tc>
        <w:tc>
          <w:tcPr>
            <w:tcW w:w="540" w:type="dxa"/>
            <w:vAlign w:val="bottom"/>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7"/>
              </w:rPr>
              <w:t>14,438</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30"/>
              <w:spacing w:after="0"/>
              <w:rPr>
                <w:sz w:val="20"/>
                <w:szCs w:val="20"/>
                <w:color w:val="auto"/>
              </w:rPr>
            </w:pPr>
            <w:r>
              <w:rPr>
                <w:rFonts w:ascii="Arial" w:cs="Arial" w:eastAsia="Arial" w:hAnsi="Arial"/>
                <w:sz w:val="18"/>
                <w:szCs w:val="18"/>
                <w:color w:val="0000FF"/>
                <w:w w:val="86"/>
              </w:rPr>
              <w:t>359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IRA</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20" w:type="dxa"/>
            <w:vAlign w:val="bottom"/>
            <w:gridSpan w:val="2"/>
            <w:vMerge w:val="restart"/>
          </w:tcPr>
          <w:p>
            <w:pPr>
              <w:jc w:val="right"/>
              <w:ind w:right="51"/>
              <w:spacing w:after="0"/>
              <w:rPr>
                <w:sz w:val="20"/>
                <w:szCs w:val="20"/>
                <w:color w:val="auto"/>
              </w:rPr>
            </w:pPr>
            <w:r>
              <w:rPr>
                <w:rFonts w:ascii="Arial" w:cs="Arial" w:eastAsia="Arial" w:hAnsi="Arial"/>
                <w:sz w:val="18"/>
                <w:szCs w:val="18"/>
                <w:color w:val="0000FF"/>
              </w:rPr>
              <w:t>12/15/2010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94"/>
              <w:spacing w:after="0"/>
              <w:rPr>
                <w:sz w:val="20"/>
                <w:szCs w:val="20"/>
                <w:color w:val="auto"/>
              </w:rPr>
            </w:pPr>
            <w:r>
              <w:rPr>
                <w:rFonts w:ascii="Arial" w:cs="Arial" w:eastAsia="Arial" w:hAnsi="Arial"/>
                <w:sz w:val="18"/>
                <w:szCs w:val="18"/>
                <w:color w:val="0000FF"/>
              </w:rPr>
              <w:t>22</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37.18</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0000FF"/>
                <w:w w:val="88"/>
              </w:rPr>
              <w:t>2,029</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1"/>
          </w:tcPr>
          <w:p>
            <w:pPr>
              <w:jc w:val="center"/>
              <w:ind w:left="7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16"/>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12/15/2010</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241</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241</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21,703</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12/15/2010</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37</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Arial" w:cs="Arial" w:eastAsia="Arial" w:hAnsi="Arial"/>
                <w:sz w:val="14"/>
                <w:szCs w:val="14"/>
                <w:color w:val="0000FF"/>
                <w:w w:val="76"/>
              </w:rPr>
              <w:t>37</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3,340</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-7232650</wp:posOffset>
            </wp:positionV>
            <wp:extent cx="7297420" cy="728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28916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Stock Bonus Plan and are payable in cash or shares of the Company's common stock until the reporting person's death, disability or retirement.</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Charles</w:t>
      </w:r>
      <w:r>
        <w:rPr>
          <w:sz w:val="20"/>
          <w:szCs w:val="20"/>
          <w:color w:val="auto"/>
        </w:rPr>
        <w:tab/>
      </w:r>
      <w:r>
        <w:rPr>
          <w:rFonts w:ascii="Arial" w:cs="Arial" w:eastAsia="Arial" w:hAnsi="Arial"/>
          <w:sz w:val="15"/>
          <w:szCs w:val="15"/>
          <w:color w:val="0000FF"/>
        </w:rPr>
        <w:t>02/03/2011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Scott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81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9603"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2019-12-16T09:50:28Z</dcterms:created>
  <dcterms:modified xsi:type="dcterms:W3CDTF">2019-12-16T09:50:28Z</dcterms:modified>
</cp:coreProperties>
</file>