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903605</wp:posOffset>
            </wp:positionH>
            <wp:positionV relativeFrom="page">
              <wp:posOffset>363220</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397510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color w:val="auto"/>
        </w:rPr>
        <w:t>‑</w:t>
      </w:r>
      <w:r>
        <w:rPr>
          <w:rFonts w:ascii="Arial" w:cs="Arial" w:eastAsia="Arial" w:hAnsi="Arial"/>
          <w:sz w:val="32"/>
          <w:szCs w:val="32"/>
          <w:b w:val="1"/>
          <w:bCs w:val="1"/>
          <w:color w:val="auto"/>
        </w:rPr>
        <w:t>K</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18, 2018</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2940" w:type="dxa"/>
            <w:vAlign w:val="bottom"/>
          </w:tcPr>
          <w:p>
            <w:pPr>
              <w:jc w:val="center"/>
              <w:ind w:right="730"/>
              <w:spacing w:after="0"/>
              <w:rPr>
                <w:sz w:val="20"/>
                <w:szCs w:val="20"/>
                <w:color w:val="auto"/>
              </w:rPr>
            </w:pPr>
            <w:r>
              <w:rPr>
                <w:rFonts w:ascii="Arial" w:cs="Arial" w:eastAsia="Arial" w:hAnsi="Arial"/>
                <w:sz w:val="18"/>
                <w:szCs w:val="18"/>
                <w:b w:val="1"/>
                <w:bCs w:val="1"/>
                <w:color w:val="auto"/>
                <w:w w:val="92"/>
              </w:rPr>
              <w:t>Michigan</w:t>
            </w:r>
          </w:p>
        </w:tc>
        <w:tc>
          <w:tcPr>
            <w:tcW w:w="252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217"/>
        </w:trPr>
        <w:tc>
          <w:tcPr>
            <w:tcW w:w="294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2520" w:type="dxa"/>
            <w:vAlign w:val="bottom"/>
          </w:tcPr>
          <w:p>
            <w:pPr>
              <w:jc w:val="right"/>
              <w:ind w:right="990"/>
              <w:spacing w:after="0"/>
              <w:rPr>
                <w:sz w:val="20"/>
                <w:szCs w:val="20"/>
                <w:color w:val="auto"/>
              </w:rPr>
            </w:pPr>
            <w:r>
              <w:rPr>
                <w:rFonts w:ascii="Arial" w:cs="Arial" w:eastAsia="Arial" w:hAnsi="Arial"/>
                <w:sz w:val="18"/>
                <w:szCs w:val="18"/>
                <w:b w:val="1"/>
                <w:bCs w:val="1"/>
                <w:color w:val="auto"/>
              </w:rPr>
              <w:t>0-22684</w:t>
            </w:r>
          </w:p>
        </w:tc>
        <w:tc>
          <w:tcPr>
            <w:tcW w:w="2880" w:type="dxa"/>
            <w:vAlign w:val="bottom"/>
          </w:tcPr>
          <w:p>
            <w:pPr>
              <w:jc w:val="right"/>
              <w:ind w:right="710"/>
              <w:spacing w:after="0"/>
              <w:rPr>
                <w:sz w:val="20"/>
                <w:szCs w:val="20"/>
                <w:color w:val="auto"/>
              </w:rPr>
            </w:pPr>
            <w:r>
              <w:rPr>
                <w:rFonts w:ascii="Arial" w:cs="Arial" w:eastAsia="Arial" w:hAnsi="Arial"/>
                <w:sz w:val="18"/>
                <w:szCs w:val="18"/>
                <w:b w:val="1"/>
                <w:bCs w:val="1"/>
                <w:color w:val="auto"/>
              </w:rPr>
              <w:t>38-1465835</w:t>
            </w:r>
          </w:p>
        </w:tc>
      </w:tr>
      <w:tr>
        <w:trPr>
          <w:trHeight w:val="270"/>
        </w:trPr>
        <w:tc>
          <w:tcPr>
            <w:tcW w:w="2940" w:type="dxa"/>
            <w:vAlign w:val="bottom"/>
          </w:tcPr>
          <w:p>
            <w:pPr>
              <w:jc w:val="center"/>
              <w:ind w:right="730"/>
              <w:spacing w:after="0"/>
              <w:rPr>
                <w:sz w:val="20"/>
                <w:szCs w:val="20"/>
                <w:color w:val="auto"/>
              </w:rPr>
            </w:pPr>
            <w:r>
              <w:rPr>
                <w:rFonts w:ascii="Arial" w:cs="Arial" w:eastAsia="Arial" w:hAnsi="Arial"/>
                <w:sz w:val="18"/>
                <w:szCs w:val="18"/>
                <w:color w:val="auto"/>
                <w:w w:val="93"/>
              </w:rPr>
              <w:t>Incorporation)</w:t>
            </w:r>
          </w:p>
        </w:tc>
        <w:tc>
          <w:tcPr>
            <w:tcW w:w="2520" w:type="dxa"/>
            <w:vAlign w:val="bottom"/>
          </w:tcPr>
          <w:p>
            <w:pPr>
              <w:jc w:val="center"/>
              <w:ind w:right="170"/>
              <w:spacing w:after="0"/>
              <w:rPr>
                <w:sz w:val="20"/>
                <w:szCs w:val="20"/>
                <w:color w:val="auto"/>
              </w:rPr>
            </w:pPr>
            <w:r>
              <w:rPr>
                <w:rFonts w:ascii="Arial" w:cs="Arial" w:eastAsia="Arial" w:hAnsi="Arial"/>
                <w:sz w:val="18"/>
                <w:szCs w:val="18"/>
                <w:color w:val="auto"/>
                <w:w w:val="92"/>
              </w:rPr>
              <w:t>(Commission File Number)</w:t>
            </w:r>
          </w:p>
        </w:tc>
        <w:tc>
          <w:tcPr>
            <w:tcW w:w="2880" w:type="dxa"/>
            <w:vAlign w:val="bottom"/>
          </w:tcPr>
          <w:p>
            <w:pPr>
              <w:jc w:val="center"/>
              <w:ind w:left="310"/>
              <w:spacing w:after="0"/>
              <w:rPr>
                <w:sz w:val="20"/>
                <w:szCs w:val="20"/>
                <w:color w:val="auto"/>
              </w:rPr>
            </w:pPr>
            <w:r>
              <w:rPr>
                <w:rFonts w:ascii="Arial" w:cs="Arial" w:eastAsia="Arial" w:hAnsi="Arial"/>
                <w:sz w:val="18"/>
                <w:szCs w:val="18"/>
                <w:color w:val="auto"/>
                <w:w w:val="94"/>
              </w:rPr>
              <w:t>(IRS Employer Identification No.)</w:t>
            </w:r>
          </w:p>
        </w:tc>
      </w:tr>
      <w:tr>
        <w:trPr>
          <w:trHeight w:val="454"/>
        </w:trPr>
        <w:tc>
          <w:tcPr>
            <w:tcW w:w="2940" w:type="dxa"/>
            <w:vAlign w:val="bottom"/>
          </w:tcPr>
          <w:p>
            <w:pPr>
              <w:jc w:val="center"/>
              <w:ind w:left="650"/>
              <w:spacing w:after="0"/>
              <w:rPr>
                <w:sz w:val="20"/>
                <w:szCs w:val="20"/>
                <w:color w:val="auto"/>
              </w:rPr>
            </w:pPr>
            <w:r>
              <w:rPr>
                <w:rFonts w:ascii="Arial" w:cs="Arial" w:eastAsia="Arial" w:hAnsi="Arial"/>
                <w:sz w:val="18"/>
                <w:szCs w:val="18"/>
                <w:b w:val="1"/>
                <w:bCs w:val="1"/>
                <w:color w:val="auto"/>
                <w:w w:val="91"/>
              </w:rPr>
              <w:t>2801 East Beltline, NE</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0"/>
        </w:trPr>
        <w:tc>
          <w:tcPr>
            <w:tcW w:w="2940" w:type="dxa"/>
            <w:vAlign w:val="bottom"/>
          </w:tcPr>
          <w:p>
            <w:pPr>
              <w:jc w:val="center"/>
              <w:ind w:left="650"/>
              <w:spacing w:after="0"/>
              <w:rPr>
                <w:sz w:val="20"/>
                <w:szCs w:val="20"/>
                <w:color w:val="auto"/>
              </w:rPr>
            </w:pPr>
            <w:r>
              <w:rPr>
                <w:rFonts w:ascii="Arial" w:cs="Arial" w:eastAsia="Arial" w:hAnsi="Arial"/>
                <w:sz w:val="18"/>
                <w:szCs w:val="18"/>
                <w:b w:val="1"/>
                <w:bCs w:val="1"/>
                <w:color w:val="auto"/>
                <w:w w:val="93"/>
              </w:rPr>
              <w:t>Grand Rapids, Michigan</w:t>
            </w:r>
          </w:p>
        </w:tc>
        <w:tc>
          <w:tcPr>
            <w:tcW w:w="2520" w:type="dxa"/>
            <w:vAlign w:val="bottom"/>
          </w:tcPr>
          <w:p>
            <w:pPr>
              <w:spacing w:after="0"/>
              <w:rPr>
                <w:sz w:val="19"/>
                <w:szCs w:val="19"/>
                <w:color w:val="auto"/>
              </w:rPr>
            </w:pPr>
          </w:p>
        </w:tc>
        <w:tc>
          <w:tcPr>
            <w:tcW w:w="2880" w:type="dxa"/>
            <w:vAlign w:val="bottom"/>
          </w:tcPr>
          <w:p>
            <w:pPr>
              <w:jc w:val="right"/>
              <w:ind w:right="1630"/>
              <w:spacing w:after="0"/>
              <w:rPr>
                <w:sz w:val="20"/>
                <w:szCs w:val="20"/>
                <w:color w:val="auto"/>
              </w:rPr>
            </w:pPr>
            <w:r>
              <w:rPr>
                <w:rFonts w:ascii="Arial" w:cs="Arial" w:eastAsia="Arial" w:hAnsi="Arial"/>
                <w:sz w:val="18"/>
                <w:szCs w:val="18"/>
                <w:b w:val="1"/>
                <w:bCs w:val="1"/>
                <w:color w:val="auto"/>
              </w:rPr>
              <w:t>49525</w:t>
            </w:r>
          </w:p>
        </w:tc>
      </w:tr>
      <w:tr>
        <w:trPr>
          <w:trHeight w:val="230"/>
        </w:trPr>
        <w:tc>
          <w:tcPr>
            <w:tcW w:w="5460" w:type="dxa"/>
            <w:vAlign w:val="bottom"/>
            <w:gridSpan w:val="2"/>
          </w:tcPr>
          <w:p>
            <w:pPr>
              <w:jc w:val="center"/>
              <w:ind w:right="169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jc w:val="center"/>
              <w:ind w:right="910"/>
              <w:spacing w:after="0"/>
              <w:rPr>
                <w:sz w:val="20"/>
                <w:szCs w:val="20"/>
                <w:color w:val="auto"/>
              </w:rPr>
            </w:pPr>
            <w:r>
              <w:rPr>
                <w:rFonts w:ascii="Arial" w:cs="Arial" w:eastAsia="Arial" w:hAnsi="Arial"/>
                <w:sz w:val="18"/>
                <w:szCs w:val="18"/>
                <w:color w:val="auto"/>
                <w:w w:val="94"/>
              </w:rPr>
              <w:t>(Zip Code)</w:t>
            </w:r>
          </w:p>
        </w:tc>
      </w:tr>
    </w:tbl>
    <w:p>
      <w:pPr>
        <w:spacing w:after="0" w:line="184"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171"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520" w:hanging="517"/>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520" w:hanging="517"/>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520" w:hanging="517"/>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69" w:lineRule="exact"/>
        <w:rPr>
          <w:rFonts w:ascii="MS PGothic" w:cs="MS PGothic" w:eastAsia="MS PGothic" w:hAnsi="MS PGothic"/>
          <w:sz w:val="17"/>
          <w:szCs w:val="17"/>
          <w:color w:val="auto"/>
        </w:rPr>
      </w:pPr>
    </w:p>
    <w:p>
      <w:pPr>
        <w:ind w:left="520" w:hanging="517"/>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69"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575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623570</wp:posOffset>
            </wp:positionV>
            <wp:extent cx="57543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778" w:right="141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July 18, 2018, the Registrant issued a press release announcing its financial results for the quarter-ended June 30,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Registrant’s press release is attached as Exhibit 99(a) to this Current Report.</w:t>
      </w:r>
    </w:p>
    <w:p>
      <w:pPr>
        <w:spacing w:after="0" w:line="20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Pro Forma Financial Information, and Exhibits</w:t>
      </w:r>
    </w:p>
    <w:p>
      <w:pPr>
        <w:spacing w:after="0" w:line="283" w:lineRule="exact"/>
        <w:rPr>
          <w:sz w:val="20"/>
          <w:szCs w:val="20"/>
          <w:color w:val="auto"/>
        </w:rPr>
      </w:pPr>
    </w:p>
    <w:p>
      <w:pPr>
        <w:ind w:left="1280" w:hanging="629"/>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Press Release dated July 18, 2018.</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53"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Document</w:t>
            </w:r>
          </w:p>
        </w:tc>
      </w:tr>
      <w:tr>
        <w:trPr>
          <w:trHeight w:val="169"/>
        </w:trPr>
        <w:tc>
          <w:tcPr>
            <w:tcW w:w="20" w:type="dxa"/>
            <w:vAlign w:val="bottom"/>
          </w:tcPr>
          <w:p>
            <w:pPr>
              <w:spacing w:after="0"/>
              <w:rPr>
                <w:sz w:val="14"/>
                <w:szCs w:val="14"/>
                <w:color w:val="auto"/>
              </w:rPr>
            </w:pPr>
          </w:p>
        </w:tc>
        <w:tc>
          <w:tcPr>
            <w:tcW w:w="14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99(a)</w:t>
            </w:r>
          </w:p>
        </w:tc>
        <w:tc>
          <w:tcPr>
            <w:tcW w:w="440" w:type="dxa"/>
            <w:vAlign w:val="bottom"/>
          </w:tcPr>
          <w:p>
            <w:pPr>
              <w:spacing w:after="0"/>
              <w:rPr>
                <w:sz w:val="14"/>
                <w:szCs w:val="14"/>
                <w:color w:val="auto"/>
              </w:rPr>
            </w:pPr>
          </w:p>
        </w:tc>
        <w:tc>
          <w:tcPr>
            <w:tcW w:w="718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July 18, 2018</w:t>
              </w:r>
            </w:hyperlink>
            <w:r>
              <w:rPr>
                <w:rFonts w:ascii="Arial" w:cs="Arial" w:eastAsia="Arial" w:hAnsi="Arial"/>
                <w:sz w:val="18"/>
                <w:szCs w:val="18"/>
                <w:color w:val="000000"/>
              </w:rPr>
              <w:t>.</w:t>
            </w: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53" w:right="1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UNIVERSAL FOREST PRODUCTS, INC.</w:t>
      </w:r>
    </w:p>
    <w:p>
      <w:pPr>
        <w:spacing w:after="0" w:line="5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ind w:left="60"/>
        <w:spacing w:after="0"/>
        <w:tabs>
          <w:tab w:leader="none" w:pos="4380" w:val="left"/>
          <w:tab w:leader="none" w:pos="4900" w:val="left"/>
        </w:tabs>
        <w:rPr>
          <w:sz w:val="20"/>
          <w:szCs w:val="20"/>
          <w:color w:val="auto"/>
        </w:rPr>
      </w:pPr>
      <w:r>
        <w:rPr>
          <w:rFonts w:ascii="Arial" w:cs="Arial" w:eastAsia="Arial" w:hAnsi="Arial"/>
          <w:sz w:val="18"/>
          <w:szCs w:val="18"/>
          <w:color w:val="auto"/>
        </w:rPr>
        <w:t>Dated: July 18,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-130175</wp:posOffset>
            </wp:positionV>
            <wp:extent cx="2667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53" w:right="1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61225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5143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4871720</wp:posOffset>
            </wp:positionH>
            <wp:positionV relativeFrom="paragraph">
              <wp:posOffset>154940</wp:posOffset>
            </wp:positionV>
            <wp:extent cx="1732280" cy="643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3228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News release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---------------AT THE COMPANY---------------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Lynn Afendoulis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365-1502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Wednesday, July 18, 2018</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UFPI posts record second-quarter earnings and sales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Second quarter marks three years of consecutive quarterly records -</w:t>
      </w:r>
    </w:p>
    <w:p>
      <w:pPr>
        <w:spacing w:after="0" w:line="200" w:lineRule="exact"/>
        <w:rPr>
          <w:sz w:val="20"/>
          <w:szCs w:val="20"/>
          <w:color w:val="auto"/>
        </w:rPr>
      </w:pPr>
    </w:p>
    <w:p>
      <w:pPr>
        <w:spacing w:after="0" w:line="252" w:lineRule="exact"/>
        <w:rPr>
          <w:sz w:val="20"/>
          <w:szCs w:val="20"/>
          <w:color w:val="auto"/>
        </w:rPr>
      </w:pPr>
    </w:p>
    <w:p>
      <w:pPr>
        <w:ind w:right="80"/>
        <w:spacing w:after="0" w:line="326" w:lineRule="auto"/>
        <w:rPr>
          <w:sz w:val="20"/>
          <w:szCs w:val="20"/>
          <w:color w:val="auto"/>
        </w:rPr>
      </w:pPr>
      <w:r>
        <w:rPr>
          <w:rFonts w:ascii="Arial" w:cs="Arial" w:eastAsia="Arial" w:hAnsi="Arial"/>
          <w:sz w:val="18"/>
          <w:szCs w:val="18"/>
          <w:color w:val="auto"/>
        </w:rPr>
        <w:t>GRAND RAPIDS, Mich., Wednesday, July 18, 2018 – Universal Forest Products, Inc. (Nasdaq: UFPI) today reported record financial results for the second quarter ended June 30, 2018, the twelfth consecutive quarter in which the company has reported records in both net sales and net earnings.</w:t>
      </w:r>
    </w:p>
    <w:p>
      <w:pPr>
        <w:spacing w:after="0" w:line="75" w:lineRule="exact"/>
        <w:rPr>
          <w:sz w:val="20"/>
          <w:szCs w:val="20"/>
          <w:color w:val="auto"/>
        </w:rPr>
      </w:pPr>
    </w:p>
    <w:p>
      <w:pPr>
        <w:jc w:val="both"/>
        <w:ind w:right="160"/>
        <w:spacing w:after="0" w:line="326" w:lineRule="auto"/>
        <w:rPr>
          <w:sz w:val="20"/>
          <w:szCs w:val="20"/>
          <w:color w:val="auto"/>
        </w:rPr>
      </w:pPr>
      <w:r>
        <w:rPr>
          <w:rFonts w:ascii="Arial" w:cs="Arial" w:eastAsia="Arial" w:hAnsi="Arial"/>
          <w:sz w:val="18"/>
          <w:szCs w:val="18"/>
          <w:color w:val="auto"/>
        </w:rPr>
        <w:t>“The employees of Universal continue to work hard to set records, and I am privileged to announce the results,” stated CEO Matt Missad. The company’s second-quarter results benefited from unit sales growth and a rising lumber market but were adversely impacted by rising costs for transportation and labor.</w:t>
      </w:r>
    </w:p>
    <w:p>
      <w:pPr>
        <w:spacing w:after="0" w:line="75" w:lineRule="exact"/>
        <w:rPr>
          <w:sz w:val="20"/>
          <w:szCs w:val="20"/>
          <w:color w:val="auto"/>
        </w:rPr>
      </w:pPr>
    </w:p>
    <w:p>
      <w:pPr>
        <w:ind w:right="40"/>
        <w:spacing w:after="0" w:line="318" w:lineRule="auto"/>
        <w:rPr>
          <w:sz w:val="20"/>
          <w:szCs w:val="20"/>
          <w:color w:val="auto"/>
        </w:rPr>
      </w:pPr>
      <w:r>
        <w:rPr>
          <w:rFonts w:ascii="Arial" w:cs="Arial" w:eastAsia="Arial" w:hAnsi="Arial"/>
          <w:sz w:val="18"/>
          <w:szCs w:val="18"/>
          <w:color w:val="auto"/>
        </w:rPr>
        <w:t>“Our focus remains on growing unit sales organically and through acquisitions, while enhancing our sales mix of new and value-added products,” Matt added. “Our recently completed acquisition of North American Container Corp. (NACC) will enhance our goal of being the packaging solutions provider and adds non-wood packaging alternatives to our product offering. Additionally, our increased resource allocation to new products and services is paying dividends, as new product sales year-to-date have increased to $262 million from $211 million in 2017. We’ll also continue to focus on margin improvement and improving productivity through automation, including the expanded use of specialized material processing equipment and robotics.”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 Activity</w:t>
      </w:r>
    </w:p>
    <w:p>
      <w:pPr>
        <w:spacing w:after="0" w:line="67" w:lineRule="exact"/>
        <w:rPr>
          <w:sz w:val="20"/>
          <w:szCs w:val="20"/>
          <w:color w:val="auto"/>
        </w:rPr>
      </w:pPr>
    </w:p>
    <w:p>
      <w:pPr>
        <w:ind w:right="220"/>
        <w:spacing w:after="0" w:line="340" w:lineRule="auto"/>
        <w:rPr>
          <w:sz w:val="20"/>
          <w:szCs w:val="20"/>
          <w:color w:val="auto"/>
        </w:rPr>
      </w:pPr>
      <w:r>
        <w:rPr>
          <w:rFonts w:ascii="Arial" w:cs="Arial" w:eastAsia="Arial" w:hAnsi="Arial"/>
          <w:sz w:val="18"/>
          <w:szCs w:val="18"/>
          <w:color w:val="auto"/>
        </w:rPr>
        <w:t>In early June, Universal closed on its acquisition of North American Container Corp. (NACC), an industrial packaging manufacturer based in Georgia with sales of approximately $71 million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66122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2018 Highlights (comparisons on a year-over-year basis):</w:t>
      </w:r>
    </w:p>
    <w:p>
      <w:pPr>
        <w:spacing w:after="0" w:line="202" w:lineRule="exact"/>
        <w:rPr>
          <w:sz w:val="20"/>
          <w:szCs w:val="20"/>
          <w:color w:val="auto"/>
        </w:rPr>
      </w:pPr>
    </w:p>
    <w:p>
      <w:pPr>
        <w:ind w:left="640" w:hanging="32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were $0.71, up from $0.55</w:t>
      </w:r>
    </w:p>
    <w:p>
      <w:pPr>
        <w:spacing w:after="0" w:line="157" w:lineRule="exact"/>
        <w:rPr>
          <w:rFonts w:ascii="Arial" w:cs="Arial" w:eastAsia="Arial" w:hAnsi="Arial"/>
          <w:sz w:val="18"/>
          <w:szCs w:val="18"/>
          <w:color w:val="auto"/>
        </w:rPr>
      </w:pPr>
    </w:p>
    <w:p>
      <w:pPr>
        <w:ind w:left="640" w:hanging="32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attributable to controlling interest were $44.0 million, up 31 percent</w:t>
      </w:r>
    </w:p>
    <w:p>
      <w:pPr>
        <w:spacing w:after="0" w:line="157" w:lineRule="exact"/>
        <w:rPr>
          <w:rFonts w:ascii="Arial" w:cs="Arial" w:eastAsia="Arial" w:hAnsi="Arial"/>
          <w:sz w:val="18"/>
          <w:szCs w:val="18"/>
          <w:color w:val="auto"/>
        </w:rPr>
      </w:pPr>
    </w:p>
    <w:p>
      <w:pPr>
        <w:ind w:left="640" w:hanging="32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EBITDA was $77.0 million, up 14 percent</w:t>
      </w:r>
    </w:p>
    <w:p>
      <w:pPr>
        <w:spacing w:after="0" w:line="157" w:lineRule="exact"/>
        <w:rPr>
          <w:rFonts w:ascii="Arial" w:cs="Arial" w:eastAsia="Arial" w:hAnsi="Arial"/>
          <w:sz w:val="18"/>
          <w:szCs w:val="18"/>
          <w:color w:val="auto"/>
        </w:rPr>
      </w:pPr>
    </w:p>
    <w:p>
      <w:pPr>
        <w:ind w:left="640" w:right="480" w:hanging="325"/>
        <w:spacing w:after="0" w:line="34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sales increased 21 percent, with gains of 19 percent in the Retail and Industrial markets and 26 percent in the Construction market</w:t>
      </w:r>
    </w:p>
    <w:p>
      <w:pPr>
        <w:spacing w:after="0" w:line="48" w:lineRule="exact"/>
        <w:rPr>
          <w:rFonts w:ascii="Arial" w:cs="Arial" w:eastAsia="Arial" w:hAnsi="Arial"/>
          <w:sz w:val="18"/>
          <w:szCs w:val="18"/>
          <w:color w:val="auto"/>
        </w:rPr>
      </w:pPr>
    </w:p>
    <w:p>
      <w:pPr>
        <w:ind w:left="640" w:hanging="32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 sales contributed 8 percent of gross sales growth; higher prices due to the lumber market contributed 13 percent</w:t>
      </w:r>
    </w:p>
    <w:p>
      <w:pPr>
        <w:spacing w:after="0" w:line="157" w:lineRule="exact"/>
        <w:rPr>
          <w:rFonts w:ascii="Arial" w:cs="Arial" w:eastAsia="Arial" w:hAnsi="Arial"/>
          <w:sz w:val="18"/>
          <w:szCs w:val="18"/>
          <w:color w:val="auto"/>
        </w:rPr>
      </w:pPr>
    </w:p>
    <w:p>
      <w:pPr>
        <w:ind w:left="640" w:hanging="32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Organic sales contributed 7 percent to unit growth while acquisitions added 1 percent</w:t>
      </w:r>
    </w:p>
    <w:p>
      <w:pPr>
        <w:spacing w:after="0" w:line="157" w:lineRule="exact"/>
        <w:rPr>
          <w:rFonts w:ascii="Arial" w:cs="Arial" w:eastAsia="Arial" w:hAnsi="Arial"/>
          <w:sz w:val="18"/>
          <w:szCs w:val="18"/>
          <w:color w:val="auto"/>
        </w:rPr>
      </w:pPr>
    </w:p>
    <w:p>
      <w:pPr>
        <w:ind w:left="640" w:hanging="32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product sales were $153.1 million, up 25 percent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 market, the company reported the following second-quarter 2018 gross sales results: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Retail</w:t>
      </w:r>
    </w:p>
    <w:p>
      <w:pPr>
        <w:spacing w:after="0" w:line="148" w:lineRule="exact"/>
        <w:rPr>
          <w:sz w:val="20"/>
          <w:szCs w:val="20"/>
          <w:color w:val="auto"/>
        </w:rPr>
      </w:pPr>
    </w:p>
    <w:p>
      <w:pPr>
        <w:ind w:left="320" w:hanging="167"/>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$546 million, up 19 percent over the same period of 2017, as unit sales contributed 6 percent and price increases accounted for 13 percent</w:t>
      </w:r>
    </w:p>
    <w:p>
      <w:pPr>
        <w:spacing w:after="0" w:line="194" w:lineRule="exact"/>
        <w:rPr>
          <w:rFonts w:ascii="Arial" w:cs="Arial" w:eastAsia="Arial" w:hAnsi="Arial"/>
          <w:sz w:val="16"/>
          <w:szCs w:val="16"/>
          <w:color w:val="auto"/>
        </w:rPr>
      </w:pPr>
    </w:p>
    <w:p>
      <w:pPr>
        <w:ind w:left="320" w:hanging="16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Organic sales accounted for all of the unit sales growth</w:t>
      </w:r>
    </w:p>
    <w:p>
      <w:pPr>
        <w:spacing w:after="0" w:line="171" w:lineRule="exact"/>
        <w:rPr>
          <w:rFonts w:ascii="Arial" w:cs="Arial" w:eastAsia="Arial" w:hAnsi="Arial"/>
          <w:sz w:val="18"/>
          <w:szCs w:val="18"/>
          <w:color w:val="auto"/>
        </w:rPr>
      </w:pPr>
    </w:p>
    <w:p>
      <w:pPr>
        <w:ind w:left="320" w:hanging="16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to big box customers increased 16 percent, while sales to independent customers grew 25 percent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Construction</w:t>
      </w:r>
    </w:p>
    <w:p>
      <w:pPr>
        <w:spacing w:after="0" w:line="67" w:lineRule="exact"/>
        <w:rPr>
          <w:sz w:val="20"/>
          <w:szCs w:val="20"/>
          <w:color w:val="auto"/>
        </w:rPr>
      </w:pPr>
    </w:p>
    <w:p>
      <w:pPr>
        <w:ind w:left="320" w:hanging="167"/>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$371 million, up 26 percent over the same period of 2017, as unit sales contributed 10 percent and price increases accounted for 16 percent</w:t>
      </w:r>
    </w:p>
    <w:p>
      <w:pPr>
        <w:spacing w:after="0" w:line="194" w:lineRule="exact"/>
        <w:rPr>
          <w:rFonts w:ascii="Arial" w:cs="Arial" w:eastAsia="Arial" w:hAnsi="Arial"/>
          <w:sz w:val="16"/>
          <w:szCs w:val="16"/>
          <w:color w:val="auto"/>
        </w:rPr>
      </w:pPr>
    </w:p>
    <w:p>
      <w:pPr>
        <w:ind w:left="320" w:hanging="167"/>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Organic sales accounted for 9 percent of the unit sales growth, while acquisitions accounted for 1 percent</w:t>
      </w:r>
    </w:p>
    <w:p>
      <w:pPr>
        <w:spacing w:after="0" w:line="171" w:lineRule="exact"/>
        <w:rPr>
          <w:rFonts w:ascii="Arial" w:cs="Arial" w:eastAsia="Arial" w:hAnsi="Arial"/>
          <w:sz w:val="18"/>
          <w:szCs w:val="18"/>
          <w:color w:val="auto"/>
        </w:rPr>
      </w:pPr>
    </w:p>
    <w:p>
      <w:pPr>
        <w:ind w:left="320" w:right="180" w:hanging="167"/>
        <w:spacing w:after="0" w:line="340"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saw double-digits sales increases to customers in commercial construction (32 percent), manufactured housing (28 percent) and residential construction (22 percent)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Industrial</w:t>
      </w:r>
    </w:p>
    <w:p>
      <w:pPr>
        <w:spacing w:after="0" w:line="175" w:lineRule="exact"/>
        <w:rPr>
          <w:sz w:val="20"/>
          <w:szCs w:val="20"/>
          <w:color w:val="auto"/>
        </w:rPr>
      </w:pPr>
    </w:p>
    <w:p>
      <w:pPr>
        <w:ind w:left="320" w:right="580" w:hanging="167"/>
        <w:spacing w:after="0" w:line="340"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$404 million, up 19 percent over the same period of 2017, as unit sales accounted for 8 percent and price increases accounted for 11 percent</w:t>
      </w:r>
    </w:p>
    <w:p>
      <w:pPr>
        <w:spacing w:after="0" w:line="61" w:lineRule="exact"/>
        <w:rPr>
          <w:rFonts w:ascii="Arial" w:cs="Arial" w:eastAsia="Arial" w:hAnsi="Arial"/>
          <w:sz w:val="18"/>
          <w:szCs w:val="18"/>
          <w:color w:val="auto"/>
        </w:rPr>
      </w:pPr>
    </w:p>
    <w:p>
      <w:pPr>
        <w:ind w:left="320" w:hanging="167"/>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Organic sales accounted for 5 percent of the unit sales growth, while acquisitions contributed 3 percent</w:t>
      </w:r>
    </w:p>
    <w:p>
      <w:pPr>
        <w:spacing w:after="0" w:line="171" w:lineRule="exact"/>
        <w:rPr>
          <w:rFonts w:ascii="Arial" w:cs="Arial" w:eastAsia="Arial" w:hAnsi="Arial"/>
          <w:sz w:val="18"/>
          <w:szCs w:val="18"/>
          <w:color w:val="auto"/>
        </w:rPr>
      </w:pPr>
    </w:p>
    <w:p>
      <w:pPr>
        <w:ind w:left="320" w:hanging="167"/>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sees favorable growth opportunities in the non-wood packing market and is adding resources to better serve this market</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1043940</wp:posOffset>
            </wp:positionV>
            <wp:extent cx="66122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240"/>
        <w:spacing w:after="0" w:line="367" w:lineRule="auto"/>
        <w:rPr>
          <w:sz w:val="20"/>
          <w:szCs w:val="20"/>
          <w:color w:val="auto"/>
        </w:rPr>
      </w:pPr>
      <w:r>
        <w:rPr>
          <w:rFonts w:ascii="Arial" w:cs="Arial" w:eastAsia="Arial" w:hAnsi="Arial"/>
          <w:sz w:val="16"/>
          <w:szCs w:val="16"/>
          <w:color w:val="auto"/>
        </w:rPr>
        <w:t>Universal Forest Products will conduct a conference call to discuss information included in this news release and related matters at 8:30 a.m. ET on Thursday, July 19, 2018. The call will be hosted by CEO Matthew J. Missad and CFO Michael Cole, and will be available for analysts and institutional investors domestically at 866-518-4547, and internationally at 213-660-0879. Use conference pass code 9596393. The conference call will be available simultaneously and in its entirety to all interested investors and news media through a webcast at http://www.ufpi.com. A replay of the call will be available through August 19, 2018, at 855-859-2056, 404-537-3406 or 800-585-8367.</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175" w:lineRule="exact"/>
        <w:rPr>
          <w:sz w:val="20"/>
          <w:szCs w:val="20"/>
          <w:color w:val="auto"/>
        </w:rPr>
      </w:pPr>
    </w:p>
    <w:p>
      <w:pPr>
        <w:ind w:right="60"/>
        <w:spacing w:after="0" w:line="353" w:lineRule="auto"/>
        <w:rPr>
          <w:sz w:val="20"/>
          <w:szCs w:val="20"/>
          <w:color w:val="auto"/>
        </w:rPr>
      </w:pPr>
      <w:r>
        <w:rPr>
          <w:rFonts w:ascii="Arial" w:cs="Arial" w:eastAsia="Arial" w:hAnsi="Arial"/>
          <w:sz w:val="17"/>
          <w:szCs w:val="17"/>
          <w:color w:val="auto"/>
        </w:rPr>
        <w:t>Universal Forest Products, Inc. is a holding company whose subsidiaries supply wood, wood composite and other products to three robust markets: retail, construction and industrial. Founded in 1955, the Company is headquartered in Grand Rapids, Mich., with affiliates throughout North America, Europe, Asia and Australia. For more about Universal Forest Products, go to www.ufpi.com.</w:t>
      </w:r>
    </w:p>
    <w:p>
      <w:pPr>
        <w:spacing w:after="0" w:line="33" w:lineRule="exact"/>
        <w:rPr>
          <w:sz w:val="20"/>
          <w:szCs w:val="20"/>
          <w:color w:val="auto"/>
        </w:rPr>
      </w:pPr>
    </w:p>
    <w:p>
      <w:pPr>
        <w:spacing w:after="0" w:line="286" w:lineRule="auto"/>
        <w:rPr>
          <w:sz w:val="20"/>
          <w:szCs w:val="20"/>
          <w:color w:val="auto"/>
        </w:rPr>
      </w:pPr>
      <w:r>
        <w:rPr>
          <w:rFonts w:ascii="Arial" w:cs="Arial" w:eastAsia="Arial" w:hAnsi="Arial"/>
          <w:sz w:val="15"/>
          <w:szCs w:val="15"/>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Non-GAAP Financial Information</w:t>
      </w:r>
    </w:p>
    <w:p>
      <w:pPr>
        <w:spacing w:after="0" w:line="127" w:lineRule="exact"/>
        <w:rPr>
          <w:sz w:val="20"/>
          <w:szCs w:val="20"/>
          <w:color w:val="auto"/>
        </w:rPr>
      </w:pPr>
    </w:p>
    <w:p>
      <w:pPr>
        <w:ind w:right="240"/>
        <w:spacing w:after="0" w:line="305" w:lineRule="auto"/>
        <w:rPr>
          <w:sz w:val="20"/>
          <w:szCs w:val="20"/>
          <w:color w:val="auto"/>
        </w:rPr>
      </w:pPr>
      <w:r>
        <w:rPr>
          <w:rFonts w:ascii="Arial" w:cs="Arial" w:eastAsia="Arial" w:hAnsi="Arial"/>
          <w:sz w:val="15"/>
          <w:szCs w:val="15"/>
          <w:i w:val="1"/>
          <w:iCs w:val="1"/>
          <w:color w:val="auto"/>
        </w:rPr>
        <w:t>This release includes certain financial information not prepared in accordance with U.S. GAAP. Because not all companies calculate non-GAAP financial information identically (or at all), the presentations herein may not be comparable to other similarly titled measures used by other companies. Management considers EBITDA, a non-GAAP measure, an alternative performance measure which may provide useful information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1801495</wp:posOffset>
            </wp:positionV>
            <wp:extent cx="661225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4</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CONDENSED STATEMENTS OF EARNINGS AND COMPREHENSIVE INCOME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AND SIX MONTHS ENDED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JUNE 2018/2017</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680" w:type="dxa"/>
            <w:vAlign w:val="bottom"/>
            <w:tcBorders>
              <w:top w:val="single" w:sz="8" w:color="auto"/>
              <w:left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right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7"/>
          </w:tcPr>
          <w:p>
            <w:pPr>
              <w:jc w:val="center"/>
              <w:ind w:right="420"/>
              <w:spacing w:after="0"/>
              <w:rPr>
                <w:sz w:val="20"/>
                <w:szCs w:val="20"/>
                <w:color w:val="auto"/>
              </w:rPr>
            </w:pPr>
            <w:r>
              <w:rPr>
                <w:rFonts w:ascii="Arial" w:cs="Arial" w:eastAsia="Arial" w:hAnsi="Arial"/>
                <w:sz w:val="16"/>
                <w:szCs w:val="16"/>
                <w:b w:val="1"/>
                <w:bCs w:val="1"/>
                <w:color w:val="auto"/>
                <w:w w:val="96"/>
              </w:rPr>
              <w:t>Quarter Period</w:t>
            </w:r>
          </w:p>
        </w:tc>
        <w:tc>
          <w:tcPr>
            <w:tcW w:w="3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right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Year to Date</w:t>
            </w:r>
          </w:p>
        </w:tc>
        <w:tc>
          <w:tcPr>
            <w:tcW w:w="560" w:type="dxa"/>
            <w:vAlign w:val="bottom"/>
            <w:tcBorders>
              <w:top w:val="single" w:sz="8" w:color="auto"/>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1,294,440</w:t>
            </w:r>
          </w:p>
        </w:tc>
        <w:tc>
          <w:tcPr>
            <w:tcW w:w="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7"/>
              <w:spacing w:after="0"/>
              <w:rPr>
                <w:sz w:val="20"/>
                <w:szCs w:val="20"/>
                <w:color w:val="auto"/>
              </w:rPr>
            </w:pPr>
            <w:r>
              <w:rPr>
                <w:rFonts w:ascii="Arial" w:cs="Arial" w:eastAsia="Arial" w:hAnsi="Arial"/>
                <w:sz w:val="16"/>
                <w:szCs w:val="16"/>
                <w:color w:val="auto"/>
              </w:rPr>
              <w:t>100</w:t>
            </w:r>
          </w:p>
        </w:tc>
        <w:tc>
          <w:tcPr>
            <w:tcW w:w="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1,072,375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2,288,297</w:t>
            </w:r>
          </w:p>
        </w:tc>
        <w:tc>
          <w:tcPr>
            <w:tcW w:w="12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1,918,505</w:t>
            </w:r>
          </w:p>
        </w:tc>
        <w:tc>
          <w:tcPr>
            <w:tcW w:w="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COST OF GOODS SOLD</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1,128,751</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924,135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1,991,719</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7"/>
              <w:spacing w:after="0"/>
              <w:rPr>
                <w:sz w:val="20"/>
                <w:szCs w:val="20"/>
                <w:color w:val="auto"/>
              </w:rPr>
            </w:pPr>
            <w:r>
              <w:rPr>
                <w:rFonts w:ascii="Arial" w:cs="Arial" w:eastAsia="Arial" w:hAnsi="Arial"/>
                <w:sz w:val="16"/>
                <w:szCs w:val="16"/>
                <w:color w:val="auto"/>
                <w:w w:val="89"/>
              </w:rPr>
              <w:t>87.0</w:t>
            </w: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1,649,526</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6"/>
                <w:szCs w:val="16"/>
                <w:color w:val="auto"/>
              </w:rPr>
              <w:t>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165,689</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148,240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296,578</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7"/>
              <w:spacing w:after="0"/>
              <w:rPr>
                <w:sz w:val="20"/>
                <w:szCs w:val="20"/>
                <w:color w:val="auto"/>
              </w:rPr>
            </w:pPr>
            <w:r>
              <w:rPr>
                <w:rFonts w:ascii="Arial" w:cs="Arial" w:eastAsia="Arial" w:hAnsi="Arial"/>
                <w:sz w:val="16"/>
                <w:szCs w:val="16"/>
                <w:color w:val="auto"/>
                <w:w w:val="89"/>
              </w:rPr>
              <w:t>13.0</w:t>
            </w: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268,979</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SELLING,  GENERAL AND</w:t>
            </w: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ADMINISTRATIVE EXPENSES</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104,595</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94,605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8.8</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197,800</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7"/>
              <w:spacing w:after="0"/>
              <w:rPr>
                <w:sz w:val="20"/>
                <w:szCs w:val="20"/>
                <w:color w:val="auto"/>
              </w:rPr>
            </w:pPr>
            <w:r>
              <w:rPr>
                <w:rFonts w:ascii="Arial" w:cs="Arial" w:eastAsia="Arial" w:hAnsi="Arial"/>
                <w:sz w:val="16"/>
                <w:szCs w:val="16"/>
                <w:color w:val="auto"/>
              </w:rPr>
              <w:t>8.6</w:t>
            </w: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181,587</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NET LOSS (GAIN) ON DISPOSITION AND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bottom w:val="single" w:sz="8" w:color="CCEEFF"/>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IMPAIRMENT OF ASSETS</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(264)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(0.3)</w:t>
            </w:r>
          </w:p>
        </w:tc>
        <w:tc>
          <w:tcPr>
            <w:tcW w:w="16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(328)</w:t>
            </w:r>
          </w:p>
        </w:tc>
        <w:tc>
          <w:tcPr>
            <w:tcW w:w="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right w:val="single" w:sz="8" w:color="auto"/>
            </w:tcBorders>
          </w:tcPr>
          <w:p>
            <w:pPr>
              <w:jc w:val="right"/>
              <w:ind w:right="136"/>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EARNINGS FROM OPERATIONS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60,617</w:t>
            </w:r>
          </w:p>
        </w:tc>
        <w:tc>
          <w:tcPr>
            <w:tcW w:w="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53,899</w:t>
            </w:r>
          </w:p>
        </w:tc>
        <w:tc>
          <w:tcPr>
            <w:tcW w:w="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6"/>
                <w:szCs w:val="16"/>
                <w:color w:val="auto"/>
              </w:rPr>
              <w:t>5.0</w:t>
            </w: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104,835</w:t>
            </w:r>
          </w:p>
        </w:tc>
        <w:tc>
          <w:tcPr>
            <w:tcW w:w="120" w:type="dxa"/>
            <w:vAlign w:val="bottom"/>
          </w:tcPr>
          <w:p>
            <w:pPr>
              <w:spacing w:after="0"/>
              <w:rPr>
                <w:sz w:val="18"/>
                <w:szCs w:val="18"/>
                <w:color w:val="auto"/>
              </w:rPr>
            </w:pPr>
          </w:p>
        </w:tc>
        <w:tc>
          <w:tcPr>
            <w:tcW w:w="400" w:type="dxa"/>
            <w:vAlign w:val="bottom"/>
            <w:gridSpan w:val="2"/>
          </w:tcPr>
          <w:p>
            <w:pPr>
              <w:jc w:val="right"/>
              <w:ind w:right="17"/>
              <w:spacing w:after="0"/>
              <w:rPr>
                <w:sz w:val="20"/>
                <w:szCs w:val="20"/>
                <w:color w:val="auto"/>
              </w:rPr>
            </w:pPr>
            <w:r>
              <w:rPr>
                <w:rFonts w:ascii="Arial" w:cs="Arial" w:eastAsia="Arial" w:hAnsi="Arial"/>
                <w:sz w:val="16"/>
                <w:szCs w:val="16"/>
                <w:color w:val="auto"/>
              </w:rPr>
              <w:t>4.6</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87,720</w:t>
            </w:r>
          </w:p>
        </w:tc>
        <w:tc>
          <w:tcPr>
            <w:tcW w:w="60" w:type="dxa"/>
            <w:vAlign w:val="bottom"/>
          </w:tcPr>
          <w:p>
            <w:pPr>
              <w:spacing w:after="0"/>
              <w:rPr>
                <w:sz w:val="18"/>
                <w:szCs w:val="18"/>
                <w:color w:val="auto"/>
              </w:rPr>
            </w:pPr>
          </w:p>
        </w:tc>
        <w:tc>
          <w:tcPr>
            <w:tcW w:w="560" w:type="dxa"/>
            <w:vAlign w:val="bottom"/>
            <w:tcBorders>
              <w:right w:val="single" w:sz="8" w:color="auto"/>
            </w:tcBorders>
          </w:tcPr>
          <w:p>
            <w:pPr>
              <w:jc w:val="right"/>
              <w:ind w:right="136"/>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80" w:type="dxa"/>
            <w:vAlign w:val="bottom"/>
            <w:tcBorders>
              <w:lef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58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tcBorders>
              <w:right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bottom w:val="single" w:sz="8" w:color="CCEEFF"/>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OTHER EXPENSE, NET</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2,067</w:t>
            </w: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0.2</w:t>
            </w:r>
          </w:p>
        </w:tc>
        <w:tc>
          <w:tcPr>
            <w:tcW w:w="20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1,490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gridSpan w:val="2"/>
          </w:tcPr>
          <w:p>
            <w:pPr>
              <w:jc w:val="right"/>
              <w:ind w:right="17"/>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2,906</w:t>
            </w:r>
          </w:p>
        </w:tc>
        <w:tc>
          <w:tcPr>
            <w:tcW w:w="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right w:val="single" w:sz="8" w:color="auto"/>
            </w:tcBorders>
          </w:tcPr>
          <w:p>
            <w:pPr>
              <w:jc w:val="right"/>
              <w:ind w:right="136"/>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EARNINGS BEFORE INCOME TAXES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58,550</w:t>
            </w:r>
          </w:p>
        </w:tc>
        <w:tc>
          <w:tcPr>
            <w:tcW w:w="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52,409</w:t>
            </w:r>
          </w:p>
        </w:tc>
        <w:tc>
          <w:tcPr>
            <w:tcW w:w="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6"/>
                <w:szCs w:val="16"/>
                <w:color w:val="auto"/>
              </w:rPr>
              <w:t>4.9</w:t>
            </w: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101,708</w:t>
            </w:r>
          </w:p>
        </w:tc>
        <w:tc>
          <w:tcPr>
            <w:tcW w:w="120" w:type="dxa"/>
            <w:vAlign w:val="bottom"/>
          </w:tcPr>
          <w:p>
            <w:pPr>
              <w:spacing w:after="0"/>
              <w:rPr>
                <w:sz w:val="18"/>
                <w:szCs w:val="18"/>
                <w:color w:val="auto"/>
              </w:rPr>
            </w:pPr>
          </w:p>
        </w:tc>
        <w:tc>
          <w:tcPr>
            <w:tcW w:w="400" w:type="dxa"/>
            <w:vAlign w:val="bottom"/>
            <w:gridSpan w:val="2"/>
          </w:tcPr>
          <w:p>
            <w:pPr>
              <w:jc w:val="right"/>
              <w:ind w:right="17"/>
              <w:spacing w:after="0"/>
              <w:rPr>
                <w:sz w:val="20"/>
                <w:szCs w:val="20"/>
                <w:color w:val="auto"/>
              </w:rPr>
            </w:pPr>
            <w:r>
              <w:rPr>
                <w:rFonts w:ascii="Arial" w:cs="Arial" w:eastAsia="Arial" w:hAnsi="Arial"/>
                <w:sz w:val="16"/>
                <w:szCs w:val="16"/>
                <w:color w:val="auto"/>
              </w:rPr>
              <w:t>4.4</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84,814</w:t>
            </w:r>
          </w:p>
        </w:tc>
        <w:tc>
          <w:tcPr>
            <w:tcW w:w="60" w:type="dxa"/>
            <w:vAlign w:val="bottom"/>
          </w:tcPr>
          <w:p>
            <w:pPr>
              <w:spacing w:after="0"/>
              <w:rPr>
                <w:sz w:val="18"/>
                <w:szCs w:val="18"/>
                <w:color w:val="auto"/>
              </w:rPr>
            </w:pPr>
          </w:p>
        </w:tc>
        <w:tc>
          <w:tcPr>
            <w:tcW w:w="560" w:type="dxa"/>
            <w:vAlign w:val="bottom"/>
            <w:tcBorders>
              <w:right w:val="single" w:sz="8" w:color="auto"/>
            </w:tcBorders>
          </w:tcPr>
          <w:p>
            <w:pPr>
              <w:jc w:val="right"/>
              <w:ind w:right="136"/>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80" w:type="dxa"/>
            <w:vAlign w:val="bottom"/>
            <w:tcBorders>
              <w:lef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58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tcBorders>
              <w:right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bottom w:val="single" w:sz="8" w:color="CCEEFF"/>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INCOME TAXES</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13,420</w:t>
            </w: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17,835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gridSpan w:val="2"/>
          </w:tcPr>
          <w:p>
            <w:pPr>
              <w:jc w:val="right"/>
              <w:ind w:right="17"/>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28,605</w:t>
            </w:r>
          </w:p>
        </w:tc>
        <w:tc>
          <w:tcPr>
            <w:tcW w:w="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right w:val="single" w:sz="8" w:color="auto"/>
            </w:tcBorders>
          </w:tcPr>
          <w:p>
            <w:pPr>
              <w:jc w:val="right"/>
              <w:ind w:right="136"/>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NET 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45,130</w:t>
            </w:r>
          </w:p>
        </w:tc>
        <w:tc>
          <w:tcPr>
            <w:tcW w:w="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34,574</w:t>
            </w:r>
          </w:p>
        </w:tc>
        <w:tc>
          <w:tcPr>
            <w:tcW w:w="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6"/>
                <w:szCs w:val="16"/>
                <w:color w:val="auto"/>
              </w:rPr>
              <w:t>3.2</w:t>
            </w: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78,714</w:t>
            </w:r>
          </w:p>
        </w:tc>
        <w:tc>
          <w:tcPr>
            <w:tcW w:w="120" w:type="dxa"/>
            <w:vAlign w:val="bottom"/>
          </w:tcPr>
          <w:p>
            <w:pPr>
              <w:spacing w:after="0"/>
              <w:rPr>
                <w:sz w:val="18"/>
                <w:szCs w:val="18"/>
                <w:color w:val="auto"/>
              </w:rPr>
            </w:pPr>
          </w:p>
        </w:tc>
        <w:tc>
          <w:tcPr>
            <w:tcW w:w="400" w:type="dxa"/>
            <w:vAlign w:val="bottom"/>
            <w:gridSpan w:val="2"/>
          </w:tcPr>
          <w:p>
            <w:pPr>
              <w:jc w:val="right"/>
              <w:ind w:right="17"/>
              <w:spacing w:after="0"/>
              <w:rPr>
                <w:sz w:val="20"/>
                <w:szCs w:val="20"/>
                <w:color w:val="auto"/>
              </w:rPr>
            </w:pPr>
            <w:r>
              <w:rPr>
                <w:rFonts w:ascii="Arial" w:cs="Arial" w:eastAsia="Arial" w:hAnsi="Arial"/>
                <w:sz w:val="16"/>
                <w:szCs w:val="16"/>
                <w:color w:val="auto"/>
              </w:rPr>
              <w:t>3.4</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56,209</w:t>
            </w:r>
          </w:p>
        </w:tc>
        <w:tc>
          <w:tcPr>
            <w:tcW w:w="60" w:type="dxa"/>
            <w:vAlign w:val="bottom"/>
          </w:tcPr>
          <w:p>
            <w:pPr>
              <w:spacing w:after="0"/>
              <w:rPr>
                <w:sz w:val="18"/>
                <w:szCs w:val="18"/>
                <w:color w:val="auto"/>
              </w:rPr>
            </w:pPr>
          </w:p>
        </w:tc>
        <w:tc>
          <w:tcPr>
            <w:tcW w:w="560" w:type="dxa"/>
            <w:vAlign w:val="bottom"/>
            <w:tcBorders>
              <w:right w:val="single" w:sz="8" w:color="auto"/>
            </w:tcBorders>
          </w:tcPr>
          <w:p>
            <w:pPr>
              <w:jc w:val="right"/>
              <w:ind w:right="136"/>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80" w:type="dxa"/>
            <w:vAlign w:val="bottom"/>
            <w:tcBorders>
              <w:lef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58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tcBorders>
              <w:right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LESS NET EARNINGS ATTRIBUTABLE TO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bottom w:val="single" w:sz="8" w:color="CCEEFF"/>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NONCONTROLLING INTEREST</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w:t>
            </w: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(932)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(1,505)</w:t>
            </w:r>
          </w:p>
        </w:tc>
        <w:tc>
          <w:tcPr>
            <w:tcW w:w="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right w:val="single" w:sz="8" w:color="auto"/>
            </w:tcBorders>
          </w:tcPr>
          <w:p>
            <w:pPr>
              <w:jc w:val="right"/>
              <w:ind w:right="76"/>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NET EARNINGS ATTRIBUTABLE TO</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44,044</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33,642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76,878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54,704</w:t>
            </w:r>
          </w:p>
        </w:tc>
        <w:tc>
          <w:tcPr>
            <w:tcW w:w="6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20" w:type="dxa"/>
            <w:vAlign w:val="bottom"/>
            <w:tcBorders>
              <w:left w:val="single" w:sz="8" w:color="auto"/>
              <w:bottom w:val="single" w:sz="8" w:color="CCEEFF"/>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CONTROLLING INTEREST</w:t>
            </w:r>
          </w:p>
        </w:tc>
        <w:tc>
          <w:tcPr>
            <w:tcW w:w="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3.4</w:t>
            </w:r>
          </w:p>
        </w:tc>
        <w:tc>
          <w:tcPr>
            <w:tcW w:w="20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3.1</w:t>
            </w:r>
          </w:p>
        </w:tc>
        <w:tc>
          <w:tcPr>
            <w:tcW w:w="20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gridSpan w:val="2"/>
          </w:tcPr>
          <w:p>
            <w:pPr>
              <w:jc w:val="right"/>
              <w:ind w:right="17"/>
              <w:spacing w:after="0"/>
              <w:rPr>
                <w:sz w:val="20"/>
                <w:szCs w:val="20"/>
                <w:color w:val="auto"/>
              </w:rPr>
            </w:pPr>
            <w:r>
              <w:rPr>
                <w:rFonts w:ascii="Arial" w:cs="Arial" w:eastAsia="Arial" w:hAnsi="Arial"/>
                <w:sz w:val="16"/>
                <w:szCs w:val="16"/>
                <w:color w:val="auto"/>
              </w:rPr>
              <w:t>3.4</w:t>
            </w:r>
          </w:p>
        </w:tc>
        <w:tc>
          <w:tcPr>
            <w:tcW w:w="16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right w:val="single" w:sz="8" w:color="auto"/>
            </w:tcBorders>
          </w:tcPr>
          <w:p>
            <w:pPr>
              <w:jc w:val="right"/>
              <w:ind w:right="136"/>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EARNINGS PER SHARE - BASIC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0.71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0.55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0.89</w:t>
            </w: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EARNINGS PER SHARE - DILUTED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0.71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0.55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0.89</w:t>
            </w: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41,225</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35,961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74,370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60,631</w:t>
            </w: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LESS COMPREHENSIVE INCOME ATTRIBUTABLE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bottom w:val="single" w:sz="8" w:color="CCEEFF"/>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TO NONCONTROLLING INTEREST</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(1,460)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(2,887)</w:t>
            </w:r>
          </w:p>
        </w:tc>
        <w:tc>
          <w:tcPr>
            <w:tcW w:w="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COMPREHENSIVE INCOME ATTRIBUTABLE TO</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41,106</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34,501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72,657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57,744</w:t>
            </w:r>
          </w:p>
        </w:tc>
        <w:tc>
          <w:tcPr>
            <w:tcW w:w="6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CONTROLLING INTEREST</w:t>
            </w:r>
          </w:p>
        </w:tc>
        <w:tc>
          <w:tcPr>
            <w:tcW w:w="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20" w:type="dxa"/>
            <w:vAlign w:val="bottom"/>
            <w:gridSpan w:val="3"/>
          </w:tcPr>
          <w:p>
            <w:pPr>
              <w:ind w:left="20"/>
              <w:spacing w:after="0" w:line="170" w:lineRule="exact"/>
              <w:rPr>
                <w:sz w:val="20"/>
                <w:szCs w:val="20"/>
                <w:color w:val="auto"/>
              </w:rPr>
            </w:pPr>
            <w:r>
              <w:rPr>
                <w:rFonts w:ascii="Arial" w:cs="Arial" w:eastAsia="Arial" w:hAnsi="Arial"/>
                <w:sz w:val="18"/>
                <w:szCs w:val="18"/>
                <w:b w:val="1"/>
                <w:bCs w:val="1"/>
                <w:color w:val="auto"/>
              </w:rPr>
              <w:t>SUPPLEMENTAL SALES DATA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8"/>
                <w:szCs w:val="18"/>
                <w:b w:val="1"/>
                <w:bCs w:val="1"/>
                <w:color w:val="auto"/>
                <w:w w:val="93"/>
              </w:rPr>
              <w:t>Quarter Period</w:t>
            </w: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rPr>
              <w:t>Year to Date</w:t>
            </w: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220" w:type="dxa"/>
            <w:vAlign w:val="bottom"/>
            <w:gridSpan w:val="3"/>
          </w:tcPr>
          <w:p>
            <w:pPr>
              <w:ind w:left="20"/>
              <w:spacing w:after="0" w:line="170" w:lineRule="exact"/>
              <w:rPr>
                <w:sz w:val="20"/>
                <w:szCs w:val="20"/>
                <w:color w:val="auto"/>
              </w:rPr>
            </w:pPr>
            <w:r>
              <w:rPr>
                <w:rFonts w:ascii="Arial" w:cs="Arial" w:eastAsia="Arial" w:hAnsi="Arial"/>
                <w:sz w:val="18"/>
                <w:szCs w:val="18"/>
                <w:b w:val="1"/>
                <w:bCs w:val="1"/>
                <w:color w:val="auto"/>
              </w:rPr>
              <w:t>Market Classification</w:t>
            </w:r>
          </w:p>
        </w:tc>
        <w:tc>
          <w:tcPr>
            <w:tcW w:w="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76"/>
              <w:spacing w:after="0" w:line="170" w:lineRule="exact"/>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right w:val="single" w:sz="8" w:color="auto"/>
            </w:tcBorders>
            <w:gridSpan w:val="3"/>
          </w:tcPr>
          <w:p>
            <w:pPr>
              <w:jc w:val="right"/>
              <w:ind w:right="379"/>
              <w:spacing w:after="0" w:line="170"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ind w:left="60"/>
              <w:spacing w:after="0" w:line="170"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60" w:type="dxa"/>
            <w:vAlign w:val="bottom"/>
          </w:tcPr>
          <w:p>
            <w:pPr>
              <w:jc w:val="right"/>
              <w:ind w:right="16"/>
              <w:spacing w:after="0" w:line="170"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ind w:left="160"/>
              <w:spacing w:after="0" w:line="170"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196"/>
              <w:spacing w:after="0" w:line="170" w:lineRule="exact"/>
              <w:rPr>
                <w:sz w:val="20"/>
                <w:szCs w:val="20"/>
                <w:color w:val="auto"/>
              </w:rPr>
            </w:pPr>
            <w:r>
              <w:rPr>
                <w:rFonts w:ascii="Arial" w:cs="Arial" w:eastAsia="Arial" w:hAnsi="Arial"/>
                <w:sz w:val="18"/>
                <w:szCs w:val="18"/>
                <w:b w:val="1"/>
                <w:bCs w:val="1"/>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8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20" w:type="dxa"/>
            <w:vAlign w:val="bottom"/>
            <w:tcBorders>
              <w:left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Retail</w:t>
            </w:r>
          </w:p>
        </w:tc>
        <w:tc>
          <w:tcPr>
            <w:tcW w:w="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545,492</w:t>
            </w:r>
          </w:p>
        </w:tc>
        <w:tc>
          <w:tcPr>
            <w:tcW w:w="2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458,267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916,453</w:t>
            </w:r>
          </w:p>
        </w:tc>
        <w:tc>
          <w:tcPr>
            <w:tcW w:w="2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770,619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19%</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3"/>
          </w:tcPr>
          <w:p>
            <w:pPr>
              <w:ind w:left="20"/>
              <w:spacing w:after="0"/>
              <w:rPr>
                <w:sz w:val="20"/>
                <w:szCs w:val="20"/>
                <w:color w:val="auto"/>
              </w:rPr>
            </w:pPr>
            <w:r>
              <w:rPr>
                <w:rFonts w:ascii="Arial" w:cs="Arial" w:eastAsia="Arial" w:hAnsi="Arial"/>
                <w:sz w:val="18"/>
                <w:szCs w:val="18"/>
                <w:b w:val="1"/>
                <w:bCs w:val="1"/>
                <w:color w:val="auto"/>
              </w:rPr>
              <w:t>Industrial</w:t>
            </w: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404,090</w:t>
            </w: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rPr>
              <w:t>340,463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737,056</w:t>
            </w: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rPr>
              <w:t>621,062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w w:val="94"/>
              </w:rPr>
              <w:t>19%</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Construction</w:t>
            </w:r>
          </w:p>
        </w:tc>
        <w:tc>
          <w:tcPr>
            <w:tcW w:w="80" w:type="dxa"/>
            <w:vAlign w:val="bottom"/>
            <w:tcBorders>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370,786</w:t>
            </w:r>
          </w:p>
        </w:tc>
        <w:tc>
          <w:tcPr>
            <w:tcW w:w="28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293,465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26%</w:t>
            </w:r>
          </w:p>
        </w:tc>
        <w:tc>
          <w:tcPr>
            <w:tcW w:w="140" w:type="dxa"/>
            <w:vAlign w:val="bottom"/>
            <w:tcBorders>
              <w:right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678,526</w:t>
            </w:r>
          </w:p>
        </w:tc>
        <w:tc>
          <w:tcPr>
            <w:tcW w:w="28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559,371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21%</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Gross Sales</w:t>
            </w: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1,320,368</w:t>
            </w: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w w:val="92"/>
              </w:rPr>
              <w:t>1,092,195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auto"/>
            </w:tcBorders>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2,332,035</w:t>
            </w: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w w:val="89"/>
              </w:rPr>
              <w:t>1,951,052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w w:val="94"/>
              </w:rPr>
              <w:t>20%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Sales Allowances</w:t>
            </w:r>
          </w:p>
        </w:tc>
        <w:tc>
          <w:tcPr>
            <w:tcW w:w="80" w:type="dxa"/>
            <w:vAlign w:val="bottom"/>
            <w:tcBorders>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gridSpan w:val="3"/>
            <w:shd w:val="clear" w:color="auto" w:fill="CCEEFF"/>
          </w:tcPr>
          <w:p>
            <w:pPr>
              <w:jc w:val="right"/>
              <w:ind w:right="118"/>
              <w:spacing w:after="0"/>
              <w:rPr>
                <w:sz w:val="20"/>
                <w:szCs w:val="20"/>
                <w:color w:val="auto"/>
              </w:rPr>
            </w:pPr>
            <w:r>
              <w:rPr>
                <w:rFonts w:ascii="Arial" w:cs="Arial" w:eastAsia="Arial" w:hAnsi="Arial"/>
                <w:sz w:val="18"/>
                <w:szCs w:val="18"/>
                <w:color w:val="auto"/>
              </w:rPr>
              <w:t>(25,928)</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(19,820)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-31%</w:t>
            </w:r>
          </w:p>
        </w:tc>
        <w:tc>
          <w:tcPr>
            <w:tcW w:w="1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(43,738)</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(32,547)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0"/>
              </w:rPr>
              <w:t>-34%</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 Net Sales</w:t>
            </w:r>
          </w:p>
        </w:tc>
        <w:tc>
          <w:tcPr>
            <w:tcW w:w="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1,294,440</w:t>
            </w:r>
          </w:p>
        </w:tc>
        <w:tc>
          <w:tcPr>
            <w:tcW w:w="2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gridSpan w:val="4"/>
          </w:tcPr>
          <w:p>
            <w:pPr>
              <w:jc w:val="right"/>
              <w:ind w:right="139"/>
              <w:spacing w:after="0"/>
              <w:rPr>
                <w:sz w:val="20"/>
                <w:szCs w:val="20"/>
                <w:color w:val="auto"/>
              </w:rPr>
            </w:pPr>
            <w:r>
              <w:rPr>
                <w:rFonts w:ascii="Arial" w:cs="Arial" w:eastAsia="Arial" w:hAnsi="Arial"/>
                <w:sz w:val="18"/>
                <w:szCs w:val="18"/>
                <w:color w:val="auto"/>
                <w:w w:val="90"/>
              </w:rPr>
              <w:t>$ 1,072,375</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$ 2,288,297</w:t>
            </w:r>
          </w:p>
        </w:tc>
        <w:tc>
          <w:tcPr>
            <w:tcW w:w="2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4"/>
          </w:tcPr>
          <w:p>
            <w:pPr>
              <w:jc w:val="right"/>
              <w:ind w:right="139"/>
              <w:spacing w:after="0"/>
              <w:rPr>
                <w:sz w:val="20"/>
                <w:szCs w:val="20"/>
                <w:color w:val="auto"/>
              </w:rPr>
            </w:pPr>
            <w:r>
              <w:rPr>
                <w:rFonts w:ascii="Arial" w:cs="Arial" w:eastAsia="Arial" w:hAnsi="Arial"/>
                <w:sz w:val="18"/>
                <w:szCs w:val="18"/>
                <w:color w:val="auto"/>
                <w:w w:val="88"/>
              </w:rPr>
              <w:t>$ 1,918,505</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19%</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740" w:top="121" w:right="69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5</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2018/2017</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2940" w:type="dxa"/>
            <w:vAlign w:val="bottom"/>
          </w:tcPr>
          <w:p>
            <w:pPr>
              <w:ind w:left="16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199"/>
        </w:trPr>
        <w:tc>
          <w:tcPr>
            <w:tcW w:w="40" w:type="dxa"/>
            <w:vAlign w:val="bottom"/>
            <w:tcBorders>
              <w:right w:val="single" w:sz="8" w:color="auto"/>
            </w:tcBorders>
          </w:tcPr>
          <w:p>
            <w:pPr>
              <w:spacing w:after="0"/>
              <w:rPr>
                <w:sz w:val="17"/>
                <w:szCs w:val="17"/>
                <w:color w:val="auto"/>
              </w:rPr>
            </w:pPr>
          </w:p>
        </w:tc>
        <w:tc>
          <w:tcPr>
            <w:tcW w:w="2780" w:type="dxa"/>
            <w:vAlign w:val="bottom"/>
            <w:tcBorders>
              <w:top w:val="single" w:sz="8" w:color="auto"/>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2940" w:type="dxa"/>
            <w:vAlign w:val="bottom"/>
            <w:tcBorders>
              <w:top w:val="single" w:sz="8" w:color="auto"/>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29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27,501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24,625</w:t>
            </w:r>
          </w:p>
        </w:tc>
        <w:tc>
          <w:tcPr>
            <w:tcW w:w="29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Cash overdraft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auto"/>
              </w:rPr>
              <w:t>33,608</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22,769</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Restricted cash</w:t>
            </w:r>
          </w:p>
        </w:tc>
        <w:tc>
          <w:tcPr>
            <w:tcW w:w="2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16,758</w:t>
            </w:r>
          </w:p>
        </w:tc>
        <w:tc>
          <w:tcPr>
            <w:tcW w:w="20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294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197,408</w:t>
            </w:r>
          </w:p>
        </w:tc>
        <w:tc>
          <w:tcPr>
            <w:tcW w:w="1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160,250</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17"/>
                <w:szCs w:val="17"/>
                <w:color w:val="auto"/>
              </w:rPr>
            </w:pPr>
          </w:p>
        </w:tc>
        <w:tc>
          <w:tcPr>
            <w:tcW w:w="108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14,493</w:t>
            </w:r>
          </w:p>
        </w:tc>
        <w:tc>
          <w:tcPr>
            <w:tcW w:w="200" w:type="dxa"/>
            <w:vAlign w:val="bottom"/>
          </w:tcPr>
          <w:p>
            <w:pPr>
              <w:spacing w:after="0"/>
              <w:rPr>
                <w:sz w:val="17"/>
                <w:szCs w:val="17"/>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10,401</w:t>
            </w:r>
          </w:p>
        </w:tc>
        <w:tc>
          <w:tcPr>
            <w:tcW w:w="29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17"/>
                <w:szCs w:val="17"/>
                <w:color w:val="auto"/>
              </w:rPr>
            </w:pPr>
          </w:p>
        </w:tc>
        <w:tc>
          <w:tcPr>
            <w:tcW w:w="104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auto"/>
              </w:rPr>
              <w:t>138,809</w:t>
            </w:r>
          </w:p>
        </w:tc>
        <w:tc>
          <w:tcPr>
            <w:tcW w:w="180" w:type="dxa"/>
            <w:vAlign w:val="bottom"/>
          </w:tcPr>
          <w:p>
            <w:pPr>
              <w:spacing w:after="0"/>
              <w:rPr>
                <w:sz w:val="17"/>
                <w:szCs w:val="17"/>
                <w:color w:val="auto"/>
              </w:rPr>
            </w:pPr>
          </w:p>
        </w:tc>
        <w:tc>
          <w:tcPr>
            <w:tcW w:w="9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126,210</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489,145</w:t>
            </w:r>
          </w:p>
        </w:tc>
        <w:tc>
          <w:tcPr>
            <w:tcW w:w="20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398,529</w:t>
            </w:r>
          </w:p>
        </w:tc>
        <w:tc>
          <w:tcPr>
            <w:tcW w:w="294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debt</w:t>
            </w: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542</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2,378</w:t>
            </w: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6"/>
                <w:szCs w:val="16"/>
                <w:color w:val="auto"/>
              </w:rPr>
            </w:pPr>
          </w:p>
        </w:tc>
        <w:tc>
          <w:tcPr>
            <w:tcW w:w="108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531,874</w:t>
            </w:r>
          </w:p>
        </w:tc>
        <w:tc>
          <w:tcPr>
            <w:tcW w:w="200" w:type="dxa"/>
            <w:vAlign w:val="bottom"/>
          </w:tcPr>
          <w:p>
            <w:pPr>
              <w:spacing w:after="0"/>
              <w:rPr>
                <w:sz w:val="16"/>
                <w:szCs w:val="16"/>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438,435</w:t>
            </w:r>
          </w:p>
        </w:tc>
        <w:tc>
          <w:tcPr>
            <w:tcW w:w="29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32,860</w:t>
            </w: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21,970</w:t>
            </w:r>
          </w:p>
        </w:tc>
        <w:tc>
          <w:tcPr>
            <w:tcW w:w="29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1,112,631</w:t>
            </w:r>
          </w:p>
        </w:tc>
        <w:tc>
          <w:tcPr>
            <w:tcW w:w="20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894,865</w:t>
            </w:r>
          </w:p>
        </w:tc>
        <w:tc>
          <w:tcPr>
            <w:tcW w:w="29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370,367</w:t>
            </w:r>
          </w:p>
        </w:tc>
        <w:tc>
          <w:tcPr>
            <w:tcW w:w="1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311,607</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2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20,266</w:t>
            </w:r>
          </w:p>
        </w:tc>
        <w:tc>
          <w:tcPr>
            <w:tcW w:w="20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17,734</w:t>
            </w:r>
          </w:p>
        </w:tc>
        <w:tc>
          <w:tcPr>
            <w:tcW w:w="29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tcPr>
          <w:p>
            <w:pPr>
              <w:ind w:left="160"/>
              <w:spacing w:after="0"/>
              <w:rPr>
                <w:sz w:val="20"/>
                <w:szCs w:val="20"/>
                <w:color w:val="auto"/>
              </w:rPr>
            </w:pPr>
            <w:r>
              <w:rPr>
                <w:rFonts w:ascii="Arial" w:cs="Arial" w:eastAsia="Arial" w:hAnsi="Arial"/>
                <w:sz w:val="16"/>
                <w:szCs w:val="16"/>
                <w:b w:val="1"/>
                <w:bCs w:val="1"/>
                <w:color w:val="auto"/>
              </w:rPr>
              <w:t>LONG-TERM DEBT AND</w:t>
            </w:r>
          </w:p>
        </w:tc>
        <w:tc>
          <w:tcPr>
            <w:tcW w:w="2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INTANGIBLE ASSETS, NET</w:t>
            </w:r>
          </w:p>
        </w:tc>
        <w:tc>
          <w:tcPr>
            <w:tcW w:w="200" w:type="dxa"/>
            <w:vAlign w:val="bottom"/>
          </w:tcPr>
          <w:p>
            <w:pPr>
              <w:spacing w:after="0"/>
              <w:rPr>
                <w:sz w:val="18"/>
                <w:szCs w:val="18"/>
                <w:color w:val="auto"/>
              </w:rPr>
            </w:pPr>
          </w:p>
        </w:tc>
        <w:tc>
          <w:tcPr>
            <w:tcW w:w="108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263,024</w:t>
            </w:r>
          </w:p>
        </w:tc>
        <w:tc>
          <w:tcPr>
            <w:tcW w:w="20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253,484</w:t>
            </w:r>
          </w:p>
        </w:tc>
        <w:tc>
          <w:tcPr>
            <w:tcW w:w="2940" w:type="dxa"/>
            <w:vAlign w:val="bottom"/>
            <w:tcBorders>
              <w:right w:val="single" w:sz="8" w:color="auto"/>
            </w:tcBorders>
          </w:tcPr>
          <w:p>
            <w:pPr>
              <w:ind w:left="160"/>
              <w:spacing w:after="0"/>
              <w:rPr>
                <w:sz w:val="20"/>
                <w:szCs w:val="20"/>
                <w:color w:val="auto"/>
              </w:rPr>
            </w:pPr>
            <w:r>
              <w:rPr>
                <w:rFonts w:ascii="Arial" w:cs="Arial" w:eastAsia="Arial" w:hAnsi="Arial"/>
                <w:sz w:val="16"/>
                <w:szCs w:val="16"/>
                <w:b w:val="1"/>
                <w:bCs w:val="1"/>
                <w:color w:val="auto"/>
              </w:rPr>
              <w:t>CAPITAL LEASE OBLIGATIONS</w:t>
            </w:r>
          </w:p>
        </w:tc>
        <w:tc>
          <w:tcPr>
            <w:tcW w:w="200" w:type="dxa"/>
            <w:vAlign w:val="bottom"/>
          </w:tcPr>
          <w:p>
            <w:pPr>
              <w:spacing w:after="0"/>
              <w:rPr>
                <w:sz w:val="18"/>
                <w:szCs w:val="18"/>
                <w:color w:val="auto"/>
              </w:rPr>
            </w:pPr>
          </w:p>
        </w:tc>
        <w:tc>
          <w:tcPr>
            <w:tcW w:w="104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auto"/>
              </w:rPr>
              <w:t>276,274</w:t>
            </w:r>
          </w:p>
        </w:tc>
        <w:tc>
          <w:tcPr>
            <w:tcW w:w="180" w:type="dxa"/>
            <w:vAlign w:val="bottom"/>
          </w:tcPr>
          <w:p>
            <w:pPr>
              <w:spacing w:after="0"/>
              <w:rPr>
                <w:sz w:val="18"/>
                <w:szCs w:val="18"/>
                <w:color w:val="auto"/>
              </w:rPr>
            </w:pPr>
          </w:p>
        </w:tc>
        <w:tc>
          <w:tcPr>
            <w:tcW w:w="9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204,752</w:t>
            </w: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29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42,255</w:t>
            </w:r>
          </w:p>
        </w:tc>
        <w:tc>
          <w:tcPr>
            <w:tcW w:w="1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49,319</w:t>
            </w: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PROPERTY, PLANT AND</w:t>
            </w:r>
          </w:p>
        </w:tc>
        <w:tc>
          <w:tcPr>
            <w:tcW w:w="20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tcPr>
          <w:p>
            <w:pPr>
              <w:spacing w:after="0"/>
              <w:rPr>
                <w:sz w:val="18"/>
                <w:szCs w:val="18"/>
                <w:color w:val="auto"/>
              </w:rPr>
            </w:pPr>
          </w:p>
        </w:tc>
        <w:tc>
          <w:tcPr>
            <w:tcW w:w="2780" w:type="dxa"/>
            <w:vAlign w:val="bottom"/>
            <w:tcBorders>
              <w:bottom w:val="single" w:sz="8" w:color="CCEEFF"/>
              <w:right w:val="single" w:sz="8" w:color="auto"/>
            </w:tcBorders>
          </w:tcPr>
          <w:p>
            <w:pPr>
              <w:spacing w:after="0"/>
              <w:rPr>
                <w:sz w:val="20"/>
                <w:szCs w:val="20"/>
                <w:color w:val="auto"/>
              </w:rPr>
            </w:pPr>
            <w:r>
              <w:rPr>
                <w:rFonts w:ascii="Arial" w:cs="Arial" w:eastAsia="Arial" w:hAnsi="Arial"/>
                <w:sz w:val="16"/>
                <w:szCs w:val="16"/>
                <w:b w:val="1"/>
                <w:bCs w:val="1"/>
                <w:color w:val="auto"/>
              </w:rPr>
              <w:t>EQUIPMENT, NET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340,698</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315,956</w:t>
            </w:r>
          </w:p>
        </w:tc>
        <w:tc>
          <w:tcPr>
            <w:tcW w:w="2940" w:type="dxa"/>
            <w:vAlign w:val="bottom"/>
            <w:tcBorders>
              <w:bottom w:val="single" w:sz="8" w:color="CCEEFF"/>
              <w:right w:val="single" w:sz="8" w:color="auto"/>
            </w:tcBorders>
          </w:tcPr>
          <w:p>
            <w:pPr>
              <w:ind w:left="160"/>
              <w:spacing w:after="0"/>
              <w:rPr>
                <w:sz w:val="20"/>
                <w:szCs w:val="20"/>
                <w:color w:val="auto"/>
              </w:rPr>
            </w:pPr>
            <w:r>
              <w:rPr>
                <w:rFonts w:ascii="Arial" w:cs="Arial" w:eastAsia="Arial" w:hAnsi="Arial"/>
                <w:sz w:val="16"/>
                <w:szCs w:val="16"/>
                <w:b w:val="1"/>
                <w:bCs w:val="1"/>
                <w:color w:val="auto"/>
              </w:rPr>
              <w:t>EQUITY</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1,047,723</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916,361</w:t>
            </w:r>
          </w:p>
        </w:tc>
        <w:tc>
          <w:tcPr>
            <w:tcW w:w="0" w:type="dxa"/>
            <w:vAlign w:val="bottom"/>
          </w:tcPr>
          <w:p>
            <w:pPr>
              <w:spacing w:after="0"/>
              <w:rPr>
                <w:sz w:val="1"/>
                <w:szCs w:val="1"/>
                <w:color w:val="auto"/>
              </w:rPr>
            </w:pPr>
          </w:p>
        </w:tc>
      </w:tr>
      <w:tr>
        <w:trPr>
          <w:trHeight w:val="199"/>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29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shd w:val="clear" w:color="auto" w:fill="CCEEFF"/>
          </w:tcPr>
          <w:p>
            <w:pPr>
              <w:spacing w:after="0"/>
              <w:rPr>
                <w:sz w:val="16"/>
                <w:szCs w:val="16"/>
                <w:color w:val="auto"/>
              </w:rPr>
            </w:pPr>
          </w:p>
        </w:tc>
        <w:tc>
          <w:tcPr>
            <w:tcW w:w="2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1,736,619</w:t>
            </w:r>
          </w:p>
        </w:tc>
        <w:tc>
          <w:tcPr>
            <w:tcW w:w="200" w:type="dxa"/>
            <w:vAlign w:val="bottom"/>
            <w:vMerge w:val="restart"/>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1,482,039</w:t>
            </w:r>
          </w:p>
        </w:tc>
        <w:tc>
          <w:tcPr>
            <w:tcW w:w="29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TOTAL LIABILITIES AND</w:t>
            </w:r>
          </w:p>
        </w:tc>
        <w:tc>
          <w:tcPr>
            <w:tcW w:w="2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1,736,619</w:t>
            </w:r>
          </w:p>
        </w:tc>
        <w:tc>
          <w:tcPr>
            <w:tcW w:w="180" w:type="dxa"/>
            <w:vAlign w:val="bottom"/>
            <w:vMerge w:val="restart"/>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1,482,039</w:t>
            </w: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94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EQUITY</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740" w:top="121" w:right="71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6</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CASH FLOWS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SIX MONTHS ENDED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2018/2017</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r>
      <w:tr>
        <w:trPr>
          <w:trHeight w:val="196"/>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78,714</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56,209</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Adjustments to reconcile net earnings to net cash from operating activities:</w:t>
            </w: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26,144</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23,248</w:t>
            </w:r>
          </w:p>
        </w:tc>
      </w:tr>
      <w:tr>
        <w:trPr>
          <w:trHeight w:val="203"/>
        </w:trPr>
        <w:tc>
          <w:tcPr>
            <w:tcW w:w="78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2,702</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2,377</w:t>
            </w:r>
          </w:p>
        </w:tc>
      </w:tr>
      <w:tr>
        <w:trPr>
          <w:trHeight w:val="203"/>
        </w:trPr>
        <w:tc>
          <w:tcPr>
            <w:tcW w:w="78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Expense associated with share-based and grant compensation arrangements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1,924</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1,381</w:t>
            </w:r>
          </w:p>
        </w:tc>
      </w:tr>
      <w:tr>
        <w:trPr>
          <w:trHeight w:val="203"/>
        </w:trPr>
        <w:tc>
          <w:tcPr>
            <w:tcW w:w="78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Deferred income taxes (credit)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(565)</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355</w:t>
            </w:r>
          </w:p>
        </w:tc>
      </w:tr>
      <w:tr>
        <w:trPr>
          <w:trHeight w:val="203"/>
        </w:trPr>
        <w:tc>
          <w:tcPr>
            <w:tcW w:w="78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Equity in earnings of investee</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r>
      <w:tr>
        <w:trPr>
          <w:trHeight w:val="203"/>
        </w:trPr>
        <w:tc>
          <w:tcPr>
            <w:tcW w:w="78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Net gain on disposition and impairment of assets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(6,057)</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r>
      <w:tr>
        <w:trPr>
          <w:trHeight w:val="203"/>
        </w:trPr>
        <w:tc>
          <w:tcPr>
            <w:tcW w:w="78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Changes in:</w:t>
            </w: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(155,666)</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(101,239)</w:t>
            </w:r>
          </w:p>
        </w:tc>
      </w:tr>
      <w:tr>
        <w:trPr>
          <w:trHeight w:val="203"/>
        </w:trPr>
        <w:tc>
          <w:tcPr>
            <w:tcW w:w="788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(61,828)</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(26,979)</w:t>
            </w:r>
          </w:p>
        </w:tc>
      </w:tr>
      <w:tr>
        <w:trPr>
          <w:trHeight w:val="203"/>
        </w:trPr>
        <w:tc>
          <w:tcPr>
            <w:tcW w:w="788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Accounts payable and cash overdraft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62,665</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38,146</w:t>
            </w:r>
          </w:p>
        </w:tc>
      </w:tr>
      <w:tr>
        <w:trPr>
          <w:trHeight w:val="203"/>
        </w:trPr>
        <w:tc>
          <w:tcPr>
            <w:tcW w:w="7880" w:type="dxa"/>
            <w:vAlign w:val="bottom"/>
            <w:tcBorders>
              <w:left w:val="single" w:sz="8" w:color="auto"/>
              <w:bottom w:val="single" w:sz="8" w:color="CCEEFF"/>
              <w:right w:val="single" w:sz="8" w:color="auto"/>
            </w:tcBorders>
          </w:tcPr>
          <w:p>
            <w:pPr>
              <w:ind w:left="340"/>
              <w:spacing w:after="0"/>
              <w:rPr>
                <w:sz w:val="20"/>
                <w:szCs w:val="20"/>
                <w:color w:val="auto"/>
              </w:rPr>
            </w:pPr>
            <w:r>
              <w:rPr>
                <w:rFonts w:ascii="Arial" w:cs="Arial" w:eastAsia="Arial" w:hAnsi="Arial"/>
                <w:sz w:val="16"/>
                <w:szCs w:val="16"/>
                <w:color w:val="auto"/>
              </w:rPr>
              <w:t>Accrued liabilities and other</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color w:val="auto"/>
              </w:rPr>
              <w:t>15,895</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22,067</w:t>
            </w:r>
          </w:p>
        </w:tc>
      </w:tr>
      <w:tr>
        <w:trPr>
          <w:trHeight w:val="196"/>
        </w:trPr>
        <w:tc>
          <w:tcPr>
            <w:tcW w:w="7880" w:type="dxa"/>
            <w:vAlign w:val="bottom"/>
            <w:tcBorders>
              <w:left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NET CASH FROM OPERATING ACTIVITIES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(36,072)</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15,211</w:t>
            </w:r>
          </w:p>
        </w:tc>
      </w:tr>
      <w:tr>
        <w:trPr>
          <w:trHeight w:val="203"/>
        </w:trPr>
        <w:tc>
          <w:tcPr>
            <w:tcW w:w="788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(54,313)</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(34,549)</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36,724</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1,039</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Acquisitions and purchase of noncontrolling interest, net of cash received</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(37,960)</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(59,658)</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Purchases of investments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(9,348)</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(15,118)</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Proceeds from sale of investments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3,180</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7,247</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(1,352)</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1,152</w:t>
            </w:r>
          </w:p>
        </w:tc>
      </w:tr>
      <w:tr>
        <w:trPr>
          <w:trHeight w:val="196"/>
        </w:trPr>
        <w:tc>
          <w:tcPr>
            <w:tcW w:w="788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(63,069)</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(99,887)</w:t>
            </w:r>
          </w:p>
        </w:tc>
      </w:tr>
      <w:tr>
        <w:trPr>
          <w:trHeight w:val="203"/>
        </w:trPr>
        <w:tc>
          <w:tcPr>
            <w:tcW w:w="788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Borrowings under revolving credit facilities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488,853</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444,601</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Repayments under revolving credit facilities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(431,657)</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(349,311)</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Borrowings of debt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1,639</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Repayments of debt</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(5,437)</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Issuance of long-term debt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75,000</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Proceeds from issuance of common stock</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500</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331</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(1,078)</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(1,953)</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Dividends paid to shareholders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(11,090)</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(9,207)</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(1,819)</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(9,934)</w:t>
            </w:r>
          </w:p>
        </w:tc>
      </w:tr>
      <w:tr>
        <w:trPr>
          <w:trHeight w:val="203"/>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(71)</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r>
      <w:tr>
        <w:trPr>
          <w:trHeight w:val="196"/>
        </w:trPr>
        <w:tc>
          <w:tcPr>
            <w:tcW w:w="7880" w:type="dxa"/>
            <w:vAlign w:val="bottom"/>
            <w:tcBorders>
              <w:left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NET CASH FROM (USED IN) FINANCING ACTIVITIES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114,840</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74,521</w:t>
            </w:r>
          </w:p>
        </w:tc>
      </w:tr>
      <w:tr>
        <w:trPr>
          <w:trHeight w:val="203"/>
        </w:trPr>
        <w:tc>
          <w:tcPr>
            <w:tcW w:w="788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(256)</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1,196</w:t>
            </w:r>
          </w:p>
        </w:tc>
      </w:tr>
      <w:tr>
        <w:trPr>
          <w:trHeight w:val="196"/>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15,443</w:t>
            </w:r>
          </w:p>
        </w:tc>
        <w:tc>
          <w:tcPr>
            <w:tcW w:w="260" w:type="dxa"/>
            <w:vAlign w:val="bottom"/>
          </w:tcPr>
          <w:p>
            <w:pPr>
              <w:spacing w:after="0"/>
              <w:rPr>
                <w:sz w:val="17"/>
                <w:szCs w:val="17"/>
                <w:color w:val="auto"/>
              </w:rPr>
            </w:pPr>
          </w:p>
        </w:tc>
        <w:tc>
          <w:tcPr>
            <w:tcW w:w="9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(8,959)</w:t>
            </w:r>
          </w:p>
        </w:tc>
      </w:tr>
      <w:tr>
        <w:trPr>
          <w:trHeight w:val="203"/>
        </w:trPr>
        <w:tc>
          <w:tcPr>
            <w:tcW w:w="788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ALL CASH AND CASH EQUIVALENTS, BEGINNING OF PERIOD</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color w:val="auto"/>
              </w:rPr>
              <w:t>28,816</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34,489</w:t>
            </w:r>
          </w:p>
        </w:tc>
      </w:tr>
      <w:tr>
        <w:trPr>
          <w:trHeight w:val="196"/>
        </w:trPr>
        <w:tc>
          <w:tcPr>
            <w:tcW w:w="788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r>
      <w:tr>
        <w:trPr>
          <w:trHeight w:val="210"/>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ALL CASH AND CASH EQUIVALENTS, END OF PERIOD</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color w:val="auto"/>
              </w:rPr>
              <w:t>44,259</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25,530</w:t>
            </w:r>
          </w:p>
        </w:tc>
      </w:tr>
      <w:tr>
        <w:trPr>
          <w:trHeight w:val="203"/>
        </w:trPr>
        <w:tc>
          <w:tcPr>
            <w:tcW w:w="788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28,339</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34,091</w:t>
            </w:r>
          </w:p>
        </w:tc>
      </w:tr>
      <w:tr>
        <w:trPr>
          <w:trHeight w:val="203"/>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Restricted cash, beginning of period</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color w:val="auto"/>
              </w:rPr>
              <w:t>477</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398</w:t>
            </w:r>
          </w:p>
        </w:tc>
      </w:tr>
      <w:tr>
        <w:trPr>
          <w:trHeight w:val="196"/>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 cash and cash equivalents, beginning of period</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28,816</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34,489</w:t>
            </w:r>
          </w:p>
        </w:tc>
      </w:tr>
      <w:tr>
        <w:trPr>
          <w:trHeight w:val="203"/>
        </w:trPr>
        <w:tc>
          <w:tcPr>
            <w:tcW w:w="788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27,501</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24,625</w:t>
            </w:r>
          </w:p>
        </w:tc>
      </w:tr>
      <w:tr>
        <w:trPr>
          <w:trHeight w:val="203"/>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Restricted cash, end of period</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color w:val="auto"/>
              </w:rPr>
              <w:t>16,758</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905</w:t>
            </w:r>
          </w:p>
        </w:tc>
      </w:tr>
      <w:tr>
        <w:trPr>
          <w:trHeight w:val="203"/>
        </w:trPr>
        <w:tc>
          <w:tcPr>
            <w:tcW w:w="788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 cash and cash equivalents, end of period</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44,259</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25,530</w:t>
            </w:r>
          </w:p>
        </w:tc>
      </w:tr>
      <w:tr>
        <w:trPr>
          <w:trHeight w:val="203"/>
        </w:trPr>
        <w:tc>
          <w:tcPr>
            <w:tcW w:w="7880" w:type="dxa"/>
            <w:vAlign w:val="bottom"/>
            <w:tcBorders>
              <w:left w:val="single" w:sz="8" w:color="auto"/>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r>
      <w:tr>
        <w:trPr>
          <w:trHeight w:val="878"/>
        </w:trPr>
        <w:tc>
          <w:tcPr>
            <w:tcW w:w="7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0440"/>
          </w:cols>
          <w:pgMar w:left="740" w:top="121" w:right="71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7</w:t>
      </w:r>
    </w:p>
    <w:p>
      <w:pPr>
        <w:spacing w:after="0" w:line="200" w:lineRule="exact"/>
        <w:rPr>
          <w:sz w:val="20"/>
          <w:szCs w:val="20"/>
          <w:color w:val="auto"/>
        </w:rPr>
      </w:pPr>
    </w:p>
    <w:p>
      <w:pPr>
        <w:spacing w:after="0" w:line="223" w:lineRule="exact"/>
        <w:rPr>
          <w:sz w:val="20"/>
          <w:szCs w:val="20"/>
          <w:color w:val="auto"/>
        </w:rPr>
      </w:pPr>
    </w:p>
    <w:p>
      <w:pPr>
        <w:jc w:val="center"/>
        <w:ind w:left="760" w:right="2540"/>
        <w:spacing w:after="0" w:line="275" w:lineRule="auto"/>
        <w:rPr>
          <w:sz w:val="20"/>
          <w:szCs w:val="20"/>
          <w:color w:val="auto"/>
        </w:rPr>
      </w:pPr>
      <w:r>
        <w:rPr>
          <w:rFonts w:ascii="Arial" w:cs="Arial" w:eastAsia="Arial" w:hAnsi="Arial"/>
          <w:sz w:val="18"/>
          <w:szCs w:val="18"/>
          <w:b w:val="1"/>
          <w:bCs w:val="1"/>
          <w:color w:val="auto"/>
        </w:rPr>
        <w:t>EBITDA RECONCILIATION TO NET EARNINGS (UNAUDITED) FOR THE THREE AND SIX MONTHS ENDED JUNE 2018/2017</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260" w:type="dxa"/>
            <w:vAlign w:val="bottom"/>
            <w:tcBorders>
              <w:top w:val="single" w:sz="8" w:color="auto"/>
              <w:left w:val="single" w:sz="8" w:color="auto"/>
              <w:bottom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right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Quarter Period</w:t>
            </w:r>
          </w:p>
        </w:tc>
        <w:tc>
          <w:tcPr>
            <w:tcW w:w="3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to Date</w:t>
            </w:r>
          </w:p>
        </w:tc>
        <w:tc>
          <w:tcPr>
            <w:tcW w:w="8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bottom w:val="single" w:sz="8" w:color="CCEEFF"/>
              <w:right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56,209</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17,835</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28,605</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Expense associated with Share-Based Compensation Arrangements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Gain on Disposition and Impairment of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(6,057)</w:t>
            </w:r>
          </w:p>
        </w:tc>
        <w:tc>
          <w:tcPr>
            <w:tcW w:w="42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13,432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11,763</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26,144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EBITDA</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77,010</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67,771</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130,446</w:t>
            </w: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114,744</w:t>
            </w:r>
          </w:p>
        </w:tc>
        <w:tc>
          <w:tcPr>
            <w:tcW w:w="0" w:type="dxa"/>
            <w:vAlign w:val="bottom"/>
          </w:tcPr>
          <w:p>
            <w:pPr>
              <w:spacing w:after="0"/>
              <w:rPr>
                <w:sz w:val="1"/>
                <w:szCs w:val="1"/>
                <w:color w:val="auto"/>
              </w:rPr>
            </w:pPr>
          </w:p>
        </w:tc>
      </w:tr>
      <w:tr>
        <w:trPr>
          <w:trHeight w:val="446"/>
        </w:trPr>
        <w:tc>
          <w:tcPr>
            <w:tcW w:w="5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420"/>
      </w:cols>
      <w:pgMar w:left="740" w:top="121"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3"/>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2019-12-28T21:26:39Z</dcterms:created>
  <dcterms:modified xsi:type="dcterms:W3CDTF">2019-12-28T21:26:39Z</dcterms:modified>
</cp:coreProperties>
</file>