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534670</wp:posOffset>
            </wp:positionV>
            <wp:extent cx="7254875" cy="1028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10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center"/>
        <w:spacing w:after="0" w:line="36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</w:t>
      </w:r>
      <w:r>
        <w:rPr>
          <w:rFonts w:ascii="MS PGothic" w:cs="MS PGothic" w:eastAsia="MS PGothic" w:hAnsi="MS PGothic"/>
          <w:sz w:val="32"/>
          <w:szCs w:val="32"/>
          <w:b w:val="1"/>
          <w:bCs w:val="1"/>
          <w:color w:val="auto"/>
        </w:rPr>
        <w:t>‑</w:t>
      </w: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K</w:t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 of Report (Date of earliest event reported): April 20, 2016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8"/>
          <w:szCs w:val="38"/>
          <w:b w:val="1"/>
          <w:bCs w:val="1"/>
          <w:color w:val="auto"/>
        </w:rPr>
        <w:t>Universal Forest Products, Inc.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38" w:orient="portrait"/>
          <w:cols w:equalWidth="0" w:num="1">
            <w:col w:w="11420"/>
          </w:cols>
          <w:pgMar w:left="240" w:top="1143" w:right="239" w:bottom="1440" w:gutter="0" w:footer="0" w:header="0"/>
        </w:sectPr>
      </w:pP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Michigan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jc w:val="center"/>
        <w:ind w:righ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0-22684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38-1465835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(IRS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60" w:space="720"/>
            <w:col w:w="2800" w:space="720"/>
            <w:col w:w="3120"/>
          </w:cols>
          <w:pgMar w:left="240" w:top="1143" w:right="239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2801 East Beltline, NE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Grand Rapids, Michigan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2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49525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(Zip Code)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60" w:space="720"/>
            <w:col w:w="3240"/>
          </w:cols>
          <w:pgMar w:left="240" w:top="1143" w:right="2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Registrant's telephone number, including area code: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(616) 364-6161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620" w:hanging="58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230.425).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20" w:hanging="58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240.14a-12).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20" w:hanging="58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240.14d-2(b)).</w:t>
      </w:r>
    </w:p>
    <w:p>
      <w:pPr>
        <w:spacing w:after="0" w:line="19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20" w:hanging="585"/>
        <w:spacing w:after="0"/>
        <w:tabs>
          <w:tab w:leader="none" w:pos="6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469265</wp:posOffset>
            </wp:positionV>
            <wp:extent cx="721233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233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143" w:right="23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Section 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Corporate Governance and Management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0" w:space="720"/>
            <w:col w:w="9920"/>
          </w:cols>
          <w:pgMar w:left="240" w:top="1143" w:right="239" w:bottom="1440" w:gutter="0" w:footer="0" w:header="0"/>
          <w:type w:val="continuous"/>
        </w:sect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5.07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Financial Statements, Pro Forma Financial Information, and Exhibits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460" w:space="700"/>
            <w:col w:w="9260"/>
          </w:cols>
          <w:pgMar w:left="240" w:top="1143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 April 20, 2016, the Company held its 2016 Annual Meeting of Shareholders. The matters listed below were submitted to a vote of the shareholders through the solicitation of proxies; the proposals are described in detail in the Company’s Proxy Statement dated March 8, 2016. The voting results are as follows:</w:t>
      </w:r>
    </w:p>
    <w:p>
      <w:pPr>
        <w:sectPr>
          <w:pgSz w:w="11900" w:h="16838" w:orient="portrait"/>
          <w:cols w:equalWidth="0" w:num="1">
            <w:col w:w="11420"/>
          </w:cols>
          <w:pgMar w:left="240" w:top="1143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1 - Election of Directors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following individual was elected to serve as a director of the Company to hold office until the 2017 Annual Meeting of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Shareholders, under the terms of the Company's Bylaws: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tbl>
      <w:tblPr>
        <w:tblLayout w:type="fixed"/>
        <w:tblInd w:w="1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68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Nominee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For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righ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Withheld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Broker Non-Votes</w:t>
            </w:r>
          </w:p>
        </w:tc>
      </w:tr>
      <w:tr>
        <w:trPr>
          <w:trHeight w:val="27"/>
        </w:trPr>
        <w:tc>
          <w:tcPr>
            <w:tcW w:w="2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2680" w:type="dxa"/>
            <w:vAlign w:val="bottom"/>
            <w:gridSpan w:val="2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Michael G. Wooldridge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17,643,041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141,161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943,236</w:t>
            </w:r>
          </w:p>
        </w:tc>
      </w:tr>
    </w:tbl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firstLine="64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following individuals were elected to serve as directors of the Company to hold office until the 2019 Annual Meeting of Shareholders, under the terms of the Company's Bylaws: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tbl>
      <w:tblPr>
        <w:tblLayout w:type="fixed"/>
        <w:tblInd w:w="13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080" w:type="dxa"/>
            <w:vAlign w:val="bottom"/>
            <w:gridSpan w:val="2"/>
          </w:tcPr>
          <w:p>
            <w:pPr>
              <w:jc w:val="center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Nominee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For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Withheld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Broker Non-Votes</w:t>
            </w:r>
          </w:p>
        </w:tc>
      </w:tr>
      <w:tr>
        <w:trPr>
          <w:trHeight w:val="27"/>
        </w:trPr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William G. Currie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17,235,921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551,281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943,236</w:t>
            </w:r>
          </w:p>
        </w:tc>
      </w:tr>
      <w:tr>
        <w:trPr>
          <w:trHeight w:val="270"/>
        </w:trPr>
        <w:tc>
          <w:tcPr>
            <w:tcW w:w="308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John M. Engler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17,636,211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150,991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943,236</w:t>
            </w:r>
          </w:p>
        </w:tc>
      </w:tr>
      <w:tr>
        <w:trPr>
          <w:trHeight w:val="270"/>
        </w:trPr>
        <w:tc>
          <w:tcPr>
            <w:tcW w:w="3080" w:type="dxa"/>
            <w:vAlign w:val="bottom"/>
            <w:gridSpan w:val="2"/>
          </w:tcPr>
          <w:p>
            <w:pPr>
              <w:jc w:val="center"/>
              <w:ind w:righ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Bruce A. Merino</w:t>
            </w:r>
          </w:p>
        </w:tc>
        <w:tc>
          <w:tcPr>
            <w:tcW w:w="14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17,652,447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134,755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943,236</w:t>
            </w:r>
          </w:p>
        </w:tc>
      </w:tr>
    </w:tbl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2 - Ratification of the Appointment of Deloitte &amp; Touche LLP as the Company's Independent Registered Public Accounting Firm for Fiscal 2016.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firstLine="64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ratified the appointment of Deloitte &amp; Touche LLP to serve as the Company's independent registered public accounting firm for fiscal 2016.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tbl>
      <w:tblPr>
        <w:tblLayout w:type="fixed"/>
        <w:tblInd w:w="2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For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Against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Abstain</w:t>
            </w:r>
          </w:p>
        </w:tc>
      </w:tr>
      <w:tr>
        <w:trPr>
          <w:trHeight w:val="27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15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18,720,039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right"/>
              <w:ind w:right="7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6,398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right"/>
              <w:ind w:righ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4,001</w:t>
            </w:r>
          </w:p>
        </w:tc>
      </w:tr>
    </w:tbl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3 -Advisory (Non-Binding) Vote on Executive Compensation.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648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approved the proposed resolution to approve the compensation of the Company's named executive officers, as disclosed pursuant to the compensation disclosure rules of the SEC.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tbl>
      <w:tblPr>
        <w:tblLayout w:type="fixed"/>
        <w:tblInd w:w="2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For</w:t>
            </w:r>
          </w:p>
        </w:tc>
        <w:tc>
          <w:tcPr>
            <w:tcW w:w="1440" w:type="dxa"/>
            <w:vAlign w:val="bottom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Against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Abstain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Broker Non-Votes</w:t>
            </w:r>
          </w:p>
        </w:tc>
      </w:tr>
      <w:tr>
        <w:trPr>
          <w:trHeight w:val="27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7"/>
        </w:trPr>
        <w:tc>
          <w:tcPr>
            <w:tcW w:w="1500" w:type="dxa"/>
            <w:vAlign w:val="bottom"/>
          </w:tcPr>
          <w:p>
            <w:pPr>
              <w:jc w:val="right"/>
              <w:ind w:righ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13,840,155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3,754,971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192,076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943,236</w:t>
            </w:r>
          </w:p>
        </w:tc>
      </w:tr>
      <w:tr>
        <w:trPr>
          <w:trHeight w:val="839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521970</wp:posOffset>
            </wp:positionV>
            <wp:extent cx="72466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ectPr>
          <w:pgSz w:w="11900" w:h="16838" w:orient="portrait"/>
          <w:cols w:equalWidth="0" w:num="1">
            <w:col w:w="11420"/>
          </w:cols>
          <w:pgMar w:left="240" w:top="59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0" w:type="dxa"/>
            <w:vAlign w:val="bottom"/>
            <w:gridSpan w:val="2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UNIVERSAL FOREST PRODUCTS, INC.</w:t>
            </w:r>
          </w:p>
        </w:tc>
      </w:tr>
      <w:tr>
        <w:trPr>
          <w:trHeight w:val="270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(Registrant)</w:t>
            </w:r>
          </w:p>
        </w:tc>
      </w:tr>
      <w:tr>
        <w:trPr>
          <w:trHeight w:val="540"/>
        </w:trPr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April 20, 2016</w:t>
            </w:r>
          </w:p>
        </w:tc>
        <w:tc>
          <w:tcPr>
            <w:tcW w:w="7800" w:type="dxa"/>
            <w:vAlign w:val="bottom"/>
            <w:gridSpan w:val="2"/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    /s/ Michael R. Cole</w:t>
            </w:r>
          </w:p>
        </w:tc>
      </w:tr>
      <w:tr>
        <w:trPr>
          <w:trHeight w:val="3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3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Michael R. Cole</w:t>
            </w:r>
          </w:p>
        </w:tc>
      </w:tr>
      <w:tr>
        <w:trPr>
          <w:trHeight w:val="270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Principal Financial Officer and Treasurer</w:t>
            </w:r>
          </w:p>
        </w:tc>
      </w:tr>
      <w:tr>
        <w:trPr>
          <w:trHeight w:val="218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jc w:val="right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</w:t>
            </w:r>
          </w:p>
        </w:tc>
        <w:tc>
          <w:tcPr>
            <w:tcW w:w="5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9"/>
        </w:trPr>
        <w:tc>
          <w:tcPr>
            <w:tcW w:w="3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74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2019-12-06T03:31:23Z</dcterms:created>
  <dcterms:modified xsi:type="dcterms:W3CDTF">2019-12-06T03:31:23Z</dcterms:modified>
</cp:coreProperties>
</file>