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374650</wp:posOffset>
            </wp:positionV>
            <wp:extent cx="6497955" cy="857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857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196" w:lineRule="exact"/>
        <w:rPr>
          <w:sz w:val="24"/>
          <w:szCs w:val="24"/>
          <w:color w:val="auto"/>
        </w:rPr>
      </w:pPr>
    </w:p>
    <w:p>
      <w:pPr>
        <w:ind w:left="280" w:hanging="270"/>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September 24, 2022</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39" w:lineRule="exact"/>
        <w:rPr>
          <w:sz w:val="24"/>
          <w:szCs w:val="24"/>
          <w:color w:val="auto"/>
        </w:rPr>
      </w:pPr>
    </w:p>
    <w:p>
      <w:pPr>
        <w:ind w:left="3860" w:right="1280" w:hanging="3850"/>
        <w:spacing w:after="0" w:line="397" w:lineRule="auto"/>
        <w:tabs>
          <w:tab w:leader="none" w:pos="273"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TRANSITION REPORT PURSUANT TO SECTION 13 OR 15(d) OF THE SECURITIES EXCHANGE ACT OF 1934 Commission File Number </w:t>
      </w:r>
      <w:r>
        <w:rPr>
          <w:rFonts w:ascii="Arial" w:cs="Arial" w:eastAsia="Arial" w:hAnsi="Arial"/>
          <w:sz w:val="18"/>
          <w:szCs w:val="18"/>
          <w:u w:val="single" w:color="auto"/>
          <w:color w:val="auto"/>
        </w:rPr>
        <w:t>0-22684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UFP INDUSTRIES,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3" w:lineRule="exact"/>
        <w:rPr>
          <w:sz w:val="24"/>
          <w:szCs w:val="24"/>
          <w:color w:val="auto"/>
        </w:rPr>
      </w:pPr>
    </w:p>
    <w:tbl>
      <w:tblPr>
        <w:tblLayout w:type="fixed"/>
        <w:tblInd w:w="520" w:type="dxa"/>
        <w:tblCellMar>
          <w:top w:w="0" w:type="dxa"/>
          <w:left w:w="0" w:type="dxa"/>
          <w:bottom w:w="0" w:type="dxa"/>
          <w:right w:w="0" w:type="dxa"/>
        </w:tblCellMar>
      </w:tblPr>
      <w:tr>
        <w:trPr>
          <w:trHeight w:val="237"/>
        </w:trPr>
        <w:tc>
          <w:tcPr>
            <w:tcW w:w="5320" w:type="dxa"/>
            <w:vAlign w:val="bottom"/>
            <w:gridSpan w:val="4"/>
          </w:tcPr>
          <w:p>
            <w:pPr>
              <w:jc w:val="center"/>
              <w:ind w:right="1260"/>
              <w:spacing w:after="0"/>
              <w:rPr>
                <w:sz w:val="20"/>
                <w:szCs w:val="20"/>
                <w:color w:val="auto"/>
              </w:rPr>
            </w:pPr>
            <w:r>
              <w:rPr>
                <w:rFonts w:ascii="Arial" w:cs="Arial" w:eastAsia="Arial" w:hAnsi="Arial"/>
                <w:sz w:val="18"/>
                <w:szCs w:val="18"/>
                <w:color w:val="auto"/>
                <w:w w:val="97"/>
              </w:rPr>
              <w:t>Michigan</w:t>
            </w:r>
          </w:p>
        </w:tc>
        <w:tc>
          <w:tcPr>
            <w:tcW w:w="3920" w:type="dxa"/>
            <w:vAlign w:val="bottom"/>
          </w:tcPr>
          <w:p>
            <w:pPr>
              <w:jc w:val="right"/>
              <w:ind w:right="1570"/>
              <w:spacing w:after="0"/>
              <w:rPr>
                <w:sz w:val="20"/>
                <w:szCs w:val="20"/>
                <w:color w:val="auto"/>
              </w:rPr>
            </w:pPr>
            <w:r>
              <w:rPr>
                <w:rFonts w:ascii="Arial" w:cs="Arial" w:eastAsia="Arial" w:hAnsi="Arial"/>
                <w:sz w:val="18"/>
                <w:szCs w:val="18"/>
                <w:color w:val="auto"/>
              </w:rPr>
              <w:t>38-1465835</w:t>
            </w:r>
          </w:p>
        </w:tc>
      </w:tr>
      <w:tr>
        <w:trPr>
          <w:trHeight w:val="202"/>
        </w:trPr>
        <w:tc>
          <w:tcPr>
            <w:tcW w:w="41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 incorporation or</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920" w:type="dxa"/>
            <w:vAlign w:val="bottom"/>
            <w:tcBorders>
              <w:top w:val="single" w:sz="8" w:color="auto"/>
            </w:tcBorders>
          </w:tcPr>
          <w:p>
            <w:pPr>
              <w:jc w:val="center"/>
              <w:ind w:right="210"/>
              <w:spacing w:after="0" w:line="201" w:lineRule="exact"/>
              <w:rPr>
                <w:sz w:val="20"/>
                <w:szCs w:val="20"/>
                <w:color w:val="auto"/>
              </w:rPr>
            </w:pPr>
            <w:r>
              <w:rPr>
                <w:rFonts w:ascii="Arial" w:cs="Arial" w:eastAsia="Arial" w:hAnsi="Arial"/>
                <w:sz w:val="18"/>
                <w:szCs w:val="18"/>
                <w:color w:val="auto"/>
                <w:w w:val="93"/>
              </w:rPr>
              <w:t>(I.R.S. Employer Identification Number)</w:t>
            </w:r>
          </w:p>
        </w:tc>
      </w:tr>
      <w:tr>
        <w:trPr>
          <w:trHeight w:val="230"/>
        </w:trPr>
        <w:tc>
          <w:tcPr>
            <w:tcW w:w="5320" w:type="dxa"/>
            <w:vAlign w:val="bottom"/>
            <w:gridSpan w:val="4"/>
          </w:tcPr>
          <w:p>
            <w:pPr>
              <w:jc w:val="center"/>
              <w:ind w:right="1280"/>
              <w:spacing w:after="0"/>
              <w:rPr>
                <w:sz w:val="20"/>
                <w:szCs w:val="20"/>
                <w:color w:val="auto"/>
              </w:rPr>
            </w:pPr>
            <w:r>
              <w:rPr>
                <w:rFonts w:ascii="Arial" w:cs="Arial" w:eastAsia="Arial" w:hAnsi="Arial"/>
                <w:sz w:val="18"/>
                <w:szCs w:val="18"/>
                <w:color w:val="auto"/>
                <w:w w:val="92"/>
              </w:rPr>
              <w:t>organization)</w:t>
            </w:r>
          </w:p>
        </w:tc>
        <w:tc>
          <w:tcPr>
            <w:tcW w:w="3920" w:type="dxa"/>
            <w:vAlign w:val="bottom"/>
          </w:tcPr>
          <w:p>
            <w:pPr>
              <w:spacing w:after="0"/>
              <w:rPr>
                <w:sz w:val="20"/>
                <w:szCs w:val="20"/>
                <w:color w:val="auto"/>
              </w:rPr>
            </w:pPr>
          </w:p>
        </w:tc>
      </w:tr>
      <w:tr>
        <w:trPr>
          <w:trHeight w:val="439"/>
        </w:trPr>
        <w:tc>
          <w:tcPr>
            <w:tcW w:w="5320" w:type="dxa"/>
            <w:vAlign w:val="bottom"/>
            <w:gridSpan w:val="4"/>
          </w:tcPr>
          <w:p>
            <w:pPr>
              <w:jc w:val="center"/>
              <w:ind w:right="1280"/>
              <w:spacing w:after="0"/>
              <w:rPr>
                <w:sz w:val="20"/>
                <w:szCs w:val="20"/>
                <w:color w:val="auto"/>
              </w:rPr>
            </w:pPr>
            <w:r>
              <w:rPr>
                <w:rFonts w:ascii="Arial" w:cs="Arial" w:eastAsia="Arial" w:hAnsi="Arial"/>
                <w:sz w:val="18"/>
                <w:szCs w:val="18"/>
                <w:color w:val="auto"/>
                <w:w w:val="92"/>
              </w:rPr>
              <w:t>2801 East Beltline NE, Grand Rapids, Michigan</w:t>
            </w:r>
          </w:p>
        </w:tc>
        <w:tc>
          <w:tcPr>
            <w:tcW w:w="3920" w:type="dxa"/>
            <w:vAlign w:val="bottom"/>
          </w:tcPr>
          <w:p>
            <w:pPr>
              <w:jc w:val="right"/>
              <w:ind w:right="1790"/>
              <w:spacing w:after="0"/>
              <w:rPr>
                <w:sz w:val="20"/>
                <w:szCs w:val="20"/>
                <w:color w:val="auto"/>
              </w:rPr>
            </w:pPr>
            <w:r>
              <w:rPr>
                <w:rFonts w:ascii="Arial" w:cs="Arial" w:eastAsia="Arial" w:hAnsi="Arial"/>
                <w:sz w:val="18"/>
                <w:szCs w:val="18"/>
                <w:color w:val="auto"/>
              </w:rPr>
              <w:t>49525</w:t>
            </w:r>
          </w:p>
        </w:tc>
      </w:tr>
      <w:tr>
        <w:trPr>
          <w:trHeight w:val="230"/>
        </w:trPr>
        <w:tc>
          <w:tcPr>
            <w:tcW w:w="4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920" w:type="dxa"/>
            <w:vAlign w:val="bottom"/>
            <w:tcBorders>
              <w:top w:val="single" w:sz="8" w:color="auto"/>
            </w:tcBorders>
          </w:tcPr>
          <w:p>
            <w:pPr>
              <w:jc w:val="center"/>
              <w:ind w:right="190"/>
              <w:spacing w:after="0"/>
              <w:rPr>
                <w:sz w:val="20"/>
                <w:szCs w:val="20"/>
                <w:color w:val="auto"/>
              </w:rPr>
            </w:pPr>
            <w:r>
              <w:rPr>
                <w:rFonts w:ascii="Arial" w:cs="Arial" w:eastAsia="Arial" w:hAnsi="Arial"/>
                <w:sz w:val="18"/>
                <w:szCs w:val="18"/>
                <w:color w:val="auto"/>
                <w:w w:val="94"/>
              </w:rPr>
              <w:t>(Zip Code)</w:t>
            </w:r>
          </w:p>
        </w:tc>
      </w:tr>
      <w:tr>
        <w:trPr>
          <w:trHeight w:val="364"/>
        </w:trPr>
        <w:tc>
          <w:tcPr>
            <w:tcW w:w="5320" w:type="dxa"/>
            <w:vAlign w:val="bottom"/>
            <w:gridSpan w:val="4"/>
          </w:tcPr>
          <w:p>
            <w:pPr>
              <w:ind w:left="460"/>
              <w:spacing w:after="0"/>
              <w:rPr>
                <w:sz w:val="20"/>
                <w:szCs w:val="20"/>
                <w:color w:val="auto"/>
              </w:rPr>
            </w:pPr>
            <w:r>
              <w:rPr>
                <w:rFonts w:ascii="Arial" w:cs="Arial" w:eastAsia="Arial" w:hAnsi="Arial"/>
                <w:sz w:val="18"/>
                <w:szCs w:val="18"/>
                <w:color w:val="auto"/>
                <w:w w:val="89"/>
              </w:rPr>
              <w:t>Registrant’s telephone number, including area code (616) 364-6161</w:t>
            </w:r>
          </w:p>
        </w:tc>
        <w:tc>
          <w:tcPr>
            <w:tcW w:w="3920" w:type="dxa"/>
            <w:vAlign w:val="bottom"/>
          </w:tcPr>
          <w:p>
            <w:pPr>
              <w:spacing w:after="0"/>
              <w:rPr>
                <w:sz w:val="24"/>
                <w:szCs w:val="24"/>
                <w:color w:val="auto"/>
              </w:rPr>
            </w:pPr>
          </w:p>
        </w:tc>
      </w:tr>
      <w:tr>
        <w:trPr>
          <w:trHeight w:val="20"/>
        </w:trPr>
        <w:tc>
          <w:tcPr>
            <w:tcW w:w="4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bl>
    <w:p>
      <w:pPr>
        <w:spacing w:after="0" w:line="229"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14605</wp:posOffset>
            </wp:positionV>
            <wp:extent cx="299148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16"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jc w:val="both"/>
        <w:ind w:left="20" w:right="40"/>
        <w:spacing w:after="0" w:line="227" w:lineRule="exact"/>
        <w:rPr>
          <w:sz w:val="20"/>
          <w:szCs w:val="20"/>
          <w:color w:val="auto"/>
        </w:rPr>
      </w:pPr>
      <w:r>
        <w:rPr>
          <w:rFonts w:ascii="Arial" w:cs="Arial" w:eastAsia="Arial" w:hAnsi="Arial"/>
          <w:sz w:val="18"/>
          <w:szCs w:val="18"/>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76" w:lineRule="exact"/>
        <w:rPr>
          <w:sz w:val="24"/>
          <w:szCs w:val="24"/>
          <w:color w:val="auto"/>
        </w:rPr>
      </w:pPr>
    </w:p>
    <w:p>
      <w:pPr>
        <w:jc w:val="both"/>
        <w:ind w:left="20"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76" w:lineRule="exact"/>
        <w:rPr>
          <w:sz w:val="24"/>
          <w:szCs w:val="24"/>
          <w:color w:val="auto"/>
        </w:rPr>
      </w:pPr>
    </w:p>
    <w:p>
      <w:pPr>
        <w:jc w:val="both"/>
        <w:ind w:left="20" w:right="20"/>
        <w:spacing w:after="0" w:line="263" w:lineRule="auto"/>
        <w:rPr>
          <w:sz w:val="20"/>
          <w:szCs w:val="20"/>
          <w:color w:val="auto"/>
        </w:rPr>
      </w:pPr>
      <w:r>
        <w:rPr>
          <w:rFonts w:ascii="Arial" w:cs="Arial" w:eastAsia="Arial" w:hAnsi="Arial"/>
          <w:sz w:val="18"/>
          <w:szCs w:val="18"/>
          <w:color w:val="auto"/>
        </w:rPr>
        <w:t>Indicate by checkmark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60"/>
          </w:cols>
          <w:pgMar w:left="820" w:top="692" w:right="819" w:bottom="1440" w:gutter="0" w:footer="0" w:header="0"/>
        </w:sectPr>
      </w:pPr>
    </w:p>
    <w:p>
      <w:pPr>
        <w:spacing w:after="0" w:line="56" w:lineRule="exact"/>
        <w:rPr>
          <w:sz w:val="24"/>
          <w:szCs w:val="24"/>
          <w:color w:val="auto"/>
        </w:rPr>
      </w:pPr>
    </w:p>
    <w:p>
      <w:pPr>
        <w:ind w:left="540"/>
        <w:spacing w:after="0" w:line="215" w:lineRule="exact"/>
        <w:rPr>
          <w:sz w:val="20"/>
          <w:szCs w:val="20"/>
          <w:color w:val="auto"/>
        </w:rPr>
      </w:pPr>
      <w:r>
        <w:rPr>
          <w:rFonts w:ascii="Arial" w:cs="Arial" w:eastAsia="Arial" w:hAnsi="Arial"/>
          <w:sz w:val="16"/>
          <w:szCs w:val="16"/>
          <w:color w:val="auto"/>
        </w:rPr>
        <w:t xml:space="preserve">Large Accelerated Filer </w:t>
      </w:r>
      <w:r>
        <w:rPr>
          <w:rFonts w:ascii="Arial Unicode MS" w:cs="Arial Unicode MS" w:eastAsia="Arial Unicode MS" w:hAnsi="Arial Unicode MS"/>
          <w:sz w:val="16"/>
          <w:szCs w:val="16"/>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215" w:lineRule="exact"/>
        <w:rPr>
          <w:sz w:val="20"/>
          <w:szCs w:val="20"/>
          <w:color w:val="auto"/>
        </w:rPr>
      </w:pPr>
      <w:r>
        <w:rPr>
          <w:rFonts w:ascii="Arial" w:cs="Arial" w:eastAsia="Arial" w:hAnsi="Arial"/>
          <w:sz w:val="16"/>
          <w:szCs w:val="16"/>
          <w:color w:val="auto"/>
        </w:rPr>
        <w:t xml:space="preserve">Accelerated Filer </w:t>
      </w:r>
      <w:r>
        <w:rPr>
          <w:rFonts w:ascii="Arial Unicode MS" w:cs="Arial Unicode MS" w:eastAsia="Arial Unicode MS" w:hAnsi="Arial Unicode MS"/>
          <w:sz w:val="16"/>
          <w:szCs w:val="16"/>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228" w:lineRule="exact"/>
        <w:rPr>
          <w:sz w:val="20"/>
          <w:szCs w:val="20"/>
          <w:color w:val="auto"/>
        </w:rPr>
      </w:pPr>
      <w:r>
        <w:rPr>
          <w:rFonts w:ascii="Arial" w:cs="Arial" w:eastAsia="Arial" w:hAnsi="Arial"/>
          <w:sz w:val="17"/>
          <w:szCs w:val="17"/>
          <w:color w:val="auto"/>
        </w:rPr>
        <w:t xml:space="preserve">Non-Accelerated Filer </w:t>
      </w:r>
      <w:r>
        <w:rPr>
          <w:rFonts w:ascii="Arial Unicode MS" w:cs="Arial Unicode MS" w:eastAsia="Arial Unicode MS" w:hAnsi="Arial Unicode MS"/>
          <w:sz w:val="17"/>
          <w:szCs w:val="17"/>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jc w:val="both"/>
        <w:ind w:right="800"/>
        <w:spacing w:after="0" w:line="250" w:lineRule="exact"/>
        <w:rPr>
          <w:sz w:val="20"/>
          <w:szCs w:val="20"/>
          <w:color w:val="auto"/>
        </w:rPr>
      </w:pPr>
      <w:r>
        <w:rPr>
          <w:rFonts w:ascii="Arial" w:cs="Arial" w:eastAsia="Arial" w:hAnsi="Arial"/>
          <w:sz w:val="16"/>
          <w:szCs w:val="16"/>
          <w:color w:val="auto"/>
        </w:rPr>
        <w:t xml:space="preserve">Smaller Reporting Company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Emerging Growth Company </w:t>
      </w:r>
      <w:r>
        <w:rPr>
          <w:rFonts w:ascii="Arial Unicode MS" w:cs="Arial Unicode MS" w:eastAsia="Arial Unicode MS" w:hAnsi="Arial Unicode MS"/>
          <w:sz w:val="16"/>
          <w:szCs w:val="16"/>
          <w:color w:val="auto"/>
        </w:rPr>
        <w:t>☐</w:t>
      </w:r>
    </w:p>
    <w:p>
      <w:pPr>
        <w:spacing w:after="0" w:line="34" w:lineRule="exact"/>
        <w:rPr>
          <w:sz w:val="24"/>
          <w:szCs w:val="24"/>
          <w:color w:val="auto"/>
        </w:rPr>
      </w:pPr>
    </w:p>
    <w:p>
      <w:pPr>
        <w:sectPr>
          <w:pgSz w:w="11900" w:h="16838" w:orient="portrait"/>
          <w:cols w:equalWidth="0" w:num="4">
            <w:col w:w="2500" w:space="660"/>
            <w:col w:w="1440" w:space="280"/>
            <w:col w:w="1820" w:space="480"/>
            <w:col w:w="3080"/>
          </w:cols>
          <w:pgMar w:left="820" w:top="692" w:right="819" w:bottom="1440" w:gutter="0" w:footer="0" w:header="0"/>
          <w:type w:val="continuous"/>
        </w:sectPr>
      </w:pPr>
    </w:p>
    <w:p>
      <w:pPr>
        <w:ind w:left="20" w:right="2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42" w:lineRule="exact"/>
        <w:rPr>
          <w:sz w:val="24"/>
          <w:szCs w:val="24"/>
          <w:color w:val="auto"/>
        </w:rPr>
      </w:pPr>
    </w:p>
    <w:p>
      <w:pPr>
        <w:ind w:left="20"/>
        <w:spacing w:after="0" w:line="242" w:lineRule="exact"/>
        <w:rPr>
          <w:sz w:val="20"/>
          <w:szCs w:val="20"/>
          <w:color w:val="auto"/>
        </w:rPr>
      </w:pPr>
      <w:r>
        <w:rPr>
          <w:rFonts w:ascii="Arial" w:cs="Arial" w:eastAsia="Arial" w:hAnsi="Arial"/>
          <w:sz w:val="18"/>
          <w:szCs w:val="18"/>
          <w:color w:val="auto"/>
        </w:rPr>
        <w:t xml:space="preserve">Indicate by checkmark whether the registrant is a shell company (as defined by Rule 12b-2 of the Exchange Act).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115" w:lineRule="exact"/>
        <w:rPr>
          <w:sz w:val="24"/>
          <w:szCs w:val="24"/>
          <w:color w:val="auto"/>
        </w:rPr>
      </w:pPr>
    </w:p>
    <w:p>
      <w:pPr>
        <w:ind w:left="2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31" w:lineRule="exact"/>
        <w:rPr>
          <w:sz w:val="24"/>
          <w:szCs w:val="24"/>
          <w:color w:val="auto"/>
        </w:rPr>
      </w:pPr>
    </w:p>
    <w:tbl>
      <w:tblPr>
        <w:tblLayout w:type="fixed"/>
        <w:tblInd w:w="520" w:type="dxa"/>
        <w:tblCellMar>
          <w:top w:w="0" w:type="dxa"/>
          <w:left w:w="0" w:type="dxa"/>
          <w:bottom w:w="0" w:type="dxa"/>
          <w:right w:w="0" w:type="dxa"/>
        </w:tblCellMar>
      </w:tblPr>
      <w:tr>
        <w:trPr>
          <w:trHeight w:val="237"/>
        </w:trPr>
        <w:tc>
          <w:tcPr>
            <w:tcW w:w="5100" w:type="dxa"/>
            <w:vAlign w:val="bottom"/>
            <w:gridSpan w:val="2"/>
          </w:tcPr>
          <w:p>
            <w:pPr>
              <w:jc w:val="center"/>
              <w:ind w:right="1040"/>
              <w:spacing w:after="0"/>
              <w:rPr>
                <w:sz w:val="20"/>
                <w:szCs w:val="20"/>
                <w:color w:val="auto"/>
              </w:rPr>
            </w:pPr>
            <w:r>
              <w:rPr>
                <w:rFonts w:ascii="Arial" w:cs="Arial" w:eastAsia="Arial" w:hAnsi="Arial"/>
                <w:sz w:val="18"/>
                <w:szCs w:val="18"/>
                <w:color w:val="auto"/>
                <w:w w:val="84"/>
              </w:rPr>
              <w:t>Class</w:t>
            </w:r>
          </w:p>
        </w:tc>
        <w:tc>
          <w:tcPr>
            <w:tcW w:w="4140" w:type="dxa"/>
            <w:vAlign w:val="bottom"/>
          </w:tcPr>
          <w:p>
            <w:pPr>
              <w:jc w:val="center"/>
              <w:spacing w:after="0"/>
              <w:rPr>
                <w:sz w:val="20"/>
                <w:szCs w:val="20"/>
                <w:color w:val="auto"/>
              </w:rPr>
            </w:pPr>
            <w:r>
              <w:rPr>
                <w:rFonts w:ascii="Arial" w:cs="Arial" w:eastAsia="Arial" w:hAnsi="Arial"/>
                <w:sz w:val="18"/>
                <w:szCs w:val="18"/>
                <w:color w:val="auto"/>
                <w:w w:val="89"/>
              </w:rPr>
              <w:t>Outstanding as of September 24, 2022</w:t>
            </w:r>
          </w:p>
        </w:tc>
      </w:tr>
      <w:tr>
        <w:trPr>
          <w:trHeight w:val="230"/>
        </w:trPr>
        <w:tc>
          <w:tcPr>
            <w:tcW w:w="4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$1 par value</w:t>
            </w:r>
          </w:p>
        </w:tc>
        <w:tc>
          <w:tcPr>
            <w:tcW w:w="980" w:type="dxa"/>
            <w:vAlign w:val="bottom"/>
          </w:tcPr>
          <w:p>
            <w:pPr>
              <w:spacing w:after="0"/>
              <w:rPr>
                <w:sz w:val="20"/>
                <w:szCs w:val="20"/>
                <w:color w:val="auto"/>
              </w:rPr>
            </w:pPr>
          </w:p>
        </w:tc>
        <w:tc>
          <w:tcPr>
            <w:tcW w:w="4140" w:type="dxa"/>
            <w:vAlign w:val="bottom"/>
            <w:tcBorders>
              <w:top w:val="single" w:sz="8" w:color="auto"/>
            </w:tcBorders>
          </w:tcPr>
          <w:p>
            <w:pPr>
              <w:jc w:val="right"/>
              <w:ind w:right="1610"/>
              <w:spacing w:after="0"/>
              <w:rPr>
                <w:sz w:val="20"/>
                <w:szCs w:val="20"/>
                <w:color w:val="auto"/>
              </w:rPr>
            </w:pPr>
            <w:r>
              <w:rPr>
                <w:rFonts w:ascii="Arial" w:cs="Arial" w:eastAsia="Arial" w:hAnsi="Arial"/>
                <w:sz w:val="18"/>
                <w:szCs w:val="18"/>
                <w:color w:val="auto"/>
              </w:rPr>
              <w:t>61,637,514</w:t>
            </w:r>
          </w:p>
        </w:tc>
      </w:tr>
    </w:tbl>
    <w:p>
      <w:pPr>
        <w:spacing w:after="0" w:line="12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28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Title of Each Class</w:t>
            </w:r>
          </w:p>
        </w:tc>
        <w:tc>
          <w:tcPr>
            <w:tcW w:w="21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Trading Symbol</w:t>
            </w:r>
          </w:p>
        </w:tc>
        <w:tc>
          <w:tcPr>
            <w:tcW w:w="5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Name of Each Exchange On Which Registered</w:t>
            </w:r>
          </w:p>
        </w:tc>
      </w:tr>
      <w:tr>
        <w:trPr>
          <w:trHeight w:val="216"/>
        </w:trPr>
        <w:tc>
          <w:tcPr>
            <w:tcW w:w="20" w:type="dxa"/>
            <w:vAlign w:val="bottom"/>
            <w:tcBorders>
              <w:bottom w:val="single" w:sz="8" w:color="auto"/>
            </w:tcBorders>
            <w:shd w:val="clear" w:color="auto" w:fill="000000"/>
          </w:tcPr>
          <w:p>
            <w:pPr>
              <w:spacing w:after="0"/>
              <w:rPr>
                <w:sz w:val="18"/>
                <w:szCs w:val="18"/>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no par value</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UFPI</w:t>
            </w:r>
          </w:p>
        </w:tc>
        <w:tc>
          <w:tcPr>
            <w:tcW w:w="5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149"/>
        </w:trPr>
        <w:tc>
          <w:tcPr>
            <w:tcW w:w="20" w:type="dxa"/>
            <w:vAlign w:val="bottom"/>
          </w:tcPr>
          <w:p>
            <w:pPr>
              <w:spacing w:after="0"/>
              <w:rPr>
                <w:sz w:val="12"/>
                <w:szCs w:val="12"/>
                <w:color w:val="auto"/>
              </w:rPr>
            </w:pPr>
          </w:p>
        </w:tc>
        <w:tc>
          <w:tcPr>
            <w:tcW w:w="286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tcPr>
          <w:p>
            <w:pPr>
              <w:spacing w:after="0"/>
              <w:rPr>
                <w:sz w:val="12"/>
                <w:szCs w:val="12"/>
                <w:color w:val="auto"/>
              </w:rPr>
            </w:pPr>
          </w:p>
        </w:tc>
        <w:tc>
          <w:tcPr>
            <w:tcW w:w="5260" w:type="dxa"/>
            <w:vAlign w:val="bottom"/>
            <w:tcBorders>
              <w:bottom w:val="single" w:sz="8" w:color="auto"/>
            </w:tcBorders>
          </w:tcPr>
          <w:p>
            <w:pPr>
              <w:spacing w:after="0"/>
              <w:rPr>
                <w:sz w:val="12"/>
                <w:szCs w:val="12"/>
                <w:color w:val="auto"/>
              </w:rPr>
            </w:pPr>
          </w:p>
        </w:tc>
      </w:tr>
      <w:tr>
        <w:trPr>
          <w:trHeight w:val="95"/>
        </w:trPr>
        <w:tc>
          <w:tcPr>
            <w:tcW w:w="20" w:type="dxa"/>
            <w:vAlign w:val="bottom"/>
          </w:tcPr>
          <w:p>
            <w:pPr>
              <w:spacing w:after="0"/>
              <w:rPr>
                <w:sz w:val="8"/>
                <w:szCs w:val="8"/>
                <w:color w:val="auto"/>
              </w:rPr>
            </w:pPr>
          </w:p>
        </w:tc>
        <w:tc>
          <w:tcPr>
            <w:tcW w:w="2860" w:type="dxa"/>
            <w:vAlign w:val="bottom"/>
            <w:tcBorders>
              <w:left w:val="single" w:sz="8" w:color="auto"/>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5260" w:type="dxa"/>
            <w:vAlign w:val="bottom"/>
            <w:tcBorders>
              <w:bottom w:val="single" w:sz="8" w:color="auto"/>
              <w:right w:val="single" w:sz="8" w:color="auto"/>
            </w:tcBorders>
          </w:tcPr>
          <w:p>
            <w:pPr>
              <w:spacing w:after="0"/>
              <w:rPr>
                <w:sz w:val="8"/>
                <w:szCs w:val="8"/>
                <w:color w:val="auto"/>
              </w:rPr>
            </w:pPr>
          </w:p>
        </w:tc>
      </w:tr>
      <w:tr>
        <w:trPr>
          <w:trHeight w:val="574"/>
        </w:trPr>
        <w:tc>
          <w:tcPr>
            <w:tcW w:w="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0260"/>
          </w:cols>
          <w:pgMar w:left="820" w:top="692" w:right="819" w:bottom="144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580" w:type="dxa"/>
            <w:vAlign w:val="bottom"/>
            <w:gridSpan w:val="6"/>
          </w:tcPr>
          <w:p>
            <w:pPr>
              <w:ind w:left="20"/>
              <w:spacing w:after="0"/>
              <w:rPr>
                <w:sz w:val="20"/>
                <w:szCs w:val="20"/>
                <w:color w:val="auto"/>
              </w:rPr>
            </w:pPr>
            <w:r>
              <w:rPr>
                <w:rFonts w:ascii="Arial" w:cs="Arial" w:eastAsia="Arial" w:hAnsi="Arial"/>
                <w:sz w:val="18"/>
                <w:szCs w:val="18"/>
                <w:color w:val="0000EE"/>
              </w:rPr>
              <w:t>Table of Contents</w:t>
            </w: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790"/>
        </w:trPr>
        <w:tc>
          <w:tcPr>
            <w:tcW w:w="2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80" w:type="dxa"/>
            <w:vAlign w:val="bottom"/>
            <w:gridSpan w:val="11"/>
          </w:tcPr>
          <w:p>
            <w:pPr>
              <w:ind w:left="120"/>
              <w:spacing w:after="0"/>
              <w:rPr>
                <w:sz w:val="20"/>
                <w:szCs w:val="20"/>
                <w:color w:val="auto"/>
              </w:rPr>
            </w:pPr>
            <w:r>
              <w:rPr>
                <w:rFonts w:ascii="Arial" w:cs="Arial" w:eastAsia="Arial" w:hAnsi="Arial"/>
                <w:sz w:val="18"/>
                <w:szCs w:val="18"/>
                <w:b w:val="1"/>
                <w:bCs w:val="1"/>
                <w:color w:val="auto"/>
              </w:rPr>
              <w:t>UFP INDUSTRIES, INC.</w:t>
            </w:r>
          </w:p>
        </w:tc>
        <w:tc>
          <w:tcPr>
            <w:tcW w:w="76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80" w:type="dxa"/>
            <w:vAlign w:val="bottom"/>
            <w:gridSpan w:val="11"/>
          </w:tcPr>
          <w:p>
            <w:pPr>
              <w:ind w:left="140"/>
              <w:spacing w:after="0"/>
              <w:rPr>
                <w:sz w:val="20"/>
                <w:szCs w:val="20"/>
                <w:color w:val="auto"/>
              </w:rPr>
            </w:pPr>
            <w:r>
              <w:rPr>
                <w:rFonts w:ascii="Arial" w:cs="Arial" w:eastAsia="Arial" w:hAnsi="Arial"/>
                <w:sz w:val="18"/>
                <w:szCs w:val="18"/>
                <w:b w:val="1"/>
                <w:bCs w:val="1"/>
                <w:color w:val="auto"/>
              </w:rPr>
              <w:t>TABLE OF CONTENTS</w:t>
            </w:r>
          </w:p>
        </w:tc>
        <w:tc>
          <w:tcPr>
            <w:tcW w:w="760" w:type="dxa"/>
            <w:vAlign w:val="bottom"/>
          </w:tcPr>
          <w:p>
            <w:pPr>
              <w:spacing w:after="0"/>
              <w:rPr>
                <w:sz w:val="24"/>
                <w:szCs w:val="24"/>
                <w:color w:val="auto"/>
              </w:rPr>
            </w:pPr>
          </w:p>
        </w:tc>
      </w:tr>
      <w:tr>
        <w:trPr>
          <w:trHeight w:val="452"/>
        </w:trPr>
        <w:tc>
          <w:tcPr>
            <w:tcW w:w="1580" w:type="dxa"/>
            <w:vAlign w:val="bottom"/>
            <w:gridSpan w:val="6"/>
          </w:tcPr>
          <w:p>
            <w:pPr>
              <w:ind w:left="20"/>
              <w:spacing w:after="0"/>
              <w:rPr>
                <w:sz w:val="20"/>
                <w:szCs w:val="20"/>
                <w:color w:val="auto"/>
              </w:rPr>
            </w:pPr>
            <w:r>
              <w:rPr>
                <w:rFonts w:ascii="Arial" w:cs="Arial" w:eastAsia="Arial" w:hAnsi="Arial"/>
                <w:sz w:val="18"/>
                <w:szCs w:val="18"/>
                <w:b w:val="1"/>
                <w:bCs w:val="1"/>
                <w:color w:val="auto"/>
              </w:rPr>
              <w:t>PART I.</w:t>
            </w:r>
          </w:p>
        </w:tc>
        <w:tc>
          <w:tcPr>
            <w:tcW w:w="6560" w:type="dxa"/>
            <w:vAlign w:val="bottom"/>
            <w:gridSpan w:val="16"/>
          </w:tcPr>
          <w:p>
            <w:pPr>
              <w:ind w:left="20"/>
              <w:spacing w:after="0"/>
              <w:rPr>
                <w:sz w:val="20"/>
                <w:szCs w:val="20"/>
                <w:color w:val="auto"/>
              </w:rPr>
            </w:pPr>
            <w:r>
              <w:rPr>
                <w:rFonts w:ascii="Arial" w:cs="Arial" w:eastAsia="Arial" w:hAnsi="Arial"/>
                <w:sz w:val="18"/>
                <w:szCs w:val="18"/>
                <w:b w:val="1"/>
                <w:bCs w:val="1"/>
                <w:color w:val="auto"/>
              </w:rPr>
              <w:t>FINANCIAL INFORMATION.</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Page No.</w:t>
            </w: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Arial" w:cs="Arial" w:eastAsia="Arial" w:hAnsi="Arial"/>
                <w:sz w:val="18"/>
                <w:szCs w:val="18"/>
                <w:color w:val="0000EE"/>
              </w:rPr>
              <w:t>Item 1.</w:t>
            </w:r>
          </w:p>
        </w:tc>
        <w:tc>
          <w:tcPr>
            <w:tcW w:w="6560" w:type="dxa"/>
            <w:vAlign w:val="bottom"/>
            <w:gridSpan w:val="16"/>
            <w:shd w:val="clear" w:color="auto" w:fill="CCEEFF"/>
          </w:tcPr>
          <w:p>
            <w:pPr>
              <w:ind w:left="20"/>
              <w:spacing w:after="0" w:line="176" w:lineRule="exact"/>
              <w:rPr>
                <w:sz w:val="20"/>
                <w:szCs w:val="20"/>
                <w:color w:val="auto"/>
              </w:rPr>
            </w:pPr>
            <w:r>
              <w:rPr>
                <w:rFonts w:ascii="Arial" w:cs="Arial" w:eastAsia="Arial" w:hAnsi="Arial"/>
                <w:sz w:val="18"/>
                <w:szCs w:val="18"/>
                <w:color w:val="0000EE"/>
              </w:rPr>
              <w:t>Financial Statements</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75"/>
        </w:trPr>
        <w:tc>
          <w:tcPr>
            <w:tcW w:w="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520" w:type="dxa"/>
            <w:vAlign w:val="bottom"/>
            <w:tcBorders>
              <w:bottom w:val="single" w:sz="8" w:color="0000EE"/>
            </w:tcBorders>
            <w:gridSpan w:val="15"/>
            <w:shd w:val="clear" w:color="auto" w:fill="CCEEFF"/>
          </w:tcPr>
          <w:p>
            <w:pPr>
              <w:ind w:left="20"/>
              <w:spacing w:after="0" w:line="176" w:lineRule="exact"/>
              <w:rPr>
                <w:sz w:val="20"/>
                <w:szCs w:val="20"/>
                <w:color w:val="auto"/>
              </w:rPr>
            </w:pPr>
            <w:r>
              <w:rPr>
                <w:rFonts w:ascii="Arial" w:cs="Arial" w:eastAsia="Arial" w:hAnsi="Arial"/>
                <w:sz w:val="18"/>
                <w:szCs w:val="18"/>
                <w:color w:val="0000EE"/>
                <w:w w:val="89"/>
              </w:rPr>
              <w:t>Condensed Consolidated Balance Sheets at September 24, 2022, December 25, 2021 and</w:t>
            </w:r>
          </w:p>
        </w:tc>
        <w:tc>
          <w:tcPr>
            <w:tcW w:w="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r>
      <w:tr>
        <w:trPr>
          <w:trHeight w:val="217"/>
        </w:trPr>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560" w:type="dxa"/>
            <w:vAlign w:val="bottom"/>
            <w:gridSpan w:val="16"/>
            <w:shd w:val="clear" w:color="auto" w:fill="CCEEFF"/>
          </w:tcPr>
          <w:p>
            <w:pPr>
              <w:ind w:left="20"/>
              <w:spacing w:after="0" w:line="196" w:lineRule="exact"/>
              <w:rPr>
                <w:sz w:val="20"/>
                <w:szCs w:val="20"/>
                <w:color w:val="auto"/>
              </w:rPr>
            </w:pPr>
            <w:r>
              <w:rPr>
                <w:rFonts w:ascii="Arial" w:cs="Arial" w:eastAsia="Arial" w:hAnsi="Arial"/>
                <w:sz w:val="18"/>
                <w:szCs w:val="18"/>
                <w:color w:val="0000EE"/>
              </w:rPr>
              <w:t>September 25, 2021</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76"/>
        </w:trPr>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560" w:type="dxa"/>
            <w:vAlign w:val="bottom"/>
            <w:gridSpan w:val="16"/>
            <w:shd w:val="clear" w:color="auto" w:fill="CCEEFF"/>
          </w:tcPr>
          <w:p>
            <w:pPr>
              <w:ind w:left="20"/>
              <w:spacing w:after="0" w:line="176" w:lineRule="exact"/>
              <w:rPr>
                <w:sz w:val="20"/>
                <w:szCs w:val="20"/>
                <w:color w:val="auto"/>
              </w:rPr>
            </w:pPr>
            <w:r>
              <w:rPr>
                <w:rFonts w:ascii="Arial" w:cs="Arial" w:eastAsia="Arial" w:hAnsi="Arial"/>
                <w:sz w:val="18"/>
                <w:szCs w:val="18"/>
                <w:color w:val="0000EE"/>
                <w:w w:val="95"/>
              </w:rPr>
              <w:t>Condensed Consolidated Statements of Earnings and Comprehensive Income for the</w:t>
            </w:r>
          </w:p>
        </w:tc>
        <w:tc>
          <w:tcPr>
            <w:tcW w:w="760" w:type="dxa"/>
            <w:vAlign w:val="bottom"/>
            <w:shd w:val="clear" w:color="auto" w:fill="CCEEFF"/>
          </w:tcPr>
          <w:p>
            <w:pPr>
              <w:spacing w:after="0"/>
              <w:rPr>
                <w:sz w:val="15"/>
                <w:szCs w:val="15"/>
                <w:color w:val="auto"/>
              </w:rPr>
            </w:pPr>
          </w:p>
        </w:tc>
      </w:tr>
      <w:tr>
        <w:trPr>
          <w:trHeight w:val="217"/>
        </w:trPr>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500" w:type="dxa"/>
            <w:vAlign w:val="bottom"/>
            <w:tcBorders>
              <w:top w:val="single" w:sz="8" w:color="0000EE"/>
            </w:tcBorders>
            <w:gridSpan w:val="14"/>
            <w:shd w:val="clear" w:color="auto" w:fill="CCEEFF"/>
          </w:tcPr>
          <w:p>
            <w:pPr>
              <w:ind w:left="20"/>
              <w:spacing w:after="0" w:line="196" w:lineRule="exact"/>
              <w:rPr>
                <w:sz w:val="20"/>
                <w:szCs w:val="20"/>
                <w:color w:val="auto"/>
              </w:rPr>
            </w:pPr>
            <w:r>
              <w:rPr>
                <w:rFonts w:ascii="Arial" w:cs="Arial" w:eastAsia="Arial" w:hAnsi="Arial"/>
                <w:sz w:val="18"/>
                <w:szCs w:val="18"/>
                <w:color w:val="0000EE"/>
              </w:rPr>
              <w:t>Three and Nine Months Ended September 24, 2022 and September 25, 2021</w:t>
            </w:r>
          </w:p>
        </w:tc>
        <w:tc>
          <w:tcPr>
            <w:tcW w:w="60" w:type="dxa"/>
            <w:vAlign w:val="bottom"/>
            <w:tcBorders>
              <w:top w:val="single" w:sz="8" w:color="CCEEFF"/>
            </w:tcBorders>
            <w:gridSpan w:val="2"/>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76"/>
        </w:trPr>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560" w:type="dxa"/>
            <w:vAlign w:val="bottom"/>
            <w:gridSpan w:val="16"/>
            <w:shd w:val="clear" w:color="auto" w:fill="CCEEFF"/>
          </w:tcPr>
          <w:p>
            <w:pPr>
              <w:ind w:left="20"/>
              <w:spacing w:after="0" w:line="176" w:lineRule="exact"/>
              <w:rPr>
                <w:sz w:val="20"/>
                <w:szCs w:val="20"/>
                <w:color w:val="auto"/>
              </w:rPr>
            </w:pPr>
            <w:r>
              <w:rPr>
                <w:rFonts w:ascii="Arial" w:cs="Arial" w:eastAsia="Arial" w:hAnsi="Arial"/>
                <w:sz w:val="18"/>
                <w:szCs w:val="18"/>
                <w:color w:val="0000EE"/>
                <w:w w:val="96"/>
              </w:rPr>
              <w:t>Condensed Consolidated Statements of Shareholders’ Equity for the Three and Nine</w:t>
            </w:r>
          </w:p>
        </w:tc>
        <w:tc>
          <w:tcPr>
            <w:tcW w:w="760" w:type="dxa"/>
            <w:vAlign w:val="bottom"/>
            <w:shd w:val="clear" w:color="auto" w:fill="CCEEFF"/>
          </w:tcPr>
          <w:p>
            <w:pPr>
              <w:spacing w:after="0"/>
              <w:rPr>
                <w:sz w:val="15"/>
                <w:szCs w:val="15"/>
                <w:color w:val="auto"/>
              </w:rPr>
            </w:pPr>
          </w:p>
        </w:tc>
      </w:tr>
      <w:tr>
        <w:trPr>
          <w:trHeight w:val="216"/>
        </w:trPr>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500" w:type="dxa"/>
            <w:vAlign w:val="bottom"/>
            <w:tcBorders>
              <w:top w:val="single" w:sz="8" w:color="0000EE"/>
            </w:tcBorders>
            <w:gridSpan w:val="14"/>
            <w:shd w:val="clear" w:color="auto" w:fill="CCEEFF"/>
          </w:tcPr>
          <w:p>
            <w:pPr>
              <w:ind w:left="20"/>
              <w:spacing w:after="0" w:line="196" w:lineRule="exact"/>
              <w:rPr>
                <w:sz w:val="20"/>
                <w:szCs w:val="20"/>
                <w:color w:val="auto"/>
              </w:rPr>
            </w:pPr>
            <w:r>
              <w:rPr>
                <w:rFonts w:ascii="Arial" w:cs="Arial" w:eastAsia="Arial" w:hAnsi="Arial"/>
                <w:sz w:val="18"/>
                <w:szCs w:val="18"/>
                <w:color w:val="0000EE"/>
              </w:rPr>
              <w:t>Months Ended September 24, 2022 and September 25, 2021</w:t>
            </w:r>
          </w:p>
        </w:tc>
        <w:tc>
          <w:tcPr>
            <w:tcW w:w="60" w:type="dxa"/>
            <w:vAlign w:val="bottom"/>
            <w:tcBorders>
              <w:top w:val="single" w:sz="8" w:color="CCEEFF"/>
            </w:tcBorders>
            <w:gridSpan w:val="2"/>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75"/>
        </w:trPr>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560" w:type="dxa"/>
            <w:vAlign w:val="bottom"/>
            <w:gridSpan w:val="16"/>
            <w:shd w:val="clear" w:color="auto" w:fill="CCEEFF"/>
          </w:tcPr>
          <w:p>
            <w:pPr>
              <w:ind w:left="20"/>
              <w:spacing w:after="0" w:line="176" w:lineRule="exact"/>
              <w:rPr>
                <w:sz w:val="20"/>
                <w:szCs w:val="20"/>
                <w:color w:val="auto"/>
              </w:rPr>
            </w:pPr>
            <w:r>
              <w:rPr>
                <w:rFonts w:ascii="Arial" w:cs="Arial" w:eastAsia="Arial" w:hAnsi="Arial"/>
                <w:sz w:val="18"/>
                <w:szCs w:val="18"/>
                <w:color w:val="0000EE"/>
                <w:w w:val="94"/>
              </w:rPr>
              <w:t>Condensed  Consolidated  Statements  of  Cash  Flows  for  the  Nine  Months  Ended</w:t>
            </w:r>
          </w:p>
        </w:tc>
        <w:tc>
          <w:tcPr>
            <w:tcW w:w="760" w:type="dxa"/>
            <w:vAlign w:val="bottom"/>
            <w:shd w:val="clear" w:color="auto" w:fill="CCEEFF"/>
          </w:tcPr>
          <w:p>
            <w:pPr>
              <w:spacing w:after="0"/>
              <w:rPr>
                <w:sz w:val="15"/>
                <w:szCs w:val="15"/>
                <w:color w:val="auto"/>
              </w:rPr>
            </w:pPr>
          </w:p>
        </w:tc>
      </w:tr>
      <w:tr>
        <w:trPr>
          <w:trHeight w:val="217"/>
        </w:trPr>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500" w:type="dxa"/>
            <w:vAlign w:val="bottom"/>
            <w:tcBorders>
              <w:top w:val="single" w:sz="8" w:color="0000EE"/>
            </w:tcBorders>
            <w:gridSpan w:val="14"/>
            <w:shd w:val="clear" w:color="auto" w:fill="CCEEFF"/>
          </w:tcPr>
          <w:p>
            <w:pPr>
              <w:ind w:left="20"/>
              <w:spacing w:after="0" w:line="196" w:lineRule="exact"/>
              <w:rPr>
                <w:sz w:val="20"/>
                <w:szCs w:val="20"/>
                <w:color w:val="auto"/>
              </w:rPr>
            </w:pPr>
            <w:r>
              <w:rPr>
                <w:rFonts w:ascii="Arial" w:cs="Arial" w:eastAsia="Arial" w:hAnsi="Arial"/>
                <w:sz w:val="18"/>
                <w:szCs w:val="18"/>
                <w:color w:val="0000EE"/>
              </w:rPr>
              <w:t>September 24, 2022 and September 25, 2021</w:t>
            </w:r>
          </w:p>
        </w:tc>
        <w:tc>
          <w:tcPr>
            <w:tcW w:w="60" w:type="dxa"/>
            <w:vAlign w:val="bottom"/>
            <w:tcBorders>
              <w:top w:val="single" w:sz="8" w:color="CCEEFF"/>
            </w:tcBorders>
            <w:gridSpan w:val="2"/>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560" w:type="dxa"/>
            <w:vAlign w:val="bottom"/>
            <w:gridSpan w:val="16"/>
            <w:shd w:val="clear" w:color="auto" w:fill="CCEEFF"/>
          </w:tcPr>
          <w:p>
            <w:pPr>
              <w:ind w:left="20"/>
              <w:spacing w:after="0" w:line="176" w:lineRule="exact"/>
              <w:rPr>
                <w:sz w:val="20"/>
                <w:szCs w:val="20"/>
                <w:color w:val="auto"/>
              </w:rPr>
            </w:pPr>
            <w:r>
              <w:rPr>
                <w:rFonts w:ascii="Arial" w:cs="Arial" w:eastAsia="Arial" w:hAnsi="Arial"/>
                <w:sz w:val="18"/>
                <w:szCs w:val="18"/>
                <w:color w:val="0000EE"/>
              </w:rPr>
              <w:t>Notes to Unaudited Condensed Consolidated Financial Statements</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Arial" w:cs="Arial" w:eastAsia="Arial" w:hAnsi="Arial"/>
                <w:sz w:val="18"/>
                <w:szCs w:val="18"/>
                <w:color w:val="0000EE"/>
              </w:rPr>
              <w:t>Item 2.</w:t>
            </w:r>
          </w:p>
        </w:tc>
        <w:tc>
          <w:tcPr>
            <w:tcW w:w="6560" w:type="dxa"/>
            <w:vAlign w:val="bottom"/>
            <w:gridSpan w:val="16"/>
            <w:shd w:val="clear" w:color="auto" w:fill="CCEEFF"/>
          </w:tcPr>
          <w:p>
            <w:pPr>
              <w:ind w:left="20"/>
              <w:spacing w:after="0" w:line="176" w:lineRule="exact"/>
              <w:rPr>
                <w:sz w:val="20"/>
                <w:szCs w:val="20"/>
                <w:color w:val="auto"/>
              </w:rPr>
            </w:pPr>
            <w:r>
              <w:rPr>
                <w:rFonts w:ascii="Arial" w:cs="Arial" w:eastAsia="Arial" w:hAnsi="Arial"/>
                <w:sz w:val="18"/>
                <w:szCs w:val="18"/>
                <w:color w:val="0000EE"/>
                <w:w w:val="92"/>
              </w:rPr>
              <w:t>Management’s Discussion and Analysis of Financial Condition and Results of Operations</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18</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Arial" w:cs="Arial" w:eastAsia="Arial" w:hAnsi="Arial"/>
                <w:sz w:val="18"/>
                <w:szCs w:val="18"/>
                <w:color w:val="0000EE"/>
              </w:rPr>
              <w:t>Item 3.</w:t>
            </w:r>
          </w:p>
        </w:tc>
        <w:tc>
          <w:tcPr>
            <w:tcW w:w="6560" w:type="dxa"/>
            <w:vAlign w:val="bottom"/>
            <w:gridSpan w:val="16"/>
            <w:shd w:val="clear" w:color="auto" w:fill="CCEEFF"/>
          </w:tcPr>
          <w:p>
            <w:pPr>
              <w:ind w:left="20"/>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36</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Arial" w:cs="Arial" w:eastAsia="Arial" w:hAnsi="Arial"/>
                <w:sz w:val="18"/>
                <w:szCs w:val="18"/>
                <w:color w:val="0000EE"/>
              </w:rPr>
              <w:t>Item 4.</w:t>
            </w:r>
          </w:p>
        </w:tc>
        <w:tc>
          <w:tcPr>
            <w:tcW w:w="6560" w:type="dxa"/>
            <w:vAlign w:val="bottom"/>
            <w:gridSpan w:val="16"/>
            <w:shd w:val="clear" w:color="auto" w:fill="CCEEFF"/>
          </w:tcPr>
          <w:p>
            <w:pPr>
              <w:ind w:left="20"/>
              <w:spacing w:after="0" w:line="176" w:lineRule="exact"/>
              <w:rPr>
                <w:sz w:val="20"/>
                <w:szCs w:val="20"/>
                <w:color w:val="auto"/>
              </w:rPr>
            </w:pPr>
            <w:r>
              <w:rPr>
                <w:rFonts w:ascii="Arial" w:cs="Arial" w:eastAsia="Arial" w:hAnsi="Arial"/>
                <w:sz w:val="18"/>
                <w:szCs w:val="18"/>
                <w:color w:val="0000EE"/>
              </w:rPr>
              <w:t>Controls and Procedures</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36</w:t>
            </w:r>
          </w:p>
        </w:tc>
      </w:tr>
      <w:tr>
        <w:trPr>
          <w:trHeight w:val="216"/>
        </w:trPr>
        <w:tc>
          <w:tcPr>
            <w:tcW w:w="840" w:type="dxa"/>
            <w:vAlign w:val="bottom"/>
            <w:tcBorders>
              <w:top w:val="single" w:sz="8" w:color="CCEEFF"/>
            </w:tcBorders>
            <w:gridSpan w:val="2"/>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216"/>
        </w:trPr>
        <w:tc>
          <w:tcPr>
            <w:tcW w:w="1580" w:type="dxa"/>
            <w:vAlign w:val="bottom"/>
            <w:gridSpan w:val="6"/>
            <w:shd w:val="clear" w:color="auto" w:fill="CCEEFF"/>
          </w:tcPr>
          <w:p>
            <w:pPr>
              <w:ind w:left="20"/>
              <w:spacing w:after="0"/>
              <w:rPr>
                <w:sz w:val="20"/>
                <w:szCs w:val="20"/>
                <w:color w:val="auto"/>
              </w:rPr>
            </w:pPr>
            <w:r>
              <w:rPr>
                <w:rFonts w:ascii="Arial" w:cs="Arial" w:eastAsia="Arial" w:hAnsi="Arial"/>
                <w:sz w:val="18"/>
                <w:szCs w:val="18"/>
                <w:b w:val="1"/>
                <w:bCs w:val="1"/>
                <w:color w:val="auto"/>
              </w:rPr>
              <w:t>PART II.</w:t>
            </w:r>
          </w:p>
        </w:tc>
        <w:tc>
          <w:tcPr>
            <w:tcW w:w="6560" w:type="dxa"/>
            <w:vAlign w:val="bottom"/>
            <w:gridSpan w:val="16"/>
            <w:shd w:val="clear" w:color="auto" w:fill="CCEEFF"/>
          </w:tcPr>
          <w:p>
            <w:pPr>
              <w:ind w:left="20"/>
              <w:spacing w:after="0"/>
              <w:rPr>
                <w:sz w:val="20"/>
                <w:szCs w:val="20"/>
                <w:color w:val="auto"/>
              </w:rPr>
            </w:pPr>
            <w:r>
              <w:rPr>
                <w:rFonts w:ascii="Arial" w:cs="Arial" w:eastAsia="Arial" w:hAnsi="Arial"/>
                <w:sz w:val="18"/>
                <w:szCs w:val="18"/>
                <w:b w:val="1"/>
                <w:bCs w:val="1"/>
                <w:color w:val="auto"/>
              </w:rPr>
              <w:t>OTHER INFORMATION</w:t>
            </w: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1560" w:type="dxa"/>
            <w:vAlign w:val="bottom"/>
            <w:gridSpan w:val="5"/>
            <w:shd w:val="clear" w:color="auto" w:fill="CCEEFF"/>
          </w:tcPr>
          <w:p>
            <w:pPr>
              <w:ind w:left="820"/>
              <w:spacing w:after="0"/>
              <w:rPr>
                <w:sz w:val="20"/>
                <w:szCs w:val="20"/>
                <w:color w:val="auto"/>
              </w:rPr>
            </w:pPr>
            <w:r>
              <w:rPr>
                <w:rFonts w:ascii="Arial" w:cs="Arial" w:eastAsia="Arial" w:hAnsi="Arial"/>
                <w:sz w:val="18"/>
                <w:szCs w:val="18"/>
                <w:color w:val="auto"/>
              </w:rPr>
              <w:t>Item 1.</w:t>
            </w:r>
          </w:p>
        </w:tc>
        <w:tc>
          <w:tcPr>
            <w:tcW w:w="6560" w:type="dxa"/>
            <w:vAlign w:val="bottom"/>
            <w:gridSpan w:val="16"/>
            <w:shd w:val="clear" w:color="auto" w:fill="CCEEFF"/>
          </w:tcPr>
          <w:p>
            <w:pPr>
              <w:ind w:left="20"/>
              <w:spacing w:after="0"/>
              <w:rPr>
                <w:sz w:val="20"/>
                <w:szCs w:val="20"/>
                <w:color w:val="auto"/>
              </w:rPr>
            </w:pPr>
            <w:r>
              <w:rPr>
                <w:rFonts w:ascii="Arial" w:cs="Arial" w:eastAsia="Arial" w:hAnsi="Arial"/>
                <w:sz w:val="18"/>
                <w:szCs w:val="18"/>
                <w:color w:val="auto"/>
              </w:rPr>
              <w:t>Legal Proceedings – NONE</w:t>
            </w: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Arial" w:cs="Arial" w:eastAsia="Arial" w:hAnsi="Arial"/>
                <w:sz w:val="18"/>
                <w:szCs w:val="18"/>
                <w:color w:val="0000EE"/>
              </w:rPr>
              <w:t>Item 1A.</w:t>
            </w:r>
          </w:p>
        </w:tc>
        <w:tc>
          <w:tcPr>
            <w:tcW w:w="6560" w:type="dxa"/>
            <w:vAlign w:val="bottom"/>
            <w:gridSpan w:val="16"/>
            <w:shd w:val="clear" w:color="auto" w:fill="CCEEFF"/>
          </w:tcPr>
          <w:p>
            <w:pPr>
              <w:ind w:left="20"/>
              <w:spacing w:after="0" w:line="176" w:lineRule="exact"/>
              <w:rPr>
                <w:sz w:val="20"/>
                <w:szCs w:val="20"/>
                <w:color w:val="auto"/>
              </w:rPr>
            </w:pPr>
            <w:r>
              <w:rPr>
                <w:rFonts w:ascii="Arial" w:cs="Arial" w:eastAsia="Arial" w:hAnsi="Arial"/>
                <w:sz w:val="18"/>
                <w:szCs w:val="18"/>
                <w:color w:val="0000EE"/>
              </w:rPr>
              <w:t>Risk Factors - NONE</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Arial" w:cs="Arial" w:eastAsia="Arial" w:hAnsi="Arial"/>
                <w:sz w:val="18"/>
                <w:szCs w:val="18"/>
                <w:color w:val="0000EE"/>
              </w:rPr>
              <w:t>Item 2.</w:t>
            </w:r>
          </w:p>
        </w:tc>
        <w:tc>
          <w:tcPr>
            <w:tcW w:w="6560" w:type="dxa"/>
            <w:vAlign w:val="bottom"/>
            <w:gridSpan w:val="16"/>
            <w:shd w:val="clear" w:color="auto" w:fill="CCEEFF"/>
          </w:tcPr>
          <w:p>
            <w:pPr>
              <w:ind w:left="20"/>
              <w:spacing w:after="0" w:line="176" w:lineRule="exact"/>
              <w:rPr>
                <w:sz w:val="20"/>
                <w:szCs w:val="20"/>
                <w:color w:val="auto"/>
              </w:rPr>
            </w:pPr>
            <w:r>
              <w:rPr>
                <w:rFonts w:ascii="Arial" w:cs="Arial" w:eastAsia="Arial" w:hAnsi="Arial"/>
                <w:sz w:val="18"/>
                <w:szCs w:val="18"/>
                <w:color w:val="0000EE"/>
              </w:rPr>
              <w:t>Unregistered Sales of Equity Securities and Use of Proceeds</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1560" w:type="dxa"/>
            <w:vAlign w:val="bottom"/>
            <w:gridSpan w:val="5"/>
            <w:shd w:val="clear" w:color="auto" w:fill="CCEEFF"/>
          </w:tcPr>
          <w:p>
            <w:pPr>
              <w:ind w:left="820"/>
              <w:spacing w:after="0"/>
              <w:rPr>
                <w:sz w:val="20"/>
                <w:szCs w:val="20"/>
                <w:color w:val="auto"/>
              </w:rPr>
            </w:pPr>
            <w:r>
              <w:rPr>
                <w:rFonts w:ascii="Arial" w:cs="Arial" w:eastAsia="Arial" w:hAnsi="Arial"/>
                <w:sz w:val="18"/>
                <w:szCs w:val="18"/>
                <w:color w:val="auto"/>
              </w:rPr>
              <w:t>Item 3.</w:t>
            </w:r>
          </w:p>
        </w:tc>
        <w:tc>
          <w:tcPr>
            <w:tcW w:w="6560" w:type="dxa"/>
            <w:vAlign w:val="bottom"/>
            <w:gridSpan w:val="16"/>
            <w:shd w:val="clear" w:color="auto" w:fill="CCEEFF"/>
          </w:tcPr>
          <w:p>
            <w:pPr>
              <w:ind w:left="20"/>
              <w:spacing w:after="0"/>
              <w:rPr>
                <w:sz w:val="20"/>
                <w:szCs w:val="20"/>
                <w:color w:val="auto"/>
              </w:rPr>
            </w:pPr>
            <w:r>
              <w:rPr>
                <w:rFonts w:ascii="Arial" w:cs="Arial" w:eastAsia="Arial" w:hAnsi="Arial"/>
                <w:sz w:val="18"/>
                <w:szCs w:val="18"/>
                <w:color w:val="auto"/>
              </w:rPr>
              <w:t>Defaults upon Senior Securities – NONE</w:t>
            </w: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1560" w:type="dxa"/>
            <w:vAlign w:val="bottom"/>
            <w:gridSpan w:val="5"/>
            <w:shd w:val="clear" w:color="auto" w:fill="CCEEFF"/>
          </w:tcPr>
          <w:p>
            <w:pPr>
              <w:ind w:left="820"/>
              <w:spacing w:after="0"/>
              <w:rPr>
                <w:sz w:val="20"/>
                <w:szCs w:val="20"/>
                <w:color w:val="auto"/>
              </w:rPr>
            </w:pPr>
            <w:r>
              <w:rPr>
                <w:rFonts w:ascii="Arial" w:cs="Arial" w:eastAsia="Arial" w:hAnsi="Arial"/>
                <w:sz w:val="18"/>
                <w:szCs w:val="18"/>
                <w:color w:val="auto"/>
              </w:rPr>
              <w:t>Item 4.</w:t>
            </w:r>
          </w:p>
        </w:tc>
        <w:tc>
          <w:tcPr>
            <w:tcW w:w="6560" w:type="dxa"/>
            <w:vAlign w:val="bottom"/>
            <w:gridSpan w:val="16"/>
            <w:shd w:val="clear" w:color="auto" w:fill="CCEEFF"/>
          </w:tcPr>
          <w:p>
            <w:pPr>
              <w:ind w:left="20"/>
              <w:spacing w:after="0"/>
              <w:rPr>
                <w:sz w:val="20"/>
                <w:szCs w:val="20"/>
                <w:color w:val="auto"/>
              </w:rPr>
            </w:pPr>
            <w:r>
              <w:rPr>
                <w:rFonts w:ascii="Arial" w:cs="Arial" w:eastAsia="Arial" w:hAnsi="Arial"/>
                <w:sz w:val="18"/>
                <w:szCs w:val="18"/>
                <w:color w:val="auto"/>
              </w:rPr>
              <w:t>Mine Safety Disclosures – NONE</w:t>
            </w: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Arial" w:cs="Arial" w:eastAsia="Arial" w:hAnsi="Arial"/>
                <w:sz w:val="18"/>
                <w:szCs w:val="18"/>
                <w:color w:val="0000EE"/>
              </w:rPr>
              <w:t>Item 5.</w:t>
            </w:r>
          </w:p>
        </w:tc>
        <w:tc>
          <w:tcPr>
            <w:tcW w:w="6560" w:type="dxa"/>
            <w:vAlign w:val="bottom"/>
            <w:gridSpan w:val="16"/>
            <w:shd w:val="clear" w:color="auto" w:fill="CCEEFF"/>
          </w:tcPr>
          <w:p>
            <w:pPr>
              <w:ind w:left="20"/>
              <w:spacing w:after="0" w:line="176" w:lineRule="exact"/>
              <w:rPr>
                <w:sz w:val="20"/>
                <w:szCs w:val="20"/>
                <w:color w:val="auto"/>
              </w:rPr>
            </w:pPr>
            <w:r>
              <w:rPr>
                <w:rFonts w:ascii="Arial" w:cs="Arial" w:eastAsia="Arial" w:hAnsi="Arial"/>
                <w:sz w:val="18"/>
                <w:szCs w:val="18"/>
                <w:color w:val="0000EE"/>
              </w:rPr>
              <w:t>Other Information – NONE</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75"/>
        </w:trPr>
        <w:tc>
          <w:tcPr>
            <w:tcW w:w="20" w:type="dxa"/>
            <w:vAlign w:val="bottom"/>
            <w:shd w:val="clear" w:color="auto" w:fill="CCEEFF"/>
          </w:tcPr>
          <w:p>
            <w:pPr>
              <w:spacing w:after="0"/>
              <w:rPr>
                <w:sz w:val="15"/>
                <w:szCs w:val="15"/>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Arial" w:cs="Arial" w:eastAsia="Arial" w:hAnsi="Arial"/>
                <w:sz w:val="18"/>
                <w:szCs w:val="18"/>
                <w:color w:val="0000EE"/>
              </w:rPr>
              <w:t>Item 6.</w:t>
            </w:r>
          </w:p>
        </w:tc>
        <w:tc>
          <w:tcPr>
            <w:tcW w:w="6560" w:type="dxa"/>
            <w:vAlign w:val="bottom"/>
            <w:gridSpan w:val="16"/>
            <w:shd w:val="clear" w:color="auto" w:fill="CCEEFF"/>
          </w:tcPr>
          <w:p>
            <w:pPr>
              <w:ind w:left="20"/>
              <w:spacing w:after="0" w:line="176" w:lineRule="exact"/>
              <w:rPr>
                <w:sz w:val="20"/>
                <w:szCs w:val="20"/>
                <w:color w:val="auto"/>
              </w:rPr>
            </w:pPr>
            <w:r>
              <w:rPr>
                <w:rFonts w:ascii="Arial" w:cs="Arial" w:eastAsia="Arial" w:hAnsi="Arial"/>
                <w:sz w:val="18"/>
                <w:szCs w:val="18"/>
                <w:color w:val="0000EE"/>
              </w:rPr>
              <w:t>Exhibits</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7"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8"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5220" w:type="dxa"/>
            <w:vAlign w:val="bottom"/>
          </w:tcPr>
          <w:p>
            <w:pPr>
              <w:spacing w:after="0"/>
              <w:rPr>
                <w:sz w:val="20"/>
                <w:szCs w:val="20"/>
                <w:color w:val="auto"/>
              </w:rPr>
            </w:pPr>
            <w:r>
              <w:rPr>
                <w:rFonts w:ascii="Arial" w:cs="Arial" w:eastAsia="Arial" w:hAnsi="Arial"/>
                <w:sz w:val="14"/>
                <w:szCs w:val="14"/>
                <w:b w:val="1"/>
                <w:bCs w:val="1"/>
                <w:color w:val="auto"/>
              </w:rPr>
              <w:t>(in thousands, except share data)</w:t>
            </w:r>
          </w:p>
        </w:tc>
        <w:tc>
          <w:tcPr>
            <w:tcW w:w="240" w:type="dxa"/>
            <w:vAlign w:val="bottom"/>
          </w:tcPr>
          <w:p>
            <w:pPr>
              <w:spacing w:after="0"/>
              <w:rPr>
                <w:sz w:val="16"/>
                <w:szCs w:val="16"/>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September 24,</w:t>
            </w:r>
          </w:p>
        </w:tc>
        <w:tc>
          <w:tcPr>
            <w:tcW w:w="220" w:type="dxa"/>
            <w:vAlign w:val="bottom"/>
          </w:tcPr>
          <w:p>
            <w:pPr>
              <w:spacing w:after="0"/>
              <w:rPr>
                <w:sz w:val="16"/>
                <w:szCs w:val="16"/>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December 25,</w:t>
            </w:r>
          </w:p>
        </w:tc>
        <w:tc>
          <w:tcPr>
            <w:tcW w:w="240" w:type="dxa"/>
            <w:vAlign w:val="bottom"/>
          </w:tcPr>
          <w:p>
            <w:pPr>
              <w:spacing w:after="0"/>
              <w:rPr>
                <w:sz w:val="16"/>
                <w:szCs w:val="16"/>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September 25,</w:t>
            </w:r>
          </w:p>
        </w:tc>
        <w:tc>
          <w:tcPr>
            <w:tcW w:w="0" w:type="dxa"/>
            <w:vAlign w:val="bottom"/>
          </w:tcPr>
          <w:p>
            <w:pPr>
              <w:spacing w:after="0"/>
              <w:rPr>
                <w:sz w:val="1"/>
                <w:szCs w:val="1"/>
                <w:color w:val="auto"/>
              </w:rPr>
            </w:pPr>
          </w:p>
        </w:tc>
      </w:tr>
      <w:tr>
        <w:trPr>
          <w:trHeight w:val="111"/>
        </w:trPr>
        <w:tc>
          <w:tcPr>
            <w:tcW w:w="5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52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Cash and cash equivalents</w:t>
            </w:r>
          </w:p>
        </w:tc>
        <w:tc>
          <w:tcPr>
            <w:tcW w:w="440" w:type="dxa"/>
            <w:vAlign w:val="bottom"/>
            <w:gridSpan w:val="2"/>
            <w:shd w:val="clear" w:color="auto" w:fill="CCEEFF"/>
          </w:tcPr>
          <w:p>
            <w:pPr>
              <w:jc w:val="right"/>
              <w:ind w:right="78"/>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449,135</w:t>
            </w:r>
          </w:p>
        </w:tc>
        <w:tc>
          <w:tcPr>
            <w:tcW w:w="420" w:type="dxa"/>
            <w:vAlign w:val="bottom"/>
            <w:gridSpan w:val="2"/>
            <w:shd w:val="clear" w:color="auto" w:fill="CCEEFF"/>
          </w:tcPr>
          <w:p>
            <w:pPr>
              <w:jc w:val="right"/>
              <w:ind w:right="78"/>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286,662</w:t>
            </w:r>
          </w:p>
        </w:tc>
        <w:tc>
          <w:tcPr>
            <w:tcW w:w="420" w:type="dxa"/>
            <w:vAlign w:val="bottom"/>
            <w:gridSpan w:val="2"/>
            <w:shd w:val="clear" w:color="auto" w:fill="CCEEFF"/>
          </w:tcPr>
          <w:p>
            <w:pPr>
              <w:jc w:val="right"/>
              <w:ind w:right="58"/>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138,637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ind w:left="100"/>
              <w:spacing w:after="0" w:line="149" w:lineRule="exact"/>
              <w:rPr>
                <w:sz w:val="20"/>
                <w:szCs w:val="20"/>
                <w:color w:val="auto"/>
              </w:rPr>
            </w:pPr>
            <w:r>
              <w:rPr>
                <w:rFonts w:ascii="Arial" w:cs="Arial" w:eastAsia="Arial" w:hAnsi="Arial"/>
                <w:sz w:val="14"/>
                <w:szCs w:val="14"/>
                <w:color w:val="auto"/>
              </w:rPr>
              <w:t>Restricted cash</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729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4,561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17,592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Investments</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33,113</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36,495</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33,723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ind w:left="100"/>
              <w:spacing w:after="0" w:line="149" w:lineRule="exact"/>
              <w:rPr>
                <w:sz w:val="20"/>
                <w:szCs w:val="20"/>
                <w:color w:val="auto"/>
              </w:rPr>
            </w:pPr>
            <w:r>
              <w:rPr>
                <w:rFonts w:ascii="Arial" w:cs="Arial" w:eastAsia="Arial" w:hAnsi="Arial"/>
                <w:sz w:val="14"/>
                <w:szCs w:val="14"/>
                <w:color w:val="auto"/>
              </w:rPr>
              <w:t>Accounts receivable, net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877,776</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737,805</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783,959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Inventories:</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ind w:left="320"/>
              <w:spacing w:after="0" w:line="149" w:lineRule="exact"/>
              <w:rPr>
                <w:sz w:val="20"/>
                <w:szCs w:val="20"/>
                <w:color w:val="auto"/>
              </w:rPr>
            </w:pPr>
            <w:r>
              <w:rPr>
                <w:rFonts w:ascii="Arial" w:cs="Arial" w:eastAsia="Arial" w:hAnsi="Arial"/>
                <w:sz w:val="14"/>
                <w:szCs w:val="14"/>
                <w:color w:val="auto"/>
              </w:rPr>
              <w:t>Raw materials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425,765</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416,043</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368,185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220" w:type="dxa"/>
            <w:vAlign w:val="bottom"/>
            <w:tcBorders>
              <w:bottom w:val="single" w:sz="8" w:color="CCEEFF"/>
            </w:tcBorders>
            <w:shd w:val="clear" w:color="auto" w:fill="CCEEFF"/>
          </w:tcPr>
          <w:p>
            <w:pPr>
              <w:ind w:left="320"/>
              <w:spacing w:after="0" w:line="149" w:lineRule="exact"/>
              <w:rPr>
                <w:sz w:val="20"/>
                <w:szCs w:val="20"/>
                <w:color w:val="auto"/>
              </w:rPr>
            </w:pPr>
            <w:r>
              <w:rPr>
                <w:rFonts w:ascii="Arial" w:cs="Arial" w:eastAsia="Arial" w:hAnsi="Arial"/>
                <w:sz w:val="14"/>
                <w:szCs w:val="14"/>
                <w:color w:val="auto"/>
              </w:rPr>
              <w:t>Finished goods</w:t>
            </w:r>
          </w:p>
        </w:tc>
        <w:tc>
          <w:tcPr>
            <w:tcW w:w="2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581,118</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547,277</w:t>
            </w:r>
          </w:p>
        </w:tc>
        <w:tc>
          <w:tcPr>
            <w:tcW w:w="2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532,480</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5220" w:type="dxa"/>
            <w:vAlign w:val="bottom"/>
          </w:tcPr>
          <w:p>
            <w:pPr>
              <w:ind w:left="420"/>
              <w:spacing w:after="0" w:line="135" w:lineRule="exact"/>
              <w:rPr>
                <w:sz w:val="20"/>
                <w:szCs w:val="20"/>
                <w:color w:val="auto"/>
              </w:rPr>
            </w:pPr>
            <w:r>
              <w:rPr>
                <w:rFonts w:ascii="Arial" w:cs="Arial" w:eastAsia="Arial" w:hAnsi="Arial"/>
                <w:sz w:val="14"/>
                <w:szCs w:val="14"/>
                <w:color w:val="auto"/>
              </w:rPr>
              <w:t>Total inventories</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4"/>
                <w:szCs w:val="14"/>
                <w:color w:val="auto"/>
              </w:rPr>
              <w:t>1,006,883</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4"/>
                <w:szCs w:val="14"/>
                <w:color w:val="auto"/>
              </w:rPr>
              <w:t>963,320</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4"/>
                <w:szCs w:val="14"/>
                <w:color w:val="auto"/>
              </w:rPr>
              <w:t>900,665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Refundable income taxes</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28,771</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4,806</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14,134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220" w:type="dxa"/>
            <w:vAlign w:val="bottom"/>
            <w:tcBorders>
              <w:bottom w:val="single" w:sz="8" w:color="CCEEFF"/>
            </w:tcBorders>
          </w:tcPr>
          <w:p>
            <w:pPr>
              <w:ind w:left="100"/>
              <w:spacing w:after="0" w:line="149" w:lineRule="exact"/>
              <w:rPr>
                <w:sz w:val="20"/>
                <w:szCs w:val="20"/>
                <w:color w:val="auto"/>
              </w:rPr>
            </w:pPr>
            <w:r>
              <w:rPr>
                <w:rFonts w:ascii="Arial" w:cs="Arial" w:eastAsia="Arial" w:hAnsi="Arial"/>
                <w:sz w:val="14"/>
                <w:szCs w:val="14"/>
                <w:color w:val="auto"/>
              </w:rPr>
              <w:t>Other current assets</w:t>
            </w:r>
          </w:p>
        </w:tc>
        <w:tc>
          <w:tcPr>
            <w:tcW w:w="2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39,956</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39,827</w:t>
            </w:r>
          </w:p>
        </w:tc>
        <w:tc>
          <w:tcPr>
            <w:tcW w:w="2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34,040</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CURRENT ASSETS</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2,436,363</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2,073,476</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1,922,750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line="149" w:lineRule="exact"/>
              <w:rPr>
                <w:sz w:val="20"/>
                <w:szCs w:val="20"/>
                <w:color w:val="auto"/>
              </w:rPr>
            </w:pPr>
            <w:r>
              <w:rPr>
                <w:rFonts w:ascii="Arial" w:cs="Arial" w:eastAsia="Arial" w:hAnsi="Arial"/>
                <w:sz w:val="14"/>
                <w:szCs w:val="14"/>
                <w:color w:val="auto"/>
              </w:rPr>
              <w:t>DEFERRED INCOME TAXES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3,139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3,462</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2,330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INVESTMENTS</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19,552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19,310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18,925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line="149" w:lineRule="exact"/>
              <w:rPr>
                <w:sz w:val="20"/>
                <w:szCs w:val="20"/>
                <w:color w:val="auto"/>
              </w:rPr>
            </w:pPr>
            <w:r>
              <w:rPr>
                <w:rFonts w:ascii="Arial" w:cs="Arial" w:eastAsia="Arial" w:hAnsi="Arial"/>
                <w:sz w:val="14"/>
                <w:szCs w:val="14"/>
                <w:color w:val="auto"/>
              </w:rPr>
              <w:t>RIGHT OF USE ASSETS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101,001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96,703</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94,481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94,090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31,876</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29,168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319,183</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315,038</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292,318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INDEFINITE-LIVED INTANGIBLE ASSETS</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7,332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7,369</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7,380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line="149" w:lineRule="exact"/>
              <w:rPr>
                <w:sz w:val="20"/>
                <w:szCs w:val="20"/>
                <w:color w:val="auto"/>
              </w:rPr>
            </w:pPr>
            <w:r>
              <w:rPr>
                <w:rFonts w:ascii="Arial" w:cs="Arial" w:eastAsia="Arial" w:hAnsi="Arial"/>
                <w:sz w:val="14"/>
                <w:szCs w:val="14"/>
                <w:color w:val="auto"/>
              </w:rPr>
              <w:t>OTHER INTANGIBLE ASSETS, NET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113,880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109,017</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93,984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PLANT AND EQUIPMENT:</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ind w:left="100"/>
              <w:spacing w:after="0" w:line="149" w:lineRule="exact"/>
              <w:rPr>
                <w:sz w:val="20"/>
                <w:szCs w:val="20"/>
                <w:color w:val="auto"/>
              </w:rPr>
            </w:pPr>
            <w:r>
              <w:rPr>
                <w:rFonts w:ascii="Arial" w:cs="Arial" w:eastAsia="Arial" w:hAnsi="Arial"/>
                <w:sz w:val="14"/>
                <w:szCs w:val="14"/>
                <w:color w:val="auto"/>
              </w:rPr>
              <w:t>Property, plant and equipment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1,323,896</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1,212,113</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1,156,070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220" w:type="dxa"/>
            <w:vAlign w:val="bottom"/>
            <w:tcBorders>
              <w:bottom w:val="single" w:sz="8" w:color="CCEEFF"/>
            </w:tcBorders>
            <w:shd w:val="clear" w:color="auto" w:fill="CCEEFF"/>
          </w:tcPr>
          <w:p>
            <w:pPr>
              <w:ind w:left="100"/>
              <w:spacing w:after="0" w:line="149" w:lineRule="exact"/>
              <w:rPr>
                <w:sz w:val="20"/>
                <w:szCs w:val="20"/>
                <w:color w:val="auto"/>
              </w:rPr>
            </w:pPr>
            <w:r>
              <w:rPr>
                <w:rFonts w:ascii="Arial" w:cs="Arial" w:eastAsia="Arial" w:hAnsi="Arial"/>
                <w:sz w:val="14"/>
                <w:szCs w:val="14"/>
                <w:color w:val="auto"/>
              </w:rPr>
              <w:t>Less accumulated depreciation and amortization</w:t>
            </w:r>
          </w:p>
        </w:tc>
        <w:tc>
          <w:tcPr>
            <w:tcW w:w="2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(679,889)</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(623,093)</w:t>
            </w:r>
          </w:p>
        </w:tc>
        <w:tc>
          <w:tcPr>
            <w:tcW w:w="2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(603,159)</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5220" w:type="dxa"/>
            <w:vAlign w:val="bottom"/>
            <w:tcBorders>
              <w:bottom w:val="single" w:sz="8" w:color="CCEEFF"/>
            </w:tcBorders>
          </w:tcPr>
          <w:p>
            <w:pPr>
              <w:ind w:left="400"/>
              <w:spacing w:after="0" w:line="135" w:lineRule="exact"/>
              <w:rPr>
                <w:sz w:val="20"/>
                <w:szCs w:val="20"/>
                <w:color w:val="auto"/>
              </w:rPr>
            </w:pPr>
            <w:r>
              <w:rPr>
                <w:rFonts w:ascii="Arial" w:cs="Arial" w:eastAsia="Arial" w:hAnsi="Arial"/>
                <w:sz w:val="14"/>
                <w:szCs w:val="14"/>
                <w:color w:val="auto"/>
              </w:rPr>
              <w:t>PROPERTY, PLANT AND EQUIPMENT, NET</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644,007</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589,020</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552,911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2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3,738,547</w:t>
            </w:r>
          </w:p>
        </w:tc>
        <w:tc>
          <w:tcPr>
            <w:tcW w:w="2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3,245,271</w:t>
            </w:r>
          </w:p>
        </w:tc>
        <w:tc>
          <w:tcPr>
            <w:tcW w:w="2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3,014,247</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SHAREHOLDERS’ EQUITY</w:t>
            </w: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2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tcPr>
          <w:p>
            <w:pPr>
              <w:ind w:left="100"/>
              <w:spacing w:after="0" w:line="149" w:lineRule="exact"/>
              <w:rPr>
                <w:sz w:val="20"/>
                <w:szCs w:val="20"/>
                <w:color w:val="auto"/>
              </w:rPr>
            </w:pPr>
            <w:r>
              <w:rPr>
                <w:rFonts w:ascii="Arial" w:cs="Arial" w:eastAsia="Arial" w:hAnsi="Arial"/>
                <w:sz w:val="14"/>
                <w:szCs w:val="14"/>
                <w:color w:val="auto"/>
              </w:rPr>
              <w:t>Cash overdraft</w:t>
            </w:r>
          </w:p>
        </w:tc>
        <w:tc>
          <w:tcPr>
            <w:tcW w:w="440" w:type="dxa"/>
            <w:vAlign w:val="bottom"/>
            <w:gridSpan w:val="2"/>
          </w:tcPr>
          <w:p>
            <w:pPr>
              <w:jc w:val="right"/>
              <w:ind w:right="78"/>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4,174</w:t>
            </w:r>
          </w:p>
        </w:tc>
        <w:tc>
          <w:tcPr>
            <w:tcW w:w="420" w:type="dxa"/>
            <w:vAlign w:val="bottom"/>
            <w:gridSpan w:val="2"/>
          </w:tcPr>
          <w:p>
            <w:pPr>
              <w:jc w:val="right"/>
              <w:ind w:right="78"/>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17,030</w:t>
            </w:r>
          </w:p>
        </w:tc>
        <w:tc>
          <w:tcPr>
            <w:tcW w:w="420" w:type="dxa"/>
            <w:vAlign w:val="bottom"/>
            <w:gridSpan w:val="2"/>
          </w:tcPr>
          <w:p>
            <w:pPr>
              <w:jc w:val="right"/>
              <w:ind w:right="58"/>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10,812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Accounts payable</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323,404</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319,125</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292,933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ind w:left="100"/>
              <w:spacing w:after="0" w:line="149" w:lineRule="exact"/>
              <w:rPr>
                <w:sz w:val="20"/>
                <w:szCs w:val="20"/>
                <w:color w:val="auto"/>
              </w:rPr>
            </w:pPr>
            <w:r>
              <w:rPr>
                <w:rFonts w:ascii="Arial" w:cs="Arial" w:eastAsia="Arial" w:hAnsi="Arial"/>
                <w:sz w:val="14"/>
                <w:szCs w:val="14"/>
                <w:color w:val="auto"/>
              </w:rPr>
              <w:t>Accrued liabilities: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Compensation and benefits</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298,384</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289,196</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249,242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ind w:left="320"/>
              <w:spacing w:after="0" w:line="149" w:lineRule="exact"/>
              <w:rPr>
                <w:sz w:val="20"/>
                <w:szCs w:val="20"/>
                <w:color w:val="auto"/>
              </w:rPr>
            </w:pPr>
            <w:r>
              <w:rPr>
                <w:rFonts w:ascii="Arial" w:cs="Arial" w:eastAsia="Arial" w:hAnsi="Arial"/>
                <w:sz w:val="14"/>
                <w:szCs w:val="14"/>
                <w:color w:val="auto"/>
              </w:rPr>
              <w:t>Other</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111,596</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84,853</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90,348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Current portion of lease liability</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23,767</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23,155</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22,242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220" w:type="dxa"/>
            <w:vAlign w:val="bottom"/>
            <w:tcBorders>
              <w:bottom w:val="single" w:sz="8" w:color="CCEEFF"/>
            </w:tcBorders>
          </w:tcPr>
          <w:p>
            <w:pPr>
              <w:ind w:left="100"/>
              <w:spacing w:after="0" w:line="149" w:lineRule="exact"/>
              <w:rPr>
                <w:sz w:val="20"/>
                <w:szCs w:val="20"/>
                <w:color w:val="auto"/>
              </w:rPr>
            </w:pPr>
            <w:r>
              <w:rPr>
                <w:rFonts w:ascii="Arial" w:cs="Arial" w:eastAsia="Arial" w:hAnsi="Arial"/>
                <w:sz w:val="14"/>
                <w:szCs w:val="14"/>
                <w:color w:val="auto"/>
              </w:rPr>
              <w:t>Current portion of long-term debt</w:t>
            </w:r>
          </w:p>
        </w:tc>
        <w:tc>
          <w:tcPr>
            <w:tcW w:w="2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41,536</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42,683</w:t>
            </w:r>
          </w:p>
        </w:tc>
        <w:tc>
          <w:tcPr>
            <w:tcW w:w="2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93</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CURRENT LIABILITIES</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802,861</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776,042</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665,670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line="149" w:lineRule="exact"/>
              <w:rPr>
                <w:sz w:val="20"/>
                <w:szCs w:val="20"/>
                <w:color w:val="auto"/>
              </w:rPr>
            </w:pPr>
            <w:r>
              <w:rPr>
                <w:rFonts w:ascii="Arial" w:cs="Arial" w:eastAsia="Arial" w:hAnsi="Arial"/>
                <w:sz w:val="14"/>
                <w:szCs w:val="14"/>
                <w:color w:val="auto"/>
              </w:rPr>
              <w:t>LONG-TERM DEBT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275,417</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277,567</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310,119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LEASE LIABILITY</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80,903</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76,632</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75,548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line="149" w:lineRule="exact"/>
              <w:rPr>
                <w:sz w:val="20"/>
                <w:szCs w:val="20"/>
                <w:color w:val="auto"/>
              </w:rPr>
            </w:pPr>
            <w:r>
              <w:rPr>
                <w:rFonts w:ascii="Arial" w:cs="Arial" w:eastAsia="Arial" w:hAnsi="Arial"/>
                <w:sz w:val="14"/>
                <w:szCs w:val="14"/>
                <w:color w:val="auto"/>
              </w:rPr>
              <w:t>DEFERRED INCOME TAXES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62,436</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60,964</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39,198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22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OTHER LIABILITIES</w:t>
            </w:r>
          </w:p>
        </w:tc>
        <w:tc>
          <w:tcPr>
            <w:tcW w:w="2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40,628</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37,497</w:t>
            </w:r>
          </w:p>
        </w:tc>
        <w:tc>
          <w:tcPr>
            <w:tcW w:w="2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46,238</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5220" w:type="dxa"/>
            <w:vAlign w:val="bottom"/>
          </w:tcPr>
          <w:p>
            <w:pPr>
              <w:ind w:left="420"/>
              <w:spacing w:after="0" w:line="135" w:lineRule="exact"/>
              <w:rPr>
                <w:sz w:val="20"/>
                <w:szCs w:val="20"/>
                <w:color w:val="auto"/>
              </w:rPr>
            </w:pPr>
            <w:r>
              <w:rPr>
                <w:rFonts w:ascii="Arial" w:cs="Arial" w:eastAsia="Arial" w:hAnsi="Arial"/>
                <w:sz w:val="14"/>
                <w:szCs w:val="14"/>
                <w:color w:val="auto"/>
              </w:rPr>
              <w:t>TOTAL LIABILITIES</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4"/>
                <w:szCs w:val="14"/>
                <w:color w:val="auto"/>
              </w:rPr>
              <w:t>1,262,245</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4"/>
                <w:szCs w:val="14"/>
                <w:color w:val="auto"/>
              </w:rPr>
              <w:t>1,228,702</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4"/>
                <w:szCs w:val="14"/>
                <w:color w:val="auto"/>
              </w:rPr>
              <w:t>1,136,773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TEMPORARY EQUITY:</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ind w:left="100"/>
              <w:spacing w:after="0" w:line="149" w:lineRule="exact"/>
              <w:rPr>
                <w:sz w:val="20"/>
                <w:szCs w:val="20"/>
                <w:color w:val="auto"/>
              </w:rPr>
            </w:pPr>
            <w:r>
              <w:rPr>
                <w:rFonts w:ascii="Arial" w:cs="Arial" w:eastAsia="Arial" w:hAnsi="Arial"/>
                <w:sz w:val="14"/>
                <w:szCs w:val="14"/>
                <w:color w:val="auto"/>
              </w:rPr>
              <w:t>Redeemable noncontrolling interest</w:t>
            </w:r>
          </w:p>
        </w:tc>
        <w:tc>
          <w:tcPr>
            <w:tcW w:w="440" w:type="dxa"/>
            <w:vAlign w:val="bottom"/>
            <w:gridSpan w:val="2"/>
          </w:tcPr>
          <w:p>
            <w:pPr>
              <w:jc w:val="right"/>
              <w:ind w:right="78"/>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7,563</w:t>
            </w:r>
          </w:p>
        </w:tc>
        <w:tc>
          <w:tcPr>
            <w:tcW w:w="420" w:type="dxa"/>
            <w:vAlign w:val="bottom"/>
            <w:gridSpan w:val="2"/>
          </w:tcPr>
          <w:p>
            <w:pPr>
              <w:jc w:val="right"/>
              <w:ind w:right="78"/>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58"/>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SHAREHOLDERS’ EQUITY:</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ind w:left="100"/>
              <w:spacing w:after="0" w:line="149" w:lineRule="exact"/>
              <w:rPr>
                <w:sz w:val="20"/>
                <w:szCs w:val="20"/>
                <w:color w:val="auto"/>
              </w:rPr>
            </w:pPr>
            <w:r>
              <w:rPr>
                <w:rFonts w:ascii="Arial" w:cs="Arial" w:eastAsia="Arial" w:hAnsi="Arial"/>
                <w:sz w:val="14"/>
                <w:szCs w:val="14"/>
                <w:color w:val="auto"/>
              </w:rPr>
              <w:t>Controlling interest shareholders’ equity:</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5220" w:type="dxa"/>
            <w:vAlign w:val="bottom"/>
            <w:shd w:val="clear" w:color="auto" w:fill="CCEEFF"/>
          </w:tcPr>
          <w:p>
            <w:pPr>
              <w:ind w:left="320"/>
              <w:spacing w:after="0" w:line="130" w:lineRule="exact"/>
              <w:rPr>
                <w:sz w:val="20"/>
                <w:szCs w:val="20"/>
                <w:color w:val="auto"/>
              </w:rPr>
            </w:pPr>
            <w:r>
              <w:rPr>
                <w:rFonts w:ascii="Arial" w:cs="Arial" w:eastAsia="Arial" w:hAnsi="Arial"/>
                <w:sz w:val="14"/>
                <w:szCs w:val="14"/>
                <w:color w:val="auto"/>
              </w:rPr>
              <w:t>Preferred stock, no par value; shares authorized 1,000,000; issued and</w:t>
            </w: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2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outstanding, none</w:t>
            </w:r>
          </w:p>
        </w:tc>
        <w:tc>
          <w:tcPr>
            <w:tcW w:w="440" w:type="dxa"/>
            <w:vAlign w:val="bottom"/>
            <w:gridSpan w:val="2"/>
            <w:shd w:val="clear" w:color="auto" w:fill="CCEEFF"/>
          </w:tcPr>
          <w:p>
            <w:pPr>
              <w:jc w:val="right"/>
              <w:ind w:right="7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7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58"/>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5220" w:type="dxa"/>
            <w:vAlign w:val="bottom"/>
          </w:tcPr>
          <w:p>
            <w:pPr>
              <w:ind w:left="320"/>
              <w:spacing w:after="0" w:line="130" w:lineRule="exact"/>
              <w:rPr>
                <w:sz w:val="20"/>
                <w:szCs w:val="20"/>
                <w:color w:val="auto"/>
              </w:rPr>
            </w:pPr>
            <w:r>
              <w:rPr>
                <w:rFonts w:ascii="Arial" w:cs="Arial" w:eastAsia="Arial" w:hAnsi="Arial"/>
                <w:sz w:val="14"/>
                <w:szCs w:val="14"/>
                <w:color w:val="auto"/>
              </w:rPr>
              <w:t>Common stock, $1 par value; shares authorized 160,000,000; issued and</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220" w:type="dxa"/>
            <w:vAlign w:val="bottom"/>
          </w:tcPr>
          <w:p>
            <w:pPr>
              <w:ind w:left="320"/>
              <w:spacing w:after="0"/>
              <w:rPr>
                <w:sz w:val="20"/>
                <w:szCs w:val="20"/>
                <w:color w:val="auto"/>
              </w:rPr>
            </w:pPr>
            <w:r>
              <w:rPr>
                <w:rFonts w:ascii="Arial" w:cs="Arial" w:eastAsia="Arial" w:hAnsi="Arial"/>
                <w:sz w:val="14"/>
                <w:szCs w:val="14"/>
                <w:color w:val="auto"/>
              </w:rPr>
              <w:t>outstanding, 61,637,514, 61,901,851 and 61,887,770</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61,638</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61,902</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61,888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Additional paid-in capital</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284,025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243,995</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239,563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ind w:left="320"/>
              <w:spacing w:after="0" w:line="149" w:lineRule="exact"/>
              <w:rPr>
                <w:sz w:val="20"/>
                <w:szCs w:val="20"/>
                <w:color w:val="auto"/>
              </w:rPr>
            </w:pPr>
            <w:r>
              <w:rPr>
                <w:rFonts w:ascii="Arial" w:cs="Arial" w:eastAsia="Arial" w:hAnsi="Arial"/>
                <w:sz w:val="14"/>
                <w:szCs w:val="14"/>
                <w:color w:val="auto"/>
              </w:rPr>
              <w:t>Retained earnings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2,102,764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1,678,121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1,552,593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220" w:type="dxa"/>
            <w:vAlign w:val="bottom"/>
            <w:tcBorders>
              <w:bottom w:val="single" w:sz="8" w:color="CCEEFF"/>
            </w:tcBorders>
            <w:shd w:val="clear" w:color="auto" w:fill="CCEEFF"/>
          </w:tcPr>
          <w:p>
            <w:pPr>
              <w:ind w:left="320"/>
              <w:spacing w:after="0" w:line="149" w:lineRule="exact"/>
              <w:rPr>
                <w:sz w:val="20"/>
                <w:szCs w:val="20"/>
                <w:color w:val="auto"/>
              </w:rPr>
            </w:pPr>
            <w:r>
              <w:rPr>
                <w:rFonts w:ascii="Arial" w:cs="Arial" w:eastAsia="Arial" w:hAnsi="Arial"/>
                <w:sz w:val="14"/>
                <w:szCs w:val="14"/>
                <w:color w:val="auto"/>
              </w:rPr>
              <w:t>Accumulated other comprehensive loss</w:t>
            </w:r>
          </w:p>
        </w:tc>
        <w:tc>
          <w:tcPr>
            <w:tcW w:w="2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(11,348)</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(5,405)</w:t>
            </w:r>
          </w:p>
        </w:tc>
        <w:tc>
          <w:tcPr>
            <w:tcW w:w="2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(3,278)</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220" w:type="dxa"/>
            <w:vAlign w:val="bottom"/>
          </w:tcPr>
          <w:p>
            <w:pPr>
              <w:ind w:left="420"/>
              <w:spacing w:after="0" w:line="135" w:lineRule="exact"/>
              <w:rPr>
                <w:sz w:val="20"/>
                <w:szCs w:val="20"/>
                <w:color w:val="auto"/>
              </w:rPr>
            </w:pPr>
            <w:r>
              <w:rPr>
                <w:rFonts w:ascii="Arial" w:cs="Arial" w:eastAsia="Arial" w:hAnsi="Arial"/>
                <w:sz w:val="14"/>
                <w:szCs w:val="14"/>
                <w:color w:val="auto"/>
              </w:rPr>
              <w:t>Total controlling interest shareholders’ equity</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4"/>
                <w:szCs w:val="14"/>
                <w:color w:val="auto"/>
              </w:rPr>
              <w:t>2,437,079</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4"/>
                <w:szCs w:val="14"/>
                <w:color w:val="auto"/>
              </w:rPr>
              <w:t>1,978,613</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4"/>
                <w:szCs w:val="14"/>
                <w:color w:val="auto"/>
              </w:rPr>
              <w:t>1,850,766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5220" w:type="dxa"/>
            <w:vAlign w:val="bottom"/>
            <w:tcBorders>
              <w:bottom w:val="single" w:sz="8" w:color="CCEEFF"/>
            </w:tcBorders>
            <w:shd w:val="clear" w:color="auto" w:fill="CCEEFF"/>
          </w:tcPr>
          <w:p>
            <w:pPr>
              <w:ind w:left="100"/>
              <w:spacing w:after="0" w:line="149" w:lineRule="exact"/>
              <w:rPr>
                <w:sz w:val="20"/>
                <w:szCs w:val="20"/>
                <w:color w:val="auto"/>
              </w:rPr>
            </w:pPr>
            <w:r>
              <w:rPr>
                <w:rFonts w:ascii="Arial" w:cs="Arial" w:eastAsia="Arial" w:hAnsi="Arial"/>
                <w:sz w:val="14"/>
                <w:szCs w:val="14"/>
                <w:color w:val="auto"/>
              </w:rPr>
              <w:t>Noncontrolling interest</w:t>
            </w:r>
          </w:p>
        </w:tc>
        <w:tc>
          <w:tcPr>
            <w:tcW w:w="2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31,660</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37,956</w:t>
            </w:r>
          </w:p>
        </w:tc>
        <w:tc>
          <w:tcPr>
            <w:tcW w:w="2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26,708</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5220" w:type="dxa"/>
            <w:vAlign w:val="bottom"/>
            <w:tcBorders>
              <w:bottom w:val="single" w:sz="8" w:color="CCEEFF"/>
            </w:tcBorders>
          </w:tcPr>
          <w:p>
            <w:pPr>
              <w:ind w:left="420"/>
              <w:spacing w:after="0" w:line="135" w:lineRule="exact"/>
              <w:rPr>
                <w:sz w:val="20"/>
                <w:szCs w:val="20"/>
                <w:color w:val="auto"/>
              </w:rPr>
            </w:pPr>
            <w:r>
              <w:rPr>
                <w:rFonts w:ascii="Arial" w:cs="Arial" w:eastAsia="Arial" w:hAnsi="Arial"/>
                <w:sz w:val="14"/>
                <w:szCs w:val="14"/>
                <w:color w:val="auto"/>
              </w:rPr>
              <w:t>TOTAL SHAREHOLDERS’ EQUITY</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2,468,739</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2,016,569</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1,877,474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TOTAL LIABILITIES, TEMPORARY EQUITY AND SHAREHOLDERS’ EQUITY</w:t>
            </w:r>
          </w:p>
        </w:tc>
        <w:tc>
          <w:tcPr>
            <w:tcW w:w="2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3,738,547</w:t>
            </w:r>
          </w:p>
        </w:tc>
        <w:tc>
          <w:tcPr>
            <w:tcW w:w="2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3,245,271</w:t>
            </w:r>
          </w:p>
        </w:tc>
        <w:tc>
          <w:tcPr>
            <w:tcW w:w="2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3,014,247</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See notes to consolidated condensed financial statements</w:t>
      </w:r>
      <w:r>
        <w:rPr>
          <w:rFonts w:ascii="Arial" w:cs="Arial" w:eastAsia="Arial" w:hAnsi="Arial"/>
          <w:sz w:val="17"/>
          <w:szCs w:val="17"/>
          <w:color w:val="auto"/>
        </w:rPr>
        <w:t>.</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ind w:left="60" w:right="79"/>
        <w:spacing w:after="0" w:line="275" w:lineRule="auto"/>
        <w:rPr>
          <w:sz w:val="20"/>
          <w:szCs w:val="20"/>
          <w:color w:val="auto"/>
        </w:rPr>
      </w:pPr>
      <w:r>
        <w:rPr>
          <w:rFonts w:ascii="Arial" w:cs="Arial" w:eastAsia="Arial" w:hAnsi="Arial"/>
          <w:sz w:val="18"/>
          <w:szCs w:val="18"/>
          <w:b w:val="1"/>
          <w:bCs w:val="1"/>
          <w:color w:val="auto"/>
        </w:rPr>
        <w:t>CONDENSED CONSOLIDATED STATEMENTS OF EARNINGS AND COMPREHENSIVE INCOME (Unaudited)</w:t>
      </w:r>
    </w:p>
    <w:p>
      <w:pPr>
        <w:spacing w:after="0" w:line="399"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4320" w:type="dxa"/>
            <w:vAlign w:val="bottom"/>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80" w:type="dxa"/>
            <w:vAlign w:val="bottom"/>
          </w:tcPr>
          <w:p>
            <w:pPr>
              <w:spacing w:after="0"/>
              <w:rPr>
                <w:sz w:val="16"/>
                <w:szCs w:val="16"/>
                <w:color w:val="auto"/>
              </w:rPr>
            </w:pPr>
          </w:p>
        </w:tc>
        <w:tc>
          <w:tcPr>
            <w:tcW w:w="2020" w:type="dxa"/>
            <w:vAlign w:val="bottom"/>
            <w:gridSpan w:val="3"/>
            <w:vMerge w:val="restart"/>
          </w:tcPr>
          <w:p>
            <w:pPr>
              <w:jc w:val="right"/>
              <w:ind w:right="273"/>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2220" w:type="dxa"/>
            <w:vAlign w:val="bottom"/>
            <w:gridSpan w:val="4"/>
            <w:vMerge w:val="restart"/>
          </w:tcPr>
          <w:p>
            <w:pPr>
              <w:ind w:left="3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1"/>
        </w:trPr>
        <w:tc>
          <w:tcPr>
            <w:tcW w:w="4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22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4"/>
                <w:szCs w:val="14"/>
                <w:b w:val="1"/>
                <w:bCs w:val="1"/>
                <w:color w:val="auto"/>
                <w:w w:val="89"/>
              </w:rPr>
              <w:t>September 24,</w:t>
            </w:r>
          </w:p>
        </w:tc>
        <w:tc>
          <w:tcPr>
            <w:tcW w:w="1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4"/>
                <w:szCs w:val="14"/>
                <w:b w:val="1"/>
                <w:bCs w:val="1"/>
                <w:color w:val="auto"/>
                <w:w w:val="91"/>
              </w:rPr>
              <w:t>September 25,</w:t>
            </w:r>
          </w:p>
        </w:tc>
        <w:tc>
          <w:tcPr>
            <w:tcW w:w="160" w:type="dxa"/>
            <w:vAlign w:val="bottom"/>
          </w:tcPr>
          <w:p>
            <w:pPr>
              <w:spacing w:after="0"/>
              <w:rPr>
                <w:sz w:val="10"/>
                <w:szCs w:val="10"/>
                <w:color w:val="auto"/>
              </w:rPr>
            </w:pPr>
          </w:p>
        </w:tc>
        <w:tc>
          <w:tcPr>
            <w:tcW w:w="90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4"/>
                <w:szCs w:val="14"/>
                <w:b w:val="1"/>
                <w:bCs w:val="1"/>
                <w:color w:val="auto"/>
                <w:w w:val="89"/>
              </w:rPr>
              <w:t>September 24,</w:t>
            </w:r>
          </w:p>
        </w:tc>
        <w:tc>
          <w:tcPr>
            <w:tcW w:w="2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4"/>
                <w:szCs w:val="14"/>
                <w:b w:val="1"/>
                <w:bCs w:val="1"/>
                <w:color w:val="auto"/>
                <w:w w:val="91"/>
              </w:rPr>
              <w:t>September 25,</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4320" w:type="dxa"/>
            <w:vAlign w:val="bottom"/>
          </w:tcPr>
          <w:p>
            <w:pPr>
              <w:spacing w:after="0"/>
              <w:rPr>
                <w:sz w:val="15"/>
                <w:szCs w:val="15"/>
                <w:color w:val="auto"/>
              </w:rPr>
            </w:pPr>
          </w:p>
        </w:tc>
        <w:tc>
          <w:tcPr>
            <w:tcW w:w="1100" w:type="dxa"/>
            <w:vAlign w:val="bottom"/>
            <w:gridSpan w:val="2"/>
          </w:tcPr>
          <w:p>
            <w:pPr>
              <w:jc w:val="right"/>
              <w:ind w:right="235"/>
              <w:spacing w:after="0"/>
              <w:rPr>
                <w:sz w:val="20"/>
                <w:szCs w:val="20"/>
                <w:color w:val="auto"/>
              </w:rPr>
            </w:pPr>
            <w:r>
              <w:rPr>
                <w:rFonts w:ascii="Arial" w:cs="Arial" w:eastAsia="Arial" w:hAnsi="Arial"/>
                <w:sz w:val="14"/>
                <w:szCs w:val="14"/>
                <w:b w:val="1"/>
                <w:bCs w:val="1"/>
                <w:color w:val="auto"/>
              </w:rPr>
              <w:t>2022</w:t>
            </w:r>
          </w:p>
        </w:tc>
        <w:tc>
          <w:tcPr>
            <w:tcW w:w="1100" w:type="dxa"/>
            <w:vAlign w:val="bottom"/>
            <w:gridSpan w:val="2"/>
          </w:tcPr>
          <w:p>
            <w:pPr>
              <w:jc w:val="right"/>
              <w:ind w:right="233"/>
              <w:spacing w:after="0"/>
              <w:rPr>
                <w:sz w:val="20"/>
                <w:szCs w:val="20"/>
                <w:color w:val="auto"/>
              </w:rPr>
            </w:pPr>
            <w:r>
              <w:rPr>
                <w:rFonts w:ascii="Arial" w:cs="Arial" w:eastAsia="Arial" w:hAnsi="Arial"/>
                <w:sz w:val="14"/>
                <w:szCs w:val="14"/>
                <w:b w:val="1"/>
                <w:bCs w:val="1"/>
                <w:color w:val="auto"/>
              </w:rPr>
              <w:t>2021</w:t>
            </w:r>
          </w:p>
        </w:tc>
        <w:tc>
          <w:tcPr>
            <w:tcW w:w="1060" w:type="dxa"/>
            <w:vAlign w:val="bottom"/>
            <w:gridSpan w:val="2"/>
          </w:tcPr>
          <w:p>
            <w:pPr>
              <w:jc w:val="right"/>
              <w:ind w:right="235"/>
              <w:spacing w:after="0"/>
              <w:rPr>
                <w:sz w:val="20"/>
                <w:szCs w:val="20"/>
                <w:color w:val="auto"/>
              </w:rPr>
            </w:pPr>
            <w:r>
              <w:rPr>
                <w:rFonts w:ascii="Arial" w:cs="Arial" w:eastAsia="Arial" w:hAnsi="Arial"/>
                <w:sz w:val="14"/>
                <w:szCs w:val="14"/>
                <w:b w:val="1"/>
                <w:bCs w:val="1"/>
                <w:color w:val="auto"/>
              </w:rPr>
              <w:t>2022</w:t>
            </w:r>
          </w:p>
        </w:tc>
        <w:tc>
          <w:tcPr>
            <w:tcW w:w="1120" w:type="dxa"/>
            <w:vAlign w:val="bottom"/>
            <w:gridSpan w:val="2"/>
          </w:tcPr>
          <w:p>
            <w:pPr>
              <w:jc w:val="right"/>
              <w:ind w:right="233"/>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SALES</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$ 2,322,855</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$ 2,093,784</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$ 7,713,042</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$ 6,619,329</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6"/>
                <w:szCs w:val="16"/>
                <w:color w:val="auto"/>
              </w:rPr>
              <w:t>COST OF GOODS SOLD</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1,872,679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1,766,229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6,281,051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5,583,926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GROSS PROFIT</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450,176</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327,555</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1,431,991</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1,035,403</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214,327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169,467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649,015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504,104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OTHER (GAINS) LOSS, NET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(10,037)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(11,248)</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32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EARNINGS FROM OPERATIONS</w:t>
            </w:r>
          </w:p>
        </w:tc>
        <w:tc>
          <w:tcPr>
            <w:tcW w:w="18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237,044</w:t>
            </w:r>
          </w:p>
        </w:tc>
        <w:tc>
          <w:tcPr>
            <w:tcW w:w="18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168,125</w:t>
            </w:r>
          </w:p>
        </w:tc>
        <w:tc>
          <w:tcPr>
            <w:tcW w:w="16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781,635</w:t>
            </w:r>
          </w:p>
        </w:tc>
        <w:tc>
          <w:tcPr>
            <w:tcW w:w="20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542,547</w:t>
            </w:r>
          </w:p>
        </w:tc>
        <w:tc>
          <w:tcPr>
            <w:tcW w:w="2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10,213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10,483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6"/>
                <w:szCs w:val="16"/>
                <w:color w:val="auto"/>
              </w:rPr>
              <w:t>INTEREST AND INVESTMENT LOSS (INCOME)</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1,658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371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6,905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(3,614)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EQUITY IN EARNINGS OF INVESTEE</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2,411</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CCEEFF"/>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6,382</w:t>
            </w:r>
          </w:p>
        </w:tc>
        <w:tc>
          <w:tcPr>
            <w:tcW w:w="180" w:type="dxa"/>
            <w:vAlign w:val="bottom"/>
            <w:tcBorders>
              <w:top w:val="single" w:sz="8" w:color="CCEEFF"/>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4,750</w:t>
            </w:r>
          </w:p>
        </w:tc>
        <w:tc>
          <w:tcPr>
            <w:tcW w:w="160" w:type="dxa"/>
            <w:vAlign w:val="bottom"/>
            <w:tcBorders>
              <w:top w:val="single" w:sz="8" w:color="CCEEFF"/>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19,858</w:t>
            </w:r>
          </w:p>
        </w:tc>
        <w:tc>
          <w:tcPr>
            <w:tcW w:w="200" w:type="dxa"/>
            <w:vAlign w:val="bottom"/>
            <w:tcBorders>
              <w:top w:val="single" w:sz="8" w:color="CCEEFF"/>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9,280</w:t>
            </w:r>
          </w:p>
        </w:tc>
        <w:tc>
          <w:tcPr>
            <w:tcW w:w="2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EARNINGS BEFORE INCOME TAXES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230,662</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163,375</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761,777</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533,267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6"/>
                <w:szCs w:val="16"/>
                <w:color w:val="auto"/>
              </w:rPr>
              <w:t>INCOME TAXES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58,561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37,628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188,692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127,909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EARNINGS</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172,101</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125,747</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573,085</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405,358</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019"/>
          </w:cols>
          <w:pgMar w:left="1440" w:top="544" w:right="1440" w:bottom="1440" w:gutter="0" w:footer="0" w:header="0"/>
        </w:sectPr>
      </w:pPr>
    </w:p>
    <w:p>
      <w:pPr>
        <w:ind w:left="60" w:right="760"/>
        <w:spacing w:after="0" w:line="260" w:lineRule="auto"/>
        <w:rPr>
          <w:sz w:val="20"/>
          <w:szCs w:val="20"/>
          <w:color w:val="auto"/>
        </w:rPr>
      </w:pPr>
      <w:r>
        <w:rPr>
          <w:rFonts w:ascii="Arial" w:cs="Arial" w:eastAsia="Arial" w:hAnsi="Arial"/>
          <w:sz w:val="16"/>
          <w:szCs w:val="16"/>
          <w:color w:val="auto"/>
        </w:rPr>
        <w:t>LESS NET EARNINGS ATTRIBUTABLE TO NONCONTROLLING INTEREST</w:t>
      </w:r>
    </w:p>
    <w:p>
      <w:pPr>
        <w:ind w:left="60"/>
        <w:spacing w:after="0" w:line="288" w:lineRule="auto"/>
        <w:rPr>
          <w:sz w:val="20"/>
          <w:szCs w:val="20"/>
          <w:color w:val="auto"/>
        </w:rPr>
      </w:pPr>
      <w:r>
        <w:rPr>
          <w:rFonts w:ascii="Arial" w:cs="Arial" w:eastAsia="Arial" w:hAnsi="Arial"/>
          <w:sz w:val="16"/>
          <w:szCs w:val="16"/>
          <w:color w:val="auto"/>
        </w:rPr>
        <w:t>NET EARNINGS ATTRIBUTABLE TO CONTROLLING INTEREST</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380"/>
        <w:spacing w:after="0"/>
        <w:tabs>
          <w:tab w:leader="none" w:pos="1480" w:val="left"/>
          <w:tab w:leader="none" w:pos="2440" w:val="left"/>
          <w:tab w:leader="none" w:pos="3660" w:val="left"/>
        </w:tabs>
        <w:rPr>
          <w:sz w:val="20"/>
          <w:szCs w:val="20"/>
          <w:color w:val="auto"/>
        </w:rPr>
      </w:pPr>
      <w:r>
        <w:rPr>
          <w:rFonts w:ascii="Arial" w:cs="Arial" w:eastAsia="Arial" w:hAnsi="Arial"/>
          <w:sz w:val="18"/>
          <w:szCs w:val="18"/>
          <w:color w:val="auto"/>
        </w:rPr>
        <w:t>(4,860)</w:t>
      </w:r>
      <w:r>
        <w:rPr>
          <w:sz w:val="20"/>
          <w:szCs w:val="20"/>
          <w:color w:val="auto"/>
        </w:rPr>
        <w:tab/>
      </w:r>
      <w:r>
        <w:rPr>
          <w:rFonts w:ascii="Arial" w:cs="Arial" w:eastAsia="Arial" w:hAnsi="Arial"/>
          <w:sz w:val="18"/>
          <w:szCs w:val="18"/>
          <w:color w:val="auto"/>
        </w:rPr>
        <w:t>(4,706)</w:t>
      </w:r>
      <w:r>
        <w:rPr>
          <w:sz w:val="20"/>
          <w:szCs w:val="20"/>
          <w:color w:val="auto"/>
        </w:rPr>
        <w:tab/>
      </w:r>
      <w:r>
        <w:rPr>
          <w:rFonts w:ascii="Arial" w:cs="Arial" w:eastAsia="Arial" w:hAnsi="Arial"/>
          <w:sz w:val="18"/>
          <w:szCs w:val="18"/>
          <w:color w:val="auto"/>
        </w:rPr>
        <w:t>(13,023)</w:t>
      </w:r>
      <w:r>
        <w:rPr>
          <w:sz w:val="20"/>
          <w:szCs w:val="20"/>
          <w:color w:val="auto"/>
        </w:rPr>
        <w:tab/>
      </w:r>
      <w:r>
        <w:rPr>
          <w:rFonts w:ascii="Arial" w:cs="Arial" w:eastAsia="Arial" w:hAnsi="Arial"/>
          <w:sz w:val="16"/>
          <w:szCs w:val="16"/>
          <w:color w:val="auto"/>
        </w:rPr>
        <w:t>(7,624)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-2855595</wp:posOffset>
            </wp:positionH>
            <wp:positionV relativeFrom="paragraph">
              <wp:posOffset>14605</wp:posOffset>
            </wp:positionV>
            <wp:extent cx="5648960" cy="265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48960" cy="265430"/>
                    </a:xfrm>
                    <a:prstGeom prst="rect">
                      <a:avLst/>
                    </a:prstGeom>
                    <a:noFill/>
                  </pic:spPr>
                </pic:pic>
              </a:graphicData>
            </a:graphic>
          </wp:anchor>
        </w:drawing>
      </w:r>
    </w:p>
    <w:p>
      <w:pPr>
        <w:spacing w:after="0" w:line="178" w:lineRule="exact"/>
        <w:rPr>
          <w:sz w:val="20"/>
          <w:szCs w:val="20"/>
          <w:color w:val="auto"/>
        </w:rPr>
      </w:pPr>
    </w:p>
    <w:p>
      <w:pPr>
        <w:spacing w:after="0"/>
        <w:tabs>
          <w:tab w:leader="none" w:pos="260" w:val="left"/>
          <w:tab w:leader="none" w:pos="1080" w:val="left"/>
          <w:tab w:leader="none" w:pos="1360" w:val="left"/>
          <w:tab w:leader="none" w:pos="2140" w:val="left"/>
          <w:tab w:leader="none" w:pos="2420" w:val="left"/>
          <w:tab w:leader="none" w:pos="3260" w:val="left"/>
          <w:tab w:leader="none" w:pos="3540" w:val="left"/>
        </w:tabs>
        <w:rPr>
          <w:sz w:val="20"/>
          <w:szCs w:val="20"/>
          <w:color w:val="auto"/>
        </w:rPr>
      </w:pPr>
      <w:r>
        <w:rPr>
          <w:rFonts w:ascii="Arial" w:cs="Arial" w:eastAsia="Arial" w:hAnsi="Arial"/>
          <w:sz w:val="18"/>
          <w:szCs w:val="18"/>
          <w:u w:val="single" w:color="auto"/>
          <w:color w:val="auto"/>
        </w:rPr>
        <w:t>$</w:t>
        <w:tab/>
        <w:t>167,241</w:t>
        <w:tab/>
        <w:t>$</w:t>
        <w:tab/>
        <w:t>121,041</w:t>
        <w:tab/>
        <w:t>$</w:t>
        <w:tab/>
        <w:t>560,062</w:t>
        <w:tab/>
        <w:t>$</w:t>
      </w:r>
      <w:r>
        <w:rPr>
          <w:sz w:val="20"/>
          <w:szCs w:val="20"/>
          <w:color w:val="auto"/>
        </w:rPr>
        <w:tab/>
      </w:r>
      <w:r>
        <w:rPr>
          <w:rFonts w:ascii="Arial" w:cs="Arial" w:eastAsia="Arial" w:hAnsi="Arial"/>
          <w:sz w:val="16"/>
          <w:szCs w:val="16"/>
          <w:u w:val="single" w:color="auto"/>
          <w:color w:val="auto"/>
        </w:rPr>
        <w:t>397,734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31750</wp:posOffset>
            </wp:positionV>
            <wp:extent cx="2674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pacing w:after="0" w:line="267" w:lineRule="exact"/>
        <w:rPr>
          <w:sz w:val="20"/>
          <w:szCs w:val="20"/>
          <w:color w:val="auto"/>
        </w:rPr>
      </w:pPr>
    </w:p>
    <w:p>
      <w:pPr>
        <w:sectPr>
          <w:pgSz w:w="11900" w:h="16838" w:orient="portrait"/>
          <w:cols w:equalWidth="0" w:num="2">
            <w:col w:w="3900" w:space="660"/>
            <w:col w:w="4459"/>
          </w:cols>
          <w:pgMar w:left="1440" w:top="544" w:right="1440" w:bottom="1440" w:gutter="0" w:footer="0" w:header="0"/>
          <w:type w:val="continuous"/>
        </w:sectPr>
      </w:pPr>
    </w:p>
    <w:p>
      <w:pPr>
        <w:spacing w:after="0" w:line="1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6"/>
                <w:szCs w:val="16"/>
                <w:color w:val="auto"/>
              </w:rPr>
              <w:t>EARNINGS PER SHARE – BASIC</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6"/>
                <w:szCs w:val="16"/>
                <w:color w:val="auto"/>
              </w:rPr>
              <w:t>EARNINGS PER SHARE – DILUTED</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2.66</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1.94</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8.89</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6.38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2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20" w:type="dxa"/>
            <w:vAlign w:val="bottom"/>
            <w:shd w:val="clear" w:color="auto" w:fill="CCEEFF"/>
          </w:tcPr>
          <w:p>
            <w:pPr>
              <w:spacing w:after="0"/>
              <w:rPr>
                <w:sz w:val="20"/>
                <w:szCs w:val="20"/>
                <w:color w:val="auto"/>
              </w:rPr>
            </w:pPr>
            <w:r>
              <w:rPr>
                <w:rFonts w:ascii="Arial" w:cs="Arial" w:eastAsia="Arial" w:hAnsi="Arial"/>
                <w:sz w:val="16"/>
                <w:szCs w:val="16"/>
                <w:color w:val="auto"/>
              </w:rPr>
              <w:t>NET EARNINGS</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172,101</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125,747</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573,085</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405,358</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COMPREHENSIVE LOSS</w:t>
            </w:r>
          </w:p>
        </w:tc>
        <w:tc>
          <w:tcPr>
            <w:tcW w:w="2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(4,477)</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(5,676)</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6"/>
                <w:szCs w:val="16"/>
                <w:color w:val="auto"/>
              </w:rPr>
              <w:t>COMPREHENSIVE INCOME</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167,624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123,723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567,409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403,858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220" w:type="dxa"/>
            <w:vAlign w:val="bottom"/>
          </w:tcPr>
          <w:p>
            <w:pPr>
              <w:spacing w:after="0"/>
              <w:rPr>
                <w:sz w:val="20"/>
                <w:szCs w:val="20"/>
                <w:color w:val="auto"/>
              </w:rPr>
            </w:pPr>
            <w:r>
              <w:rPr>
                <w:rFonts w:ascii="Arial" w:cs="Arial" w:eastAsia="Arial" w:hAnsi="Arial"/>
                <w:sz w:val="16"/>
                <w:szCs w:val="16"/>
                <w:color w:val="auto"/>
              </w:rPr>
              <w:t>LESS COMPREHENSIVE INCOME ATTRIBUTABLE TO</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(4,273)</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(4,496)</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(13,290)</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(7,608)</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2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NONCONTROLLING INTEREST</w:t>
            </w:r>
          </w:p>
        </w:tc>
        <w:tc>
          <w:tcPr>
            <w:tcW w:w="2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422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rPr>
              <w:t>COMPREHENSIVE INCOME ATTRIBUTABLE TO</w:t>
            </w:r>
          </w:p>
        </w:tc>
        <w:tc>
          <w:tcPr>
            <w:tcW w:w="4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163,351</w:t>
            </w:r>
          </w:p>
        </w:tc>
        <w:tc>
          <w:tcPr>
            <w:tcW w:w="3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119,227</w:t>
            </w:r>
          </w:p>
        </w:tc>
        <w:tc>
          <w:tcPr>
            <w:tcW w:w="3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554,119</w:t>
            </w:r>
          </w:p>
        </w:tc>
        <w:tc>
          <w:tcPr>
            <w:tcW w:w="3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396,250</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220" w:type="dxa"/>
            <w:vAlign w:val="bottom"/>
            <w:shd w:val="clear" w:color="auto" w:fill="CCEEFF"/>
          </w:tcPr>
          <w:p>
            <w:pPr>
              <w:spacing w:after="0"/>
              <w:rPr>
                <w:sz w:val="20"/>
                <w:szCs w:val="20"/>
                <w:color w:val="auto"/>
              </w:rPr>
            </w:pPr>
            <w:r>
              <w:rPr>
                <w:rFonts w:ascii="Arial" w:cs="Arial" w:eastAsia="Arial" w:hAnsi="Arial"/>
                <w:sz w:val="16"/>
                <w:szCs w:val="16"/>
                <w:color w:val="auto"/>
              </w:rPr>
              <w:t>CONTROLLING INTEREST</w:t>
            </w:r>
          </w:p>
        </w:tc>
        <w:tc>
          <w:tcPr>
            <w:tcW w:w="460" w:type="dxa"/>
            <w:vAlign w:val="bottom"/>
            <w:gridSpan w:val="2"/>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320" w:type="dxa"/>
            <w:vAlign w:val="bottom"/>
            <w:gridSpan w:val="2"/>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380" w:type="dxa"/>
            <w:vAlign w:val="bottom"/>
            <w:gridSpan w:val="2"/>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4" w:name="page5"/>
    <w:bookmarkEnd w:id="4"/>
    <w:p>
      <w:pPr>
        <w:ind w:left="18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and per share data)</w:t>
      </w:r>
    </w:p>
    <w:tbl>
      <w:tblPr>
        <w:tblLayout w:type="fixed"/>
        <w:tblInd w:w="0" w:type="dxa"/>
        <w:tblCellMar>
          <w:top w:w="0" w:type="dxa"/>
          <w:left w:w="0" w:type="dxa"/>
          <w:bottom w:w="0" w:type="dxa"/>
          <w:right w:w="0" w:type="dxa"/>
        </w:tblCellMar>
      </w:tblPr>
      <w:tr>
        <w:trPr>
          <w:trHeight w:val="166"/>
        </w:trPr>
        <w:tc>
          <w:tcPr>
            <w:tcW w:w="31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9"/>
          </w:tcPr>
          <w:p>
            <w:pPr>
              <w:jc w:val="right"/>
              <w:ind w:right="660"/>
              <w:spacing w:after="0" w:line="159" w:lineRule="exact"/>
              <w:rPr>
                <w:sz w:val="20"/>
                <w:szCs w:val="20"/>
                <w:color w:val="auto"/>
              </w:rPr>
            </w:pPr>
            <w:r>
              <w:rPr>
                <w:rFonts w:ascii="Arial" w:cs="Arial" w:eastAsia="Arial" w:hAnsi="Arial"/>
                <w:sz w:val="14"/>
                <w:szCs w:val="14"/>
                <w:b w:val="1"/>
                <w:bCs w:val="1"/>
                <w:color w:val="auto"/>
                <w:w w:val="93"/>
              </w:rPr>
              <w:t>Controlling Interest Shareholders’ Equity</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220"/>
              <w:spacing w:after="0" w:line="126"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7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Common</w:t>
            </w:r>
          </w:p>
        </w:tc>
        <w:tc>
          <w:tcPr>
            <w:tcW w:w="6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Noncontrolling</w:t>
            </w:r>
          </w:p>
        </w:tc>
        <w:tc>
          <w:tcPr>
            <w:tcW w:w="760" w:type="dxa"/>
            <w:vAlign w:val="bottom"/>
          </w:tcPr>
          <w:p>
            <w:pPr>
              <w:spacing w:after="0"/>
              <w:rPr>
                <w:sz w:val="12"/>
                <w:szCs w:val="12"/>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Temporary</w:t>
            </w: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080" w:type="dxa"/>
            <w:vAlign w:val="bottom"/>
            <w:gridSpan w:val="3"/>
            <w:vMerge w:val="continue"/>
          </w:tcPr>
          <w:p>
            <w:pPr>
              <w:spacing w:after="0"/>
              <w:rPr>
                <w:sz w:val="12"/>
                <w:szCs w:val="12"/>
                <w:color w:val="auto"/>
              </w:rPr>
            </w:pPr>
          </w:p>
        </w:tc>
        <w:tc>
          <w:tcPr>
            <w:tcW w:w="7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Total</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120" w:type="dxa"/>
            <w:vAlign w:val="bottom"/>
          </w:tcPr>
          <w:p>
            <w:pPr>
              <w:spacing w:after="0"/>
              <w:rPr>
                <w:sz w:val="15"/>
                <w:szCs w:val="15"/>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5"/>
                <w:szCs w:val="15"/>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Interest</w:t>
            </w: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9"/>
        </w:trPr>
        <w:tc>
          <w:tcPr>
            <w:tcW w:w="312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on December 26, 2021</w:t>
            </w:r>
          </w:p>
        </w:tc>
        <w:tc>
          <w:tcPr>
            <w:tcW w:w="5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1"/>
              </w:rPr>
              <w:t>$ 61,902</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5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243,995</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1"/>
              </w:rPr>
              <w:t>$ 1,678,121</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(5,405)</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37,956</w:t>
            </w:r>
          </w:p>
        </w:tc>
        <w:tc>
          <w:tcPr>
            <w:tcW w:w="1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1"/>
              </w:rPr>
              <w:t>$ 2,016,569</w:t>
            </w:r>
          </w:p>
        </w:tc>
        <w:tc>
          <w:tcPr>
            <w:tcW w:w="10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8"/>
        </w:trPr>
        <w:tc>
          <w:tcPr>
            <w:tcW w:w="3120" w:type="dxa"/>
            <w:vAlign w:val="bottom"/>
          </w:tcPr>
          <w:p>
            <w:pPr>
              <w:spacing w:after="0" w:line="149" w:lineRule="exact"/>
              <w:rPr>
                <w:sz w:val="20"/>
                <w:szCs w:val="20"/>
                <w:color w:val="auto"/>
              </w:rPr>
            </w:pPr>
            <w:r>
              <w:rPr>
                <w:rFonts w:ascii="Arial" w:cs="Arial" w:eastAsia="Arial" w:hAnsi="Arial"/>
                <w:sz w:val="14"/>
                <w:szCs w:val="14"/>
                <w:color w:val="auto"/>
              </w:rPr>
              <w:t>Net earnings</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189,703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3,428</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193,131</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translation adjustment</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949</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3,879</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line="149" w:lineRule="exact"/>
              <w:rPr>
                <w:sz w:val="20"/>
                <w:szCs w:val="20"/>
                <w:color w:val="auto"/>
              </w:rPr>
            </w:pPr>
            <w:r>
              <w:rPr>
                <w:rFonts w:ascii="Arial" w:cs="Arial" w:eastAsia="Arial" w:hAnsi="Arial"/>
                <w:sz w:val="14"/>
                <w:szCs w:val="14"/>
                <w:color w:val="auto"/>
              </w:rPr>
              <w:t>Unrealized loss on debt securities</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(695)</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(695)</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 to noncontrolling interest</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(2,053)</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(2,053)</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line="149" w:lineRule="exact"/>
              <w:rPr>
                <w:sz w:val="20"/>
                <w:szCs w:val="20"/>
                <w:color w:val="auto"/>
              </w:rPr>
            </w:pPr>
            <w:r>
              <w:rPr>
                <w:rFonts w:ascii="Arial" w:cs="Arial" w:eastAsia="Arial" w:hAnsi="Arial"/>
                <w:sz w:val="14"/>
                <w:szCs w:val="14"/>
                <w:color w:val="auto"/>
              </w:rPr>
              <w:t>Cash dividends - $0.20 per share - quarterly</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(12,541)</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(12,541)</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9,734 shares under employee stock</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20" w:type="dxa"/>
            <w:vAlign w:val="bottom"/>
            <w:shd w:val="clear" w:color="auto" w:fill="CCEEFF"/>
          </w:tcPr>
          <w:p>
            <w:pPr>
              <w:spacing w:after="0"/>
              <w:rPr>
                <w:sz w:val="20"/>
                <w:szCs w:val="20"/>
                <w:color w:val="auto"/>
              </w:rPr>
            </w:pPr>
            <w:r>
              <w:rPr>
                <w:rFonts w:ascii="Arial" w:cs="Arial" w:eastAsia="Arial" w:hAnsi="Arial"/>
                <w:sz w:val="14"/>
                <w:szCs w:val="14"/>
                <w:color w:val="auto"/>
              </w:rPr>
              <w:t>purchase plan</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120" w:type="dxa"/>
            <w:vAlign w:val="bottom"/>
          </w:tcPr>
          <w:p>
            <w:pPr>
              <w:spacing w:after="0" w:line="130" w:lineRule="exact"/>
              <w:rPr>
                <w:sz w:val="20"/>
                <w:szCs w:val="20"/>
                <w:color w:val="auto"/>
              </w:rPr>
            </w:pPr>
            <w:r>
              <w:rPr>
                <w:rFonts w:ascii="Arial" w:cs="Arial" w:eastAsia="Arial" w:hAnsi="Arial"/>
                <w:sz w:val="14"/>
                <w:szCs w:val="14"/>
                <w:color w:val="auto"/>
              </w:rPr>
              <w:t>Issuance of 787,045 shares under stock grant</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20" w:type="dxa"/>
            <w:vAlign w:val="bottom"/>
          </w:tcPr>
          <w:p>
            <w:pPr>
              <w:spacing w:after="0"/>
              <w:rPr>
                <w:sz w:val="20"/>
                <w:szCs w:val="20"/>
                <w:color w:val="auto"/>
              </w:rPr>
            </w:pPr>
            <w:r>
              <w:rPr>
                <w:rFonts w:ascii="Arial" w:cs="Arial" w:eastAsia="Arial" w:hAnsi="Arial"/>
                <w:sz w:val="14"/>
                <w:szCs w:val="14"/>
                <w:color w:val="auto"/>
              </w:rPr>
              <w:t>programs</w:t>
            </w:r>
          </w:p>
        </w:tc>
        <w:tc>
          <w:tcPr>
            <w:tcW w:w="580" w:type="dxa"/>
            <w:vAlign w:val="bottom"/>
          </w:tcPr>
          <w:p>
            <w:pPr>
              <w:jc w:val="right"/>
              <w:spacing w:after="0"/>
              <w:rPr>
                <w:sz w:val="20"/>
                <w:szCs w:val="20"/>
                <w:color w:val="auto"/>
              </w:rPr>
            </w:pPr>
            <w:r>
              <w:rPr>
                <w:rFonts w:ascii="Arial" w:cs="Arial" w:eastAsia="Arial" w:hAnsi="Arial"/>
                <w:sz w:val="14"/>
                <w:szCs w:val="14"/>
                <w:color w:val="auto"/>
              </w:rPr>
              <w:t>787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8,959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9,746</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1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79,973 shares under deferred</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20" w:type="dxa"/>
            <w:vAlign w:val="bottom"/>
            <w:shd w:val="clear" w:color="auto" w:fill="CCEEFF"/>
          </w:tcPr>
          <w:p>
            <w:pPr>
              <w:spacing w:after="0"/>
              <w:rPr>
                <w:sz w:val="20"/>
                <w:szCs w:val="20"/>
                <w:color w:val="auto"/>
              </w:rPr>
            </w:pPr>
            <w:r>
              <w:rPr>
                <w:rFonts w:ascii="Arial" w:cs="Arial" w:eastAsia="Arial" w:hAnsi="Arial"/>
                <w:sz w:val="14"/>
                <w:szCs w:val="14"/>
                <w:color w:val="auto"/>
              </w:rPr>
              <w:t>compensation plans</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(80)</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line="149" w:lineRule="exact"/>
              <w:rPr>
                <w:sz w:val="20"/>
                <w:szCs w:val="20"/>
                <w:color w:val="auto"/>
              </w:rPr>
            </w:pPr>
            <w:r>
              <w:rPr>
                <w:rFonts w:ascii="Arial" w:cs="Arial" w:eastAsia="Arial" w:hAnsi="Arial"/>
                <w:sz w:val="14"/>
                <w:szCs w:val="14"/>
                <w:color w:val="auto"/>
              </w:rPr>
              <w:t>Repurchase of 44,442 shares</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(45)</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(3,499)</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(3,544)</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4"/>
              </w:rPr>
              <w:t>Expense associated with share-based compensation</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20" w:type="dxa"/>
            <w:vAlign w:val="bottom"/>
            <w:shd w:val="clear" w:color="auto" w:fill="CCEEFF"/>
          </w:tcPr>
          <w:p>
            <w:pPr>
              <w:spacing w:after="0"/>
              <w:rPr>
                <w:sz w:val="20"/>
                <w:szCs w:val="20"/>
                <w:color w:val="auto"/>
              </w:rPr>
            </w:pPr>
            <w:r>
              <w:rPr>
                <w:rFonts w:ascii="Arial" w:cs="Arial" w:eastAsia="Arial" w:hAnsi="Arial"/>
                <w:sz w:val="14"/>
                <w:szCs w:val="14"/>
                <w:color w:val="auto"/>
              </w:rPr>
              <w:t>arrangements</w:t>
            </w: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6,883</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6,883</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120" w:type="dxa"/>
            <w:vAlign w:val="bottom"/>
          </w:tcPr>
          <w:p>
            <w:pPr>
              <w:spacing w:after="0" w:line="130" w:lineRule="exact"/>
              <w:rPr>
                <w:sz w:val="20"/>
                <w:szCs w:val="20"/>
                <w:color w:val="auto"/>
              </w:rPr>
            </w:pPr>
            <w:r>
              <w:rPr>
                <w:rFonts w:ascii="Arial" w:cs="Arial" w:eastAsia="Arial" w:hAnsi="Arial"/>
                <w:sz w:val="14"/>
                <w:szCs w:val="14"/>
                <w:color w:val="auto"/>
              </w:rPr>
              <w:t>Accrued expense under deferred compensation</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6,134</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6,134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120" w:type="dxa"/>
            <w:vAlign w:val="bottom"/>
            <w:tcBorders>
              <w:bottom w:val="single" w:sz="8" w:color="CCEEFF"/>
            </w:tcBorders>
          </w:tcPr>
          <w:p>
            <w:pPr>
              <w:spacing w:after="0" w:line="154" w:lineRule="exact"/>
              <w:rPr>
                <w:sz w:val="20"/>
                <w:szCs w:val="20"/>
                <w:color w:val="auto"/>
              </w:rPr>
            </w:pPr>
            <w:r>
              <w:rPr>
                <w:rFonts w:ascii="Arial" w:cs="Arial" w:eastAsia="Arial" w:hAnsi="Arial"/>
                <w:sz w:val="14"/>
                <w:szCs w:val="14"/>
                <w:color w:val="auto"/>
              </w:rPr>
              <w:t>plans</w:t>
            </w:r>
          </w:p>
        </w:tc>
        <w:tc>
          <w:tcPr>
            <w:tcW w:w="58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on March 26, 2022</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1"/>
              </w:rPr>
              <w:t>$ 62,734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266,544</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1"/>
              </w:rPr>
              <w:t>$ 1,851,784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(3,170)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40,280</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1"/>
              </w:rPr>
              <w:t>$ 2,218,172</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8"/>
        </w:trPr>
        <w:tc>
          <w:tcPr>
            <w:tcW w:w="3120" w:type="dxa"/>
            <w:vAlign w:val="bottom"/>
          </w:tcPr>
          <w:p>
            <w:pPr>
              <w:spacing w:after="0" w:line="149" w:lineRule="exact"/>
              <w:rPr>
                <w:sz w:val="20"/>
                <w:szCs w:val="20"/>
                <w:color w:val="auto"/>
              </w:rPr>
            </w:pPr>
            <w:r>
              <w:rPr>
                <w:rFonts w:ascii="Arial" w:cs="Arial" w:eastAsia="Arial" w:hAnsi="Arial"/>
                <w:sz w:val="14"/>
                <w:szCs w:val="14"/>
                <w:color w:val="auto"/>
              </w:rPr>
              <w:t>Net earnings</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203,118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4,735</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207,853</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translation adjustment</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(3,660)</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(95)</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(3,755)</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line="149" w:lineRule="exact"/>
              <w:rPr>
                <w:sz w:val="20"/>
                <w:szCs w:val="20"/>
                <w:color w:val="auto"/>
              </w:rPr>
            </w:pPr>
            <w:r>
              <w:rPr>
                <w:rFonts w:ascii="Arial" w:cs="Arial" w:eastAsia="Arial" w:hAnsi="Arial"/>
                <w:sz w:val="14"/>
                <w:szCs w:val="14"/>
                <w:color w:val="auto"/>
              </w:rPr>
              <w:t>Unrealized loss on debt securities</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(628)</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(628)</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dividends - $0.25 per share - quarterly</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(15,474)</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(15,474)</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20" w:type="dxa"/>
            <w:vAlign w:val="bottom"/>
          </w:tcPr>
          <w:p>
            <w:pPr>
              <w:spacing w:after="0" w:line="130" w:lineRule="exact"/>
              <w:rPr>
                <w:sz w:val="20"/>
                <w:szCs w:val="20"/>
                <w:color w:val="auto"/>
              </w:rPr>
            </w:pPr>
            <w:r>
              <w:rPr>
                <w:rFonts w:ascii="Arial" w:cs="Arial" w:eastAsia="Arial" w:hAnsi="Arial"/>
                <w:sz w:val="14"/>
                <w:szCs w:val="14"/>
                <w:color w:val="auto"/>
              </w:rPr>
              <w:t>Issuance of 13,875 shares under employee stock</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20" w:type="dxa"/>
            <w:vAlign w:val="bottom"/>
          </w:tcPr>
          <w:p>
            <w:pPr>
              <w:spacing w:after="0"/>
              <w:rPr>
                <w:sz w:val="20"/>
                <w:szCs w:val="20"/>
                <w:color w:val="auto"/>
              </w:rPr>
            </w:pPr>
            <w:r>
              <w:rPr>
                <w:rFonts w:ascii="Arial" w:cs="Arial" w:eastAsia="Arial" w:hAnsi="Arial"/>
                <w:sz w:val="14"/>
                <w:szCs w:val="14"/>
                <w:color w:val="auto"/>
              </w:rPr>
              <w:t>purchase plan</w:t>
            </w:r>
          </w:p>
        </w:tc>
        <w:tc>
          <w:tcPr>
            <w:tcW w:w="580" w:type="dxa"/>
            <w:vAlign w:val="bottom"/>
          </w:tcPr>
          <w:p>
            <w:pPr>
              <w:jc w:val="right"/>
              <w:spacing w:after="0"/>
              <w:rPr>
                <w:sz w:val="20"/>
                <w:szCs w:val="20"/>
                <w:color w:val="auto"/>
              </w:rPr>
            </w:pPr>
            <w:r>
              <w:rPr>
                <w:rFonts w:ascii="Arial" w:cs="Arial" w:eastAsia="Arial" w:hAnsi="Arial"/>
                <w:sz w:val="14"/>
                <w:szCs w:val="14"/>
                <w:color w:val="auto"/>
              </w:rPr>
              <w:t>14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781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795</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1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28,154 shares under stock grant</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20" w:type="dxa"/>
            <w:vAlign w:val="bottom"/>
            <w:shd w:val="clear" w:color="auto" w:fill="CCEEFF"/>
          </w:tcPr>
          <w:p>
            <w:pPr>
              <w:spacing w:after="0"/>
              <w:rPr>
                <w:sz w:val="20"/>
                <w:szCs w:val="20"/>
                <w:color w:val="auto"/>
              </w:rPr>
            </w:pPr>
            <w:r>
              <w:rPr>
                <w:rFonts w:ascii="Arial" w:cs="Arial" w:eastAsia="Arial" w:hAnsi="Arial"/>
                <w:sz w:val="14"/>
                <w:szCs w:val="14"/>
                <w:color w:val="auto"/>
              </w:rPr>
              <w:t>programs</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1,092</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1,120</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120" w:type="dxa"/>
            <w:vAlign w:val="bottom"/>
          </w:tcPr>
          <w:p>
            <w:pPr>
              <w:spacing w:after="0" w:line="130" w:lineRule="exact"/>
              <w:rPr>
                <w:sz w:val="20"/>
                <w:szCs w:val="20"/>
                <w:color w:val="auto"/>
              </w:rPr>
            </w:pPr>
            <w:r>
              <w:rPr>
                <w:rFonts w:ascii="Arial" w:cs="Arial" w:eastAsia="Arial" w:hAnsi="Arial"/>
                <w:sz w:val="14"/>
                <w:szCs w:val="14"/>
                <w:color w:val="auto"/>
              </w:rPr>
              <w:t>Issuance of 11,605 shares under deferred</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20" w:type="dxa"/>
            <w:vAlign w:val="bottom"/>
          </w:tcPr>
          <w:p>
            <w:pPr>
              <w:spacing w:after="0"/>
              <w:rPr>
                <w:sz w:val="20"/>
                <w:szCs w:val="20"/>
                <w:color w:val="auto"/>
              </w:rPr>
            </w:pPr>
            <w:r>
              <w:rPr>
                <w:rFonts w:ascii="Arial" w:cs="Arial" w:eastAsia="Arial" w:hAnsi="Arial"/>
                <w:sz w:val="14"/>
                <w:szCs w:val="14"/>
                <w:color w:val="auto"/>
              </w:rPr>
              <w:t>compensation plans</w:t>
            </w:r>
          </w:p>
        </w:tc>
        <w:tc>
          <w:tcPr>
            <w:tcW w:w="580" w:type="dxa"/>
            <w:vAlign w:val="bottom"/>
          </w:tcPr>
          <w:p>
            <w:pPr>
              <w:jc w:val="right"/>
              <w:spacing w:after="0"/>
              <w:rPr>
                <w:sz w:val="20"/>
                <w:szCs w:val="20"/>
                <w:color w:val="auto"/>
              </w:rPr>
            </w:pPr>
            <w:r>
              <w:rPr>
                <w:rFonts w:ascii="Arial" w:cs="Arial" w:eastAsia="Arial" w:hAnsi="Arial"/>
                <w:sz w:val="14"/>
                <w:szCs w:val="14"/>
                <w:color w:val="auto"/>
              </w:rPr>
              <w:t>12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(12)</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1,165,268 shares</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(1,165)</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(88,506)</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(89,671)</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20" w:type="dxa"/>
            <w:vAlign w:val="bottom"/>
          </w:tcPr>
          <w:p>
            <w:pPr>
              <w:spacing w:after="0" w:line="130" w:lineRule="exact"/>
              <w:rPr>
                <w:sz w:val="20"/>
                <w:szCs w:val="20"/>
                <w:color w:val="auto"/>
              </w:rPr>
            </w:pPr>
            <w:r>
              <w:rPr>
                <w:rFonts w:ascii="Arial" w:cs="Arial" w:eastAsia="Arial" w:hAnsi="Arial"/>
                <w:sz w:val="14"/>
                <w:szCs w:val="14"/>
                <w:color w:val="auto"/>
                <w:w w:val="94"/>
              </w:rPr>
              <w:t>Expense associated with share-based compensation</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20" w:type="dxa"/>
            <w:vAlign w:val="bottom"/>
          </w:tcPr>
          <w:p>
            <w:pPr>
              <w:spacing w:after="0"/>
              <w:rPr>
                <w:sz w:val="20"/>
                <w:szCs w:val="20"/>
                <w:color w:val="auto"/>
              </w:rPr>
            </w:pPr>
            <w:r>
              <w:rPr>
                <w:rFonts w:ascii="Arial" w:cs="Arial" w:eastAsia="Arial" w:hAnsi="Arial"/>
                <w:sz w:val="14"/>
                <w:szCs w:val="14"/>
                <w:color w:val="auto"/>
              </w:rPr>
              <w:t>arrangements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5,556</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5,556</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1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Accrued expense under deferred compensation</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1,100</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1,100</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120" w:type="dxa"/>
            <w:vAlign w:val="bottom"/>
            <w:tcBorders>
              <w:bottom w:val="single" w:sz="8" w:color="CCEEFF"/>
            </w:tcBorders>
            <w:shd w:val="clear" w:color="auto" w:fill="CCEEFF"/>
          </w:tcPr>
          <w:p>
            <w:pPr>
              <w:spacing w:after="0" w:line="154" w:lineRule="exact"/>
              <w:rPr>
                <w:sz w:val="20"/>
                <w:szCs w:val="20"/>
                <w:color w:val="auto"/>
              </w:rPr>
            </w:pPr>
            <w:r>
              <w:rPr>
                <w:rFonts w:ascii="Arial" w:cs="Arial" w:eastAsia="Arial" w:hAnsi="Arial"/>
                <w:sz w:val="14"/>
                <w:szCs w:val="14"/>
                <w:color w:val="auto"/>
              </w:rPr>
              <w:t>plans</w:t>
            </w:r>
          </w:p>
        </w:tc>
        <w:tc>
          <w:tcPr>
            <w:tcW w:w="5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vMerge w:val="continue"/>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120" w:type="dxa"/>
            <w:vAlign w:val="bottom"/>
          </w:tcPr>
          <w:p>
            <w:pPr>
              <w:spacing w:after="0" w:line="135" w:lineRule="exact"/>
              <w:rPr>
                <w:sz w:val="20"/>
                <w:szCs w:val="20"/>
                <w:color w:val="auto"/>
              </w:rPr>
            </w:pPr>
            <w:r>
              <w:rPr>
                <w:rFonts w:ascii="Arial" w:cs="Arial" w:eastAsia="Arial" w:hAnsi="Arial"/>
                <w:sz w:val="14"/>
                <w:szCs w:val="14"/>
                <w:b w:val="1"/>
                <w:bCs w:val="1"/>
                <w:color w:val="auto"/>
              </w:rPr>
              <w:t>Balance on June 25, 2022</w:t>
            </w:r>
          </w:p>
        </w:tc>
        <w:tc>
          <w:tcPr>
            <w:tcW w:w="5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1"/>
              </w:rPr>
              <w:t>$ 61,623</w:t>
            </w:r>
          </w:p>
        </w:tc>
        <w:tc>
          <w:tcPr>
            <w:tcW w:w="14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4"/>
                <w:szCs w:val="14"/>
                <w:b w:val="1"/>
                <w:bCs w:val="1"/>
                <w:color w:val="auto"/>
                <w:w w:val="76"/>
              </w:rPr>
              <w:t>$</w:t>
            </w:r>
          </w:p>
        </w:tc>
        <w:tc>
          <w:tcPr>
            <w:tcW w:w="5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275,061</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1"/>
              </w:rPr>
              <w:t>$ 1,950,922</w:t>
            </w:r>
          </w:p>
        </w:tc>
        <w:tc>
          <w:tcPr>
            <w:tcW w:w="16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4"/>
                <w:szCs w:val="14"/>
                <w:b w:val="1"/>
                <w:bCs w:val="1"/>
                <w:color w:val="auto"/>
                <w:w w:val="76"/>
              </w:rPr>
              <w:t>$</w:t>
            </w:r>
          </w:p>
        </w:tc>
        <w:tc>
          <w:tcPr>
            <w:tcW w:w="8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(7,458)</w:t>
            </w:r>
          </w:p>
        </w:tc>
        <w:tc>
          <w:tcPr>
            <w:tcW w:w="160" w:type="dxa"/>
            <w:vAlign w:val="bottom"/>
          </w:tcPr>
          <w:p>
            <w:pPr>
              <w:spacing w:after="0"/>
              <w:rPr>
                <w:sz w:val="11"/>
                <w:szCs w:val="11"/>
                <w:color w:val="auto"/>
              </w:rPr>
            </w:pPr>
          </w:p>
        </w:tc>
        <w:tc>
          <w:tcPr>
            <w:tcW w:w="140" w:type="dxa"/>
            <w:vAlign w:val="bottom"/>
          </w:tcPr>
          <w:p>
            <w:pPr>
              <w:spacing w:after="0" w:line="135" w:lineRule="exact"/>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44,920</w:t>
            </w:r>
          </w:p>
        </w:tc>
        <w:tc>
          <w:tcPr>
            <w:tcW w:w="1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1"/>
              </w:rPr>
              <w:t>$ 2,325,068</w:t>
            </w:r>
          </w:p>
        </w:tc>
        <w:tc>
          <w:tcPr>
            <w:tcW w:w="100" w:type="dxa"/>
            <w:vAlign w:val="bottom"/>
          </w:tcPr>
          <w:p>
            <w:pPr>
              <w:spacing w:after="0" w:line="135" w:lineRule="exact"/>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earnings</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167,241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4,380</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171,621</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480</w:t>
            </w:r>
          </w:p>
        </w:tc>
        <w:tc>
          <w:tcPr>
            <w:tcW w:w="0" w:type="dxa"/>
            <w:vAlign w:val="bottom"/>
          </w:tcPr>
          <w:p>
            <w:pPr>
              <w:spacing w:after="0"/>
              <w:rPr>
                <w:sz w:val="1"/>
                <w:szCs w:val="1"/>
                <w:color w:val="auto"/>
              </w:rPr>
            </w:pPr>
          </w:p>
        </w:tc>
      </w:tr>
      <w:tr>
        <w:trPr>
          <w:trHeight w:val="148"/>
        </w:trPr>
        <w:tc>
          <w:tcPr>
            <w:tcW w:w="3120" w:type="dxa"/>
            <w:vAlign w:val="bottom"/>
          </w:tcPr>
          <w:p>
            <w:pPr>
              <w:spacing w:after="0" w:line="149" w:lineRule="exact"/>
              <w:rPr>
                <w:sz w:val="20"/>
                <w:szCs w:val="20"/>
                <w:color w:val="auto"/>
              </w:rPr>
            </w:pPr>
            <w:r>
              <w:rPr>
                <w:rFonts w:ascii="Arial" w:cs="Arial" w:eastAsia="Arial" w:hAnsi="Arial"/>
                <w:sz w:val="14"/>
                <w:szCs w:val="14"/>
                <w:color w:val="auto"/>
              </w:rPr>
              <w:t>Foreign currency translation adjustment</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(3,330)</w:t>
            </w:r>
          </w:p>
        </w:tc>
        <w:tc>
          <w:tcPr>
            <w:tcW w:w="14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(3,359)</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(558)</w:t>
            </w:r>
          </w:p>
        </w:tc>
        <w:tc>
          <w:tcPr>
            <w:tcW w:w="0" w:type="dxa"/>
            <w:vAlign w:val="bottom"/>
          </w:tcPr>
          <w:p>
            <w:pPr>
              <w:spacing w:after="0"/>
              <w:rPr>
                <w:sz w:val="1"/>
                <w:szCs w:val="1"/>
                <w:color w:val="auto"/>
              </w:rPr>
            </w:pPr>
          </w:p>
        </w:tc>
      </w:tr>
      <w:tr>
        <w:trPr>
          <w:trHeight w:val="148"/>
        </w:trPr>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Unrealized loss on debt securities</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(560)</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line="149" w:lineRule="exact"/>
              <w:rPr>
                <w:sz w:val="20"/>
                <w:szCs w:val="20"/>
                <w:color w:val="auto"/>
              </w:rPr>
            </w:pPr>
            <w:r>
              <w:rPr>
                <w:rFonts w:ascii="Arial" w:cs="Arial" w:eastAsia="Arial" w:hAnsi="Arial"/>
                <w:sz w:val="14"/>
                <w:szCs w:val="14"/>
                <w:color w:val="auto"/>
              </w:rPr>
              <w:t>Distributions to noncontrolling interest</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(9,970)</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(9,970)</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Redeemable noncontrolling interest</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(7,641)</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(7,641)</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7,641</w:t>
            </w:r>
          </w:p>
        </w:tc>
        <w:tc>
          <w:tcPr>
            <w:tcW w:w="0" w:type="dxa"/>
            <w:vAlign w:val="bottom"/>
          </w:tcPr>
          <w:p>
            <w:pPr>
              <w:spacing w:after="0"/>
              <w:rPr>
                <w:sz w:val="1"/>
                <w:szCs w:val="1"/>
                <w:color w:val="auto"/>
              </w:rPr>
            </w:pPr>
          </w:p>
        </w:tc>
      </w:tr>
      <w:tr>
        <w:trPr>
          <w:trHeight w:val="148"/>
        </w:trPr>
        <w:tc>
          <w:tcPr>
            <w:tcW w:w="3120" w:type="dxa"/>
            <w:vAlign w:val="bottom"/>
          </w:tcPr>
          <w:p>
            <w:pPr>
              <w:spacing w:after="0" w:line="149" w:lineRule="exact"/>
              <w:rPr>
                <w:sz w:val="20"/>
                <w:szCs w:val="20"/>
                <w:color w:val="auto"/>
              </w:rPr>
            </w:pPr>
            <w:r>
              <w:rPr>
                <w:rFonts w:ascii="Arial" w:cs="Arial" w:eastAsia="Arial" w:hAnsi="Arial"/>
                <w:sz w:val="14"/>
                <w:szCs w:val="14"/>
                <w:color w:val="auto"/>
              </w:rPr>
              <w:t>Cash dividends - $0.25 per share - quarterly</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(15,405)</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(15,405)</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10,678 shares under employee stock</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20" w:type="dxa"/>
            <w:vAlign w:val="bottom"/>
            <w:shd w:val="clear" w:color="auto" w:fill="CCEEFF"/>
          </w:tcPr>
          <w:p>
            <w:pPr>
              <w:spacing w:after="0"/>
              <w:rPr>
                <w:sz w:val="20"/>
                <w:szCs w:val="20"/>
                <w:color w:val="auto"/>
              </w:rPr>
            </w:pPr>
            <w:r>
              <w:rPr>
                <w:rFonts w:ascii="Arial" w:cs="Arial" w:eastAsia="Arial" w:hAnsi="Arial"/>
                <w:sz w:val="14"/>
                <w:szCs w:val="14"/>
                <w:color w:val="auto"/>
              </w:rPr>
              <w:t>purchase plans</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652</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120" w:type="dxa"/>
            <w:vAlign w:val="bottom"/>
          </w:tcPr>
          <w:p>
            <w:pPr>
              <w:spacing w:after="0" w:line="130" w:lineRule="exact"/>
              <w:rPr>
                <w:sz w:val="20"/>
                <w:szCs w:val="20"/>
                <w:color w:val="auto"/>
              </w:rPr>
            </w:pPr>
            <w:r>
              <w:rPr>
                <w:rFonts w:ascii="Arial" w:cs="Arial" w:eastAsia="Arial" w:hAnsi="Arial"/>
                <w:sz w:val="14"/>
                <w:szCs w:val="14"/>
                <w:color w:val="auto"/>
              </w:rPr>
              <w:t>Net forfeitures of 6,396 shares under stock grant</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20" w:type="dxa"/>
            <w:vAlign w:val="bottom"/>
          </w:tcPr>
          <w:p>
            <w:pPr>
              <w:spacing w:after="0"/>
              <w:rPr>
                <w:sz w:val="20"/>
                <w:szCs w:val="20"/>
                <w:color w:val="auto"/>
              </w:rPr>
            </w:pPr>
            <w:r>
              <w:rPr>
                <w:rFonts w:ascii="Arial" w:cs="Arial" w:eastAsia="Arial" w:hAnsi="Arial"/>
                <w:sz w:val="14"/>
                <w:szCs w:val="14"/>
                <w:color w:val="auto"/>
              </w:rPr>
              <w:t>programs</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(159)</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1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10,705 shares under deferred</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20" w:type="dxa"/>
            <w:vAlign w:val="bottom"/>
            <w:shd w:val="clear" w:color="auto" w:fill="CCEEFF"/>
          </w:tcPr>
          <w:p>
            <w:pPr>
              <w:spacing w:after="0"/>
              <w:rPr>
                <w:sz w:val="20"/>
                <w:szCs w:val="20"/>
                <w:color w:val="auto"/>
              </w:rPr>
            </w:pPr>
            <w:r>
              <w:rPr>
                <w:rFonts w:ascii="Arial" w:cs="Arial" w:eastAsia="Arial" w:hAnsi="Arial"/>
                <w:sz w:val="14"/>
                <w:szCs w:val="14"/>
                <w:color w:val="auto"/>
              </w:rPr>
              <w:t>compensation plans</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120" w:type="dxa"/>
            <w:vAlign w:val="bottom"/>
          </w:tcPr>
          <w:p>
            <w:pPr>
              <w:spacing w:after="0" w:line="130" w:lineRule="exact"/>
              <w:rPr>
                <w:sz w:val="20"/>
                <w:szCs w:val="20"/>
                <w:color w:val="auto"/>
              </w:rPr>
            </w:pPr>
            <w:r>
              <w:rPr>
                <w:rFonts w:ascii="Arial" w:cs="Arial" w:eastAsia="Arial" w:hAnsi="Arial"/>
                <w:sz w:val="14"/>
                <w:szCs w:val="14"/>
                <w:color w:val="auto"/>
                <w:w w:val="94"/>
              </w:rPr>
              <w:t>Expense associated with share-based compensation</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20" w:type="dxa"/>
            <w:vAlign w:val="bottom"/>
          </w:tcPr>
          <w:p>
            <w:pPr>
              <w:spacing w:after="0"/>
              <w:rPr>
                <w:sz w:val="20"/>
                <w:szCs w:val="20"/>
                <w:color w:val="auto"/>
              </w:rPr>
            </w:pPr>
            <w:r>
              <w:rPr>
                <w:rFonts w:ascii="Arial" w:cs="Arial" w:eastAsia="Arial" w:hAnsi="Arial"/>
                <w:sz w:val="14"/>
                <w:szCs w:val="14"/>
                <w:color w:val="auto"/>
              </w:rPr>
              <w:t>arrangements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7,407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7,407</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1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Accrued expense under deferred compensation</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1,085</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1,085</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120" w:type="dxa"/>
            <w:vAlign w:val="bottom"/>
            <w:tcBorders>
              <w:bottom w:val="single" w:sz="8" w:color="CCEEFF"/>
            </w:tcBorders>
            <w:shd w:val="clear" w:color="auto" w:fill="CCEEFF"/>
          </w:tcPr>
          <w:p>
            <w:pPr>
              <w:spacing w:after="0" w:line="154" w:lineRule="exact"/>
              <w:rPr>
                <w:sz w:val="20"/>
                <w:szCs w:val="20"/>
                <w:color w:val="auto"/>
              </w:rPr>
            </w:pPr>
            <w:r>
              <w:rPr>
                <w:rFonts w:ascii="Arial" w:cs="Arial" w:eastAsia="Arial" w:hAnsi="Arial"/>
                <w:sz w:val="14"/>
                <w:szCs w:val="14"/>
                <w:color w:val="auto"/>
              </w:rPr>
              <w:t>plans</w:t>
            </w:r>
          </w:p>
        </w:tc>
        <w:tc>
          <w:tcPr>
            <w:tcW w:w="5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vMerge w:val="continue"/>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120" w:type="dxa"/>
            <w:vAlign w:val="bottom"/>
          </w:tcPr>
          <w:p>
            <w:pPr>
              <w:spacing w:after="0" w:line="135" w:lineRule="exact"/>
              <w:rPr>
                <w:sz w:val="20"/>
                <w:szCs w:val="20"/>
                <w:color w:val="auto"/>
              </w:rPr>
            </w:pPr>
            <w:r>
              <w:rPr>
                <w:rFonts w:ascii="Arial" w:cs="Arial" w:eastAsia="Arial" w:hAnsi="Arial"/>
                <w:sz w:val="14"/>
                <w:szCs w:val="14"/>
                <w:b w:val="1"/>
                <w:bCs w:val="1"/>
                <w:color w:val="auto"/>
              </w:rPr>
              <w:t>Balance on September 24, 2022</w:t>
            </w:r>
          </w:p>
        </w:tc>
        <w:tc>
          <w:tcPr>
            <w:tcW w:w="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91"/>
              </w:rPr>
              <w:t>$ 61,638</w:t>
            </w: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line="135" w:lineRule="exact"/>
              <w:rPr>
                <w:sz w:val="20"/>
                <w:szCs w:val="20"/>
                <w:color w:val="auto"/>
              </w:rPr>
            </w:pPr>
            <w:r>
              <w:rPr>
                <w:rFonts w:ascii="Arial" w:cs="Arial" w:eastAsia="Arial" w:hAnsi="Arial"/>
                <w:sz w:val="14"/>
                <w:szCs w:val="14"/>
                <w:b w:val="1"/>
                <w:bCs w:val="1"/>
                <w:color w:val="auto"/>
                <w:w w:val="76"/>
              </w:rPr>
              <w:t>$</w:t>
            </w:r>
          </w:p>
        </w:tc>
        <w:tc>
          <w:tcPr>
            <w:tcW w:w="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284,025</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91"/>
              </w:rPr>
              <w:t>$ 2,102,764</w:t>
            </w: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line="135" w:lineRule="exact"/>
              <w:rPr>
                <w:sz w:val="20"/>
                <w:szCs w:val="20"/>
                <w:color w:val="auto"/>
              </w:rPr>
            </w:pPr>
            <w:r>
              <w:rPr>
                <w:rFonts w:ascii="Arial" w:cs="Arial" w:eastAsia="Arial" w:hAnsi="Arial"/>
                <w:sz w:val="14"/>
                <w:szCs w:val="14"/>
                <w:b w:val="1"/>
                <w:bCs w:val="1"/>
                <w:color w:val="auto"/>
                <w:w w:val="76"/>
              </w:rPr>
              <w:t>$</w:t>
            </w:r>
          </w:p>
        </w:tc>
        <w:tc>
          <w:tcPr>
            <w:tcW w:w="8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(11,348)</w:t>
            </w: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line="135" w:lineRule="exact"/>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31,660</w:t>
            </w:r>
          </w:p>
        </w:tc>
        <w:tc>
          <w:tcPr>
            <w:tcW w:w="160" w:type="dxa"/>
            <w:vAlign w:val="bottom"/>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91"/>
              </w:rPr>
              <w:t>$ 2,468,739</w:t>
            </w:r>
          </w:p>
        </w:tc>
        <w:tc>
          <w:tcPr>
            <w:tcW w:w="100" w:type="dxa"/>
            <w:vAlign w:val="bottom"/>
            <w:tcBorders>
              <w:bottom w:val="single" w:sz="8" w:color="auto"/>
            </w:tcBorders>
          </w:tcPr>
          <w:p>
            <w:pPr>
              <w:spacing w:after="0" w:line="135" w:lineRule="exact"/>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7,563</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240"/>
          </w:cols>
          <w:pgMar w:left="1320" w:top="544" w:right="1339"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(in thousands, except share and per share data)</w:t>
      </w:r>
    </w:p>
    <w:tbl>
      <w:tblPr>
        <w:tblLayout w:type="fixed"/>
        <w:tblInd w:w="40" w:type="dxa"/>
        <w:tblCellMar>
          <w:top w:w="0" w:type="dxa"/>
          <w:left w:w="0" w:type="dxa"/>
          <w:bottom w:w="0" w:type="dxa"/>
          <w:right w:w="0" w:type="dxa"/>
        </w:tblCellMar>
      </w:tblPr>
      <w:tr>
        <w:trPr>
          <w:trHeight w:val="166"/>
        </w:trPr>
        <w:tc>
          <w:tcPr>
            <w:tcW w:w="3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9"/>
          </w:tcPr>
          <w:p>
            <w:pPr>
              <w:jc w:val="right"/>
              <w:ind w:right="680"/>
              <w:spacing w:after="0" w:line="159" w:lineRule="exact"/>
              <w:rPr>
                <w:sz w:val="20"/>
                <w:szCs w:val="20"/>
                <w:color w:val="auto"/>
              </w:rPr>
            </w:pPr>
            <w:r>
              <w:rPr>
                <w:rFonts w:ascii="Arial" w:cs="Arial" w:eastAsia="Arial" w:hAnsi="Arial"/>
                <w:sz w:val="14"/>
                <w:szCs w:val="14"/>
                <w:b w:val="1"/>
                <w:bCs w:val="1"/>
                <w:color w:val="auto"/>
                <w:w w:val="93"/>
              </w:rPr>
              <w:t>Controlling Interest Shareholders’ Equity</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220"/>
              <w:spacing w:after="0" w:line="126"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8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2"/>
              </w:rPr>
              <w:t>Common</w:t>
            </w:r>
          </w:p>
        </w:tc>
        <w:tc>
          <w:tcPr>
            <w:tcW w:w="6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0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3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5"/>
                <w:szCs w:val="15"/>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5"/>
                <w:szCs w:val="15"/>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5"/>
                <w:szCs w:val="15"/>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Interest</w:t>
            </w: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360" w:type="dxa"/>
            <w:vAlign w:val="bottom"/>
            <w:tcBorders>
              <w:top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Balance on December 27, 2020</w:t>
            </w:r>
          </w:p>
        </w:tc>
        <w:tc>
          <w:tcPr>
            <w:tcW w:w="1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61,206</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5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8"/>
              </w:rPr>
              <w:t>218,224</w:t>
            </w:r>
          </w:p>
        </w:tc>
        <w:tc>
          <w:tcPr>
            <w:tcW w:w="1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1"/>
              </w:rPr>
              <w:t>$ 1,182,680</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(1,794)</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22,836</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9"/>
              </w:rPr>
              <w:t>1,483,152</w:t>
            </w:r>
          </w:p>
        </w:tc>
        <w:tc>
          <w:tcPr>
            <w:tcW w:w="0" w:type="dxa"/>
            <w:vAlign w:val="bottom"/>
          </w:tcPr>
          <w:p>
            <w:pPr>
              <w:spacing w:after="0"/>
              <w:rPr>
                <w:sz w:val="1"/>
                <w:szCs w:val="1"/>
                <w:color w:val="auto"/>
              </w:rPr>
            </w:pPr>
          </w:p>
        </w:tc>
      </w:tr>
      <w:tr>
        <w:trPr>
          <w:trHeight w:val="148"/>
        </w:trPr>
        <w:tc>
          <w:tcPr>
            <w:tcW w:w="3360" w:type="dxa"/>
            <w:vAlign w:val="bottom"/>
          </w:tcPr>
          <w:p>
            <w:pPr>
              <w:ind w:left="20"/>
              <w:spacing w:after="0" w:line="149" w:lineRule="exact"/>
              <w:rPr>
                <w:sz w:val="20"/>
                <w:szCs w:val="20"/>
                <w:color w:val="auto"/>
              </w:rPr>
            </w:pPr>
            <w:r>
              <w:rPr>
                <w:rFonts w:ascii="Arial" w:cs="Arial" w:eastAsia="Arial" w:hAnsi="Arial"/>
                <w:sz w:val="14"/>
                <w:szCs w:val="14"/>
                <w:color w:val="auto"/>
              </w:rPr>
              <w:t>Net earnings</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103,311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940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104,251</w:t>
            </w:r>
          </w:p>
        </w:tc>
        <w:tc>
          <w:tcPr>
            <w:tcW w:w="0" w:type="dxa"/>
            <w:vAlign w:val="bottom"/>
          </w:tcPr>
          <w:p>
            <w:pPr>
              <w:spacing w:after="0"/>
              <w:rPr>
                <w:sz w:val="1"/>
                <w:szCs w:val="1"/>
                <w:color w:val="auto"/>
              </w:rPr>
            </w:pPr>
          </w:p>
        </w:tc>
      </w:tr>
      <w:tr>
        <w:trPr>
          <w:trHeight w:val="148"/>
        </w:trPr>
        <w:tc>
          <w:tcPr>
            <w:tcW w:w="3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Foreign currency translation adjustment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(374)</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(526)</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w:t>
            </w:r>
          </w:p>
        </w:tc>
        <w:tc>
          <w:tcPr>
            <w:tcW w:w="0" w:type="dxa"/>
            <w:vAlign w:val="bottom"/>
          </w:tcPr>
          <w:p>
            <w:pPr>
              <w:spacing w:after="0"/>
              <w:rPr>
                <w:sz w:val="1"/>
                <w:szCs w:val="1"/>
                <w:color w:val="auto"/>
              </w:rPr>
            </w:pPr>
          </w:p>
        </w:tc>
      </w:tr>
      <w:tr>
        <w:trPr>
          <w:trHeight w:val="148"/>
        </w:trPr>
        <w:tc>
          <w:tcPr>
            <w:tcW w:w="3360" w:type="dxa"/>
            <w:vAlign w:val="bottom"/>
          </w:tcPr>
          <w:p>
            <w:pPr>
              <w:ind w:left="20"/>
              <w:spacing w:after="0" w:line="149" w:lineRule="exact"/>
              <w:rPr>
                <w:sz w:val="20"/>
                <w:szCs w:val="20"/>
                <w:color w:val="auto"/>
              </w:rPr>
            </w:pPr>
            <w:r>
              <w:rPr>
                <w:rFonts w:ascii="Arial" w:cs="Arial" w:eastAsia="Arial" w:hAnsi="Arial"/>
                <w:sz w:val="14"/>
                <w:szCs w:val="14"/>
                <w:color w:val="auto"/>
              </w:rPr>
              <w:t>Unrealized loss on debt securities</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(1,296)</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(1,296)</w:t>
            </w:r>
          </w:p>
        </w:tc>
        <w:tc>
          <w:tcPr>
            <w:tcW w:w="0" w:type="dxa"/>
            <w:vAlign w:val="bottom"/>
          </w:tcPr>
          <w:p>
            <w:pPr>
              <w:spacing w:after="0"/>
              <w:rPr>
                <w:sz w:val="1"/>
                <w:szCs w:val="1"/>
                <w:color w:val="auto"/>
              </w:rPr>
            </w:pPr>
          </w:p>
        </w:tc>
      </w:tr>
      <w:tr>
        <w:trPr>
          <w:trHeight w:val="148"/>
        </w:trPr>
        <w:tc>
          <w:tcPr>
            <w:tcW w:w="3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Distributions to noncontrolling interest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(2,914)</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(2,914)</w:t>
            </w:r>
          </w:p>
        </w:tc>
        <w:tc>
          <w:tcPr>
            <w:tcW w:w="0" w:type="dxa"/>
            <w:vAlign w:val="bottom"/>
          </w:tcPr>
          <w:p>
            <w:pPr>
              <w:spacing w:after="0"/>
              <w:rPr>
                <w:sz w:val="1"/>
                <w:szCs w:val="1"/>
                <w:color w:val="auto"/>
              </w:rPr>
            </w:pPr>
          </w:p>
        </w:tc>
      </w:tr>
      <w:tr>
        <w:trPr>
          <w:trHeight w:val="149"/>
        </w:trPr>
        <w:tc>
          <w:tcPr>
            <w:tcW w:w="3360" w:type="dxa"/>
            <w:vAlign w:val="bottom"/>
          </w:tcPr>
          <w:p>
            <w:pPr>
              <w:ind w:left="20"/>
              <w:spacing w:after="0" w:line="149" w:lineRule="exact"/>
              <w:rPr>
                <w:sz w:val="20"/>
                <w:szCs w:val="20"/>
                <w:color w:val="auto"/>
              </w:rPr>
            </w:pPr>
            <w:r>
              <w:rPr>
                <w:rFonts w:ascii="Arial" w:cs="Arial" w:eastAsia="Arial" w:hAnsi="Arial"/>
                <w:sz w:val="14"/>
                <w:szCs w:val="14"/>
                <w:color w:val="auto"/>
              </w:rPr>
              <w:t>Cash dividends - $0.15 per share - quarterly</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(9,274)</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(9,274)</w:t>
            </w:r>
          </w:p>
        </w:tc>
        <w:tc>
          <w:tcPr>
            <w:tcW w:w="0" w:type="dxa"/>
            <w:vAlign w:val="bottom"/>
          </w:tcPr>
          <w:p>
            <w:pPr>
              <w:spacing w:after="0"/>
              <w:rPr>
                <w:sz w:val="1"/>
                <w:szCs w:val="1"/>
                <w:color w:val="auto"/>
              </w:rPr>
            </w:pPr>
          </w:p>
        </w:tc>
      </w:tr>
      <w:tr>
        <w:trPr>
          <w:trHeight w:val="130"/>
        </w:trPr>
        <w:tc>
          <w:tcPr>
            <w:tcW w:w="33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Issuance of 5,816 shares under employee stock</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plan</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w:t>
            </w:r>
          </w:p>
        </w:tc>
        <w:tc>
          <w:tcPr>
            <w:tcW w:w="0" w:type="dxa"/>
            <w:vAlign w:val="bottom"/>
          </w:tcPr>
          <w:p>
            <w:pPr>
              <w:spacing w:after="0"/>
              <w:rPr>
                <w:sz w:val="1"/>
                <w:szCs w:val="1"/>
                <w:color w:val="auto"/>
              </w:rPr>
            </w:pPr>
          </w:p>
        </w:tc>
      </w:tr>
      <w:tr>
        <w:trPr>
          <w:trHeight w:val="130"/>
        </w:trPr>
        <w:tc>
          <w:tcPr>
            <w:tcW w:w="3360" w:type="dxa"/>
            <w:vAlign w:val="bottom"/>
          </w:tcPr>
          <w:p>
            <w:pPr>
              <w:ind w:left="20"/>
              <w:spacing w:after="0" w:line="130" w:lineRule="exact"/>
              <w:rPr>
                <w:sz w:val="20"/>
                <w:szCs w:val="20"/>
                <w:color w:val="auto"/>
              </w:rPr>
            </w:pPr>
            <w:r>
              <w:rPr>
                <w:rFonts w:ascii="Arial" w:cs="Arial" w:eastAsia="Arial" w:hAnsi="Arial"/>
                <w:sz w:val="14"/>
                <w:szCs w:val="14"/>
                <w:color w:val="auto"/>
              </w:rPr>
              <w:t>Net issuance of 536,970 shares under stock grant</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60" w:type="dxa"/>
            <w:vAlign w:val="bottom"/>
          </w:tcPr>
          <w:p>
            <w:pPr>
              <w:ind w:left="20"/>
              <w:spacing w:after="0"/>
              <w:rPr>
                <w:sz w:val="20"/>
                <w:szCs w:val="20"/>
                <w:color w:val="auto"/>
              </w:rPr>
            </w:pPr>
            <w:r>
              <w:rPr>
                <w:rFonts w:ascii="Arial" w:cs="Arial" w:eastAsia="Arial" w:hAnsi="Arial"/>
                <w:sz w:val="14"/>
                <w:szCs w:val="14"/>
                <w:color w:val="auto"/>
              </w:rPr>
              <w:t>programs</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537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3,888</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4,430</w:t>
            </w:r>
          </w:p>
        </w:tc>
        <w:tc>
          <w:tcPr>
            <w:tcW w:w="0" w:type="dxa"/>
            <w:vAlign w:val="bottom"/>
          </w:tcPr>
          <w:p>
            <w:pPr>
              <w:spacing w:after="0"/>
              <w:rPr>
                <w:sz w:val="1"/>
                <w:szCs w:val="1"/>
                <w:color w:val="auto"/>
              </w:rPr>
            </w:pPr>
          </w:p>
        </w:tc>
      </w:tr>
      <w:tr>
        <w:trPr>
          <w:trHeight w:val="130"/>
        </w:trPr>
        <w:tc>
          <w:tcPr>
            <w:tcW w:w="33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w w:val="94"/>
              </w:rPr>
              <w:t>Issuance of 89,690 shares under deferred compensation</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plans</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360" w:type="dxa"/>
            <w:vAlign w:val="bottom"/>
          </w:tcPr>
          <w:p>
            <w:pPr>
              <w:ind w:left="20"/>
              <w:spacing w:after="0" w:line="130" w:lineRule="exact"/>
              <w:rPr>
                <w:sz w:val="20"/>
                <w:szCs w:val="20"/>
                <w:color w:val="auto"/>
              </w:rPr>
            </w:pPr>
            <w:r>
              <w:rPr>
                <w:rFonts w:ascii="Arial" w:cs="Arial" w:eastAsia="Arial" w:hAnsi="Arial"/>
                <w:sz w:val="14"/>
                <w:szCs w:val="14"/>
                <w:color w:val="auto"/>
              </w:rPr>
              <w:t>Expense associated with share-based compensation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60" w:type="dxa"/>
            <w:vAlign w:val="bottom"/>
          </w:tcPr>
          <w:p>
            <w:pPr>
              <w:ind w:left="20"/>
              <w:spacing w:after="0"/>
              <w:rPr>
                <w:sz w:val="20"/>
                <w:szCs w:val="20"/>
                <w:color w:val="auto"/>
              </w:rPr>
            </w:pPr>
            <w:r>
              <w:rPr>
                <w:rFonts w:ascii="Arial" w:cs="Arial" w:eastAsia="Arial" w:hAnsi="Arial"/>
                <w:sz w:val="14"/>
                <w:szCs w:val="14"/>
                <w:color w:val="auto"/>
              </w:rPr>
              <w:t>arrangements</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2,936</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2,936</w:t>
            </w:r>
          </w:p>
        </w:tc>
        <w:tc>
          <w:tcPr>
            <w:tcW w:w="0" w:type="dxa"/>
            <w:vAlign w:val="bottom"/>
          </w:tcPr>
          <w:p>
            <w:pPr>
              <w:spacing w:after="0"/>
              <w:rPr>
                <w:sz w:val="1"/>
                <w:szCs w:val="1"/>
                <w:color w:val="auto"/>
              </w:rPr>
            </w:pPr>
          </w:p>
        </w:tc>
      </w:tr>
      <w:tr>
        <w:trPr>
          <w:trHeight w:val="168"/>
        </w:trPr>
        <w:tc>
          <w:tcPr>
            <w:tcW w:w="336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color w:val="auto"/>
                <w:w w:val="99"/>
              </w:rPr>
              <w:t>Accrued expense under deferred compensation plans</w:t>
            </w:r>
          </w:p>
        </w:tc>
        <w:tc>
          <w:tcPr>
            <w:tcW w:w="1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5,795</w:t>
            </w:r>
          </w:p>
        </w:tc>
        <w:tc>
          <w:tcPr>
            <w:tcW w:w="1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5,795</w:t>
            </w:r>
          </w:p>
        </w:tc>
        <w:tc>
          <w:tcPr>
            <w:tcW w:w="0" w:type="dxa"/>
            <w:vAlign w:val="bottom"/>
          </w:tcPr>
          <w:p>
            <w:pPr>
              <w:spacing w:after="0"/>
              <w:rPr>
                <w:sz w:val="1"/>
                <w:szCs w:val="1"/>
                <w:color w:val="auto"/>
              </w:rPr>
            </w:pPr>
          </w:p>
        </w:tc>
      </w:tr>
      <w:tr>
        <w:trPr>
          <w:trHeight w:val="136"/>
        </w:trPr>
        <w:tc>
          <w:tcPr>
            <w:tcW w:w="336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Balance on March 27, 2021</w:t>
            </w:r>
          </w:p>
        </w:tc>
        <w:tc>
          <w:tcPr>
            <w:tcW w:w="12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76"/>
              </w:rPr>
              <w:t>$</w:t>
            </w:r>
          </w:p>
        </w:tc>
        <w:tc>
          <w:tcPr>
            <w:tcW w:w="56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61,838</w:t>
            </w:r>
          </w:p>
        </w:tc>
        <w:tc>
          <w:tcPr>
            <w:tcW w:w="14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4"/>
                <w:szCs w:val="14"/>
                <w:b w:val="1"/>
                <w:bCs w:val="1"/>
                <w:color w:val="auto"/>
                <w:w w:val="76"/>
              </w:rPr>
              <w:t>$</w:t>
            </w:r>
          </w:p>
        </w:tc>
        <w:tc>
          <w:tcPr>
            <w:tcW w:w="5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8"/>
              </w:rPr>
              <w:t>231,111</w:t>
            </w:r>
          </w:p>
        </w:tc>
        <w:tc>
          <w:tcPr>
            <w:tcW w:w="1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1"/>
              </w:rPr>
              <w:t>$ 1,276,722</w:t>
            </w:r>
          </w:p>
        </w:tc>
        <w:tc>
          <w:tcPr>
            <w:tcW w:w="16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4"/>
                <w:szCs w:val="14"/>
                <w:b w:val="1"/>
                <w:bCs w:val="1"/>
                <w:color w:val="auto"/>
                <w:w w:val="76"/>
              </w:rPr>
              <w:t>$</w:t>
            </w:r>
          </w:p>
        </w:tc>
        <w:tc>
          <w:tcPr>
            <w:tcW w:w="8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(3,464)</w:t>
            </w:r>
          </w:p>
        </w:tc>
        <w:tc>
          <w:tcPr>
            <w:tcW w:w="160" w:type="dxa"/>
            <w:vAlign w:val="bottom"/>
          </w:tcPr>
          <w:p>
            <w:pPr>
              <w:spacing w:after="0"/>
              <w:rPr>
                <w:sz w:val="11"/>
                <w:szCs w:val="11"/>
                <w:color w:val="auto"/>
              </w:rPr>
            </w:pPr>
          </w:p>
        </w:tc>
        <w:tc>
          <w:tcPr>
            <w:tcW w:w="140" w:type="dxa"/>
            <w:vAlign w:val="bottom"/>
          </w:tcPr>
          <w:p>
            <w:pPr>
              <w:spacing w:after="0" w:line="135" w:lineRule="exact"/>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20,336</w:t>
            </w:r>
          </w:p>
        </w:tc>
        <w:tc>
          <w:tcPr>
            <w:tcW w:w="160" w:type="dxa"/>
            <w:vAlign w:val="bottom"/>
          </w:tcPr>
          <w:p>
            <w:pPr>
              <w:spacing w:after="0"/>
              <w:rPr>
                <w:sz w:val="11"/>
                <w:szCs w:val="11"/>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6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9"/>
              </w:rPr>
              <w:t>1,586,543</w:t>
            </w:r>
          </w:p>
        </w:tc>
        <w:tc>
          <w:tcPr>
            <w:tcW w:w="0" w:type="dxa"/>
            <w:vAlign w:val="bottom"/>
          </w:tcPr>
          <w:p>
            <w:pPr>
              <w:spacing w:after="0"/>
              <w:rPr>
                <w:sz w:val="1"/>
                <w:szCs w:val="1"/>
                <w:color w:val="auto"/>
              </w:rPr>
            </w:pPr>
          </w:p>
        </w:tc>
      </w:tr>
      <w:tr>
        <w:trPr>
          <w:trHeight w:val="148"/>
        </w:trPr>
        <w:tc>
          <w:tcPr>
            <w:tcW w:w="3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earnings</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173,382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175,360</w:t>
            </w:r>
          </w:p>
        </w:tc>
        <w:tc>
          <w:tcPr>
            <w:tcW w:w="0" w:type="dxa"/>
            <w:vAlign w:val="bottom"/>
          </w:tcPr>
          <w:p>
            <w:pPr>
              <w:spacing w:after="0"/>
              <w:rPr>
                <w:sz w:val="1"/>
                <w:szCs w:val="1"/>
                <w:color w:val="auto"/>
              </w:rPr>
            </w:pPr>
          </w:p>
        </w:tc>
      </w:tr>
      <w:tr>
        <w:trPr>
          <w:trHeight w:val="148"/>
        </w:trPr>
        <w:tc>
          <w:tcPr>
            <w:tcW w:w="3360" w:type="dxa"/>
            <w:vAlign w:val="bottom"/>
          </w:tcPr>
          <w:p>
            <w:pPr>
              <w:ind w:left="20"/>
              <w:spacing w:after="0" w:line="149" w:lineRule="exact"/>
              <w:rPr>
                <w:sz w:val="20"/>
                <w:szCs w:val="20"/>
                <w:color w:val="auto"/>
              </w:rPr>
            </w:pPr>
            <w:r>
              <w:rPr>
                <w:rFonts w:ascii="Arial" w:cs="Arial" w:eastAsia="Arial" w:hAnsi="Arial"/>
                <w:sz w:val="14"/>
                <w:szCs w:val="14"/>
                <w:color w:val="auto"/>
              </w:rPr>
              <w:t>Foreign currency translation adjustment</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1,759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720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2,479</w:t>
            </w:r>
          </w:p>
        </w:tc>
        <w:tc>
          <w:tcPr>
            <w:tcW w:w="0" w:type="dxa"/>
            <w:vAlign w:val="bottom"/>
          </w:tcPr>
          <w:p>
            <w:pPr>
              <w:spacing w:after="0"/>
              <w:rPr>
                <w:sz w:val="1"/>
                <w:szCs w:val="1"/>
                <w:color w:val="auto"/>
              </w:rPr>
            </w:pPr>
          </w:p>
        </w:tc>
      </w:tr>
      <w:tr>
        <w:trPr>
          <w:trHeight w:val="148"/>
        </w:trPr>
        <w:tc>
          <w:tcPr>
            <w:tcW w:w="3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Unrealized gain on debt securities</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149"/>
        </w:trPr>
        <w:tc>
          <w:tcPr>
            <w:tcW w:w="3360" w:type="dxa"/>
            <w:vAlign w:val="bottom"/>
          </w:tcPr>
          <w:p>
            <w:pPr>
              <w:ind w:left="20"/>
              <w:spacing w:after="0" w:line="149" w:lineRule="exact"/>
              <w:rPr>
                <w:sz w:val="20"/>
                <w:szCs w:val="20"/>
                <w:color w:val="auto"/>
              </w:rPr>
            </w:pPr>
            <w:r>
              <w:rPr>
                <w:rFonts w:ascii="Arial" w:cs="Arial" w:eastAsia="Arial" w:hAnsi="Arial"/>
                <w:sz w:val="14"/>
                <w:szCs w:val="14"/>
                <w:color w:val="auto"/>
              </w:rPr>
              <w:t>Cash dividends - $0.15 per share - quarterly</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(9,276)</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(9,276)</w:t>
            </w:r>
          </w:p>
        </w:tc>
        <w:tc>
          <w:tcPr>
            <w:tcW w:w="0" w:type="dxa"/>
            <w:vAlign w:val="bottom"/>
          </w:tcPr>
          <w:p>
            <w:pPr>
              <w:spacing w:after="0"/>
              <w:rPr>
                <w:sz w:val="1"/>
                <w:szCs w:val="1"/>
                <w:color w:val="auto"/>
              </w:rPr>
            </w:pPr>
          </w:p>
        </w:tc>
      </w:tr>
      <w:tr>
        <w:trPr>
          <w:trHeight w:val="130"/>
        </w:trPr>
        <w:tc>
          <w:tcPr>
            <w:tcW w:w="33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Issuance of 9,282 shares under employee stock</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plan</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w:t>
            </w:r>
          </w:p>
        </w:tc>
        <w:tc>
          <w:tcPr>
            <w:tcW w:w="0" w:type="dxa"/>
            <w:vAlign w:val="bottom"/>
          </w:tcPr>
          <w:p>
            <w:pPr>
              <w:spacing w:after="0"/>
              <w:rPr>
                <w:sz w:val="1"/>
                <w:szCs w:val="1"/>
                <w:color w:val="auto"/>
              </w:rPr>
            </w:pPr>
          </w:p>
        </w:tc>
      </w:tr>
      <w:tr>
        <w:trPr>
          <w:trHeight w:val="130"/>
        </w:trPr>
        <w:tc>
          <w:tcPr>
            <w:tcW w:w="3360" w:type="dxa"/>
            <w:vAlign w:val="bottom"/>
          </w:tcPr>
          <w:p>
            <w:pPr>
              <w:ind w:left="20"/>
              <w:spacing w:after="0" w:line="130" w:lineRule="exact"/>
              <w:rPr>
                <w:sz w:val="20"/>
                <w:szCs w:val="20"/>
                <w:color w:val="auto"/>
              </w:rPr>
            </w:pPr>
            <w:r>
              <w:rPr>
                <w:rFonts w:ascii="Arial" w:cs="Arial" w:eastAsia="Arial" w:hAnsi="Arial"/>
                <w:sz w:val="14"/>
                <w:szCs w:val="14"/>
                <w:color w:val="auto"/>
              </w:rPr>
              <w:t>Net forfeitures of 5,718 shares under stock grant</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60" w:type="dxa"/>
            <w:vAlign w:val="bottom"/>
          </w:tcPr>
          <w:p>
            <w:pPr>
              <w:ind w:left="20"/>
              <w:spacing w:after="0"/>
              <w:rPr>
                <w:sz w:val="20"/>
                <w:szCs w:val="20"/>
                <w:color w:val="auto"/>
              </w:rPr>
            </w:pPr>
            <w:r>
              <w:rPr>
                <w:rFonts w:ascii="Arial" w:cs="Arial" w:eastAsia="Arial" w:hAnsi="Arial"/>
                <w:sz w:val="14"/>
                <w:szCs w:val="14"/>
                <w:color w:val="auto"/>
              </w:rPr>
              <w:t>programs</w:t>
            </w:r>
          </w:p>
        </w:tc>
        <w:tc>
          <w:tcPr>
            <w:tcW w:w="1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(224)</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130"/>
        </w:trPr>
        <w:tc>
          <w:tcPr>
            <w:tcW w:w="33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w w:val="96"/>
              </w:rPr>
              <w:t>Issuance of 8,913 shares under deferred compensation</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plans</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360" w:type="dxa"/>
            <w:vAlign w:val="bottom"/>
          </w:tcPr>
          <w:p>
            <w:pPr>
              <w:ind w:left="20"/>
              <w:spacing w:after="0" w:line="130" w:lineRule="exact"/>
              <w:rPr>
                <w:sz w:val="20"/>
                <w:szCs w:val="20"/>
                <w:color w:val="auto"/>
              </w:rPr>
            </w:pPr>
            <w:r>
              <w:rPr>
                <w:rFonts w:ascii="Arial" w:cs="Arial" w:eastAsia="Arial" w:hAnsi="Arial"/>
                <w:sz w:val="14"/>
                <w:szCs w:val="14"/>
                <w:color w:val="auto"/>
              </w:rPr>
              <w:t>Expense associated with share-based compensation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60" w:type="dxa"/>
            <w:vAlign w:val="bottom"/>
          </w:tcPr>
          <w:p>
            <w:pPr>
              <w:ind w:left="20"/>
              <w:spacing w:after="0"/>
              <w:rPr>
                <w:sz w:val="20"/>
                <w:szCs w:val="20"/>
                <w:color w:val="auto"/>
              </w:rPr>
            </w:pPr>
            <w:r>
              <w:rPr>
                <w:rFonts w:ascii="Arial" w:cs="Arial" w:eastAsia="Arial" w:hAnsi="Arial"/>
                <w:sz w:val="14"/>
                <w:szCs w:val="14"/>
                <w:color w:val="auto"/>
              </w:rPr>
              <w:t>arrangements</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2,728</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2,728</w:t>
            </w:r>
          </w:p>
        </w:tc>
        <w:tc>
          <w:tcPr>
            <w:tcW w:w="0" w:type="dxa"/>
            <w:vAlign w:val="bottom"/>
          </w:tcPr>
          <w:p>
            <w:pPr>
              <w:spacing w:after="0"/>
              <w:rPr>
                <w:sz w:val="1"/>
                <w:szCs w:val="1"/>
                <w:color w:val="auto"/>
              </w:rPr>
            </w:pPr>
          </w:p>
        </w:tc>
      </w:tr>
      <w:tr>
        <w:trPr>
          <w:trHeight w:val="168"/>
        </w:trPr>
        <w:tc>
          <w:tcPr>
            <w:tcW w:w="336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color w:val="auto"/>
                <w:w w:val="99"/>
              </w:rPr>
              <w:t>Accrued expense under deferred compensation plans</w:t>
            </w:r>
          </w:p>
        </w:tc>
        <w:tc>
          <w:tcPr>
            <w:tcW w:w="1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1,140</w:t>
            </w:r>
          </w:p>
        </w:tc>
        <w:tc>
          <w:tcPr>
            <w:tcW w:w="1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1,140</w:t>
            </w:r>
          </w:p>
        </w:tc>
        <w:tc>
          <w:tcPr>
            <w:tcW w:w="0" w:type="dxa"/>
            <w:vAlign w:val="bottom"/>
          </w:tcPr>
          <w:p>
            <w:pPr>
              <w:spacing w:after="0"/>
              <w:rPr>
                <w:sz w:val="1"/>
                <w:szCs w:val="1"/>
                <w:color w:val="auto"/>
              </w:rPr>
            </w:pPr>
          </w:p>
        </w:tc>
      </w:tr>
      <w:tr>
        <w:trPr>
          <w:trHeight w:val="136"/>
        </w:trPr>
        <w:tc>
          <w:tcPr>
            <w:tcW w:w="336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Balance on June 26, 2021</w:t>
            </w:r>
          </w:p>
        </w:tc>
        <w:tc>
          <w:tcPr>
            <w:tcW w:w="12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76"/>
              </w:rPr>
              <w:t>$</w:t>
            </w:r>
          </w:p>
        </w:tc>
        <w:tc>
          <w:tcPr>
            <w:tcW w:w="56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61,851</w:t>
            </w:r>
          </w:p>
        </w:tc>
        <w:tc>
          <w:tcPr>
            <w:tcW w:w="14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4"/>
                <w:szCs w:val="14"/>
                <w:b w:val="1"/>
                <w:bCs w:val="1"/>
                <w:color w:val="auto"/>
                <w:w w:val="76"/>
              </w:rPr>
              <w:t>$</w:t>
            </w:r>
          </w:p>
        </w:tc>
        <w:tc>
          <w:tcPr>
            <w:tcW w:w="5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8"/>
              </w:rPr>
              <w:t>235,309</w:t>
            </w:r>
          </w:p>
        </w:tc>
        <w:tc>
          <w:tcPr>
            <w:tcW w:w="1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1"/>
              </w:rPr>
              <w:t>$ 1,440,833</w:t>
            </w:r>
          </w:p>
        </w:tc>
        <w:tc>
          <w:tcPr>
            <w:tcW w:w="16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4"/>
                <w:szCs w:val="14"/>
                <w:b w:val="1"/>
                <w:bCs w:val="1"/>
                <w:color w:val="auto"/>
                <w:w w:val="76"/>
              </w:rPr>
              <w:t>$</w:t>
            </w:r>
          </w:p>
        </w:tc>
        <w:tc>
          <w:tcPr>
            <w:tcW w:w="8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(1,464)</w:t>
            </w:r>
          </w:p>
        </w:tc>
        <w:tc>
          <w:tcPr>
            <w:tcW w:w="160" w:type="dxa"/>
            <w:vAlign w:val="bottom"/>
          </w:tcPr>
          <w:p>
            <w:pPr>
              <w:spacing w:after="0"/>
              <w:rPr>
                <w:sz w:val="11"/>
                <w:szCs w:val="11"/>
                <w:color w:val="auto"/>
              </w:rPr>
            </w:pPr>
          </w:p>
        </w:tc>
        <w:tc>
          <w:tcPr>
            <w:tcW w:w="140" w:type="dxa"/>
            <w:vAlign w:val="bottom"/>
          </w:tcPr>
          <w:p>
            <w:pPr>
              <w:spacing w:after="0" w:line="135" w:lineRule="exact"/>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23,034</w:t>
            </w:r>
          </w:p>
        </w:tc>
        <w:tc>
          <w:tcPr>
            <w:tcW w:w="160" w:type="dxa"/>
            <w:vAlign w:val="bottom"/>
          </w:tcPr>
          <w:p>
            <w:pPr>
              <w:spacing w:after="0"/>
              <w:rPr>
                <w:sz w:val="11"/>
                <w:szCs w:val="11"/>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6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9"/>
              </w:rPr>
              <w:t>1,759,563</w:t>
            </w:r>
          </w:p>
        </w:tc>
        <w:tc>
          <w:tcPr>
            <w:tcW w:w="0" w:type="dxa"/>
            <w:vAlign w:val="bottom"/>
          </w:tcPr>
          <w:p>
            <w:pPr>
              <w:spacing w:after="0"/>
              <w:rPr>
                <w:sz w:val="1"/>
                <w:szCs w:val="1"/>
                <w:color w:val="auto"/>
              </w:rPr>
            </w:pPr>
          </w:p>
        </w:tc>
      </w:tr>
      <w:tr>
        <w:trPr>
          <w:trHeight w:val="148"/>
        </w:trPr>
        <w:tc>
          <w:tcPr>
            <w:tcW w:w="3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earnings</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121,041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4,706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125,747</w:t>
            </w:r>
          </w:p>
        </w:tc>
        <w:tc>
          <w:tcPr>
            <w:tcW w:w="0" w:type="dxa"/>
            <w:vAlign w:val="bottom"/>
          </w:tcPr>
          <w:p>
            <w:pPr>
              <w:spacing w:after="0"/>
              <w:rPr>
                <w:sz w:val="1"/>
                <w:szCs w:val="1"/>
                <w:color w:val="auto"/>
              </w:rPr>
            </w:pPr>
          </w:p>
        </w:tc>
      </w:tr>
      <w:tr>
        <w:trPr>
          <w:trHeight w:val="148"/>
        </w:trPr>
        <w:tc>
          <w:tcPr>
            <w:tcW w:w="3360" w:type="dxa"/>
            <w:vAlign w:val="bottom"/>
          </w:tcPr>
          <w:p>
            <w:pPr>
              <w:ind w:left="20"/>
              <w:spacing w:after="0" w:line="149" w:lineRule="exact"/>
              <w:rPr>
                <w:sz w:val="20"/>
                <w:szCs w:val="20"/>
                <w:color w:val="auto"/>
              </w:rPr>
            </w:pPr>
            <w:r>
              <w:rPr>
                <w:rFonts w:ascii="Arial" w:cs="Arial" w:eastAsia="Arial" w:hAnsi="Arial"/>
                <w:sz w:val="14"/>
                <w:szCs w:val="14"/>
                <w:color w:val="auto"/>
              </w:rPr>
              <w:t>Foreign currency translation adjustment</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(1,897)</w:t>
            </w:r>
          </w:p>
        </w:tc>
        <w:tc>
          <w:tcPr>
            <w:tcW w:w="14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(210)</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(2,107)</w:t>
            </w:r>
          </w:p>
        </w:tc>
        <w:tc>
          <w:tcPr>
            <w:tcW w:w="0" w:type="dxa"/>
            <w:vAlign w:val="bottom"/>
          </w:tcPr>
          <w:p>
            <w:pPr>
              <w:spacing w:after="0"/>
              <w:rPr>
                <w:sz w:val="1"/>
                <w:szCs w:val="1"/>
                <w:color w:val="auto"/>
              </w:rPr>
            </w:pPr>
          </w:p>
        </w:tc>
      </w:tr>
      <w:tr>
        <w:trPr>
          <w:trHeight w:val="149"/>
        </w:trPr>
        <w:tc>
          <w:tcPr>
            <w:tcW w:w="3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Unrealized gain on debt securities</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30"/>
        </w:trPr>
        <w:tc>
          <w:tcPr>
            <w:tcW w:w="3360" w:type="dxa"/>
            <w:vAlign w:val="bottom"/>
          </w:tcPr>
          <w:p>
            <w:pPr>
              <w:ind w:left="20"/>
              <w:spacing w:after="0" w:line="130" w:lineRule="exact"/>
              <w:rPr>
                <w:sz w:val="20"/>
                <w:szCs w:val="20"/>
                <w:color w:val="auto"/>
              </w:rPr>
            </w:pPr>
            <w:r>
              <w:rPr>
                <w:rFonts w:ascii="Arial" w:cs="Arial" w:eastAsia="Arial" w:hAnsi="Arial"/>
                <w:sz w:val="14"/>
                <w:szCs w:val="14"/>
                <w:color w:val="auto"/>
              </w:rPr>
              <w:t>Additional purchase and adjustment of noncontrolling</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60" w:type="dxa"/>
            <w:vAlign w:val="bottom"/>
          </w:tcPr>
          <w:p>
            <w:pPr>
              <w:ind w:left="20"/>
              <w:spacing w:after="0"/>
              <w:rPr>
                <w:sz w:val="20"/>
                <w:szCs w:val="20"/>
                <w:color w:val="auto"/>
              </w:rPr>
            </w:pPr>
            <w:r>
              <w:rPr>
                <w:rFonts w:ascii="Arial" w:cs="Arial" w:eastAsia="Arial" w:hAnsi="Arial"/>
                <w:sz w:val="14"/>
                <w:szCs w:val="14"/>
                <w:color w:val="auto"/>
              </w:rPr>
              <w:t>interest</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(822)</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(822)</w:t>
            </w:r>
          </w:p>
        </w:tc>
        <w:tc>
          <w:tcPr>
            <w:tcW w:w="0" w:type="dxa"/>
            <w:vAlign w:val="bottom"/>
          </w:tcPr>
          <w:p>
            <w:pPr>
              <w:spacing w:after="0"/>
              <w:rPr>
                <w:sz w:val="1"/>
                <w:szCs w:val="1"/>
                <w:color w:val="auto"/>
              </w:rPr>
            </w:pPr>
          </w:p>
        </w:tc>
      </w:tr>
      <w:tr>
        <w:trPr>
          <w:trHeight w:val="149"/>
        </w:trPr>
        <w:tc>
          <w:tcPr>
            <w:tcW w:w="3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Cash dividends - $0.15 per share - quarterly</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(9,281)</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(9,281)</w:t>
            </w:r>
          </w:p>
        </w:tc>
        <w:tc>
          <w:tcPr>
            <w:tcW w:w="0" w:type="dxa"/>
            <w:vAlign w:val="bottom"/>
          </w:tcPr>
          <w:p>
            <w:pPr>
              <w:spacing w:after="0"/>
              <w:rPr>
                <w:sz w:val="1"/>
                <w:szCs w:val="1"/>
                <w:color w:val="auto"/>
              </w:rPr>
            </w:pPr>
          </w:p>
        </w:tc>
      </w:tr>
      <w:tr>
        <w:trPr>
          <w:trHeight w:val="130"/>
        </w:trPr>
        <w:tc>
          <w:tcPr>
            <w:tcW w:w="3360" w:type="dxa"/>
            <w:vAlign w:val="bottom"/>
          </w:tcPr>
          <w:p>
            <w:pPr>
              <w:ind w:left="20"/>
              <w:spacing w:after="0" w:line="130" w:lineRule="exact"/>
              <w:rPr>
                <w:sz w:val="20"/>
                <w:szCs w:val="20"/>
                <w:color w:val="auto"/>
              </w:rPr>
            </w:pPr>
            <w:r>
              <w:rPr>
                <w:rFonts w:ascii="Arial" w:cs="Arial" w:eastAsia="Arial" w:hAnsi="Arial"/>
                <w:sz w:val="14"/>
                <w:szCs w:val="14"/>
                <w:color w:val="auto"/>
              </w:rPr>
              <w:t>Issuance of 10,008 shares under employee stock</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60" w:type="dxa"/>
            <w:vAlign w:val="bottom"/>
          </w:tcPr>
          <w:p>
            <w:pPr>
              <w:ind w:left="20"/>
              <w:spacing w:after="0"/>
              <w:rPr>
                <w:sz w:val="20"/>
                <w:szCs w:val="20"/>
                <w:color w:val="auto"/>
              </w:rPr>
            </w:pPr>
            <w:r>
              <w:rPr>
                <w:rFonts w:ascii="Arial" w:cs="Arial" w:eastAsia="Arial" w:hAnsi="Arial"/>
                <w:sz w:val="14"/>
                <w:szCs w:val="14"/>
                <w:color w:val="auto"/>
              </w:rPr>
              <w:t>purchase plan</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573</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583</w:t>
            </w:r>
          </w:p>
        </w:tc>
        <w:tc>
          <w:tcPr>
            <w:tcW w:w="0" w:type="dxa"/>
            <w:vAlign w:val="bottom"/>
          </w:tcPr>
          <w:p>
            <w:pPr>
              <w:spacing w:after="0"/>
              <w:rPr>
                <w:sz w:val="1"/>
                <w:szCs w:val="1"/>
                <w:color w:val="auto"/>
              </w:rPr>
            </w:pPr>
          </w:p>
        </w:tc>
      </w:tr>
      <w:tr>
        <w:trPr>
          <w:trHeight w:val="130"/>
        </w:trPr>
        <w:tc>
          <w:tcPr>
            <w:tcW w:w="33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Net issuance of 17,165 shares under stock grant</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programs</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30"/>
        </w:trPr>
        <w:tc>
          <w:tcPr>
            <w:tcW w:w="3360" w:type="dxa"/>
            <w:vAlign w:val="bottom"/>
          </w:tcPr>
          <w:p>
            <w:pPr>
              <w:ind w:left="20"/>
              <w:spacing w:after="0" w:line="130" w:lineRule="exact"/>
              <w:rPr>
                <w:sz w:val="20"/>
                <w:szCs w:val="20"/>
                <w:color w:val="auto"/>
              </w:rPr>
            </w:pPr>
            <w:r>
              <w:rPr>
                <w:rFonts w:ascii="Arial" w:cs="Arial" w:eastAsia="Arial" w:hAnsi="Arial"/>
                <w:sz w:val="14"/>
                <w:szCs w:val="14"/>
                <w:color w:val="auto"/>
                <w:w w:val="96"/>
              </w:rPr>
              <w:t>Issuance of 9,864 shares under deferred compensation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60" w:type="dxa"/>
            <w:vAlign w:val="bottom"/>
          </w:tcPr>
          <w:p>
            <w:pPr>
              <w:ind w:left="20"/>
              <w:spacing w:after="0"/>
              <w:rPr>
                <w:sz w:val="20"/>
                <w:szCs w:val="20"/>
                <w:color w:val="auto"/>
              </w:rPr>
            </w:pPr>
            <w:r>
              <w:rPr>
                <w:rFonts w:ascii="Arial" w:cs="Arial" w:eastAsia="Arial" w:hAnsi="Arial"/>
                <w:sz w:val="14"/>
                <w:szCs w:val="14"/>
                <w:color w:val="auto"/>
              </w:rPr>
              <w:t>plans</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3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Expense associated with share-based compensation</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arrangements</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2,657</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2,657</w:t>
            </w:r>
          </w:p>
        </w:tc>
        <w:tc>
          <w:tcPr>
            <w:tcW w:w="0" w:type="dxa"/>
            <w:vAlign w:val="bottom"/>
          </w:tcPr>
          <w:p>
            <w:pPr>
              <w:spacing w:after="0"/>
              <w:rPr>
                <w:sz w:val="1"/>
                <w:szCs w:val="1"/>
                <w:color w:val="auto"/>
              </w:rPr>
            </w:pPr>
          </w:p>
        </w:tc>
      </w:tr>
      <w:tr>
        <w:trPr>
          <w:trHeight w:val="155"/>
        </w:trPr>
        <w:tc>
          <w:tcPr>
            <w:tcW w:w="3360" w:type="dxa"/>
            <w:vAlign w:val="bottom"/>
            <w:tcBorders>
              <w:bottom w:val="single" w:sz="8" w:color="CCEEFF"/>
            </w:tcBorders>
          </w:tcPr>
          <w:p>
            <w:pPr>
              <w:ind w:left="20"/>
              <w:spacing w:after="0" w:line="149" w:lineRule="exact"/>
              <w:rPr>
                <w:sz w:val="20"/>
                <w:szCs w:val="20"/>
                <w:color w:val="auto"/>
              </w:rPr>
            </w:pPr>
            <w:r>
              <w:rPr>
                <w:rFonts w:ascii="Arial" w:cs="Arial" w:eastAsia="Arial" w:hAnsi="Arial"/>
                <w:sz w:val="14"/>
                <w:szCs w:val="14"/>
                <w:color w:val="auto"/>
                <w:w w:val="99"/>
              </w:rPr>
              <w:t>Accrued expense under deferred compensation plans</w:t>
            </w: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1,149</w:t>
            </w:r>
          </w:p>
        </w:tc>
        <w:tc>
          <w:tcPr>
            <w:tcW w:w="16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1,149</w:t>
            </w:r>
          </w:p>
        </w:tc>
        <w:tc>
          <w:tcPr>
            <w:tcW w:w="0" w:type="dxa"/>
            <w:vAlign w:val="bottom"/>
          </w:tcPr>
          <w:p>
            <w:pPr>
              <w:spacing w:after="0"/>
              <w:rPr>
                <w:sz w:val="1"/>
                <w:szCs w:val="1"/>
                <w:color w:val="auto"/>
              </w:rPr>
            </w:pPr>
          </w:p>
        </w:tc>
      </w:tr>
      <w:tr>
        <w:trPr>
          <w:trHeight w:val="148"/>
        </w:trPr>
        <w:tc>
          <w:tcPr>
            <w:tcW w:w="336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Balance on September 25, 2021</w:t>
            </w:r>
          </w:p>
        </w:tc>
        <w:tc>
          <w:tcPr>
            <w:tcW w:w="1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61,888</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8"/>
              </w:rPr>
              <w:t>239,563</w:t>
            </w:r>
          </w:p>
        </w:tc>
        <w:tc>
          <w:tcPr>
            <w:tcW w:w="16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1"/>
              </w:rPr>
              <w:t>$ 1,552,593</w:t>
            </w:r>
          </w:p>
        </w:tc>
        <w:tc>
          <w:tcPr>
            <w:tcW w:w="1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(3,278)</w:t>
            </w:r>
          </w:p>
        </w:tc>
        <w:tc>
          <w:tcPr>
            <w:tcW w:w="1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26,708</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9"/>
              </w:rPr>
              <w:t>1,877,474</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69"/>
        </w:trPr>
        <w:tc>
          <w:tcPr>
            <w:tcW w:w="60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60" w:type="dxa"/>
            <w:vAlign w:val="bottom"/>
            <w:gridSpan w:val="5"/>
          </w:tcPr>
          <w:p>
            <w:pPr>
              <w:ind w:left="2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tcBorders>
              <w:top w:val="single" w:sz="8" w:color="auto"/>
            </w:tcBorders>
            <w:gridSpan w:val="2"/>
          </w:tcPr>
          <w:p>
            <w:pPr>
              <w:ind w:left="20"/>
              <w:spacing w:after="0" w:line="126" w:lineRule="exact"/>
              <w:rPr>
                <w:sz w:val="20"/>
                <w:szCs w:val="20"/>
                <w:color w:val="auto"/>
              </w:rPr>
            </w:pPr>
            <w:r>
              <w:rPr>
                <w:rFonts w:ascii="Arial" w:cs="Arial" w:eastAsia="Arial" w:hAnsi="Arial"/>
                <w:sz w:val="14"/>
                <w:szCs w:val="14"/>
                <w:b w:val="1"/>
                <w:bCs w:val="1"/>
                <w:color w:val="auto"/>
                <w:w w:val="91"/>
              </w:rPr>
              <w:t>September 24,</w:t>
            </w:r>
          </w:p>
        </w:tc>
        <w:tc>
          <w:tcPr>
            <w:tcW w:w="2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right"/>
              <w:spacing w:after="0" w:line="126" w:lineRule="exact"/>
              <w:rPr>
                <w:sz w:val="20"/>
                <w:szCs w:val="20"/>
                <w:color w:val="auto"/>
              </w:rPr>
            </w:pPr>
            <w:r>
              <w:rPr>
                <w:rFonts w:ascii="Arial" w:cs="Arial" w:eastAsia="Arial" w:hAnsi="Arial"/>
                <w:sz w:val="14"/>
                <w:szCs w:val="14"/>
                <w:b w:val="1"/>
                <w:bCs w:val="1"/>
                <w:color w:val="auto"/>
                <w:w w:val="89"/>
              </w:rPr>
              <w:t>September 25,</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06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line="149" w:lineRule="exact"/>
              <w:rPr>
                <w:sz w:val="20"/>
                <w:szCs w:val="20"/>
                <w:color w:val="auto"/>
              </w:rPr>
            </w:pPr>
            <w:r>
              <w:rPr>
                <w:rFonts w:ascii="Arial" w:cs="Arial" w:eastAsia="Arial" w:hAnsi="Arial"/>
                <w:sz w:val="14"/>
                <w:szCs w:val="14"/>
                <w:color w:val="auto"/>
              </w:rPr>
              <w:t>Net earnings</w:t>
            </w:r>
          </w:p>
        </w:tc>
        <w:tc>
          <w:tcPr>
            <w:tcW w:w="6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573,085</w:t>
            </w:r>
          </w:p>
        </w:tc>
        <w:tc>
          <w:tcPr>
            <w:tcW w:w="380" w:type="dxa"/>
            <w:vAlign w:val="bottom"/>
            <w:gridSpan w:val="2"/>
          </w:tcPr>
          <w:p>
            <w:pPr>
              <w:jc w:val="right"/>
              <w:ind w:right="63"/>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405,358</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earnings to net cash from operating activities:</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tcPr>
          <w:p>
            <w:pPr>
              <w:ind w:left="80"/>
              <w:spacing w:after="0" w:line="149" w:lineRule="exact"/>
              <w:rPr>
                <w:sz w:val="20"/>
                <w:szCs w:val="20"/>
                <w:color w:val="auto"/>
              </w:rPr>
            </w:pPr>
            <w:r>
              <w:rPr>
                <w:rFonts w:ascii="Arial" w:cs="Arial" w:eastAsia="Arial" w:hAnsi="Arial"/>
                <w:sz w:val="14"/>
                <w:szCs w:val="14"/>
                <w:color w:val="auto"/>
              </w:rPr>
              <w:t>Depreciation</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68,881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61,741</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Amortization of intangibles</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13,448</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9,369</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tcPr>
          <w:p>
            <w:pPr>
              <w:ind w:left="80"/>
              <w:spacing w:after="0" w:line="149" w:lineRule="exact"/>
              <w:rPr>
                <w:sz w:val="20"/>
                <w:szCs w:val="20"/>
                <w:color w:val="auto"/>
              </w:rPr>
            </w:pPr>
            <w:r>
              <w:rPr>
                <w:rFonts w:ascii="Arial" w:cs="Arial" w:eastAsia="Arial" w:hAnsi="Arial"/>
                <w:sz w:val="14"/>
                <w:szCs w:val="14"/>
                <w:color w:val="auto"/>
              </w:rPr>
              <w:t>Expense associated with share-based and grant compensation arrangements</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19,979</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8,444</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Deferred income taxes (credit)</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(594)</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tcPr>
          <w:p>
            <w:pPr>
              <w:ind w:left="80"/>
              <w:spacing w:after="0" w:line="149" w:lineRule="exact"/>
              <w:rPr>
                <w:sz w:val="20"/>
                <w:szCs w:val="20"/>
                <w:color w:val="auto"/>
              </w:rPr>
            </w:pPr>
            <w:r>
              <w:rPr>
                <w:rFonts w:ascii="Arial" w:cs="Arial" w:eastAsia="Arial" w:hAnsi="Arial"/>
                <w:sz w:val="14"/>
                <w:szCs w:val="14"/>
                <w:color w:val="auto"/>
              </w:rPr>
              <w:t>Unrealized loss (gain) on investments and other</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8,453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(1,756)</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Equity in loss of investee</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2,740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2,411</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tcPr>
          <w:p>
            <w:pPr>
              <w:ind w:left="80"/>
              <w:spacing w:after="0" w:line="149" w:lineRule="exact"/>
              <w:rPr>
                <w:sz w:val="20"/>
                <w:szCs w:val="20"/>
                <w:color w:val="auto"/>
              </w:rPr>
            </w:pPr>
            <w:r>
              <w:rPr>
                <w:rFonts w:ascii="Arial" w:cs="Arial" w:eastAsia="Arial" w:hAnsi="Arial"/>
                <w:sz w:val="14"/>
                <w:szCs w:val="14"/>
                <w:color w:val="auto"/>
              </w:rPr>
              <w:t>Net loss (gain) on sale and disposition of assets</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352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(10,482)</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Changes in:</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tcPr>
          <w:p>
            <w:pPr>
              <w:ind w:left="300"/>
              <w:spacing w:after="0" w:line="149" w:lineRule="exact"/>
              <w:rPr>
                <w:sz w:val="20"/>
                <w:szCs w:val="20"/>
                <w:color w:val="auto"/>
              </w:rPr>
            </w:pPr>
            <w:r>
              <w:rPr>
                <w:rFonts w:ascii="Arial" w:cs="Arial" w:eastAsia="Arial" w:hAnsi="Arial"/>
                <w:sz w:val="14"/>
                <w:szCs w:val="14"/>
                <w:color w:val="auto"/>
              </w:rPr>
              <w:t>Accounts receivable</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(137,607)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(141,088)</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Inventories</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(36,259)</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(204,144)</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tcPr>
          <w:p>
            <w:pPr>
              <w:ind w:left="300"/>
              <w:spacing w:after="0" w:line="149" w:lineRule="exact"/>
              <w:rPr>
                <w:sz w:val="20"/>
                <w:szCs w:val="20"/>
                <w:color w:val="auto"/>
              </w:rPr>
            </w:pPr>
            <w:r>
              <w:rPr>
                <w:rFonts w:ascii="Arial" w:cs="Arial" w:eastAsia="Arial" w:hAnsi="Arial"/>
                <w:sz w:val="14"/>
                <w:szCs w:val="14"/>
                <w:color w:val="auto"/>
              </w:rPr>
              <w:t>Accounts payable and cash overdraft</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(11,247)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53,437</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60" w:type="dxa"/>
            <w:vAlign w:val="bottom"/>
            <w:tcBorders>
              <w:bottom w:val="single" w:sz="8" w:color="CCEEFF"/>
            </w:tcBorders>
            <w:shd w:val="clear" w:color="auto" w:fill="CCEEFF"/>
          </w:tcPr>
          <w:p>
            <w:pPr>
              <w:ind w:left="300"/>
              <w:spacing w:after="0" w:line="149" w:lineRule="exact"/>
              <w:rPr>
                <w:sz w:val="20"/>
                <w:szCs w:val="20"/>
                <w:color w:val="auto"/>
              </w:rPr>
            </w:pPr>
            <w:r>
              <w:rPr>
                <w:rFonts w:ascii="Arial" w:cs="Arial" w:eastAsia="Arial" w:hAnsi="Arial"/>
                <w:sz w:val="14"/>
                <w:szCs w:val="14"/>
                <w:color w:val="auto"/>
              </w:rPr>
              <w:t>Accrued liabilities and other</w:t>
            </w:r>
          </w:p>
        </w:tc>
        <w:tc>
          <w:tcPr>
            <w:tcW w:w="4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31,490</w:t>
            </w:r>
          </w:p>
        </w:tc>
        <w:tc>
          <w:tcPr>
            <w:tcW w:w="2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99,067</w:t>
            </w:r>
          </w:p>
        </w:tc>
        <w:tc>
          <w:tcPr>
            <w:tcW w:w="3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060" w:type="dxa"/>
            <w:vAlign w:val="bottom"/>
          </w:tcPr>
          <w:p>
            <w:pPr>
              <w:ind w:left="80"/>
              <w:spacing w:after="0" w:line="135" w:lineRule="exact"/>
              <w:rPr>
                <w:sz w:val="20"/>
                <w:szCs w:val="20"/>
                <w:color w:val="auto"/>
              </w:rPr>
            </w:pPr>
            <w:r>
              <w:rPr>
                <w:rFonts w:ascii="Arial" w:cs="Arial" w:eastAsia="Arial" w:hAnsi="Arial"/>
                <w:sz w:val="14"/>
                <w:szCs w:val="14"/>
                <w:color w:val="auto"/>
              </w:rPr>
              <w:t>NET CASH FROM OPERATING ACTIVITIES</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4"/>
                <w:szCs w:val="14"/>
                <w:color w:val="auto"/>
              </w:rPr>
              <w:t>533,046</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281,763</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USED IN INVESTING ACTIVITIES:</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tcPr>
          <w:p>
            <w:pPr>
              <w:spacing w:after="0" w:line="149" w:lineRule="exact"/>
              <w:rPr>
                <w:sz w:val="20"/>
                <w:szCs w:val="20"/>
                <w:color w:val="auto"/>
              </w:rPr>
            </w:pPr>
            <w:r>
              <w:rPr>
                <w:rFonts w:ascii="Arial" w:cs="Arial" w:eastAsia="Arial" w:hAnsi="Arial"/>
                <w:sz w:val="14"/>
                <w:szCs w:val="14"/>
                <w:color w:val="auto"/>
              </w:rPr>
              <w:t>Purchases of property, plant and equipment</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(113,725)</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(110,092)</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sale of property, plant and equipment</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2,303</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26,597</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tcPr>
          <w:p>
            <w:pPr>
              <w:spacing w:after="0" w:line="149" w:lineRule="exact"/>
              <w:rPr>
                <w:sz w:val="20"/>
                <w:szCs w:val="20"/>
                <w:color w:val="auto"/>
              </w:rPr>
            </w:pPr>
            <w:r>
              <w:rPr>
                <w:rFonts w:ascii="Arial" w:cs="Arial" w:eastAsia="Arial" w:hAnsi="Arial"/>
                <w:sz w:val="14"/>
                <w:szCs w:val="14"/>
                <w:color w:val="auto"/>
              </w:rPr>
              <w:t>Acquisitions, net of cash received and purchase of equity method investment</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(105,212)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(433,275)</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investments</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(16,925)</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(17,866)</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tcPr>
          <w:p>
            <w:pPr>
              <w:spacing w:after="0" w:line="149" w:lineRule="exact"/>
              <w:rPr>
                <w:sz w:val="20"/>
                <w:szCs w:val="20"/>
                <w:color w:val="auto"/>
              </w:rPr>
            </w:pPr>
            <w:r>
              <w:rPr>
                <w:rFonts w:ascii="Arial" w:cs="Arial" w:eastAsia="Arial" w:hAnsi="Arial"/>
                <w:sz w:val="14"/>
                <w:szCs w:val="14"/>
                <w:color w:val="auto"/>
              </w:rPr>
              <w:t>Proceeds from sale of investments</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10,036</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9,857</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6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4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911</w:t>
            </w:r>
          </w:p>
        </w:tc>
        <w:tc>
          <w:tcPr>
            <w:tcW w:w="2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(3,478)</w:t>
            </w:r>
          </w:p>
        </w:tc>
        <w:tc>
          <w:tcPr>
            <w:tcW w:w="3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060" w:type="dxa"/>
            <w:vAlign w:val="bottom"/>
          </w:tcPr>
          <w:p>
            <w:pPr>
              <w:ind w:left="80"/>
              <w:spacing w:after="0" w:line="135" w:lineRule="exact"/>
              <w:rPr>
                <w:sz w:val="20"/>
                <w:szCs w:val="20"/>
                <w:color w:val="auto"/>
              </w:rPr>
            </w:pPr>
            <w:r>
              <w:rPr>
                <w:rFonts w:ascii="Arial" w:cs="Arial" w:eastAsia="Arial" w:hAnsi="Arial"/>
                <w:sz w:val="14"/>
                <w:szCs w:val="14"/>
                <w:color w:val="auto"/>
              </w:rPr>
              <w:t>NET CASH USED IN INVESTING ACTIVITIES</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4"/>
                <w:szCs w:val="14"/>
                <w:color w:val="auto"/>
              </w:rPr>
              <w:t>(222,612)</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(528,257)</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USED IN FINANCING ACTIVITIES:</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tcPr>
          <w:p>
            <w:pPr>
              <w:spacing w:after="0" w:line="149" w:lineRule="exact"/>
              <w:rPr>
                <w:sz w:val="20"/>
                <w:szCs w:val="20"/>
                <w:color w:val="auto"/>
              </w:rPr>
            </w:pPr>
            <w:r>
              <w:rPr>
                <w:rFonts w:ascii="Arial" w:cs="Arial" w:eastAsia="Arial" w:hAnsi="Arial"/>
                <w:sz w:val="14"/>
                <w:szCs w:val="14"/>
                <w:color w:val="auto"/>
              </w:rPr>
              <w:t>Borrowings under revolving credit facilities</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570,700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886,966</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Repayments under revolving credit facilities</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(571,075)</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(888,335)</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line="149" w:lineRule="exact"/>
              <w:rPr>
                <w:sz w:val="20"/>
                <w:szCs w:val="20"/>
                <w:color w:val="auto"/>
              </w:rPr>
            </w:pPr>
            <w:r>
              <w:rPr>
                <w:rFonts w:ascii="Arial" w:cs="Arial" w:eastAsia="Arial" w:hAnsi="Arial"/>
                <w:sz w:val="14"/>
                <w:szCs w:val="14"/>
                <w:color w:val="auto"/>
              </w:rPr>
              <w:t>Repayments of debt</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(1,957)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Contingent consideration payments and other</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(2,664)</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tcPr>
          <w:p>
            <w:pPr>
              <w:spacing w:after="0" w:line="149" w:lineRule="exact"/>
              <w:rPr>
                <w:sz w:val="20"/>
                <w:szCs w:val="20"/>
                <w:color w:val="auto"/>
              </w:rPr>
            </w:pPr>
            <w:r>
              <w:rPr>
                <w:rFonts w:ascii="Arial" w:cs="Arial" w:eastAsia="Arial" w:hAnsi="Arial"/>
                <w:sz w:val="14"/>
                <w:szCs w:val="14"/>
                <w:color w:val="auto"/>
              </w:rPr>
              <w:t>Proceeds from issuance of common stock</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2,110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1,519</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paid to shareholders</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(43,420)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(27,831)</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tcPr>
          <w:p>
            <w:pPr>
              <w:spacing w:after="0" w:line="149" w:lineRule="exact"/>
              <w:rPr>
                <w:sz w:val="20"/>
                <w:szCs w:val="20"/>
                <w:color w:val="auto"/>
              </w:rPr>
            </w:pPr>
            <w:r>
              <w:rPr>
                <w:rFonts w:ascii="Arial" w:cs="Arial" w:eastAsia="Arial" w:hAnsi="Arial"/>
                <w:sz w:val="14"/>
                <w:szCs w:val="14"/>
                <w:color w:val="auto"/>
              </w:rPr>
              <w:t>Distributions to noncontrolling interest</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(12,023)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(2,914)</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common stock</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(93,215)</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6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Other</w:t>
            </w:r>
          </w:p>
        </w:tc>
        <w:tc>
          <w:tcPr>
            <w:tcW w:w="4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(210)</w:t>
            </w:r>
          </w:p>
        </w:tc>
        <w:tc>
          <w:tcPr>
            <w:tcW w:w="2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(334)</w:t>
            </w:r>
          </w:p>
        </w:tc>
        <w:tc>
          <w:tcPr>
            <w:tcW w:w="3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NET CASH USED IN FINANCING ACTIVITIES</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(151,654)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(33,593)</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6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Effect of exchange rate changes on cash</w:t>
            </w:r>
          </w:p>
        </w:tc>
        <w:tc>
          <w:tcPr>
            <w:tcW w:w="4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(139)</w:t>
            </w:r>
          </w:p>
        </w:tc>
        <w:tc>
          <w:tcPr>
            <w:tcW w:w="2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(292)</w:t>
            </w:r>
          </w:p>
        </w:tc>
        <w:tc>
          <w:tcPr>
            <w:tcW w:w="3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CHANGE IN CASH AND CASH EQUIVALENTS</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158,641</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(280,379)</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6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CASH, CASH EQUIVALENTS, AND RESTRICTED CASH, BEGINNING OF YEAR</w:t>
            </w:r>
          </w:p>
        </w:tc>
        <w:tc>
          <w:tcPr>
            <w:tcW w:w="4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291,223</w:t>
            </w:r>
          </w:p>
        </w:tc>
        <w:tc>
          <w:tcPr>
            <w:tcW w:w="2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436,608</w:t>
            </w:r>
          </w:p>
        </w:tc>
        <w:tc>
          <w:tcPr>
            <w:tcW w:w="3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CASH, CASH EQUIVALENTS, AND RESTRICTED CASH, END OF PERIOD</w:t>
            </w:r>
          </w:p>
        </w:tc>
        <w:tc>
          <w:tcPr>
            <w:tcW w:w="4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449,864</w:t>
            </w:r>
          </w:p>
        </w:tc>
        <w:tc>
          <w:tcPr>
            <w:tcW w:w="2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156,229</w:t>
            </w:r>
          </w:p>
        </w:tc>
        <w:tc>
          <w:tcPr>
            <w:tcW w:w="3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60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RECONCILIATION OF CASH AND CASH EQUIVALENTS AND RESTRICTED CASH:</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6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286,662</w:t>
            </w:r>
          </w:p>
        </w:tc>
        <w:tc>
          <w:tcPr>
            <w:tcW w:w="380" w:type="dxa"/>
            <w:vAlign w:val="bottom"/>
            <w:gridSpan w:val="2"/>
          </w:tcPr>
          <w:p>
            <w:pPr>
              <w:jc w:val="right"/>
              <w:ind w:right="63"/>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436,507</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cash, beginning of period</w:t>
            </w:r>
          </w:p>
        </w:tc>
        <w:tc>
          <w:tcPr>
            <w:tcW w:w="4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4,561</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101</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080" w:type="dxa"/>
            <w:vAlign w:val="bottom"/>
            <w:gridSpan w:val="2"/>
          </w:tcPr>
          <w:p>
            <w:pPr>
              <w:spacing w:after="0" w:line="142" w:lineRule="exact"/>
              <w:rPr>
                <w:sz w:val="20"/>
                <w:szCs w:val="20"/>
                <w:color w:val="auto"/>
              </w:rPr>
            </w:pPr>
            <w:r>
              <w:rPr>
                <w:rFonts w:ascii="Arial" w:cs="Arial" w:eastAsia="Arial" w:hAnsi="Arial"/>
                <w:sz w:val="14"/>
                <w:szCs w:val="14"/>
                <w:color w:val="auto"/>
              </w:rPr>
              <w:t>Cash, cash equivalents, and restricted cash, beginning of period</w:t>
            </w:r>
          </w:p>
        </w:tc>
        <w:tc>
          <w:tcPr>
            <w:tcW w:w="460" w:type="dxa"/>
            <w:vAlign w:val="bottom"/>
          </w:tcPr>
          <w:p>
            <w:pPr>
              <w:spacing w:after="0"/>
              <w:rPr>
                <w:sz w:val="15"/>
                <w:szCs w:val="15"/>
                <w:color w:val="auto"/>
              </w:rPr>
            </w:pPr>
          </w:p>
        </w:tc>
        <w:tc>
          <w:tcPr>
            <w:tcW w:w="2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291,223</w:t>
            </w:r>
          </w:p>
        </w:tc>
        <w:tc>
          <w:tcPr>
            <w:tcW w:w="200" w:type="dxa"/>
            <w:vAlign w:val="bottom"/>
          </w:tcPr>
          <w:p>
            <w:pPr>
              <w:spacing w:after="0"/>
              <w:rPr>
                <w:sz w:val="15"/>
                <w:szCs w:val="15"/>
                <w:color w:val="auto"/>
              </w:rPr>
            </w:pPr>
          </w:p>
        </w:tc>
        <w:tc>
          <w:tcPr>
            <w:tcW w:w="180" w:type="dxa"/>
            <w:vAlign w:val="bottom"/>
            <w:tcBorders>
              <w:bottom w:val="single" w:sz="8" w:color="auto"/>
            </w:tcBorders>
          </w:tcPr>
          <w:p>
            <w:pPr>
              <w:jc w:val="right"/>
              <w:ind w:right="63"/>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436,608</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vMerge w:val="restart"/>
          </w:tcPr>
          <w:p>
            <w:pPr>
              <w:spacing w:after="0"/>
              <w:rPr>
                <w:sz w:val="5"/>
                <w:szCs w:val="5"/>
                <w:color w:val="auto"/>
              </w:rPr>
            </w:pPr>
          </w:p>
        </w:tc>
        <w:tc>
          <w:tcPr>
            <w:tcW w:w="60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740" w:type="dxa"/>
            <w:vAlign w:val="bottom"/>
            <w:tcBorders>
              <w:top w:val="single" w:sz="8" w:color="auto"/>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060" w:type="dxa"/>
            <w:vAlign w:val="bottom"/>
          </w:tcPr>
          <w:p>
            <w:pPr>
              <w:spacing w:after="0" w:line="149" w:lineRule="exact"/>
              <w:rPr>
                <w:sz w:val="20"/>
                <w:szCs w:val="20"/>
                <w:color w:val="auto"/>
              </w:rPr>
            </w:pPr>
            <w:r>
              <w:rPr>
                <w:rFonts w:ascii="Arial" w:cs="Arial" w:eastAsia="Arial" w:hAnsi="Arial"/>
                <w:sz w:val="14"/>
                <w:szCs w:val="14"/>
                <w:color w:val="auto"/>
              </w:rPr>
              <w:t>Cash and cash equivalents, end of period</w:t>
            </w:r>
          </w:p>
        </w:tc>
        <w:tc>
          <w:tcPr>
            <w:tcW w:w="6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449,135</w:t>
            </w:r>
          </w:p>
        </w:tc>
        <w:tc>
          <w:tcPr>
            <w:tcW w:w="380" w:type="dxa"/>
            <w:vAlign w:val="bottom"/>
            <w:gridSpan w:val="2"/>
          </w:tcPr>
          <w:p>
            <w:pPr>
              <w:jc w:val="right"/>
              <w:ind w:right="63"/>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138,637</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cash, end of period</w:t>
            </w:r>
          </w:p>
        </w:tc>
        <w:tc>
          <w:tcPr>
            <w:tcW w:w="4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729</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17,592</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080" w:type="dxa"/>
            <w:vAlign w:val="bottom"/>
            <w:gridSpan w:val="2"/>
          </w:tcPr>
          <w:p>
            <w:pPr>
              <w:spacing w:after="0" w:line="142" w:lineRule="exact"/>
              <w:rPr>
                <w:sz w:val="20"/>
                <w:szCs w:val="20"/>
                <w:color w:val="auto"/>
              </w:rPr>
            </w:pPr>
            <w:r>
              <w:rPr>
                <w:rFonts w:ascii="Arial" w:cs="Arial" w:eastAsia="Arial" w:hAnsi="Arial"/>
                <w:sz w:val="14"/>
                <w:szCs w:val="14"/>
                <w:color w:val="auto"/>
              </w:rPr>
              <w:t>Cash, cash equivalents, and restricted cash, end of period</w:t>
            </w:r>
          </w:p>
        </w:tc>
        <w:tc>
          <w:tcPr>
            <w:tcW w:w="460" w:type="dxa"/>
            <w:vAlign w:val="bottom"/>
          </w:tcPr>
          <w:p>
            <w:pPr>
              <w:spacing w:after="0"/>
              <w:rPr>
                <w:sz w:val="15"/>
                <w:szCs w:val="15"/>
                <w:color w:val="auto"/>
              </w:rPr>
            </w:pPr>
          </w:p>
        </w:tc>
        <w:tc>
          <w:tcPr>
            <w:tcW w:w="2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449,864</w:t>
            </w:r>
          </w:p>
        </w:tc>
        <w:tc>
          <w:tcPr>
            <w:tcW w:w="200" w:type="dxa"/>
            <w:vAlign w:val="bottom"/>
          </w:tcPr>
          <w:p>
            <w:pPr>
              <w:spacing w:after="0"/>
              <w:rPr>
                <w:sz w:val="15"/>
                <w:szCs w:val="15"/>
                <w:color w:val="auto"/>
              </w:rPr>
            </w:pPr>
          </w:p>
        </w:tc>
        <w:tc>
          <w:tcPr>
            <w:tcW w:w="180" w:type="dxa"/>
            <w:vAlign w:val="bottom"/>
            <w:tcBorders>
              <w:bottom w:val="single" w:sz="8" w:color="auto"/>
            </w:tcBorders>
          </w:tcPr>
          <w:p>
            <w:pPr>
              <w:jc w:val="right"/>
              <w:ind w:right="63"/>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156,229</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60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740" w:type="dxa"/>
            <w:vAlign w:val="bottom"/>
            <w:tcBorders>
              <w:top w:val="single" w:sz="8" w:color="auto"/>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60" w:type="dxa"/>
            <w:vAlign w:val="bottom"/>
          </w:tcPr>
          <w:p>
            <w:pPr>
              <w:spacing w:after="0" w:line="149" w:lineRule="exact"/>
              <w:rPr>
                <w:sz w:val="20"/>
                <w:szCs w:val="20"/>
                <w:color w:val="auto"/>
              </w:rPr>
            </w:pPr>
            <w:r>
              <w:rPr>
                <w:rFonts w:ascii="Arial" w:cs="Arial" w:eastAsia="Arial" w:hAnsi="Arial"/>
                <w:sz w:val="14"/>
                <w:szCs w:val="14"/>
                <w:color w:val="auto"/>
              </w:rPr>
              <w:t>SUPPLEMENTAL INFORMATION:</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Interest paid</w:t>
            </w:r>
          </w:p>
        </w:tc>
        <w:tc>
          <w:tcPr>
            <w:tcW w:w="6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9,997</w:t>
            </w:r>
          </w:p>
        </w:tc>
        <w:tc>
          <w:tcPr>
            <w:tcW w:w="380" w:type="dxa"/>
            <w:vAlign w:val="bottom"/>
            <w:gridSpan w:val="2"/>
            <w:shd w:val="clear" w:color="auto" w:fill="CCEEFF"/>
          </w:tcPr>
          <w:p>
            <w:pPr>
              <w:jc w:val="right"/>
              <w:ind w:right="63"/>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10,360</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tcPr>
          <w:p>
            <w:pPr>
              <w:ind w:left="80"/>
              <w:spacing w:after="0" w:line="149" w:lineRule="exact"/>
              <w:rPr>
                <w:sz w:val="20"/>
                <w:szCs w:val="20"/>
                <w:color w:val="auto"/>
              </w:rPr>
            </w:pPr>
            <w:r>
              <w:rPr>
                <w:rFonts w:ascii="Arial" w:cs="Arial" w:eastAsia="Arial" w:hAnsi="Arial"/>
                <w:sz w:val="14"/>
                <w:szCs w:val="14"/>
                <w:color w:val="auto"/>
              </w:rPr>
              <w:t>Income taxes paid</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213,117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136,893</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NON-CASH INVESTING ACTIVITIES</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tcPr>
          <w:p>
            <w:pPr>
              <w:ind w:left="80"/>
              <w:spacing w:after="0" w:line="149" w:lineRule="exact"/>
              <w:rPr>
                <w:sz w:val="20"/>
                <w:szCs w:val="20"/>
                <w:color w:val="auto"/>
              </w:rPr>
            </w:pPr>
            <w:r>
              <w:rPr>
                <w:rFonts w:ascii="Arial" w:cs="Arial" w:eastAsia="Arial" w:hAnsi="Arial"/>
                <w:sz w:val="14"/>
                <w:szCs w:val="14"/>
                <w:color w:val="auto"/>
              </w:rPr>
              <w:t>Capital expenditures included in accounts payable</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3,211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2,366</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NON-CASH FINANCING ACTIVITIES:</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tcPr>
          <w:p>
            <w:pPr>
              <w:ind w:left="80"/>
              <w:spacing w:after="0"/>
              <w:rPr>
                <w:sz w:val="20"/>
                <w:szCs w:val="20"/>
                <w:color w:val="auto"/>
              </w:rPr>
            </w:pPr>
            <w:r>
              <w:rPr>
                <w:rFonts w:ascii="Arial" w:cs="Arial" w:eastAsia="Arial" w:hAnsi="Arial"/>
                <w:sz w:val="14"/>
                <w:szCs w:val="14"/>
                <w:color w:val="auto"/>
              </w:rPr>
              <w:t>Common stock issued under deferred compensation plans</w:t>
            </w: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8,424</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6,778</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See notes to consolidated condensed financial statements</w:t>
      </w:r>
      <w:r>
        <w:rPr>
          <w:rFonts w:ascii="Arial" w:cs="Arial" w:eastAsia="Arial" w:hAnsi="Arial"/>
          <w:sz w:val="17"/>
          <w:szCs w:val="17"/>
          <w:color w:val="auto"/>
        </w:rPr>
        <w:t>.</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FINANCIAL STATEMENTS</w:t>
      </w:r>
    </w:p>
    <w:p>
      <w:pPr>
        <w:spacing w:after="0" w:line="207" w:lineRule="exact"/>
        <w:rPr>
          <w:sz w:val="20"/>
          <w:szCs w:val="20"/>
          <w:color w:val="auto"/>
        </w:rPr>
      </w:pPr>
    </w:p>
    <w:p>
      <w:pPr>
        <w:ind w:left="540" w:hanging="490"/>
        <w:spacing w:after="0"/>
        <w:tabs>
          <w:tab w:leader="none" w:pos="5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left="60" w:right="59" w:firstLine="492"/>
        <w:spacing w:after="0" w:line="255" w:lineRule="auto"/>
        <w:rPr>
          <w:sz w:val="20"/>
          <w:szCs w:val="20"/>
          <w:color w:val="auto"/>
        </w:rPr>
      </w:pPr>
      <w:r>
        <w:rPr>
          <w:rFonts w:ascii="Arial" w:cs="Arial" w:eastAsia="Arial" w:hAnsi="Arial"/>
          <w:sz w:val="18"/>
          <w:szCs w:val="18"/>
          <w:color w:val="auto"/>
        </w:rPr>
        <w:t>The accompanying unaudited interim consolidated condensed financial statements (the “Financial Statements”) include our accounts and those of our wholly-owned and majority-owned subsidiaries and partnerships, and have been prepared pursuant to the rules and regulations of the Securities and Exchange Commission. Accordingly, the Financial Statements do not include all the information and footnotes normally included in the annual consolidated financial statements prepared in accordance with accounting principles generally accepted in the United States. All intercompany transactions and balances have been eliminated.</w:t>
      </w:r>
    </w:p>
    <w:p>
      <w:pPr>
        <w:spacing w:after="0" w:line="192"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color w:val="auto"/>
        </w:rPr>
        <w:t>In our opinion, the Financial Statements contain all material adjustments necessary to present fairly our consolidated financial position, results of operations and cash flows for the interim periods presented. All such adjustments are of a normal recurring nature. These Financial Statements should be read in conjunction with the annual consolidated financial statements, and footnotes thereto, included in our Annual Report to Shareholders on Form 10-K for the fiscal year ended December 25, 2021.</w:t>
      </w:r>
    </w:p>
    <w:p>
      <w:pPr>
        <w:spacing w:after="0" w:line="188" w:lineRule="exact"/>
        <w:rPr>
          <w:sz w:val="20"/>
          <w:szCs w:val="20"/>
          <w:color w:val="auto"/>
        </w:rPr>
      </w:pPr>
    </w:p>
    <w:p>
      <w:pPr>
        <w:jc w:val="both"/>
        <w:ind w:left="60" w:right="59" w:firstLine="492"/>
        <w:spacing w:after="0" w:line="275" w:lineRule="auto"/>
        <w:rPr>
          <w:sz w:val="20"/>
          <w:szCs w:val="20"/>
          <w:color w:val="auto"/>
        </w:rPr>
      </w:pPr>
      <w:r>
        <w:rPr>
          <w:rFonts w:ascii="Arial" w:cs="Arial" w:eastAsia="Arial" w:hAnsi="Arial"/>
          <w:sz w:val="17"/>
          <w:szCs w:val="17"/>
          <w:color w:val="auto"/>
        </w:rPr>
        <w:t>Seasonality has a significant impact on our working capital from March to August, which historically results in negative or modest cash flows from operations in our first and second quarters. Conversely, we experience a substantial decrease in working capital from September to February which typically results in significant cash flow from operations in our third and fourth quarters. For comparative purposes, we have included the September 25, 2021 balances in the accompanying unaudited condensed consolidated balance sheets.</w:t>
      </w:r>
    </w:p>
    <w:p>
      <w:pPr>
        <w:spacing w:after="0" w:line="176" w:lineRule="exact"/>
        <w:rPr>
          <w:sz w:val="20"/>
          <w:szCs w:val="20"/>
          <w:color w:val="auto"/>
        </w:rPr>
      </w:pPr>
    </w:p>
    <w:p>
      <w:pPr>
        <w:jc w:val="both"/>
        <w:ind w:left="60" w:right="59" w:firstLine="492"/>
        <w:spacing w:after="0" w:line="275" w:lineRule="auto"/>
        <w:rPr>
          <w:sz w:val="20"/>
          <w:szCs w:val="20"/>
          <w:color w:val="auto"/>
        </w:rPr>
      </w:pPr>
      <w:r>
        <w:rPr>
          <w:rFonts w:ascii="Arial" w:cs="Arial" w:eastAsia="Arial" w:hAnsi="Arial"/>
          <w:sz w:val="17"/>
          <w:szCs w:val="17"/>
          <w:color w:val="auto"/>
        </w:rPr>
        <w:t xml:space="preserve">In October 2021, the FASB issued </w:t>
      </w:r>
      <w:r>
        <w:rPr>
          <w:rFonts w:ascii="Arial" w:cs="Arial" w:eastAsia="Arial" w:hAnsi="Arial"/>
          <w:sz w:val="17"/>
          <w:szCs w:val="17"/>
          <w:i w:val="1"/>
          <w:iCs w:val="1"/>
          <w:color w:val="auto"/>
        </w:rPr>
        <w:t>ASU 2021-08, Business Combinations (Topic 805), Accounting for Contract</w:t>
      </w:r>
      <w:r>
        <w:rPr>
          <w:rFonts w:ascii="Arial" w:cs="Arial" w:eastAsia="Arial" w:hAnsi="Arial"/>
          <w:sz w:val="17"/>
          <w:szCs w:val="17"/>
          <w:color w:val="auto"/>
        </w:rPr>
        <w:t xml:space="preserve"> </w:t>
      </w:r>
      <w:r>
        <w:rPr>
          <w:rFonts w:ascii="Arial" w:cs="Arial" w:eastAsia="Arial" w:hAnsi="Arial"/>
          <w:sz w:val="17"/>
          <w:szCs w:val="17"/>
          <w:i w:val="1"/>
          <w:iCs w:val="1"/>
          <w:color w:val="auto"/>
        </w:rPr>
        <w:t>Assets and Contract Liabilities from Contracts with Customers</w:t>
      </w:r>
      <w:r>
        <w:rPr>
          <w:rFonts w:ascii="Arial" w:cs="Arial" w:eastAsia="Arial" w:hAnsi="Arial"/>
          <w:sz w:val="17"/>
          <w:szCs w:val="17"/>
          <w:color w:val="auto"/>
        </w:rPr>
        <w:t>. The ASU requires that an acquirer recognize and measure</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 assets and contract liabilities in a business combination in accordance with Topic 606. The ASU is effective for fiscal years beginning after December 15, 2022, including interim periods within those fiscal years. We are currently evaluating the impact of the new guidance on our consolidated financial statements.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ind w:left="540" w:hanging="490"/>
        <w:spacing w:after="0"/>
        <w:tabs>
          <w:tab w:leader="none" w:pos="5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229"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 xml:space="preserve">We apply the provisions of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to assets and liabilities measured at fair value. Assets measured at fair value are as follows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7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1"/>
              </w:rPr>
              <w:t>September 24, 2022</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1"/>
              </w:rPr>
              <w:t>September 25, 2021</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280"/>
              <w:spacing w:after="0" w:line="126" w:lineRule="exact"/>
              <w:rPr>
                <w:sz w:val="20"/>
                <w:szCs w:val="20"/>
                <w:color w:val="auto"/>
              </w:rPr>
            </w:pPr>
            <w:r>
              <w:rPr>
                <w:rFonts w:ascii="Arial" w:cs="Arial" w:eastAsia="Arial" w:hAnsi="Arial"/>
                <w:sz w:val="14"/>
                <w:szCs w:val="14"/>
                <w:b w:val="1"/>
                <w:bCs w:val="1"/>
                <w:color w:val="auto"/>
                <w:w w:val="93"/>
              </w:rPr>
              <w:t>Quoted</w:t>
            </w:r>
          </w:p>
        </w:tc>
        <w:tc>
          <w:tcPr>
            <w:tcW w:w="900" w:type="dxa"/>
            <w:vAlign w:val="bottom"/>
            <w:gridSpan w:val="3"/>
          </w:tcPr>
          <w:p>
            <w:pPr>
              <w:jc w:val="center"/>
              <w:ind w:right="140"/>
              <w:spacing w:after="0" w:line="126" w:lineRule="exact"/>
              <w:rPr>
                <w:sz w:val="20"/>
                <w:szCs w:val="20"/>
                <w:color w:val="auto"/>
              </w:rPr>
            </w:pPr>
            <w:r>
              <w:rPr>
                <w:rFonts w:ascii="Arial" w:cs="Arial" w:eastAsia="Arial" w:hAnsi="Arial"/>
                <w:sz w:val="14"/>
                <w:szCs w:val="14"/>
                <w:b w:val="1"/>
                <w:bCs w:val="1"/>
                <w:color w:val="auto"/>
                <w:w w:val="91"/>
              </w:rPr>
              <w:t>Prices with</w:t>
            </w:r>
          </w:p>
        </w:tc>
        <w:tc>
          <w:tcPr>
            <w:tcW w:w="80" w:type="dxa"/>
            <w:vAlign w:val="bottom"/>
          </w:tcPr>
          <w:p>
            <w:pPr>
              <w:spacing w:after="0"/>
              <w:rPr>
                <w:sz w:val="10"/>
                <w:szCs w:val="10"/>
                <w:color w:val="auto"/>
              </w:rPr>
            </w:pPr>
          </w:p>
        </w:tc>
        <w:tc>
          <w:tcPr>
            <w:tcW w:w="10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Prices with</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280"/>
              <w:spacing w:after="0" w:line="126" w:lineRule="exact"/>
              <w:rPr>
                <w:sz w:val="20"/>
                <w:szCs w:val="20"/>
                <w:color w:val="auto"/>
              </w:rPr>
            </w:pPr>
            <w:r>
              <w:rPr>
                <w:rFonts w:ascii="Arial" w:cs="Arial" w:eastAsia="Arial" w:hAnsi="Arial"/>
                <w:sz w:val="14"/>
                <w:szCs w:val="14"/>
                <w:b w:val="1"/>
                <w:bCs w:val="1"/>
                <w:color w:val="auto"/>
                <w:w w:val="93"/>
              </w:rPr>
              <w:t>Quoted</w:t>
            </w:r>
          </w:p>
        </w:tc>
        <w:tc>
          <w:tcPr>
            <w:tcW w:w="900" w:type="dxa"/>
            <w:vAlign w:val="bottom"/>
            <w:gridSpan w:val="3"/>
          </w:tcPr>
          <w:p>
            <w:pPr>
              <w:jc w:val="center"/>
              <w:ind w:right="140"/>
              <w:spacing w:after="0" w:line="126" w:lineRule="exact"/>
              <w:rPr>
                <w:sz w:val="20"/>
                <w:szCs w:val="20"/>
                <w:color w:val="auto"/>
              </w:rPr>
            </w:pPr>
            <w:r>
              <w:rPr>
                <w:rFonts w:ascii="Arial" w:cs="Arial" w:eastAsia="Arial" w:hAnsi="Arial"/>
                <w:sz w:val="14"/>
                <w:szCs w:val="14"/>
                <w:b w:val="1"/>
                <w:bCs w:val="1"/>
                <w:color w:val="auto"/>
                <w:w w:val="91"/>
              </w:rPr>
              <w:t>Prices with</w:t>
            </w:r>
          </w:p>
        </w:tc>
        <w:tc>
          <w:tcPr>
            <w:tcW w:w="80" w:type="dxa"/>
            <w:vAlign w:val="bottom"/>
          </w:tcPr>
          <w:p>
            <w:pPr>
              <w:spacing w:after="0"/>
              <w:rPr>
                <w:sz w:val="10"/>
                <w:szCs w:val="10"/>
                <w:color w:val="auto"/>
              </w:rPr>
            </w:pPr>
          </w:p>
        </w:tc>
        <w:tc>
          <w:tcPr>
            <w:tcW w:w="10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Prices with</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Prices in</w:t>
            </w: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Prices in</w:t>
            </w: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Active</w:t>
            </w:r>
          </w:p>
        </w:tc>
        <w:tc>
          <w:tcPr>
            <w:tcW w:w="9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8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Active</w:t>
            </w:r>
          </w:p>
        </w:tc>
        <w:tc>
          <w:tcPr>
            <w:tcW w:w="9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8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Markets</w:t>
            </w: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Inputs</w:t>
            </w:r>
          </w:p>
        </w:tc>
        <w:tc>
          <w:tcPr>
            <w:tcW w:w="8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8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Markets</w:t>
            </w: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Inputs</w:t>
            </w:r>
          </w:p>
        </w:tc>
        <w:tc>
          <w:tcPr>
            <w:tcW w:w="8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54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1760" w:type="dxa"/>
            <w:vAlign w:val="bottom"/>
          </w:tcPr>
          <w:p>
            <w:pPr>
              <w:spacing w:after="0"/>
              <w:rPr>
                <w:sz w:val="15"/>
                <w:szCs w:val="15"/>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Pr>
          <w:p>
            <w:pPr>
              <w:spacing w:after="0"/>
              <w:rPr>
                <w:sz w:val="15"/>
                <w:szCs w:val="15"/>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(Level 3)</w:t>
            </w:r>
          </w:p>
        </w:tc>
        <w:tc>
          <w:tcPr>
            <w:tcW w:w="1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Pr>
          <w:p>
            <w:pPr>
              <w:spacing w:after="0"/>
              <w:rPr>
                <w:sz w:val="15"/>
                <w:szCs w:val="15"/>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(Level 3)</w:t>
            </w:r>
          </w:p>
        </w:tc>
        <w:tc>
          <w:tcPr>
            <w:tcW w:w="1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Money market funds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4,825</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4,844</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2,631</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2,650</w:t>
            </w:r>
          </w:p>
        </w:tc>
        <w:tc>
          <w:tcPr>
            <w:tcW w:w="0" w:type="dxa"/>
            <w:vAlign w:val="bottom"/>
          </w:tcPr>
          <w:p>
            <w:pPr>
              <w:spacing w:after="0"/>
              <w:rPr>
                <w:sz w:val="1"/>
                <w:szCs w:val="1"/>
                <w:color w:val="auto"/>
              </w:rPr>
            </w:pPr>
          </w:p>
        </w:tc>
      </w:tr>
      <w:tr>
        <w:trPr>
          <w:trHeight w:val="203"/>
        </w:trPr>
        <w:tc>
          <w:tcPr>
            <w:tcW w:w="1760" w:type="dxa"/>
            <w:vAlign w:val="bottom"/>
          </w:tcPr>
          <w:p>
            <w:pPr>
              <w:ind w:left="20"/>
              <w:spacing w:after="0"/>
              <w:rPr>
                <w:sz w:val="20"/>
                <w:szCs w:val="20"/>
                <w:color w:val="auto"/>
              </w:rPr>
            </w:pPr>
            <w:r>
              <w:rPr>
                <w:rFonts w:ascii="Arial" w:cs="Arial" w:eastAsia="Arial" w:hAnsi="Arial"/>
                <w:sz w:val="17"/>
                <w:szCs w:val="17"/>
                <w:color w:val="auto"/>
              </w:rPr>
              <w:t>Fixed income funds</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2,584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16,321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2"/>
              </w:rPr>
              <w:t>18,905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962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17,021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2"/>
              </w:rPr>
              <w:t>17,983</w:t>
            </w:r>
          </w:p>
        </w:tc>
        <w:tc>
          <w:tcPr>
            <w:tcW w:w="0" w:type="dxa"/>
            <w:vAlign w:val="bottom"/>
          </w:tcPr>
          <w:p>
            <w:pPr>
              <w:spacing w:after="0"/>
              <w:rPr>
                <w:sz w:val="1"/>
                <w:szCs w:val="1"/>
                <w:color w:val="auto"/>
              </w:rPr>
            </w:pPr>
          </w:p>
        </w:tc>
      </w:tr>
      <w:tr>
        <w:trPr>
          <w:trHeight w:val="203"/>
        </w:trPr>
        <w:tc>
          <w:tcPr>
            <w:tcW w:w="1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Treasury securities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w:t>
            </w:r>
          </w:p>
        </w:tc>
        <w:tc>
          <w:tcPr>
            <w:tcW w:w="0" w:type="dxa"/>
            <w:vAlign w:val="bottom"/>
          </w:tcPr>
          <w:p>
            <w:pPr>
              <w:spacing w:after="0"/>
              <w:rPr>
                <w:sz w:val="1"/>
                <w:szCs w:val="1"/>
                <w:color w:val="auto"/>
              </w:rPr>
            </w:pPr>
          </w:p>
        </w:tc>
      </w:tr>
      <w:tr>
        <w:trPr>
          <w:trHeight w:val="203"/>
        </w:trPr>
        <w:tc>
          <w:tcPr>
            <w:tcW w:w="1760" w:type="dxa"/>
            <w:vAlign w:val="bottom"/>
          </w:tcPr>
          <w:p>
            <w:pPr>
              <w:ind w:left="20"/>
              <w:spacing w:after="0"/>
              <w:rPr>
                <w:sz w:val="20"/>
                <w:szCs w:val="20"/>
                <w:color w:val="auto"/>
              </w:rPr>
            </w:pPr>
            <w:r>
              <w:rPr>
                <w:rFonts w:ascii="Arial" w:cs="Arial" w:eastAsia="Arial" w:hAnsi="Arial"/>
                <w:sz w:val="17"/>
                <w:szCs w:val="17"/>
                <w:color w:val="auto"/>
              </w:rPr>
              <w:t>Equity securities</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96"/>
              </w:rPr>
              <w:t>15,674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2"/>
              </w:rPr>
              <w:t>15,674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96"/>
              </w:rPr>
              <w:t>18,543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2"/>
              </w:rPr>
              <w:t>18,543</w:t>
            </w:r>
          </w:p>
        </w:tc>
        <w:tc>
          <w:tcPr>
            <w:tcW w:w="0" w:type="dxa"/>
            <w:vAlign w:val="bottom"/>
          </w:tcPr>
          <w:p>
            <w:pPr>
              <w:spacing w:after="0"/>
              <w:rPr>
                <w:sz w:val="1"/>
                <w:szCs w:val="1"/>
                <w:color w:val="auto"/>
              </w:rPr>
            </w:pPr>
          </w:p>
        </w:tc>
      </w:tr>
      <w:tr>
        <w:trPr>
          <w:trHeight w:val="185"/>
        </w:trPr>
        <w:tc>
          <w:tcPr>
            <w:tcW w:w="176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color w:val="auto"/>
              </w:rPr>
              <w:t>Alternative</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investments</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4,136</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4,136</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3,536</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3,536</w:t>
            </w:r>
          </w:p>
        </w:tc>
        <w:tc>
          <w:tcPr>
            <w:tcW w:w="0" w:type="dxa"/>
            <w:vAlign w:val="bottom"/>
          </w:tcPr>
          <w:p>
            <w:pPr>
              <w:spacing w:after="0"/>
              <w:rPr>
                <w:sz w:val="1"/>
                <w:szCs w:val="1"/>
                <w:color w:val="auto"/>
              </w:rPr>
            </w:pPr>
          </w:p>
        </w:tc>
      </w:tr>
      <w:tr>
        <w:trPr>
          <w:trHeight w:val="203"/>
        </w:trPr>
        <w:tc>
          <w:tcPr>
            <w:tcW w:w="1760" w:type="dxa"/>
            <w:vAlign w:val="bottom"/>
          </w:tcPr>
          <w:p>
            <w:pPr>
              <w:ind w:left="20"/>
              <w:spacing w:after="0"/>
              <w:rPr>
                <w:sz w:val="20"/>
                <w:szCs w:val="20"/>
                <w:color w:val="auto"/>
              </w:rPr>
            </w:pPr>
            <w:r>
              <w:rPr>
                <w:rFonts w:ascii="Arial" w:cs="Arial" w:eastAsia="Arial" w:hAnsi="Arial"/>
                <w:sz w:val="17"/>
                <w:szCs w:val="17"/>
                <w:color w:val="auto"/>
              </w:rPr>
              <w:t>Mutual funds:</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Domestic stock funds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11,859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11,859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9,968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9,968</w:t>
            </w:r>
          </w:p>
        </w:tc>
        <w:tc>
          <w:tcPr>
            <w:tcW w:w="0" w:type="dxa"/>
            <w:vAlign w:val="bottom"/>
          </w:tcPr>
          <w:p>
            <w:pPr>
              <w:spacing w:after="0"/>
              <w:rPr>
                <w:sz w:val="1"/>
                <w:szCs w:val="1"/>
                <w:color w:val="auto"/>
              </w:rPr>
            </w:pPr>
          </w:p>
        </w:tc>
      </w:tr>
      <w:tr>
        <w:trPr>
          <w:trHeight w:val="185"/>
        </w:trPr>
        <w:tc>
          <w:tcPr>
            <w:tcW w:w="1760" w:type="dxa"/>
            <w:vAlign w:val="bottom"/>
          </w:tcPr>
          <w:p>
            <w:pPr>
              <w:ind w:left="120"/>
              <w:spacing w:after="0" w:line="185" w:lineRule="exact"/>
              <w:rPr>
                <w:sz w:val="20"/>
                <w:szCs w:val="20"/>
                <w:color w:val="auto"/>
              </w:rPr>
            </w:pPr>
            <w:r>
              <w:rPr>
                <w:rFonts w:ascii="Arial" w:cs="Arial" w:eastAsia="Arial" w:hAnsi="Arial"/>
                <w:sz w:val="17"/>
                <w:szCs w:val="17"/>
                <w:color w:val="auto"/>
              </w:rPr>
              <w:t>International stock</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760" w:type="dxa"/>
            <w:vAlign w:val="bottom"/>
          </w:tcPr>
          <w:p>
            <w:pPr>
              <w:ind w:left="120"/>
              <w:spacing w:after="0"/>
              <w:rPr>
                <w:sz w:val="20"/>
                <w:szCs w:val="20"/>
                <w:color w:val="auto"/>
              </w:rPr>
            </w:pPr>
            <w:r>
              <w:rPr>
                <w:rFonts w:ascii="Arial" w:cs="Arial" w:eastAsia="Arial" w:hAnsi="Arial"/>
                <w:sz w:val="17"/>
                <w:szCs w:val="17"/>
                <w:color w:val="auto"/>
              </w:rPr>
              <w:t>funds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1,279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1,279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1,675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1,675</w:t>
            </w:r>
          </w:p>
        </w:tc>
        <w:tc>
          <w:tcPr>
            <w:tcW w:w="0" w:type="dxa"/>
            <w:vAlign w:val="bottom"/>
          </w:tcPr>
          <w:p>
            <w:pPr>
              <w:spacing w:after="0"/>
              <w:rPr>
                <w:sz w:val="1"/>
                <w:szCs w:val="1"/>
                <w:color w:val="auto"/>
              </w:rPr>
            </w:pPr>
          </w:p>
        </w:tc>
      </w:tr>
      <w:tr>
        <w:trPr>
          <w:trHeight w:val="205"/>
        </w:trPr>
        <w:tc>
          <w:tcPr>
            <w:tcW w:w="17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Target funds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03"/>
        </w:trPr>
        <w:tc>
          <w:tcPr>
            <w:tcW w:w="1760" w:type="dxa"/>
            <w:vAlign w:val="bottom"/>
          </w:tcPr>
          <w:p>
            <w:pPr>
              <w:ind w:left="120"/>
              <w:spacing w:after="0"/>
              <w:rPr>
                <w:sz w:val="20"/>
                <w:szCs w:val="20"/>
                <w:color w:val="auto"/>
              </w:rPr>
            </w:pPr>
            <w:r>
              <w:rPr>
                <w:rFonts w:ascii="Arial" w:cs="Arial" w:eastAsia="Arial" w:hAnsi="Arial"/>
                <w:sz w:val="17"/>
                <w:szCs w:val="17"/>
                <w:color w:val="auto"/>
              </w:rPr>
              <w:t>Bond funds</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132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132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146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146</w:t>
            </w:r>
          </w:p>
        </w:tc>
        <w:tc>
          <w:tcPr>
            <w:tcW w:w="0" w:type="dxa"/>
            <w:vAlign w:val="bottom"/>
          </w:tcPr>
          <w:p>
            <w:pPr>
              <w:spacing w:after="0"/>
              <w:rPr>
                <w:sz w:val="1"/>
                <w:szCs w:val="1"/>
                <w:color w:val="auto"/>
              </w:rPr>
            </w:pPr>
          </w:p>
        </w:tc>
      </w:tr>
      <w:tr>
        <w:trPr>
          <w:trHeight w:val="223"/>
        </w:trPr>
        <w:tc>
          <w:tcPr>
            <w:tcW w:w="17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Alternative funds</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w:t>
            </w:r>
          </w:p>
        </w:tc>
        <w:tc>
          <w:tcPr>
            <w:tcW w:w="0" w:type="dxa"/>
            <w:vAlign w:val="bottom"/>
          </w:tcPr>
          <w:p>
            <w:pPr>
              <w:spacing w:after="0"/>
              <w:rPr>
                <w:sz w:val="1"/>
                <w:szCs w:val="1"/>
                <w:color w:val="auto"/>
              </w:rPr>
            </w:pPr>
          </w:p>
        </w:tc>
      </w:tr>
      <w:tr>
        <w:trPr>
          <w:trHeight w:val="197"/>
        </w:trPr>
        <w:tc>
          <w:tcPr>
            <w:tcW w:w="1760" w:type="dxa"/>
            <w:vAlign w:val="bottom"/>
            <w:tcBorders>
              <w:top w:val="single" w:sz="8" w:color="CCEEFF"/>
              <w:bottom w:val="single" w:sz="8" w:color="CCEEFF"/>
            </w:tcBorders>
          </w:tcPr>
          <w:p>
            <w:pPr>
              <w:ind w:left="20"/>
              <w:spacing w:after="0" w:line="189" w:lineRule="exact"/>
              <w:rPr>
                <w:sz w:val="20"/>
                <w:szCs w:val="20"/>
                <w:color w:val="auto"/>
              </w:rPr>
            </w:pPr>
            <w:r>
              <w:rPr>
                <w:rFonts w:ascii="Arial" w:cs="Arial" w:eastAsia="Arial" w:hAnsi="Arial"/>
                <w:sz w:val="17"/>
                <w:szCs w:val="17"/>
                <w:color w:val="auto"/>
              </w:rPr>
              <w:t>Total mutual funds</w:t>
            </w: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96"/>
              </w:rPr>
              <w:t>13,805</w:t>
            </w:r>
          </w:p>
        </w:tc>
        <w:tc>
          <w:tcPr>
            <w:tcW w:w="18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60" w:type="dxa"/>
            <w:vAlign w:val="bottom"/>
            <w:tcBorders>
              <w:top w:val="single" w:sz="8" w:color="CCEEFF"/>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80" w:type="dxa"/>
            <w:vAlign w:val="bottom"/>
            <w:tcBorders>
              <w:top w:val="single" w:sz="8" w:color="CCEEFF"/>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92"/>
              </w:rPr>
              <w:t>13,805</w:t>
            </w:r>
          </w:p>
        </w:tc>
        <w:tc>
          <w:tcPr>
            <w:tcW w:w="18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96"/>
              </w:rPr>
              <w:t>12,309</w:t>
            </w:r>
          </w:p>
        </w:tc>
        <w:tc>
          <w:tcPr>
            <w:tcW w:w="18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60" w:type="dxa"/>
            <w:vAlign w:val="bottom"/>
            <w:tcBorders>
              <w:top w:val="single" w:sz="8" w:color="CCEEFF"/>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80" w:type="dxa"/>
            <w:vAlign w:val="bottom"/>
            <w:tcBorders>
              <w:top w:val="single" w:sz="8" w:color="CCEEFF"/>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92"/>
              </w:rPr>
              <w:t>12,309</w:t>
            </w:r>
          </w:p>
        </w:tc>
        <w:tc>
          <w:tcPr>
            <w:tcW w:w="0" w:type="dxa"/>
            <w:vAlign w:val="bottom"/>
          </w:tcPr>
          <w:p>
            <w:pPr>
              <w:spacing w:after="0"/>
              <w:rPr>
                <w:sz w:val="1"/>
                <w:szCs w:val="1"/>
                <w:color w:val="auto"/>
              </w:rPr>
            </w:pPr>
          </w:p>
        </w:tc>
      </w:tr>
      <w:tr>
        <w:trPr>
          <w:trHeight w:val="203"/>
        </w:trPr>
        <w:tc>
          <w:tcPr>
            <w:tcW w:w="1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32,425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21,146</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57,707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32,143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19,652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55,331</w:t>
            </w:r>
          </w:p>
        </w:tc>
        <w:tc>
          <w:tcPr>
            <w:tcW w:w="0" w:type="dxa"/>
            <w:vAlign w:val="bottom"/>
          </w:tcPr>
          <w:p>
            <w:pPr>
              <w:spacing w:after="0"/>
              <w:rPr>
                <w:sz w:val="1"/>
                <w:szCs w:val="1"/>
                <w:color w:val="auto"/>
              </w:rPr>
            </w:pPr>
          </w:p>
        </w:tc>
      </w:tr>
      <w:tr>
        <w:trPr>
          <w:trHeight w:val="203"/>
        </w:trPr>
        <w:tc>
          <w:tcPr>
            <w:tcW w:w="1760" w:type="dxa"/>
            <w:vAlign w:val="bottom"/>
          </w:tcPr>
          <w:p>
            <w:pPr>
              <w:ind w:left="120"/>
              <w:spacing w:after="0"/>
              <w:rPr>
                <w:sz w:val="20"/>
                <w:szCs w:val="20"/>
                <w:color w:val="auto"/>
              </w:rPr>
            </w:pPr>
            <w:r>
              <w:rPr>
                <w:rFonts w:ascii="Arial" w:cs="Arial" w:eastAsia="Arial" w:hAnsi="Arial"/>
                <w:sz w:val="17"/>
                <w:szCs w:val="17"/>
                <w:color w:val="auto"/>
              </w:rPr>
              <w:t>Assets at fair value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32,425</w:t>
            </w: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21,146</w:t>
            </w:r>
          </w:p>
        </w:tc>
        <w:tc>
          <w:tcPr>
            <w:tcW w:w="160" w:type="dxa"/>
            <w:vAlign w:val="bottom"/>
          </w:tcPr>
          <w:p>
            <w:pPr>
              <w:spacing w:after="0"/>
              <w:rPr>
                <w:sz w:val="17"/>
                <w:szCs w:val="17"/>
                <w:color w:val="auto"/>
              </w:rPr>
            </w:pPr>
          </w:p>
        </w:tc>
        <w:tc>
          <w:tcPr>
            <w:tcW w:w="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4,136</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57,707</w:t>
            </w: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32,143</w:t>
            </w: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19,652</w:t>
            </w:r>
          </w:p>
        </w:tc>
        <w:tc>
          <w:tcPr>
            <w:tcW w:w="160" w:type="dxa"/>
            <w:vAlign w:val="bottom"/>
          </w:tcPr>
          <w:p>
            <w:pPr>
              <w:spacing w:after="0"/>
              <w:rPr>
                <w:sz w:val="17"/>
                <w:szCs w:val="17"/>
                <w:color w:val="auto"/>
              </w:rPr>
            </w:pPr>
          </w:p>
        </w:tc>
        <w:tc>
          <w:tcPr>
            <w:tcW w:w="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3,536</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55,331</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color w:val="auto"/>
        </w:rPr>
        <w:t>From the assets measured at fair value as of September 24, 2022, listed in the table above, $33.2 million of mutual funds, equity securities, and alternative investments are held in Investments, $4.7 million of money market funds are held in Cash and Cash Equivalents, $0.5 million of money market and mutual funds are held in Other Assets for our deferred compensation plan, and $19.2 million of fixed income funds and $0.1 million of money market funds are held in Restricted Investments.</w:t>
      </w:r>
    </w:p>
    <w:p>
      <w:pPr>
        <w:spacing w:after="0" w:line="188" w:lineRule="exact"/>
        <w:rPr>
          <w:sz w:val="20"/>
          <w:szCs w:val="20"/>
          <w:color w:val="auto"/>
        </w:rPr>
      </w:pPr>
    </w:p>
    <w:p>
      <w:pPr>
        <w:jc w:val="both"/>
        <w:ind w:left="60" w:right="59" w:firstLine="492"/>
        <w:spacing w:after="0" w:line="296" w:lineRule="auto"/>
        <w:rPr>
          <w:sz w:val="20"/>
          <w:szCs w:val="20"/>
          <w:color w:val="auto"/>
        </w:rPr>
      </w:pPr>
      <w:r>
        <w:rPr>
          <w:rFonts w:ascii="Arial" w:cs="Arial" w:eastAsia="Arial" w:hAnsi="Arial"/>
          <w:sz w:val="16"/>
          <w:szCs w:val="16"/>
          <w:color w:val="auto"/>
        </w:rPr>
        <w:t xml:space="preserve">We maintain money market, mutual funds, bonds, and/or equity securities in our non-qualified deferred compensation plan, our wholly owned licensed captive insurance company, and assets held in financial institutions. These funds are valued at prices quoted in an active exchange market and are included in “Cash and Cash Equivalents”, “Investments”, “Other Assets”, and “Restricted Investments”. We have elected not to apply the fair value option under ASC 825,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to any of our financial instruments except for those expressly required by U.S. GAAP.</w:t>
      </w:r>
    </w:p>
    <w:p>
      <w:pPr>
        <w:spacing w:after="0" w:line="161"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In accordance with our investment policy, our wholly-owned captive, Ardellis Insurance Ltd. (“Ardellis”), maintains an investment portfolio, totaling $52.4 million as of September 24, 2022, which has been included in the aforementioned table of total investments. This portfolio consists of domestic and international equity securities, alternative investments, and fixed income bonds.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Ardellis’ available for sale investment portfolio, including funds held with the State of Michigan, consists of the following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40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6"/>
          </w:tcPr>
          <w:p>
            <w:pPr>
              <w:jc w:val="right"/>
              <w:ind w:right="533"/>
              <w:spacing w:after="0"/>
              <w:rPr>
                <w:sz w:val="20"/>
                <w:szCs w:val="20"/>
                <w:color w:val="auto"/>
              </w:rPr>
            </w:pPr>
            <w:r>
              <w:rPr>
                <w:rFonts w:ascii="Arial" w:cs="Arial" w:eastAsia="Arial" w:hAnsi="Arial"/>
                <w:sz w:val="14"/>
                <w:szCs w:val="14"/>
                <w:b w:val="1"/>
                <w:bCs w:val="1"/>
                <w:color w:val="auto"/>
              </w:rPr>
              <w:t>September 24, 2022</w:t>
            </w:r>
          </w:p>
        </w:tc>
        <w:tc>
          <w:tcPr>
            <w:tcW w:w="100" w:type="dxa"/>
            <w:vAlign w:val="bottom"/>
          </w:tcPr>
          <w:p>
            <w:pPr>
              <w:spacing w:after="0"/>
              <w:rPr>
                <w:sz w:val="15"/>
                <w:szCs w:val="15"/>
                <w:color w:val="auto"/>
              </w:rPr>
            </w:pPr>
          </w:p>
        </w:tc>
        <w:tc>
          <w:tcPr>
            <w:tcW w:w="23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September 25, 2021</w:t>
            </w:r>
          </w:p>
        </w:tc>
        <w:tc>
          <w:tcPr>
            <w:tcW w:w="0" w:type="dxa"/>
            <w:vAlign w:val="bottom"/>
          </w:tcPr>
          <w:p>
            <w:pPr>
              <w:spacing w:after="0"/>
              <w:rPr>
                <w:sz w:val="1"/>
                <w:szCs w:val="1"/>
                <w:color w:val="auto"/>
              </w:rPr>
            </w:pPr>
          </w:p>
        </w:tc>
      </w:tr>
      <w:tr>
        <w:trPr>
          <w:trHeight w:val="126"/>
        </w:trPr>
        <w:tc>
          <w:tcPr>
            <w:tcW w:w="4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w:t>
            </w:r>
          </w:p>
        </w:tc>
        <w:tc>
          <w:tcPr>
            <w:tcW w:w="860" w:type="dxa"/>
            <w:vAlign w:val="bottom"/>
            <w:gridSpan w:val="3"/>
          </w:tcPr>
          <w:p>
            <w:pPr>
              <w:ind w:left="40"/>
              <w:spacing w:after="0" w:line="126" w:lineRule="exact"/>
              <w:rPr>
                <w:sz w:val="20"/>
                <w:szCs w:val="20"/>
                <w:color w:val="auto"/>
              </w:rPr>
            </w:pPr>
            <w:r>
              <w:rPr>
                <w:rFonts w:ascii="Arial" w:cs="Arial" w:eastAsia="Arial" w:hAnsi="Arial"/>
                <w:sz w:val="14"/>
                <w:szCs w:val="14"/>
                <w:b w:val="1"/>
                <w:bCs w:val="1"/>
                <w:color w:val="auto"/>
              </w:rPr>
              <w:t>Unrealized</w:t>
            </w: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8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Cost</w:t>
            </w:r>
          </w:p>
        </w:tc>
        <w:tc>
          <w:tcPr>
            <w:tcW w:w="780" w:type="dxa"/>
            <w:vAlign w:val="bottom"/>
            <w:gridSpan w:val="3"/>
          </w:tcPr>
          <w:p>
            <w:pPr>
              <w:ind w:left="20"/>
              <w:spacing w:after="0" w:line="126" w:lineRule="exact"/>
              <w:rPr>
                <w:sz w:val="20"/>
                <w:szCs w:val="20"/>
                <w:color w:val="auto"/>
              </w:rPr>
            </w:pPr>
            <w:r>
              <w:rPr>
                <w:rFonts w:ascii="Arial" w:cs="Arial" w:eastAsia="Arial" w:hAnsi="Arial"/>
                <w:sz w:val="14"/>
                <w:szCs w:val="14"/>
                <w:b w:val="1"/>
                <w:bCs w:val="1"/>
                <w:color w:val="auto"/>
              </w:rPr>
              <w:t>Unrealized</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78"/>
        </w:trPr>
        <w:tc>
          <w:tcPr>
            <w:tcW w:w="4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Gain (Loss)</w:t>
            </w:r>
          </w:p>
        </w:tc>
        <w:tc>
          <w:tcPr>
            <w:tcW w:w="78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Gain</w:t>
            </w: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Income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(2,294)</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$ 18,905</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$ 17,293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$ 17,983</w:t>
            </w:r>
          </w:p>
        </w:tc>
        <w:tc>
          <w:tcPr>
            <w:tcW w:w="0" w:type="dxa"/>
            <w:vAlign w:val="bottom"/>
          </w:tcPr>
          <w:p>
            <w:pPr>
              <w:spacing w:after="0"/>
              <w:rPr>
                <w:sz w:val="1"/>
                <w:szCs w:val="1"/>
                <w:color w:val="auto"/>
              </w:rPr>
            </w:pPr>
          </w:p>
        </w:tc>
      </w:tr>
      <w:tr>
        <w:trPr>
          <w:trHeight w:val="216"/>
        </w:trPr>
        <w:tc>
          <w:tcPr>
            <w:tcW w:w="4060" w:type="dxa"/>
            <w:vAlign w:val="bottom"/>
          </w:tcPr>
          <w:p>
            <w:pPr>
              <w:ind w:left="20"/>
              <w:spacing w:after="0"/>
              <w:rPr>
                <w:sz w:val="20"/>
                <w:szCs w:val="20"/>
                <w:color w:val="auto"/>
              </w:rPr>
            </w:pPr>
            <w:r>
              <w:rPr>
                <w:rFonts w:ascii="Arial" w:cs="Arial" w:eastAsia="Arial" w:hAnsi="Arial"/>
                <w:sz w:val="18"/>
                <w:szCs w:val="18"/>
                <w:color w:val="auto"/>
              </w:rPr>
              <w:t>Treasury Securities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4,151</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18,543</w:t>
            </w:r>
          </w:p>
        </w:tc>
        <w:tc>
          <w:tcPr>
            <w:tcW w:w="0" w:type="dxa"/>
            <w:vAlign w:val="bottom"/>
          </w:tcPr>
          <w:p>
            <w:pPr>
              <w:spacing w:after="0"/>
              <w:rPr>
                <w:sz w:val="1"/>
                <w:szCs w:val="1"/>
                <w:color w:val="auto"/>
              </w:rPr>
            </w:pPr>
          </w:p>
        </w:tc>
      </w:tr>
      <w:tr>
        <w:trPr>
          <w:trHeight w:val="216"/>
        </w:trPr>
        <w:tc>
          <w:tcPr>
            <w:tcW w:w="4060" w:type="dxa"/>
            <w:vAlign w:val="bottom"/>
          </w:tcPr>
          <w:p>
            <w:pPr>
              <w:ind w:left="20"/>
              <w:spacing w:after="0"/>
              <w:rPr>
                <w:sz w:val="20"/>
                <w:szCs w:val="20"/>
                <w:color w:val="auto"/>
              </w:rPr>
            </w:pPr>
            <w:r>
              <w:rPr>
                <w:rFonts w:ascii="Arial" w:cs="Arial" w:eastAsia="Arial" w:hAnsi="Arial"/>
                <w:sz w:val="18"/>
                <w:szCs w:val="18"/>
                <w:color w:val="auto"/>
              </w:rPr>
              <w:t>Mutual Funds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13,430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680" w:type="dxa"/>
            <w:vAlign w:val="bottom"/>
          </w:tcPr>
          <w:p>
            <w:pPr>
              <w:jc w:val="right"/>
              <w:spacing w:after="0"/>
              <w:rPr>
                <w:sz w:val="20"/>
                <w:szCs w:val="20"/>
                <w:color w:val="auto"/>
              </w:rPr>
            </w:pPr>
            <w:r>
              <w:rPr>
                <w:rFonts w:ascii="Arial" w:cs="Arial" w:eastAsia="Arial" w:hAnsi="Arial"/>
                <w:sz w:val="18"/>
                <w:szCs w:val="18"/>
                <w:color w:val="auto"/>
              </w:rPr>
              <w:t>13,302</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2,435</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11,645</w:t>
            </w:r>
          </w:p>
        </w:tc>
        <w:tc>
          <w:tcPr>
            <w:tcW w:w="0" w:type="dxa"/>
            <w:vAlign w:val="bottom"/>
          </w:tcPr>
          <w:p>
            <w:pPr>
              <w:spacing w:after="0"/>
              <w:rPr>
                <w:sz w:val="1"/>
                <w:szCs w:val="1"/>
                <w:color w:val="auto"/>
              </w:rPr>
            </w:pPr>
          </w:p>
        </w:tc>
      </w:tr>
      <w:tr>
        <w:trPr>
          <w:trHeight w:val="236"/>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Alternative Investments</w:t>
            </w:r>
          </w:p>
        </w:tc>
        <w:tc>
          <w:tcPr>
            <w:tcW w:w="1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4,136</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3,536</w:t>
            </w:r>
          </w:p>
        </w:tc>
        <w:tc>
          <w:tcPr>
            <w:tcW w:w="0" w:type="dxa"/>
            <w:vAlign w:val="bottom"/>
          </w:tcPr>
          <w:p>
            <w:pPr>
              <w:spacing w:after="0"/>
              <w:rPr>
                <w:sz w:val="1"/>
                <w:szCs w:val="1"/>
                <w:color w:val="auto"/>
              </w:rPr>
            </w:pPr>
          </w:p>
        </w:tc>
      </w:tr>
      <w:tr>
        <w:trPr>
          <w:trHeight w:val="203"/>
        </w:trPr>
        <w:tc>
          <w:tcPr>
            <w:tcW w:w="4060" w:type="dxa"/>
            <w:vAlign w:val="bottom"/>
          </w:tcPr>
          <w:p>
            <w:pPr>
              <w:ind w:left="20"/>
              <w:spacing w:after="0" w:line="203" w:lineRule="exact"/>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53,443</w:t>
            </w:r>
          </w:p>
        </w:tc>
        <w:tc>
          <w:tcPr>
            <w:tcW w:w="80" w:type="dxa"/>
            <w:vAlign w:val="bottom"/>
          </w:tcPr>
          <w:p>
            <w:pPr>
              <w:spacing w:after="0"/>
              <w:rPr>
                <w:sz w:val="17"/>
                <w:szCs w:val="17"/>
                <w:color w:val="auto"/>
              </w:rPr>
            </w:pPr>
          </w:p>
        </w:tc>
        <w:tc>
          <w:tcPr>
            <w:tcW w:w="16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(1,083)</w:t>
            </w:r>
          </w:p>
        </w:tc>
        <w:tc>
          <w:tcPr>
            <w:tcW w:w="100" w:type="dxa"/>
            <w:vAlign w:val="bottom"/>
          </w:tcPr>
          <w:p>
            <w:pPr>
              <w:spacing w:after="0"/>
              <w:rPr>
                <w:sz w:val="17"/>
                <w:szCs w:val="17"/>
                <w:color w:val="auto"/>
              </w:rPr>
            </w:pP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5"/>
              </w:rPr>
              <w:t>$ 52,360</w:t>
            </w:r>
          </w:p>
        </w:tc>
        <w:tc>
          <w:tcPr>
            <w:tcW w:w="100" w:type="dxa"/>
            <w:vAlign w:val="bottom"/>
          </w:tcPr>
          <w:p>
            <w:pPr>
              <w:spacing w:after="0"/>
              <w:rPr>
                <w:sz w:val="17"/>
                <w:szCs w:val="17"/>
                <w:color w:val="auto"/>
              </w:rPr>
            </w:pP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1"/>
              </w:rPr>
              <w:t>$ 44,575</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7,442</w:t>
            </w:r>
          </w:p>
        </w:tc>
        <w:tc>
          <w:tcPr>
            <w:tcW w:w="80" w:type="dxa"/>
            <w:vAlign w:val="bottom"/>
          </w:tcPr>
          <w:p>
            <w:pPr>
              <w:spacing w:after="0"/>
              <w:rPr>
                <w:sz w:val="17"/>
                <w:szCs w:val="17"/>
                <w:color w:val="auto"/>
              </w:rPr>
            </w:pP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$ 52,017</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92"/>
        <w:spacing w:after="0" w:line="273" w:lineRule="auto"/>
        <w:rPr>
          <w:sz w:val="20"/>
          <w:szCs w:val="20"/>
          <w:color w:val="auto"/>
        </w:rPr>
      </w:pPr>
      <w:r>
        <w:rPr>
          <w:rFonts w:ascii="Arial" w:cs="Arial" w:eastAsia="Arial" w:hAnsi="Arial"/>
          <w:sz w:val="17"/>
          <w:szCs w:val="17"/>
          <w:color w:val="auto"/>
        </w:rPr>
        <w:t>Our fixed income investments consist of a blend of US Government and Agency bonds and investment grade corporate bonds with varying maturities. Our equity investments consist of small, mid, and large cap growth and value funds, as well as international equity. Our mutual fund investments consist of domestic and international stock. Our alternative investments consist of a private real estate income trust which is valued as a Level 3 asset. The net unrealized loss of the portfolio was $1.1 million. Carrying amounts above are recorded in the investments and restricted investments line items within the balance sheet as of September 24, 2022 and September 25, 2021.</w:t>
      </w:r>
    </w:p>
    <w:p>
      <w:pPr>
        <w:spacing w:after="0" w:line="174" w:lineRule="exact"/>
        <w:rPr>
          <w:sz w:val="20"/>
          <w:szCs w:val="20"/>
          <w:color w:val="auto"/>
        </w:rPr>
      </w:pPr>
    </w:p>
    <w:p>
      <w:pPr>
        <w:ind w:left="540" w:hanging="490"/>
        <w:spacing w:after="0"/>
        <w:tabs>
          <w:tab w:leader="none" w:pos="5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left="60" w:right="59" w:firstLine="492"/>
        <w:spacing w:after="0" w:line="272" w:lineRule="auto"/>
        <w:rPr>
          <w:sz w:val="20"/>
          <w:szCs w:val="20"/>
          <w:color w:val="auto"/>
        </w:rPr>
      </w:pPr>
      <w:r>
        <w:rPr>
          <w:rFonts w:ascii="Arial" w:cs="Arial" w:eastAsia="Arial" w:hAnsi="Arial"/>
          <w:sz w:val="17"/>
          <w:szCs w:val="17"/>
          <w:color w:val="auto"/>
        </w:rPr>
        <w:t>Within the three primary segments (Retail, Industrial, and Construction) that the Company operates, there are a variety of written agreements governing the sale of our products and services. The transaction price is stated at the purchase order level, which includes shipping and/or freight costs and any applicable governmental authority taxes. The majority of our contracts have a single performance obligation concentrated around the delivery of goods to the carrier, Free On Board (FOB) shipping point. Therefore, revenue is recognized when this performance obligation is satisfied. Generally, title and control passes at the time of shipment. In certain circumstances, the customer takes title when the shipment arrives at the destination. However, our shipping process is typically completed the same day.</w:t>
      </w:r>
    </w:p>
    <w:p>
      <w:pPr>
        <w:spacing w:after="0" w:line="177" w:lineRule="exact"/>
        <w:rPr>
          <w:sz w:val="20"/>
          <w:szCs w:val="20"/>
          <w:color w:val="auto"/>
        </w:rPr>
      </w:pPr>
    </w:p>
    <w:p>
      <w:pPr>
        <w:jc w:val="both"/>
        <w:ind w:left="60" w:right="59" w:firstLine="492"/>
        <w:spacing w:after="0" w:line="286" w:lineRule="auto"/>
        <w:rPr>
          <w:sz w:val="20"/>
          <w:szCs w:val="20"/>
          <w:color w:val="auto"/>
        </w:rPr>
      </w:pPr>
      <w:r>
        <w:rPr>
          <w:rFonts w:ascii="Arial" w:cs="Arial" w:eastAsia="Arial" w:hAnsi="Arial"/>
          <w:sz w:val="17"/>
          <w:szCs w:val="17"/>
          <w:color w:val="auto"/>
        </w:rPr>
        <w:t>Certain customer products that we provide require installation by the Company or a third party. Installation revenue is recognized upon completion. If we use a third party for installation, the party will act as an agent to us until completion of the installation. Installation revenue represents an immaterial share of our total net sales.</w:t>
      </w:r>
    </w:p>
    <w:p>
      <w:pPr>
        <w:spacing w:after="0" w:line="165" w:lineRule="exact"/>
        <w:rPr>
          <w:sz w:val="20"/>
          <w:szCs w:val="20"/>
          <w:color w:val="auto"/>
        </w:rPr>
      </w:pPr>
    </w:p>
    <w:p>
      <w:pPr>
        <w:jc w:val="both"/>
        <w:ind w:left="60" w:right="59" w:firstLine="492"/>
        <w:spacing w:after="0" w:line="296" w:lineRule="auto"/>
        <w:rPr>
          <w:sz w:val="20"/>
          <w:szCs w:val="20"/>
          <w:color w:val="auto"/>
        </w:rPr>
      </w:pPr>
      <w:r>
        <w:rPr>
          <w:rFonts w:ascii="Arial" w:cs="Arial" w:eastAsia="Arial" w:hAnsi="Arial"/>
          <w:sz w:val="16"/>
          <w:szCs w:val="16"/>
          <w:color w:val="auto"/>
        </w:rPr>
        <w:t>We utilize rebates, credits, discounts and/or cash-based incentives with certain customers which are accounted for as variable consideration. We estimate these amounts based on the expected amount to be provided to customers and reduce revenues recognized. We believe that there will not be significant changes to our estimates of variable consideration. The allocation of these costs are applied at the invoice level and recognized in conjunction with revenue. Additionally, returns and refunds are estimated on a historical and expected basis which is a reduction of revenue recognized.</w:t>
      </w:r>
    </w:p>
    <w:p>
      <w:pPr>
        <w:spacing w:after="0" w:line="161" w:lineRule="exact"/>
        <w:rPr>
          <w:sz w:val="20"/>
          <w:szCs w:val="20"/>
          <w:color w:val="auto"/>
        </w:rPr>
      </w:pPr>
    </w:p>
    <w:p>
      <w:pPr>
        <w:jc w:val="both"/>
        <w:ind w:left="60" w:right="59" w:firstLine="492"/>
        <w:spacing w:after="0" w:line="270" w:lineRule="auto"/>
        <w:rPr>
          <w:sz w:val="20"/>
          <w:szCs w:val="20"/>
          <w:color w:val="auto"/>
        </w:rPr>
      </w:pPr>
      <w:r>
        <w:rPr>
          <w:rFonts w:ascii="Arial" w:cs="Arial" w:eastAsia="Arial" w:hAnsi="Arial"/>
          <w:sz w:val="17"/>
          <w:szCs w:val="17"/>
          <w:color w:val="auto"/>
        </w:rPr>
        <w:t>Earnings on construction contracts are reflected in operations using over time accounting, under either cost to cost or units of delivery methods, depending on the nature of the business at individual operations, which is in accordance with ASC 606 as revenue is recognized when certain performance obligations are performed. Under over time accounting using the cost to cost method, revenues and related earnings on construction contracts are measured by the relationships of actual costs incurred relative to the total estimated costs. Under over time accounting using the units of delivery method, revenues and related earnings on construction contracts are measured by the relationships of actual units produced relative to the total number of units. Revisions in earnings estimates on the construction contracts are recorded in the accounting period in which the basis for such revisions becomes known. Projected losses on individual contracts are charged to operations in their entirety when such losses become apparent.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Our construction contracts are generally entered into with a fixed price, and completion of the projects can range from 6 to 18 months in duration. Therefore, our operating results are impacted by, among many other things, labor rates and commodity costs. During the year, we update our estimated costs to complete our projects using current labor and commodity costs and recognize losses to the extent that they exist.</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presents our net sales disaggregated by revenue source (in thousands):</w:t>
      </w: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6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5"/>
          </w:tcPr>
          <w:p>
            <w:pPr>
              <w:ind w:left="880"/>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Borders>
              <w:bottom w:val="single" w:sz="8" w:color="auto"/>
            </w:tcBorders>
          </w:tcPr>
          <w:p>
            <w:pPr>
              <w:spacing w:after="0"/>
              <w:rPr>
                <w:sz w:val="15"/>
                <w:szCs w:val="15"/>
                <w:color w:val="auto"/>
              </w:rPr>
            </w:pPr>
          </w:p>
        </w:tc>
      </w:tr>
      <w:tr>
        <w:trPr>
          <w:trHeight w:val="218"/>
        </w:trPr>
        <w:tc>
          <w:tcPr>
            <w:tcW w:w="2600" w:type="dxa"/>
            <w:vAlign w:val="bottom"/>
          </w:tcPr>
          <w:p>
            <w:pPr>
              <w:spacing w:after="0"/>
              <w:rPr>
                <w:sz w:val="18"/>
                <w:szCs w:val="18"/>
                <w:color w:val="auto"/>
              </w:rPr>
            </w:pP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24,</w:t>
            </w:r>
          </w:p>
        </w:tc>
        <w:tc>
          <w:tcPr>
            <w:tcW w:w="114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25,</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September 24,</w:t>
            </w:r>
          </w:p>
        </w:tc>
        <w:tc>
          <w:tcPr>
            <w:tcW w:w="108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25,</w:t>
            </w:r>
          </w:p>
        </w:tc>
        <w:tc>
          <w:tcPr>
            <w:tcW w:w="880" w:type="dxa"/>
            <w:vAlign w:val="bottom"/>
          </w:tcPr>
          <w:p>
            <w:pPr>
              <w:spacing w:after="0"/>
              <w:rPr>
                <w:sz w:val="18"/>
                <w:szCs w:val="18"/>
                <w:color w:val="auto"/>
              </w:rPr>
            </w:pPr>
          </w:p>
        </w:tc>
      </w:tr>
      <w:tr>
        <w:trPr>
          <w:trHeight w:val="194"/>
        </w:trPr>
        <w:tc>
          <w:tcPr>
            <w:tcW w:w="2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257"/>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980" w:type="dxa"/>
            <w:vAlign w:val="bottom"/>
          </w:tcPr>
          <w:p>
            <w:pPr>
              <w:jc w:val="right"/>
              <w:ind w:right="319"/>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880" w:type="dxa"/>
            <w:vAlign w:val="bottom"/>
          </w:tcPr>
          <w:p>
            <w:pPr>
              <w:jc w:val="right"/>
              <w:ind w:right="15"/>
              <w:spacing w:after="0"/>
              <w:rPr>
                <w:sz w:val="20"/>
                <w:szCs w:val="20"/>
                <w:color w:val="auto"/>
              </w:rPr>
            </w:pPr>
            <w:r>
              <w:rPr>
                <w:rFonts w:ascii="Arial" w:cs="Arial" w:eastAsia="Arial" w:hAnsi="Arial"/>
                <w:sz w:val="14"/>
                <w:szCs w:val="14"/>
                <w:b w:val="1"/>
                <w:bCs w:val="1"/>
                <w:color w:val="auto"/>
              </w:rPr>
              <w:t>% Change</w:t>
            </w:r>
          </w:p>
        </w:tc>
      </w:tr>
      <w:tr>
        <w:trPr>
          <w:trHeight w:val="216"/>
        </w:trPr>
        <w:tc>
          <w:tcPr>
            <w:tcW w:w="2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Point in Time 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2,270,438</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2,063,647</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7,571,128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6,530,204</w:t>
            </w: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23"/>
        </w:trPr>
        <w:tc>
          <w:tcPr>
            <w:tcW w:w="2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Over Time Revenue</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52,417</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30,137</w:t>
            </w:r>
          </w:p>
        </w:tc>
        <w:tc>
          <w:tcPr>
            <w:tcW w:w="16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141,914</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89,125</w:t>
            </w:r>
          </w:p>
        </w:tc>
        <w:tc>
          <w:tcPr>
            <w:tcW w:w="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w:t>
            </w:r>
          </w:p>
        </w:tc>
      </w:tr>
      <w:tr>
        <w:trPr>
          <w:trHeight w:val="216"/>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2,322,855</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2,093,784</w:t>
            </w: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7,713,042</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6,619,329</w:t>
            </w:r>
          </w:p>
        </w:tc>
        <w:tc>
          <w:tcPr>
            <w:tcW w:w="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0"/>
        </w:trPr>
        <w:tc>
          <w:tcPr>
            <w:tcW w:w="2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The Construction segment comprises the construction contract revenue shown above. Construction contract revenue is primarily made up of site-built and framing customers.</w:t>
      </w:r>
    </w:p>
    <w:p>
      <w:pPr>
        <w:spacing w:after="0" w:line="170"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The following table presents the balances of over time accounting accounts which are included in “Other current assets” and “Accrued liabilities: Other”, respectively (in thousands):</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1"/>
              </w:rPr>
              <w:t>September 24,</w:t>
            </w:r>
          </w:p>
        </w:tc>
        <w:tc>
          <w:tcPr>
            <w:tcW w:w="1020" w:type="dxa"/>
            <w:vAlign w:val="bottom"/>
            <w:gridSpan w:val="3"/>
          </w:tcPr>
          <w:p>
            <w:pPr>
              <w:ind w:left="180"/>
              <w:spacing w:after="0"/>
              <w:rPr>
                <w:sz w:val="20"/>
                <w:szCs w:val="20"/>
                <w:color w:val="auto"/>
              </w:rPr>
            </w:pPr>
            <w:r>
              <w:rPr>
                <w:rFonts w:ascii="Arial" w:cs="Arial" w:eastAsia="Arial" w:hAnsi="Arial"/>
                <w:sz w:val="14"/>
                <w:szCs w:val="14"/>
                <w:b w:val="1"/>
                <w:bCs w:val="1"/>
                <w:color w:val="auto"/>
                <w:w w:val="90"/>
              </w:rPr>
              <w:t>December 25,</w:t>
            </w:r>
          </w:p>
        </w:tc>
        <w:tc>
          <w:tcPr>
            <w:tcW w:w="18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September 25,</w:t>
            </w:r>
          </w:p>
        </w:tc>
      </w:tr>
      <w:tr>
        <w:trPr>
          <w:trHeight w:val="178"/>
        </w:trPr>
        <w:tc>
          <w:tcPr>
            <w:tcW w:w="57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5"/>
                <w:szCs w:val="15"/>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Cost and Earnings in Excess of Billings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3,776</w:t>
            </w:r>
          </w:p>
        </w:tc>
        <w:tc>
          <w:tcPr>
            <w:tcW w:w="200" w:type="dxa"/>
            <w:vAlign w:val="bottom"/>
            <w:shd w:val="clear" w:color="auto" w:fill="CCEEFF"/>
          </w:tcPr>
          <w:p>
            <w:pPr>
              <w:spacing w:after="0"/>
              <w:rPr>
                <w:sz w:val="18"/>
                <w:szCs w:val="18"/>
                <w:color w:val="auto"/>
              </w:rPr>
            </w:pP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Billings in Excess of Cost and Earnings</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10,743</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10,744</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10,373</w:t>
            </w:r>
          </w:p>
        </w:tc>
        <w:tc>
          <w:tcPr>
            <w:tcW w:w="200" w:type="dxa"/>
            <w:vAlign w:val="bottom"/>
          </w:tcPr>
          <w:p>
            <w:pPr>
              <w:spacing w:after="0"/>
              <w:rPr>
                <w:sz w:val="20"/>
                <w:szCs w:val="20"/>
                <w:color w:val="auto"/>
              </w:rPr>
            </w:pPr>
          </w:p>
        </w:tc>
      </w:tr>
    </w:tbl>
    <w:p>
      <w:pPr>
        <w:spacing w:after="0" w:line="197" w:lineRule="exact"/>
        <w:rPr>
          <w:sz w:val="20"/>
          <w:szCs w:val="20"/>
          <w:color w:val="auto"/>
        </w:rPr>
      </w:pPr>
    </w:p>
    <w:p>
      <w:pPr>
        <w:ind w:left="540" w:hanging="490"/>
        <w:spacing w:after="0"/>
        <w:tabs>
          <w:tab w:leader="none" w:pos="5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The computation of earnings per share (“EPS”) is as follows (in thousands):</w:t>
      </w: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gridSpan w:val="4"/>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gridSpan w:val="5"/>
          </w:tcPr>
          <w:p>
            <w:pPr>
              <w:ind w:left="1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Borders>
              <w:top w:val="single" w:sz="8" w:color="auto"/>
            </w:tcBorders>
            <w:gridSpan w:val="2"/>
          </w:tcPr>
          <w:p>
            <w:pPr>
              <w:spacing w:after="0" w:line="126" w:lineRule="exact"/>
              <w:rPr>
                <w:sz w:val="20"/>
                <w:szCs w:val="20"/>
                <w:color w:val="auto"/>
              </w:rPr>
            </w:pPr>
            <w:r>
              <w:rPr>
                <w:rFonts w:ascii="Arial" w:cs="Arial" w:eastAsia="Arial" w:hAnsi="Arial"/>
                <w:sz w:val="14"/>
                <w:szCs w:val="14"/>
                <w:b w:val="1"/>
                <w:bCs w:val="1"/>
                <w:color w:val="auto"/>
                <w:w w:val="91"/>
              </w:rPr>
              <w:t>September 24,</w:t>
            </w:r>
          </w:p>
        </w:tc>
        <w:tc>
          <w:tcPr>
            <w:tcW w:w="1020" w:type="dxa"/>
            <w:vAlign w:val="bottom"/>
            <w:tcBorders>
              <w:top w:val="single" w:sz="8" w:color="auto"/>
            </w:tcBorders>
            <w:gridSpan w:val="3"/>
          </w:tcPr>
          <w:p>
            <w:pPr>
              <w:ind w:left="140"/>
              <w:spacing w:after="0" w:line="126" w:lineRule="exact"/>
              <w:rPr>
                <w:sz w:val="20"/>
                <w:szCs w:val="20"/>
                <w:color w:val="auto"/>
              </w:rPr>
            </w:pPr>
            <w:r>
              <w:rPr>
                <w:rFonts w:ascii="Arial" w:cs="Arial" w:eastAsia="Arial" w:hAnsi="Arial"/>
                <w:sz w:val="14"/>
                <w:szCs w:val="14"/>
                <w:b w:val="1"/>
                <w:bCs w:val="1"/>
                <w:color w:val="auto"/>
                <w:w w:val="89"/>
              </w:rPr>
              <w:t>September 25,</w:t>
            </w:r>
          </w:p>
        </w:tc>
        <w:tc>
          <w:tcPr>
            <w:tcW w:w="160" w:type="dxa"/>
            <w:vAlign w:val="bottom"/>
          </w:tcPr>
          <w:p>
            <w:pPr>
              <w:spacing w:after="0"/>
              <w:rPr>
                <w:sz w:val="10"/>
                <w:szCs w:val="10"/>
                <w:color w:val="auto"/>
              </w:rPr>
            </w:pPr>
          </w:p>
        </w:tc>
        <w:tc>
          <w:tcPr>
            <w:tcW w:w="880" w:type="dxa"/>
            <w:vAlign w:val="bottom"/>
            <w:tcBorders>
              <w:top w:val="single" w:sz="8" w:color="auto"/>
            </w:tcBorders>
            <w:gridSpan w:val="2"/>
          </w:tcPr>
          <w:p>
            <w:pPr>
              <w:jc w:val="right"/>
              <w:spacing w:after="0" w:line="126" w:lineRule="exact"/>
              <w:rPr>
                <w:sz w:val="20"/>
                <w:szCs w:val="20"/>
                <w:color w:val="auto"/>
              </w:rPr>
            </w:pPr>
            <w:r>
              <w:rPr>
                <w:rFonts w:ascii="Arial" w:cs="Arial" w:eastAsia="Arial" w:hAnsi="Arial"/>
                <w:sz w:val="14"/>
                <w:szCs w:val="14"/>
                <w:b w:val="1"/>
                <w:bCs w:val="1"/>
                <w:color w:val="auto"/>
                <w:w w:val="87"/>
              </w:rPr>
              <w:t>September 24,</w:t>
            </w: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right"/>
              <w:spacing w:after="0" w:line="126" w:lineRule="exact"/>
              <w:rPr>
                <w:sz w:val="20"/>
                <w:szCs w:val="20"/>
                <w:color w:val="auto"/>
              </w:rPr>
            </w:pPr>
            <w:r>
              <w:rPr>
                <w:rFonts w:ascii="Arial" w:cs="Arial" w:eastAsia="Arial" w:hAnsi="Arial"/>
                <w:sz w:val="14"/>
                <w:szCs w:val="14"/>
                <w:b w:val="1"/>
                <w:bCs w:val="1"/>
                <w:color w:val="auto"/>
                <w:w w:val="89"/>
              </w:rPr>
              <w:t>September 25,</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32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00"/>
              <w:spacing w:after="0"/>
              <w:rPr>
                <w:sz w:val="20"/>
                <w:szCs w:val="20"/>
                <w:color w:val="auto"/>
              </w:rPr>
            </w:pPr>
            <w:r>
              <w:rPr>
                <w:rFonts w:ascii="Arial" w:cs="Arial" w:eastAsia="Arial" w:hAnsi="Arial"/>
                <w:sz w:val="18"/>
                <w:szCs w:val="18"/>
                <w:color w:val="auto"/>
              </w:rPr>
              <w:t>Net earnings attributable to controlling interest</w:t>
            </w:r>
          </w:p>
        </w:tc>
        <w:tc>
          <w:tcPr>
            <w:tcW w:w="6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167,241</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121,041</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560,062</w:t>
            </w:r>
          </w:p>
        </w:tc>
        <w:tc>
          <w:tcPr>
            <w:tcW w:w="3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397,734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1"/>
              </w:rPr>
              <w:t>Adjustment for earnings allocated to non-vested restricted</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(6,857)</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(3,952)</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(21,970)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(12,800)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common stock</w:t>
            </w:r>
          </w:p>
        </w:tc>
        <w:tc>
          <w:tcPr>
            <w:tcW w:w="4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20" w:type="dxa"/>
            <w:vAlign w:val="bottom"/>
            <w:tcBorders>
              <w:bottom w:val="single" w:sz="8" w:color="CCEEFF"/>
            </w:tcBorders>
          </w:tcPr>
          <w:p>
            <w:pPr>
              <w:ind w:left="100"/>
              <w:spacing w:after="0" w:line="203" w:lineRule="exact"/>
              <w:rPr>
                <w:sz w:val="20"/>
                <w:szCs w:val="20"/>
                <w:color w:val="auto"/>
              </w:rPr>
            </w:pPr>
            <w:r>
              <w:rPr>
                <w:rFonts w:ascii="Arial" w:cs="Arial" w:eastAsia="Arial" w:hAnsi="Arial"/>
                <w:sz w:val="18"/>
                <w:szCs w:val="18"/>
                <w:color w:val="auto"/>
              </w:rPr>
              <w:t>Net earnings for calculating EPS</w:t>
            </w:r>
          </w:p>
        </w:tc>
        <w:tc>
          <w:tcPr>
            <w:tcW w:w="4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160,384</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117,089</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538,092</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384,934</w:t>
            </w: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00"/>
              <w:spacing w:after="0"/>
              <w:rPr>
                <w:sz w:val="20"/>
                <w:szCs w:val="20"/>
                <w:color w:val="auto"/>
              </w:rPr>
            </w:pPr>
            <w:r>
              <w:rPr>
                <w:rFonts w:ascii="Arial" w:cs="Arial" w:eastAsia="Arial" w:hAnsi="Arial"/>
                <w:sz w:val="18"/>
                <w:szCs w:val="18"/>
                <w:color w:val="auto"/>
              </w:rPr>
              <w:t>Weighted average shares outstanding</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62,445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62,266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62,743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62,162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Adjustment for non-vested restricted common stock</w:t>
            </w:r>
          </w:p>
        </w:tc>
        <w:tc>
          <w:tcPr>
            <w:tcW w:w="4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(2,461)</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tcPr>
          <w:p>
            <w:pPr>
              <w:ind w:left="100"/>
              <w:spacing w:after="0" w:line="203" w:lineRule="exact"/>
              <w:rPr>
                <w:sz w:val="20"/>
                <w:szCs w:val="20"/>
                <w:color w:val="auto"/>
              </w:rPr>
            </w:pPr>
            <w:r>
              <w:rPr>
                <w:rFonts w:ascii="Arial" w:cs="Arial" w:eastAsia="Arial" w:hAnsi="Arial"/>
                <w:sz w:val="18"/>
                <w:szCs w:val="18"/>
                <w:color w:val="auto"/>
              </w:rPr>
              <w:t>Shares for calculating basic EPS</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59,885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60,233</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60,282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60,161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Effect of dilutive restricted common stock</w:t>
            </w:r>
          </w:p>
        </w:tc>
        <w:tc>
          <w:tcPr>
            <w:tcW w:w="4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20" w:type="dxa"/>
            <w:vAlign w:val="bottom"/>
            <w:tcBorders>
              <w:bottom w:val="single" w:sz="8" w:color="CCEEFF"/>
            </w:tcBorders>
          </w:tcPr>
          <w:p>
            <w:pPr>
              <w:ind w:left="100"/>
              <w:spacing w:after="0" w:line="203" w:lineRule="exact"/>
              <w:rPr>
                <w:sz w:val="20"/>
                <w:szCs w:val="20"/>
                <w:color w:val="auto"/>
              </w:rPr>
            </w:pPr>
            <w:r>
              <w:rPr>
                <w:rFonts w:ascii="Arial" w:cs="Arial" w:eastAsia="Arial" w:hAnsi="Arial"/>
                <w:sz w:val="18"/>
                <w:szCs w:val="18"/>
                <w:color w:val="auto"/>
              </w:rPr>
              <w:t>Shares for calculating diluted EPS</w:t>
            </w:r>
          </w:p>
        </w:tc>
        <w:tc>
          <w:tcPr>
            <w:tcW w:w="4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60,192</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60,401</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60,537</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60,298</w:t>
            </w: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earnings per share:</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00"/>
              <w:spacing w:after="0"/>
              <w:rPr>
                <w:sz w:val="20"/>
                <w:szCs w:val="20"/>
                <w:color w:val="auto"/>
              </w:rPr>
            </w:pPr>
            <w:r>
              <w:rPr>
                <w:rFonts w:ascii="Arial" w:cs="Arial" w:eastAsia="Arial" w:hAnsi="Arial"/>
                <w:sz w:val="18"/>
                <w:szCs w:val="18"/>
                <w:color w:val="auto"/>
              </w:rPr>
              <w:t>Basic</w:t>
            </w:r>
          </w:p>
        </w:tc>
        <w:tc>
          <w:tcPr>
            <w:tcW w:w="6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2.68</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1.94</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8.93</w:t>
            </w:r>
          </w:p>
        </w:tc>
        <w:tc>
          <w:tcPr>
            <w:tcW w:w="3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6.40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3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77"/>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40" w:type="dxa"/>
            <w:vAlign w:val="bottom"/>
          </w:tcPr>
          <w:p>
            <w:pPr>
              <w:jc w:val="right"/>
              <w:ind w:right="130"/>
              <w:spacing w:after="0"/>
              <w:rPr>
                <w:sz w:val="20"/>
                <w:szCs w:val="20"/>
                <w:color w:val="auto"/>
              </w:rPr>
            </w:pPr>
            <w:r>
              <w:rPr>
                <w:rFonts w:ascii="Arial" w:cs="Arial" w:eastAsia="Arial" w:hAnsi="Arial"/>
                <w:sz w:val="18"/>
                <w:szCs w:val="18"/>
                <w:color w:val="auto"/>
                <w:w w:val="99"/>
              </w:rPr>
              <w:t>11</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44"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ind w:left="540" w:hanging="490"/>
        <w:spacing w:after="0"/>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GUARANTEES</w:t>
      </w:r>
    </w:p>
    <w:p>
      <w:pPr>
        <w:spacing w:after="0" w:line="229"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We are self-insured for environmental impairment liability, including certain liabilities which are insured through a wholly owned subsidiary, Ardellis Insurance Ltd., a licensed captive insurance company.</w:t>
      </w:r>
    </w:p>
    <w:p>
      <w:pPr>
        <w:spacing w:after="0" w:line="170" w:lineRule="exact"/>
        <w:rPr>
          <w:sz w:val="20"/>
          <w:szCs w:val="20"/>
          <w:color w:val="auto"/>
        </w:rPr>
      </w:pPr>
    </w:p>
    <w:p>
      <w:pPr>
        <w:jc w:val="both"/>
        <w:ind w:left="60" w:right="59" w:firstLine="492"/>
        <w:spacing w:after="0" w:line="286" w:lineRule="auto"/>
        <w:rPr>
          <w:sz w:val="20"/>
          <w:szCs w:val="20"/>
          <w:color w:val="auto"/>
        </w:rPr>
      </w:pPr>
      <w:r>
        <w:rPr>
          <w:rFonts w:ascii="Arial" w:cs="Arial" w:eastAsia="Arial" w:hAnsi="Arial"/>
          <w:sz w:val="17"/>
          <w:szCs w:val="17"/>
          <w:color w:val="auto"/>
        </w:rPr>
        <w:t>In addition, on September 24, 2022, we were parties either as plaintiff or defendant to a number of lawsuits and claims arising through the normal course of our business. In the opinion of management, our consolidated financial statements will not be materially affected by the outcome of these contingencies and claims.</w:t>
      </w:r>
    </w:p>
    <w:p>
      <w:pPr>
        <w:spacing w:after="0" w:line="165" w:lineRule="exact"/>
        <w:rPr>
          <w:sz w:val="20"/>
          <w:szCs w:val="20"/>
          <w:color w:val="auto"/>
        </w:rPr>
      </w:pPr>
    </w:p>
    <w:p>
      <w:pPr>
        <w:jc w:val="both"/>
        <w:ind w:left="60" w:right="79" w:firstLine="492"/>
        <w:spacing w:after="0" w:line="277" w:lineRule="auto"/>
        <w:rPr>
          <w:sz w:val="20"/>
          <w:szCs w:val="20"/>
          <w:color w:val="auto"/>
        </w:rPr>
      </w:pPr>
      <w:r>
        <w:rPr>
          <w:rFonts w:ascii="Arial" w:cs="Arial" w:eastAsia="Arial" w:hAnsi="Arial"/>
          <w:sz w:val="18"/>
          <w:szCs w:val="18"/>
          <w:color w:val="auto"/>
        </w:rPr>
        <w:t>On September 24, 2022, we had outstanding purchase commitments on commenced capital projects of approximately $65.4 million.</w:t>
      </w:r>
    </w:p>
    <w:p>
      <w:pPr>
        <w:spacing w:after="0" w:line="170" w:lineRule="exact"/>
        <w:rPr>
          <w:sz w:val="20"/>
          <w:szCs w:val="20"/>
          <w:color w:val="auto"/>
        </w:rPr>
      </w:pPr>
    </w:p>
    <w:p>
      <w:pPr>
        <w:jc w:val="both"/>
        <w:ind w:left="60" w:right="59" w:firstLine="492"/>
        <w:spacing w:after="0" w:line="279" w:lineRule="auto"/>
        <w:rPr>
          <w:sz w:val="20"/>
          <w:szCs w:val="20"/>
          <w:color w:val="auto"/>
        </w:rPr>
      </w:pPr>
      <w:r>
        <w:rPr>
          <w:rFonts w:ascii="Arial" w:cs="Arial" w:eastAsia="Arial" w:hAnsi="Arial"/>
          <w:sz w:val="17"/>
          <w:szCs w:val="17"/>
          <w:color w:val="auto"/>
        </w:rPr>
        <w:t>We provide a variety of warranties for products we manufacture. Historically, warranty claims have not been material. We also distribute products manufactured by other companies. While we do not warrant these products, we have received claims as a distributor of these products when the manufacturer no longer exists or has the ability to pay. Historically, these costs have not had a material effect on our consolidated financial statements.</w:t>
      </w:r>
    </w:p>
    <w:p>
      <w:pPr>
        <w:spacing w:after="0" w:line="171"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color w:val="auto"/>
        </w:rPr>
        <w:t>As part of our operations, we supply building materials and labor to site-built construction projects or we jointly bid on contracts with framing companies for such projects. In some instances, we are required to post payment and performance bonds to ensure the products and installation services are completed in accordance with our contractual obligations. We have agreed to indemnify the surety for claims properly made against these bonds. As of September 24, 2022, we had approximately $22.7 million in outstanding payment and performance bonds for open projects. We had approximately $30.6 million in payment and performance bonds outstanding for completed projects which are still under warranty.</w:t>
      </w:r>
    </w:p>
    <w:p>
      <w:pPr>
        <w:spacing w:after="0" w:line="195"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On September 24, 2022, we had outstanding letters of credit totaling $59.9 million, primarily related to certain insurance contracts and industrial development revenue bonds described further below.</w:t>
      </w:r>
    </w:p>
    <w:p>
      <w:pPr>
        <w:spacing w:after="0" w:line="170" w:lineRule="exact"/>
        <w:rPr>
          <w:sz w:val="20"/>
          <w:szCs w:val="20"/>
          <w:color w:val="auto"/>
        </w:rPr>
      </w:pPr>
    </w:p>
    <w:p>
      <w:pPr>
        <w:jc w:val="both"/>
        <w:ind w:left="60" w:right="59" w:firstLine="492"/>
        <w:spacing w:after="0" w:line="301" w:lineRule="auto"/>
        <w:rPr>
          <w:sz w:val="20"/>
          <w:szCs w:val="20"/>
          <w:color w:val="auto"/>
        </w:rPr>
      </w:pPr>
      <w:r>
        <w:rPr>
          <w:rFonts w:ascii="Arial" w:cs="Arial" w:eastAsia="Arial" w:hAnsi="Arial"/>
          <w:sz w:val="16"/>
          <w:szCs w:val="16"/>
          <w:color w:val="auto"/>
        </w:rPr>
        <w:t>In lieu of cash deposits, we provide irrevocable letters of credit in favor of our insurers to guarantee our performance under certain insurance contracts. As of September 24, 2022, we have irrevocable letters of credit outstanding totaling approximately $52.8 million for these types of insurance arrangements. We have reserves recorded on our balance sheet, in accrued liabilities, that reflect our expected future liabilities under these insurance arrangements.</w:t>
      </w:r>
    </w:p>
    <w:p>
      <w:pPr>
        <w:spacing w:after="0" w:line="157" w:lineRule="exact"/>
        <w:rPr>
          <w:sz w:val="20"/>
          <w:szCs w:val="20"/>
          <w:color w:val="auto"/>
        </w:rPr>
      </w:pPr>
    </w:p>
    <w:p>
      <w:pPr>
        <w:jc w:val="both"/>
        <w:ind w:left="60" w:right="79" w:firstLine="492"/>
        <w:spacing w:after="0" w:line="257" w:lineRule="auto"/>
        <w:rPr>
          <w:sz w:val="20"/>
          <w:szCs w:val="20"/>
          <w:color w:val="auto"/>
        </w:rPr>
      </w:pPr>
      <w:r>
        <w:rPr>
          <w:rFonts w:ascii="Arial" w:cs="Arial" w:eastAsia="Arial" w:hAnsi="Arial"/>
          <w:sz w:val="18"/>
          <w:szCs w:val="18"/>
          <w:color w:val="auto"/>
        </w:rPr>
        <w:t>We are required to provide irrevocable letters of credit in favor of the bond trustees for all industrial development revenue bonds that have been issued. These letters of credit guarantee principal and interest payments to the bondholders. We currently have irrevocable letters of credit outstanding totaling approximately $7.1 million related to our outstanding industrial development revenue bonds. These letters of credit have varying terms but may be renewed at the option of the issuing banks.</w:t>
      </w:r>
    </w:p>
    <w:p>
      <w:pPr>
        <w:spacing w:after="0" w:line="188"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Certain wholly owned domestic subsidiaries have guaranteed the indebtedness of UFP Industries, Inc. in certain debt agreements, including the Series 2012, 2018 and 2020 Senior Notes and our revolving credit facility. The maximum exposure of these guarantees is limited to the indebtedness outstanding under these debt arrangements and this exposure will expire concurrent with the expiration of the debt agreements.</w:t>
      </w:r>
    </w:p>
    <w:p>
      <w:pPr>
        <w:spacing w:after="0" w:line="187"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We did not enter into any new guarantee arrangements during the third quarter of 2022 which would require us to recognize a liability on our balance sheet.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ind w:left="500" w:hanging="450"/>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 AND EQUITY METHOD INVESTMENTS</w:t>
      </w:r>
    </w:p>
    <w:p>
      <w:pPr>
        <w:spacing w:after="0" w:line="121" w:lineRule="exact"/>
        <w:rPr>
          <w:sz w:val="20"/>
          <w:szCs w:val="20"/>
          <w:color w:val="auto"/>
        </w:rPr>
      </w:pPr>
    </w:p>
    <w:p>
      <w:pPr>
        <w:ind w:left="60" w:right="59" w:firstLine="492"/>
        <w:spacing w:after="0" w:line="277" w:lineRule="auto"/>
        <w:rPr>
          <w:sz w:val="20"/>
          <w:szCs w:val="20"/>
          <w:color w:val="auto"/>
        </w:rPr>
      </w:pPr>
      <w:r>
        <w:rPr>
          <w:rFonts w:ascii="Arial" w:cs="Arial" w:eastAsia="Arial" w:hAnsi="Arial"/>
          <w:sz w:val="18"/>
          <w:szCs w:val="18"/>
          <w:color w:val="auto"/>
        </w:rPr>
        <w:t>We completed the following acquisitions in fiscal 2022 and since the end of September 2021, which were accounted for using the purchase or equity method. Dollars below are in thousands unless otherwise noted:</w:t>
      </w:r>
    </w:p>
    <w:p>
      <w:pPr>
        <w:spacing w:after="0" w:line="178" w:lineRule="exact"/>
        <w:rPr>
          <w:sz w:val="20"/>
          <w:szCs w:val="20"/>
          <w:color w:val="auto"/>
        </w:rPr>
      </w:pPr>
    </w:p>
    <w:tbl>
      <w:tblPr>
        <w:tblLayout w:type="fixed"/>
        <w:tblInd w:w="50" w:type="dxa"/>
        <w:tblCellMar>
          <w:top w:w="0" w:type="dxa"/>
          <w:left w:w="0" w:type="dxa"/>
          <w:bottom w:w="0" w:type="dxa"/>
          <w:right w:w="0" w:type="dxa"/>
        </w:tblCellMar>
      </w:tblPr>
      <w:tr>
        <w:trPr>
          <w:trHeight w:val="202"/>
        </w:trPr>
        <w:tc>
          <w:tcPr>
            <w:tcW w:w="2560" w:type="dxa"/>
            <w:vAlign w:val="bottom"/>
            <w:tcBorders>
              <w:top w:val="single" w:sz="8" w:color="auto"/>
              <w:left w:val="single" w:sz="8" w:color="auto"/>
              <w:right w:val="single" w:sz="8" w:color="auto"/>
            </w:tcBorders>
          </w:tcPr>
          <w:p>
            <w:pPr>
              <w:spacing w:after="0"/>
              <w:rPr>
                <w:sz w:val="17"/>
                <w:szCs w:val="17"/>
                <w:color w:val="auto"/>
              </w:rPr>
            </w:pPr>
          </w:p>
        </w:tc>
        <w:tc>
          <w:tcPr>
            <w:tcW w:w="1460" w:type="dxa"/>
            <w:vAlign w:val="bottom"/>
            <w:tcBorders>
              <w:top w:val="single" w:sz="8" w:color="auto"/>
              <w:right w:val="single" w:sz="8" w:color="auto"/>
            </w:tcBorders>
          </w:tcPr>
          <w:p>
            <w:pPr>
              <w:spacing w:after="0"/>
              <w:rPr>
                <w:sz w:val="17"/>
                <w:szCs w:val="17"/>
                <w:color w:val="auto"/>
              </w:rPr>
            </w:pPr>
          </w:p>
        </w:tc>
        <w:tc>
          <w:tcPr>
            <w:tcW w:w="1760" w:type="dxa"/>
            <w:vAlign w:val="bottom"/>
            <w:tcBorders>
              <w:top w:val="single" w:sz="8" w:color="auto"/>
              <w:right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right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right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Net</w:t>
            </w:r>
          </w:p>
        </w:tc>
        <w:tc>
          <w:tcPr>
            <w:tcW w:w="40" w:type="dxa"/>
            <w:vAlign w:val="bottom"/>
            <w:tcBorders>
              <w:top w:val="single" w:sz="8" w:color="auto"/>
            </w:tcBorders>
          </w:tcPr>
          <w:p>
            <w:pPr>
              <w:spacing w:after="0"/>
              <w:rPr>
                <w:sz w:val="17"/>
                <w:szCs w:val="17"/>
                <w:color w:val="auto"/>
              </w:rPr>
            </w:pPr>
          </w:p>
        </w:tc>
        <w:tc>
          <w:tcPr>
            <w:tcW w:w="82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Company</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Acquisition</w:t>
            </w:r>
          </w:p>
        </w:tc>
        <w:tc>
          <w:tcPr>
            <w:tcW w:w="17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right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7"/>
              </w:rPr>
              <w:t>Intangible</w:t>
            </w:r>
          </w:p>
        </w:tc>
        <w:tc>
          <w:tcPr>
            <w:tcW w:w="160" w:type="dxa"/>
            <w:vAlign w:val="bottom"/>
          </w:tcPr>
          <w:p>
            <w:pPr>
              <w:spacing w:after="0"/>
              <w:rPr>
                <w:sz w:val="17"/>
                <w:szCs w:val="17"/>
                <w:color w:val="auto"/>
              </w:rPr>
            </w:pPr>
          </w:p>
        </w:tc>
        <w:tc>
          <w:tcPr>
            <w:tcW w:w="980" w:type="dxa"/>
            <w:vAlign w:val="bottom"/>
            <w:tcBorders>
              <w:right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Tangible</w:t>
            </w:r>
          </w:p>
        </w:tc>
        <w:tc>
          <w:tcPr>
            <w:tcW w:w="40" w:type="dxa"/>
            <w:vAlign w:val="bottom"/>
          </w:tcPr>
          <w:p>
            <w:pPr>
              <w:spacing w:after="0"/>
              <w:rPr>
                <w:sz w:val="17"/>
                <w:szCs w:val="17"/>
                <w:color w:val="auto"/>
              </w:rPr>
            </w:pP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Operating</w:t>
            </w:r>
          </w:p>
        </w:tc>
        <w:tc>
          <w:tcPr>
            <w:tcW w:w="0" w:type="dxa"/>
            <w:vAlign w:val="bottom"/>
          </w:tcPr>
          <w:p>
            <w:pPr>
              <w:spacing w:after="0"/>
              <w:rPr>
                <w:sz w:val="1"/>
                <w:szCs w:val="1"/>
                <w:color w:val="auto"/>
              </w:rPr>
            </w:pPr>
          </w:p>
        </w:tc>
      </w:tr>
      <w:tr>
        <w:trPr>
          <w:trHeight w:val="223"/>
        </w:trPr>
        <w:tc>
          <w:tcPr>
            <w:tcW w:w="2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Name</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Date</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Purchase Price</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Assets</w:t>
            </w:r>
          </w:p>
        </w:tc>
        <w:tc>
          <w:tcPr>
            <w:tcW w:w="4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Segment</w:t>
            </w:r>
          </w:p>
        </w:tc>
        <w:tc>
          <w:tcPr>
            <w:tcW w:w="0" w:type="dxa"/>
            <w:vAlign w:val="bottom"/>
          </w:tcPr>
          <w:p>
            <w:pPr>
              <w:spacing w:after="0"/>
              <w:rPr>
                <w:sz w:val="1"/>
                <w:szCs w:val="1"/>
                <w:color w:val="auto"/>
              </w:rPr>
            </w:pPr>
          </w:p>
        </w:tc>
      </w:tr>
      <w:tr>
        <w:trPr>
          <w:trHeight w:val="193"/>
        </w:trPr>
        <w:tc>
          <w:tcPr>
            <w:tcW w:w="2560" w:type="dxa"/>
            <w:vAlign w:val="bottom"/>
            <w:tcBorders>
              <w:left w:val="single" w:sz="8" w:color="auto"/>
              <w:right w:val="single" w:sz="8" w:color="auto"/>
            </w:tcBorders>
            <w:shd w:val="clear" w:color="auto" w:fill="CCEBFF"/>
          </w:tcPr>
          <w:p>
            <w:pPr>
              <w:spacing w:after="0"/>
              <w:rPr>
                <w:sz w:val="16"/>
                <w:szCs w:val="16"/>
                <w:color w:val="auto"/>
              </w:rPr>
            </w:pPr>
          </w:p>
        </w:tc>
        <w:tc>
          <w:tcPr>
            <w:tcW w:w="1460" w:type="dxa"/>
            <w:vAlign w:val="bottom"/>
            <w:tcBorders>
              <w:right w:val="single" w:sz="8" w:color="auto"/>
            </w:tcBorders>
            <w:vMerge w:val="restart"/>
            <w:shd w:val="clear" w:color="auto" w:fill="CCEBFF"/>
          </w:tcPr>
          <w:p>
            <w:pPr>
              <w:jc w:val="center"/>
              <w:spacing w:after="0"/>
              <w:rPr>
                <w:sz w:val="20"/>
                <w:szCs w:val="20"/>
                <w:color w:val="auto"/>
              </w:rPr>
            </w:pPr>
            <w:r>
              <w:rPr>
                <w:rFonts w:ascii="Arial" w:cs="Arial" w:eastAsia="Arial" w:hAnsi="Arial"/>
                <w:sz w:val="16"/>
                <w:szCs w:val="16"/>
                <w:color w:val="auto"/>
                <w:w w:val="88"/>
              </w:rPr>
              <w:t>June 27, 2022</w:t>
            </w:r>
          </w:p>
        </w:tc>
        <w:tc>
          <w:tcPr>
            <w:tcW w:w="176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2"/>
              </w:rPr>
              <w:t>$65,858 cash paid for</w:t>
            </w:r>
          </w:p>
        </w:tc>
        <w:tc>
          <w:tcPr>
            <w:tcW w:w="120" w:type="dxa"/>
            <w:vAlign w:val="bottom"/>
            <w:vMerge w:val="restart"/>
            <w:shd w:val="clear" w:color="auto" w:fill="CCEBFF"/>
          </w:tcPr>
          <w:p>
            <w:pPr>
              <w:jc w:val="right"/>
              <w:ind w:right="9"/>
              <w:spacing w:after="0"/>
              <w:rPr>
                <w:sz w:val="20"/>
                <w:szCs w:val="20"/>
                <w:color w:val="auto"/>
              </w:rPr>
            </w:pPr>
            <w:r>
              <w:rPr>
                <w:rFonts w:ascii="Arial" w:cs="Arial" w:eastAsia="Arial" w:hAnsi="Arial"/>
                <w:sz w:val="10"/>
                <w:szCs w:val="10"/>
                <w:color w:val="auto"/>
                <w:w w:val="71"/>
              </w:rPr>
              <w:t>$</w:t>
            </w:r>
          </w:p>
        </w:tc>
        <w:tc>
          <w:tcPr>
            <w:tcW w:w="1020" w:type="dxa"/>
            <w:vAlign w:val="bottom"/>
            <w:tcBorders>
              <w:right w:val="single" w:sz="8" w:color="auto"/>
            </w:tcBorders>
            <w:vMerge w:val="restart"/>
            <w:shd w:val="clear" w:color="auto" w:fill="CCEBFF"/>
          </w:tcPr>
          <w:p>
            <w:pPr>
              <w:jc w:val="right"/>
              <w:spacing w:after="0"/>
              <w:rPr>
                <w:sz w:val="20"/>
                <w:szCs w:val="20"/>
                <w:color w:val="auto"/>
              </w:rPr>
            </w:pPr>
            <w:r>
              <w:rPr>
                <w:rFonts w:ascii="Arial" w:cs="Arial" w:eastAsia="Arial" w:hAnsi="Arial"/>
                <w:sz w:val="16"/>
                <w:szCs w:val="16"/>
                <w:color w:val="auto"/>
              </w:rPr>
              <w:t>32,048</w:t>
            </w:r>
          </w:p>
        </w:tc>
        <w:tc>
          <w:tcPr>
            <w:tcW w:w="160" w:type="dxa"/>
            <w:vAlign w:val="bottom"/>
            <w:vMerge w:val="restart"/>
            <w:shd w:val="clear" w:color="auto" w:fill="CCEBFF"/>
          </w:tcPr>
          <w:p>
            <w:pPr>
              <w:jc w:val="right"/>
              <w:ind w:right="4"/>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auto"/>
            </w:tcBorders>
            <w:vMerge w:val="restart"/>
            <w:shd w:val="clear" w:color="auto" w:fill="CCEBFF"/>
          </w:tcPr>
          <w:p>
            <w:pPr>
              <w:jc w:val="right"/>
              <w:spacing w:after="0"/>
              <w:rPr>
                <w:sz w:val="20"/>
                <w:szCs w:val="20"/>
                <w:color w:val="auto"/>
              </w:rPr>
            </w:pPr>
            <w:r>
              <w:rPr>
                <w:rFonts w:ascii="Arial" w:cs="Arial" w:eastAsia="Arial" w:hAnsi="Arial"/>
                <w:sz w:val="16"/>
                <w:szCs w:val="16"/>
                <w:color w:val="auto"/>
              </w:rPr>
              <w:t>33,810</w:t>
            </w:r>
          </w:p>
        </w:tc>
        <w:tc>
          <w:tcPr>
            <w:tcW w:w="40" w:type="dxa"/>
            <w:vAlign w:val="bottom"/>
            <w:shd w:val="clear" w:color="auto" w:fill="CCEBFF"/>
          </w:tcPr>
          <w:p>
            <w:pPr>
              <w:spacing w:after="0"/>
              <w:rPr>
                <w:sz w:val="16"/>
                <w:szCs w:val="16"/>
                <w:color w:val="auto"/>
              </w:rPr>
            </w:pPr>
          </w:p>
        </w:tc>
        <w:tc>
          <w:tcPr>
            <w:tcW w:w="820" w:type="dxa"/>
            <w:vAlign w:val="bottom"/>
            <w:tcBorders>
              <w:right w:val="single" w:sz="8" w:color="auto"/>
            </w:tcBorders>
            <w:vMerge w:val="restart"/>
            <w:shd w:val="clear" w:color="auto" w:fill="CCEBFF"/>
          </w:tcPr>
          <w:p>
            <w:pPr>
              <w:jc w:val="center"/>
              <w:spacing w:after="0"/>
              <w:rPr>
                <w:sz w:val="20"/>
                <w:szCs w:val="20"/>
                <w:color w:val="auto"/>
              </w:rPr>
            </w:pPr>
            <w:r>
              <w:rPr>
                <w:rFonts w:ascii="Arial" w:cs="Arial" w:eastAsia="Arial" w:hAnsi="Arial"/>
                <w:sz w:val="16"/>
                <w:szCs w:val="16"/>
                <w:color w:val="auto"/>
                <w:w w:val="95"/>
              </w:rPr>
              <w:t>Industrial</w:t>
            </w:r>
          </w:p>
        </w:tc>
        <w:tc>
          <w:tcPr>
            <w:tcW w:w="0" w:type="dxa"/>
            <w:vAlign w:val="bottom"/>
          </w:tcPr>
          <w:p>
            <w:pPr>
              <w:spacing w:after="0"/>
              <w:rPr>
                <w:sz w:val="1"/>
                <w:szCs w:val="1"/>
                <w:color w:val="auto"/>
              </w:rPr>
            </w:pPr>
          </w:p>
        </w:tc>
      </w:tr>
      <w:tr>
        <w:trPr>
          <w:trHeight w:val="209"/>
        </w:trPr>
        <w:tc>
          <w:tcPr>
            <w:tcW w:w="256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Arial" w:cs="Arial" w:eastAsia="Arial" w:hAnsi="Arial"/>
                <w:sz w:val="16"/>
                <w:szCs w:val="16"/>
                <w:color w:val="auto"/>
                <w:w w:val="91"/>
              </w:rPr>
              <w:t>Dempsey Wood Products, Inc.</w:t>
            </w:r>
          </w:p>
        </w:tc>
        <w:tc>
          <w:tcPr>
            <w:tcW w:w="1460" w:type="dxa"/>
            <w:vAlign w:val="bottom"/>
            <w:tcBorders>
              <w:bottom w:val="single" w:sz="8" w:color="auto"/>
              <w:right w:val="single" w:sz="8" w:color="auto"/>
            </w:tcBorders>
            <w:vMerge w:val="continue"/>
            <w:shd w:val="clear" w:color="auto" w:fill="CCEBFF"/>
          </w:tcPr>
          <w:p>
            <w:pPr>
              <w:spacing w:after="0"/>
              <w:rPr>
                <w:sz w:val="18"/>
                <w:szCs w:val="18"/>
                <w:color w:val="auto"/>
              </w:rPr>
            </w:pPr>
          </w:p>
        </w:tc>
        <w:tc>
          <w:tcPr>
            <w:tcW w:w="176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3"/>
              </w:rPr>
              <w:t>equity method investment</w:t>
            </w:r>
          </w:p>
        </w:tc>
        <w:tc>
          <w:tcPr>
            <w:tcW w:w="120" w:type="dxa"/>
            <w:vAlign w:val="bottom"/>
            <w:tcBorders>
              <w:bottom w:val="single" w:sz="8" w:color="auto"/>
            </w:tcBorders>
            <w:vMerge w:val="continue"/>
            <w:shd w:val="clear" w:color="auto" w:fill="CCEBFF"/>
          </w:tcPr>
          <w:p>
            <w:pPr>
              <w:spacing w:after="0"/>
              <w:rPr>
                <w:sz w:val="18"/>
                <w:szCs w:val="18"/>
                <w:color w:val="auto"/>
              </w:rPr>
            </w:pPr>
          </w:p>
        </w:tc>
        <w:tc>
          <w:tcPr>
            <w:tcW w:w="1020" w:type="dxa"/>
            <w:vAlign w:val="bottom"/>
            <w:tcBorders>
              <w:bottom w:val="single" w:sz="8" w:color="auto"/>
              <w:right w:val="single" w:sz="8" w:color="auto"/>
            </w:tcBorders>
            <w:vMerge w:val="continue"/>
            <w:shd w:val="clear" w:color="auto" w:fill="CCEBFF"/>
          </w:tcPr>
          <w:p>
            <w:pPr>
              <w:spacing w:after="0"/>
              <w:rPr>
                <w:sz w:val="18"/>
                <w:szCs w:val="18"/>
                <w:color w:val="auto"/>
              </w:rPr>
            </w:pPr>
          </w:p>
        </w:tc>
        <w:tc>
          <w:tcPr>
            <w:tcW w:w="160" w:type="dxa"/>
            <w:vAlign w:val="bottom"/>
            <w:tcBorders>
              <w:bottom w:val="single" w:sz="8" w:color="auto"/>
            </w:tcBorders>
            <w:vMerge w:val="continue"/>
            <w:shd w:val="clear" w:color="auto" w:fill="CCEBFF"/>
          </w:tcPr>
          <w:p>
            <w:pPr>
              <w:spacing w:after="0"/>
              <w:rPr>
                <w:sz w:val="18"/>
                <w:szCs w:val="18"/>
                <w:color w:val="auto"/>
              </w:rPr>
            </w:pPr>
          </w:p>
        </w:tc>
        <w:tc>
          <w:tcPr>
            <w:tcW w:w="980" w:type="dxa"/>
            <w:vAlign w:val="bottom"/>
            <w:tcBorders>
              <w:bottom w:val="single" w:sz="8" w:color="auto"/>
              <w:right w:val="single" w:sz="8" w:color="auto"/>
            </w:tcBorders>
            <w:vMerge w:val="continue"/>
            <w:shd w:val="clear" w:color="auto" w:fill="CCEBFF"/>
          </w:tcPr>
          <w:p>
            <w:pPr>
              <w:spacing w:after="0"/>
              <w:rPr>
                <w:sz w:val="18"/>
                <w:szCs w:val="18"/>
                <w:color w:val="auto"/>
              </w:rPr>
            </w:pPr>
          </w:p>
        </w:tc>
        <w:tc>
          <w:tcPr>
            <w:tcW w:w="40" w:type="dxa"/>
            <w:vAlign w:val="bottom"/>
            <w:tcBorders>
              <w:bottom w:val="single" w:sz="8" w:color="auto"/>
            </w:tcBorders>
            <w:shd w:val="clear" w:color="auto" w:fill="CCEBFF"/>
          </w:tcPr>
          <w:p>
            <w:pPr>
              <w:spacing w:after="0"/>
              <w:rPr>
                <w:sz w:val="18"/>
                <w:szCs w:val="18"/>
                <w:color w:val="auto"/>
              </w:rPr>
            </w:pPr>
          </w:p>
        </w:tc>
        <w:tc>
          <w:tcPr>
            <w:tcW w:w="820" w:type="dxa"/>
            <w:vAlign w:val="bottom"/>
            <w:tcBorders>
              <w:bottom w:val="single" w:sz="8" w:color="auto"/>
              <w:right w:val="single" w:sz="8" w:color="auto"/>
            </w:tcBorders>
            <w:vMerge w:val="continue"/>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560" w:type="dxa"/>
            <w:vAlign w:val="bottom"/>
            <w:tcBorders>
              <w:left w:val="single" w:sz="8" w:color="auto"/>
              <w:right w:val="single" w:sz="8" w:color="auto"/>
            </w:tcBorders>
            <w:vMerge w:val="continue"/>
            <w:shd w:val="clear" w:color="auto" w:fill="CCEBFF"/>
          </w:tcPr>
          <w:p>
            <w:pPr>
              <w:spacing w:after="0"/>
              <w:rPr>
                <w:sz w:val="15"/>
                <w:szCs w:val="15"/>
                <w:color w:val="auto"/>
              </w:rPr>
            </w:pPr>
          </w:p>
        </w:tc>
        <w:tc>
          <w:tcPr>
            <w:tcW w:w="6360" w:type="dxa"/>
            <w:vAlign w:val="bottom"/>
            <w:tcBorders>
              <w:right w:val="single" w:sz="8" w:color="auto"/>
            </w:tcBorders>
            <w:gridSpan w:val="8"/>
            <w:shd w:val="clear" w:color="auto" w:fill="CCEBFF"/>
          </w:tcPr>
          <w:p>
            <w:pPr>
              <w:spacing w:after="0" w:line="176" w:lineRule="exact"/>
              <w:rPr>
                <w:sz w:val="20"/>
                <w:szCs w:val="20"/>
                <w:color w:val="auto"/>
              </w:rPr>
            </w:pPr>
            <w:r>
              <w:rPr>
                <w:rFonts w:ascii="Arial" w:cs="Arial" w:eastAsia="Arial" w:hAnsi="Arial"/>
                <w:sz w:val="16"/>
                <w:szCs w:val="16"/>
                <w:color w:val="auto"/>
                <w:w w:val="99"/>
              </w:rPr>
              <w:t>Located in Orangeburg, South Carolina and founded in 1988, Dempsey is a sawmill which</w:t>
            </w:r>
          </w:p>
        </w:tc>
        <w:tc>
          <w:tcPr>
            <w:tcW w:w="0" w:type="dxa"/>
            <w:vAlign w:val="bottom"/>
          </w:tcPr>
          <w:p>
            <w:pPr>
              <w:spacing w:after="0"/>
              <w:rPr>
                <w:sz w:val="1"/>
                <w:szCs w:val="1"/>
                <w:color w:val="auto"/>
              </w:rPr>
            </w:pPr>
          </w:p>
        </w:tc>
      </w:tr>
      <w:tr>
        <w:trPr>
          <w:trHeight w:val="216"/>
        </w:trPr>
        <w:tc>
          <w:tcPr>
            <w:tcW w:w="2560" w:type="dxa"/>
            <w:vAlign w:val="bottom"/>
            <w:tcBorders>
              <w:left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1"/>
              </w:rPr>
              <w:t>(Dempsey)</w:t>
            </w:r>
          </w:p>
        </w:tc>
        <w:tc>
          <w:tcPr>
            <w:tcW w:w="6360" w:type="dxa"/>
            <w:vAlign w:val="bottom"/>
            <w:tcBorders>
              <w:right w:val="single" w:sz="8" w:color="auto"/>
            </w:tcBorders>
            <w:gridSpan w:val="8"/>
            <w:shd w:val="clear" w:color="auto" w:fill="CCEBFF"/>
          </w:tcPr>
          <w:p>
            <w:pPr>
              <w:spacing w:after="0"/>
              <w:rPr>
                <w:sz w:val="20"/>
                <w:szCs w:val="20"/>
                <w:color w:val="auto"/>
              </w:rPr>
            </w:pPr>
            <w:r>
              <w:rPr>
                <w:rFonts w:ascii="Arial" w:cs="Arial" w:eastAsia="Arial" w:hAnsi="Arial"/>
                <w:sz w:val="16"/>
                <w:szCs w:val="16"/>
                <w:color w:val="auto"/>
                <w:w w:val="93"/>
              </w:rPr>
              <w:t>produces products such as kiln dried finished lumber, industrial lumber, green cut stock lumber,</w:t>
            </w: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shd w:val="clear" w:color="auto" w:fill="CCEBFF"/>
          </w:tcPr>
          <w:p>
            <w:pPr>
              <w:spacing w:after="0"/>
              <w:rPr>
                <w:sz w:val="17"/>
                <w:szCs w:val="17"/>
                <w:color w:val="auto"/>
              </w:rPr>
            </w:pPr>
          </w:p>
        </w:tc>
        <w:tc>
          <w:tcPr>
            <w:tcW w:w="5540" w:type="dxa"/>
            <w:vAlign w:val="bottom"/>
            <w:gridSpan w:val="7"/>
            <w:shd w:val="clear" w:color="auto" w:fill="CCEBFF"/>
          </w:tcPr>
          <w:p>
            <w:pPr>
              <w:spacing w:after="0"/>
              <w:rPr>
                <w:sz w:val="20"/>
                <w:szCs w:val="20"/>
                <w:color w:val="auto"/>
              </w:rPr>
            </w:pPr>
            <w:r>
              <w:rPr>
                <w:rFonts w:ascii="Arial" w:cs="Arial" w:eastAsia="Arial" w:hAnsi="Arial"/>
                <w:sz w:val="16"/>
                <w:szCs w:val="16"/>
                <w:color w:val="auto"/>
                <w:w w:val="90"/>
              </w:rPr>
              <w:t>pine chips and shavings, landscaping mulch, and sawdust. The Company had sales of</w:t>
            </w:r>
          </w:p>
        </w:tc>
        <w:tc>
          <w:tcPr>
            <w:tcW w:w="820" w:type="dxa"/>
            <w:vAlign w:val="bottom"/>
            <w:tcBorders>
              <w:right w:val="single" w:sz="8" w:color="auto"/>
            </w:tcBorders>
            <w:shd w:val="clear" w:color="auto" w:fill="CCEB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56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3220" w:type="dxa"/>
            <w:vAlign w:val="bottom"/>
            <w:tcBorders>
              <w:bottom w:val="single" w:sz="8" w:color="auto"/>
              <w:right w:val="single" w:sz="8" w:color="CCEBFF"/>
            </w:tcBorders>
            <w:gridSpan w:val="2"/>
            <w:shd w:val="clear" w:color="auto" w:fill="CCEBFF"/>
          </w:tcPr>
          <w:p>
            <w:pPr>
              <w:spacing w:after="0"/>
              <w:rPr>
                <w:sz w:val="20"/>
                <w:szCs w:val="20"/>
                <w:color w:val="auto"/>
              </w:rPr>
            </w:pPr>
            <w:r>
              <w:rPr>
                <w:rFonts w:ascii="Arial" w:cs="Arial" w:eastAsia="Arial" w:hAnsi="Arial"/>
                <w:sz w:val="16"/>
                <w:szCs w:val="16"/>
                <w:color w:val="auto"/>
              </w:rPr>
              <w:t>approximately $69 million in 2021.</w:t>
            </w:r>
          </w:p>
        </w:tc>
        <w:tc>
          <w:tcPr>
            <w:tcW w:w="120" w:type="dxa"/>
            <w:vAlign w:val="bottom"/>
            <w:tcBorders>
              <w:bottom w:val="single" w:sz="8" w:color="auto"/>
            </w:tcBorders>
            <w:shd w:val="clear" w:color="auto" w:fill="CCEBFF"/>
          </w:tcPr>
          <w:p>
            <w:pPr>
              <w:spacing w:after="0"/>
              <w:rPr>
                <w:sz w:val="19"/>
                <w:szCs w:val="19"/>
                <w:color w:val="auto"/>
              </w:rPr>
            </w:pPr>
          </w:p>
        </w:tc>
        <w:tc>
          <w:tcPr>
            <w:tcW w:w="1020" w:type="dxa"/>
            <w:vAlign w:val="bottom"/>
            <w:tcBorders>
              <w:bottom w:val="single" w:sz="8" w:color="auto"/>
              <w:right w:val="single" w:sz="8" w:color="CCEBFF"/>
            </w:tcBorders>
            <w:shd w:val="clear" w:color="auto" w:fill="CCEBFF"/>
          </w:tcPr>
          <w:p>
            <w:pPr>
              <w:spacing w:after="0"/>
              <w:rPr>
                <w:sz w:val="19"/>
                <w:szCs w:val="19"/>
                <w:color w:val="auto"/>
              </w:rPr>
            </w:pPr>
          </w:p>
        </w:tc>
        <w:tc>
          <w:tcPr>
            <w:tcW w:w="160" w:type="dxa"/>
            <w:vAlign w:val="bottom"/>
            <w:tcBorders>
              <w:bottom w:val="single" w:sz="8" w:color="auto"/>
            </w:tcBorders>
            <w:shd w:val="clear" w:color="auto" w:fill="CCEBFF"/>
          </w:tcPr>
          <w:p>
            <w:pPr>
              <w:spacing w:after="0"/>
              <w:rPr>
                <w:sz w:val="19"/>
                <w:szCs w:val="19"/>
                <w:color w:val="auto"/>
              </w:rPr>
            </w:pPr>
          </w:p>
        </w:tc>
        <w:tc>
          <w:tcPr>
            <w:tcW w:w="980" w:type="dxa"/>
            <w:vAlign w:val="bottom"/>
            <w:tcBorders>
              <w:bottom w:val="single" w:sz="8" w:color="auto"/>
              <w:right w:val="single" w:sz="8" w:color="CCEBFF"/>
            </w:tcBorders>
            <w:shd w:val="clear" w:color="auto" w:fill="CCEBFF"/>
          </w:tcPr>
          <w:p>
            <w:pPr>
              <w:spacing w:after="0"/>
              <w:rPr>
                <w:sz w:val="19"/>
                <w:szCs w:val="19"/>
                <w:color w:val="auto"/>
              </w:rPr>
            </w:pPr>
          </w:p>
        </w:tc>
        <w:tc>
          <w:tcPr>
            <w:tcW w:w="40" w:type="dxa"/>
            <w:vAlign w:val="bottom"/>
            <w:tcBorders>
              <w:bottom w:val="single" w:sz="8" w:color="auto"/>
            </w:tcBorders>
            <w:shd w:val="clear" w:color="auto" w:fill="CCEBFF"/>
          </w:tcPr>
          <w:p>
            <w:pPr>
              <w:spacing w:after="0"/>
              <w:rPr>
                <w:sz w:val="19"/>
                <w:szCs w:val="19"/>
                <w:color w:val="auto"/>
              </w:rPr>
            </w:pPr>
          </w:p>
        </w:tc>
        <w:tc>
          <w:tcPr>
            <w:tcW w:w="820" w:type="dxa"/>
            <w:vAlign w:val="bottom"/>
            <w:tcBorders>
              <w:bottom w:val="single" w:sz="8" w:color="auto"/>
              <w:right w:val="single" w:sz="8" w:color="auto"/>
            </w:tcBorders>
            <w:shd w:val="clear" w:color="auto" w:fill="CCEB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560" w:type="dxa"/>
            <w:vAlign w:val="bottom"/>
            <w:tcBorders>
              <w:left w:val="single" w:sz="8" w:color="auto"/>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$15,398</w:t>
            </w:r>
          </w:p>
        </w:tc>
        <w:tc>
          <w:tcPr>
            <w:tcW w:w="12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tcPr>
          <w:p>
            <w:pPr>
              <w:spacing w:after="0"/>
              <w:rPr>
                <w:sz w:val="17"/>
                <w:szCs w:val="17"/>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May 9, 2022</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cash paid for 100% asset</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4,821</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10,577</w:t>
            </w:r>
          </w:p>
        </w:tc>
        <w:tc>
          <w:tcPr>
            <w:tcW w:w="40" w:type="dxa"/>
            <w:vAlign w:val="bottom"/>
          </w:tcPr>
          <w:p>
            <w:pPr>
              <w:spacing w:after="0"/>
              <w:rPr>
                <w:sz w:val="17"/>
                <w:szCs w:val="17"/>
                <w:color w:val="auto"/>
              </w:rPr>
            </w:pP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Retail</w:t>
            </w:r>
          </w:p>
        </w:tc>
        <w:tc>
          <w:tcPr>
            <w:tcW w:w="0" w:type="dxa"/>
            <w:vAlign w:val="bottom"/>
          </w:tcPr>
          <w:p>
            <w:pPr>
              <w:spacing w:after="0"/>
              <w:rPr>
                <w:sz w:val="1"/>
                <w:szCs w:val="1"/>
                <w:color w:val="auto"/>
              </w:rPr>
            </w:pPr>
          </w:p>
        </w:tc>
      </w:tr>
      <w:tr>
        <w:trPr>
          <w:trHeight w:val="209"/>
        </w:trPr>
        <w:tc>
          <w:tcPr>
            <w:tcW w:w="25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Cedar Poly, LLC</w:t>
            </w:r>
          </w:p>
        </w:tc>
        <w:tc>
          <w:tcPr>
            <w:tcW w:w="146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purchase</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560" w:type="dxa"/>
            <w:vAlign w:val="bottom"/>
            <w:tcBorders>
              <w:left w:val="single" w:sz="8" w:color="auto"/>
              <w:right w:val="single" w:sz="8" w:color="auto"/>
            </w:tcBorders>
            <w:vMerge w:val="continue"/>
          </w:tcPr>
          <w:p>
            <w:pPr>
              <w:spacing w:after="0"/>
              <w:rPr>
                <w:sz w:val="16"/>
                <w:szCs w:val="16"/>
                <w:color w:val="auto"/>
              </w:rPr>
            </w:pPr>
          </w:p>
        </w:tc>
        <w:tc>
          <w:tcPr>
            <w:tcW w:w="6360" w:type="dxa"/>
            <w:vAlign w:val="bottom"/>
            <w:tcBorders>
              <w:right w:val="single" w:sz="8" w:color="auto"/>
            </w:tcBorders>
            <w:gridSpan w:val="8"/>
          </w:tcPr>
          <w:p>
            <w:pPr>
              <w:spacing w:after="0"/>
              <w:rPr>
                <w:sz w:val="20"/>
                <w:szCs w:val="20"/>
                <w:color w:val="auto"/>
              </w:rPr>
            </w:pPr>
            <w:r>
              <w:rPr>
                <w:rFonts w:ascii="Arial" w:cs="Arial" w:eastAsia="Arial" w:hAnsi="Arial"/>
                <w:sz w:val="16"/>
                <w:szCs w:val="16"/>
                <w:color w:val="auto"/>
                <w:w w:val="97"/>
              </w:rPr>
              <w:t>Located in Tipton, Iowa, Cedar Poly is a full-service recycler of high-density and low-density</w:t>
            </w: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tcPr>
          <w:p>
            <w:pPr>
              <w:spacing w:after="0"/>
              <w:rPr>
                <w:sz w:val="17"/>
                <w:szCs w:val="17"/>
                <w:color w:val="auto"/>
              </w:rPr>
            </w:pPr>
          </w:p>
        </w:tc>
        <w:tc>
          <w:tcPr>
            <w:tcW w:w="6360" w:type="dxa"/>
            <w:vAlign w:val="bottom"/>
            <w:tcBorders>
              <w:right w:val="single" w:sz="8" w:color="auto"/>
            </w:tcBorders>
            <w:gridSpan w:val="8"/>
          </w:tcPr>
          <w:p>
            <w:pPr>
              <w:spacing w:after="0"/>
              <w:rPr>
                <w:sz w:val="20"/>
                <w:szCs w:val="20"/>
                <w:color w:val="auto"/>
              </w:rPr>
            </w:pPr>
            <w:r>
              <w:rPr>
                <w:rFonts w:ascii="Arial" w:cs="Arial" w:eastAsia="Arial" w:hAnsi="Arial"/>
                <w:sz w:val="16"/>
                <w:szCs w:val="16"/>
                <w:color w:val="auto"/>
                <w:w w:val="92"/>
              </w:rPr>
              <w:t>polyethylene (HDPE and LDPE) flakes and pellets used in various products, including composite</w:t>
            </w: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tcPr>
          <w:p>
            <w:pPr>
              <w:spacing w:after="0"/>
              <w:rPr>
                <w:sz w:val="17"/>
                <w:szCs w:val="17"/>
                <w:color w:val="auto"/>
              </w:rPr>
            </w:pPr>
          </w:p>
        </w:tc>
        <w:tc>
          <w:tcPr>
            <w:tcW w:w="6360" w:type="dxa"/>
            <w:vAlign w:val="bottom"/>
            <w:tcBorders>
              <w:right w:val="single" w:sz="8" w:color="auto"/>
            </w:tcBorders>
            <w:gridSpan w:val="8"/>
          </w:tcPr>
          <w:p>
            <w:pPr>
              <w:spacing w:after="0"/>
              <w:rPr>
                <w:sz w:val="20"/>
                <w:szCs w:val="20"/>
                <w:color w:val="auto"/>
              </w:rPr>
            </w:pPr>
            <w:r>
              <w:rPr>
                <w:rFonts w:ascii="Arial" w:cs="Arial" w:eastAsia="Arial" w:hAnsi="Arial"/>
                <w:sz w:val="16"/>
                <w:szCs w:val="16"/>
                <w:color w:val="auto"/>
                <w:w w:val="94"/>
              </w:rPr>
              <w:t>decking. The company also recycles corrugate and operates its own transportation fleet. Cedar</w:t>
            </w: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tcPr>
          <w:p>
            <w:pPr>
              <w:spacing w:after="0"/>
              <w:rPr>
                <w:sz w:val="17"/>
                <w:szCs w:val="17"/>
                <w:color w:val="auto"/>
              </w:rPr>
            </w:pPr>
          </w:p>
        </w:tc>
        <w:tc>
          <w:tcPr>
            <w:tcW w:w="6360" w:type="dxa"/>
            <w:vAlign w:val="bottom"/>
            <w:tcBorders>
              <w:right w:val="single" w:sz="8" w:color="auto"/>
            </w:tcBorders>
            <w:gridSpan w:val="8"/>
          </w:tcPr>
          <w:p>
            <w:pPr>
              <w:spacing w:after="0"/>
              <w:rPr>
                <w:sz w:val="20"/>
                <w:szCs w:val="20"/>
                <w:color w:val="auto"/>
              </w:rPr>
            </w:pPr>
            <w:r>
              <w:rPr>
                <w:rFonts w:ascii="Arial" w:cs="Arial" w:eastAsia="Arial" w:hAnsi="Arial"/>
                <w:sz w:val="16"/>
                <w:szCs w:val="16"/>
                <w:color w:val="auto"/>
                <w:w w:val="99"/>
              </w:rPr>
              <w:t>Poly had 2021 sales of approximately $17.3 million and will operate in UFP’s Deckorators</w:t>
            </w:r>
          </w:p>
        </w:tc>
        <w:tc>
          <w:tcPr>
            <w:tcW w:w="0" w:type="dxa"/>
            <w:vAlign w:val="bottom"/>
          </w:tcPr>
          <w:p>
            <w:pPr>
              <w:spacing w:after="0"/>
              <w:rPr>
                <w:sz w:val="1"/>
                <w:szCs w:val="1"/>
                <w:color w:val="auto"/>
              </w:rPr>
            </w:pPr>
          </w:p>
        </w:tc>
      </w:tr>
      <w:tr>
        <w:trPr>
          <w:trHeight w:val="219"/>
        </w:trPr>
        <w:tc>
          <w:tcPr>
            <w:tcW w:w="2560" w:type="dxa"/>
            <w:vAlign w:val="bottom"/>
            <w:tcBorders>
              <w:left w:val="single" w:sz="8" w:color="auto"/>
              <w:bottom w:val="single" w:sz="8" w:color="auto"/>
              <w:right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business unit.</w:t>
            </w:r>
          </w:p>
        </w:tc>
        <w:tc>
          <w:tcPr>
            <w:tcW w:w="17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560" w:type="dxa"/>
            <w:vAlign w:val="bottom"/>
            <w:tcBorders>
              <w:left w:val="single" w:sz="8" w:color="auto"/>
              <w:right w:val="single" w:sz="8" w:color="auto"/>
            </w:tcBorders>
            <w:shd w:val="clear" w:color="auto" w:fill="CCEBFF"/>
          </w:tcPr>
          <w:p>
            <w:pPr>
              <w:spacing w:after="0"/>
              <w:rPr>
                <w:sz w:val="16"/>
                <w:szCs w:val="16"/>
                <w:color w:val="auto"/>
              </w:rPr>
            </w:pPr>
          </w:p>
        </w:tc>
        <w:tc>
          <w:tcPr>
            <w:tcW w:w="1460" w:type="dxa"/>
            <w:vAlign w:val="bottom"/>
            <w:tcBorders>
              <w:right w:val="single" w:sz="8" w:color="auto"/>
            </w:tcBorders>
            <w:shd w:val="clear" w:color="auto" w:fill="CCEBFF"/>
          </w:tcPr>
          <w:p>
            <w:pPr>
              <w:spacing w:after="0"/>
              <w:rPr>
                <w:sz w:val="16"/>
                <w:szCs w:val="16"/>
                <w:color w:val="auto"/>
              </w:rPr>
            </w:pPr>
          </w:p>
        </w:tc>
        <w:tc>
          <w:tcPr>
            <w:tcW w:w="176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3"/>
              </w:rPr>
              <w:t>$24,057</w:t>
            </w:r>
          </w:p>
        </w:tc>
        <w:tc>
          <w:tcPr>
            <w:tcW w:w="120" w:type="dxa"/>
            <w:vAlign w:val="bottom"/>
            <w:shd w:val="clear" w:color="auto" w:fill="CCEBFF"/>
          </w:tcPr>
          <w:p>
            <w:pPr>
              <w:spacing w:after="0"/>
              <w:rPr>
                <w:sz w:val="16"/>
                <w:szCs w:val="16"/>
                <w:color w:val="auto"/>
              </w:rPr>
            </w:pPr>
          </w:p>
        </w:tc>
        <w:tc>
          <w:tcPr>
            <w:tcW w:w="1020" w:type="dxa"/>
            <w:vAlign w:val="bottom"/>
            <w:tcBorders>
              <w:right w:val="single" w:sz="8" w:color="auto"/>
            </w:tcBorders>
            <w:shd w:val="clear" w:color="auto" w:fill="CCEBFF"/>
          </w:tcPr>
          <w:p>
            <w:pPr>
              <w:spacing w:after="0"/>
              <w:rPr>
                <w:sz w:val="16"/>
                <w:szCs w:val="16"/>
                <w:color w:val="auto"/>
              </w:rPr>
            </w:pPr>
          </w:p>
        </w:tc>
        <w:tc>
          <w:tcPr>
            <w:tcW w:w="160" w:type="dxa"/>
            <w:vAlign w:val="bottom"/>
            <w:shd w:val="clear" w:color="auto" w:fill="CCEBFF"/>
          </w:tcPr>
          <w:p>
            <w:pPr>
              <w:spacing w:after="0"/>
              <w:rPr>
                <w:sz w:val="16"/>
                <w:szCs w:val="16"/>
                <w:color w:val="auto"/>
              </w:rPr>
            </w:pPr>
          </w:p>
        </w:tc>
        <w:tc>
          <w:tcPr>
            <w:tcW w:w="980" w:type="dxa"/>
            <w:vAlign w:val="bottom"/>
            <w:tcBorders>
              <w:right w:val="single" w:sz="8" w:color="auto"/>
            </w:tcBorders>
            <w:shd w:val="clear" w:color="auto" w:fill="CCEBFF"/>
          </w:tcPr>
          <w:p>
            <w:pPr>
              <w:spacing w:after="0"/>
              <w:rPr>
                <w:sz w:val="16"/>
                <w:szCs w:val="16"/>
                <w:color w:val="auto"/>
              </w:rPr>
            </w:pPr>
          </w:p>
        </w:tc>
        <w:tc>
          <w:tcPr>
            <w:tcW w:w="40" w:type="dxa"/>
            <w:vAlign w:val="bottom"/>
            <w:shd w:val="clear" w:color="auto" w:fill="CCEBFF"/>
          </w:tcPr>
          <w:p>
            <w:pPr>
              <w:spacing w:after="0"/>
              <w:rPr>
                <w:sz w:val="16"/>
                <w:szCs w:val="16"/>
                <w:color w:val="auto"/>
              </w:rPr>
            </w:pPr>
          </w:p>
        </w:tc>
        <w:tc>
          <w:tcPr>
            <w:tcW w:w="820" w:type="dxa"/>
            <w:vAlign w:val="bottom"/>
            <w:tcBorders>
              <w:right w:val="single" w:sz="8" w:color="auto"/>
            </w:tcBorders>
            <w:shd w:val="clear" w:color="auto" w:fill="CCEBFF"/>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560" w:type="dxa"/>
            <w:vAlign w:val="bottom"/>
            <w:tcBorders>
              <w:left w:val="single" w:sz="8" w:color="auto"/>
              <w:right w:val="single" w:sz="8" w:color="auto"/>
            </w:tcBorders>
            <w:shd w:val="clear" w:color="auto" w:fill="CCEBFF"/>
          </w:tcPr>
          <w:p>
            <w:pPr>
              <w:spacing w:after="0"/>
              <w:rPr>
                <w:sz w:val="21"/>
                <w:szCs w:val="21"/>
                <w:color w:val="auto"/>
              </w:rPr>
            </w:pPr>
          </w:p>
        </w:tc>
        <w:tc>
          <w:tcPr>
            <w:tcW w:w="146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9"/>
              </w:rPr>
              <w:t>December 27, 2021</w:t>
            </w:r>
          </w:p>
        </w:tc>
        <w:tc>
          <w:tcPr>
            <w:tcW w:w="176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0"/>
              </w:rPr>
              <w:t>cash paid for 100% stock</w:t>
            </w:r>
          </w:p>
        </w:tc>
        <w:tc>
          <w:tcPr>
            <w:tcW w:w="120" w:type="dxa"/>
            <w:vAlign w:val="bottom"/>
            <w:shd w:val="clear" w:color="auto" w:fill="CCEBFF"/>
          </w:tcPr>
          <w:p>
            <w:pPr>
              <w:jc w:val="right"/>
              <w:ind w:right="9"/>
              <w:spacing w:after="0"/>
              <w:rPr>
                <w:sz w:val="20"/>
                <w:szCs w:val="20"/>
                <w:color w:val="auto"/>
              </w:rPr>
            </w:pPr>
            <w:r>
              <w:rPr>
                <w:rFonts w:ascii="Arial" w:cs="Arial" w:eastAsia="Arial" w:hAnsi="Arial"/>
                <w:sz w:val="10"/>
                <w:szCs w:val="10"/>
                <w:color w:val="auto"/>
                <w:w w:val="71"/>
              </w:rPr>
              <w:t>$</w:t>
            </w:r>
          </w:p>
        </w:tc>
        <w:tc>
          <w:tcPr>
            <w:tcW w:w="102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17,484</w:t>
            </w:r>
          </w:p>
        </w:tc>
        <w:tc>
          <w:tcPr>
            <w:tcW w:w="160" w:type="dxa"/>
            <w:vAlign w:val="bottom"/>
            <w:shd w:val="clear" w:color="auto" w:fill="CCEBFF"/>
          </w:tcPr>
          <w:p>
            <w:pPr>
              <w:jc w:val="right"/>
              <w:ind w:right="4"/>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6,573</w:t>
            </w:r>
          </w:p>
        </w:tc>
        <w:tc>
          <w:tcPr>
            <w:tcW w:w="40" w:type="dxa"/>
            <w:vAlign w:val="bottom"/>
            <w:shd w:val="clear" w:color="auto" w:fill="CCEBFF"/>
          </w:tcPr>
          <w:p>
            <w:pPr>
              <w:spacing w:after="0"/>
              <w:rPr>
                <w:sz w:val="21"/>
                <w:szCs w:val="21"/>
                <w:color w:val="auto"/>
              </w:rPr>
            </w:pPr>
          </w:p>
        </w:tc>
        <w:tc>
          <w:tcPr>
            <w:tcW w:w="82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7"/>
              </w:rPr>
              <w:t>Retail</w:t>
            </w:r>
          </w:p>
        </w:tc>
        <w:tc>
          <w:tcPr>
            <w:tcW w:w="0" w:type="dxa"/>
            <w:vAlign w:val="bottom"/>
          </w:tcPr>
          <w:p>
            <w:pPr>
              <w:spacing w:after="0"/>
              <w:rPr>
                <w:sz w:val="1"/>
                <w:szCs w:val="1"/>
                <w:color w:val="auto"/>
              </w:rPr>
            </w:pPr>
          </w:p>
        </w:tc>
      </w:tr>
      <w:tr>
        <w:trPr>
          <w:trHeight w:val="152"/>
        </w:trPr>
        <w:tc>
          <w:tcPr>
            <w:tcW w:w="2560" w:type="dxa"/>
            <w:vAlign w:val="bottom"/>
            <w:tcBorders>
              <w:left w:val="single" w:sz="8" w:color="auto"/>
              <w:right w:val="single" w:sz="8" w:color="auto"/>
            </w:tcBorders>
            <w:shd w:val="clear" w:color="auto" w:fill="CCEBFF"/>
          </w:tcPr>
          <w:p>
            <w:pPr>
              <w:spacing w:after="0"/>
              <w:rPr>
                <w:sz w:val="13"/>
                <w:szCs w:val="13"/>
                <w:color w:val="auto"/>
              </w:rPr>
            </w:pPr>
          </w:p>
        </w:tc>
        <w:tc>
          <w:tcPr>
            <w:tcW w:w="1460" w:type="dxa"/>
            <w:vAlign w:val="bottom"/>
            <w:tcBorders>
              <w:right w:val="single" w:sz="8" w:color="auto"/>
            </w:tcBorders>
            <w:shd w:val="clear" w:color="auto" w:fill="CCEBFF"/>
          </w:tcPr>
          <w:p>
            <w:pPr>
              <w:spacing w:after="0"/>
              <w:rPr>
                <w:sz w:val="13"/>
                <w:szCs w:val="13"/>
                <w:color w:val="auto"/>
              </w:rPr>
            </w:pPr>
          </w:p>
        </w:tc>
        <w:tc>
          <w:tcPr>
            <w:tcW w:w="1760" w:type="dxa"/>
            <w:vAlign w:val="bottom"/>
            <w:tcBorders>
              <w:right w:val="single" w:sz="8" w:color="auto"/>
            </w:tcBorders>
            <w:shd w:val="clear" w:color="auto" w:fill="CCEBFF"/>
          </w:tcPr>
          <w:p>
            <w:pPr>
              <w:jc w:val="center"/>
              <w:spacing w:after="0" w:line="152" w:lineRule="exact"/>
              <w:rPr>
                <w:sz w:val="20"/>
                <w:szCs w:val="20"/>
                <w:color w:val="auto"/>
              </w:rPr>
            </w:pPr>
            <w:r>
              <w:rPr>
                <w:rFonts w:ascii="Arial" w:cs="Arial" w:eastAsia="Arial" w:hAnsi="Arial"/>
                <w:sz w:val="16"/>
                <w:szCs w:val="16"/>
                <w:color w:val="auto"/>
                <w:w w:val="89"/>
              </w:rPr>
              <w:t>purchase, net of acquired</w:t>
            </w:r>
          </w:p>
        </w:tc>
        <w:tc>
          <w:tcPr>
            <w:tcW w:w="120" w:type="dxa"/>
            <w:vAlign w:val="bottom"/>
            <w:shd w:val="clear" w:color="auto" w:fill="CCEBFF"/>
          </w:tcPr>
          <w:p>
            <w:pPr>
              <w:spacing w:after="0"/>
              <w:rPr>
                <w:sz w:val="13"/>
                <w:szCs w:val="13"/>
                <w:color w:val="auto"/>
              </w:rPr>
            </w:pPr>
          </w:p>
        </w:tc>
        <w:tc>
          <w:tcPr>
            <w:tcW w:w="1020" w:type="dxa"/>
            <w:vAlign w:val="bottom"/>
            <w:tcBorders>
              <w:right w:val="single" w:sz="8" w:color="auto"/>
            </w:tcBorders>
            <w:shd w:val="clear" w:color="auto" w:fill="CCEBFF"/>
          </w:tcPr>
          <w:p>
            <w:pPr>
              <w:spacing w:after="0"/>
              <w:rPr>
                <w:sz w:val="13"/>
                <w:szCs w:val="13"/>
                <w:color w:val="auto"/>
              </w:rPr>
            </w:pPr>
          </w:p>
        </w:tc>
        <w:tc>
          <w:tcPr>
            <w:tcW w:w="160" w:type="dxa"/>
            <w:vAlign w:val="bottom"/>
            <w:shd w:val="clear" w:color="auto" w:fill="CCEBFF"/>
          </w:tcPr>
          <w:p>
            <w:pPr>
              <w:spacing w:after="0"/>
              <w:rPr>
                <w:sz w:val="13"/>
                <w:szCs w:val="13"/>
                <w:color w:val="auto"/>
              </w:rPr>
            </w:pPr>
          </w:p>
        </w:tc>
        <w:tc>
          <w:tcPr>
            <w:tcW w:w="980" w:type="dxa"/>
            <w:vAlign w:val="bottom"/>
            <w:tcBorders>
              <w:right w:val="single" w:sz="8" w:color="auto"/>
            </w:tcBorders>
            <w:shd w:val="clear" w:color="auto" w:fill="CCEBFF"/>
          </w:tcPr>
          <w:p>
            <w:pPr>
              <w:spacing w:after="0"/>
              <w:rPr>
                <w:sz w:val="13"/>
                <w:szCs w:val="13"/>
                <w:color w:val="auto"/>
              </w:rPr>
            </w:pPr>
          </w:p>
        </w:tc>
        <w:tc>
          <w:tcPr>
            <w:tcW w:w="40" w:type="dxa"/>
            <w:vAlign w:val="bottom"/>
            <w:shd w:val="clear" w:color="auto" w:fill="CCEBFF"/>
          </w:tcPr>
          <w:p>
            <w:pPr>
              <w:spacing w:after="0"/>
              <w:rPr>
                <w:sz w:val="13"/>
                <w:szCs w:val="13"/>
                <w:color w:val="auto"/>
              </w:rPr>
            </w:pPr>
          </w:p>
        </w:tc>
        <w:tc>
          <w:tcPr>
            <w:tcW w:w="820" w:type="dxa"/>
            <w:vAlign w:val="bottom"/>
            <w:tcBorders>
              <w:right w:val="single" w:sz="8" w:color="auto"/>
            </w:tcBorders>
            <w:shd w:val="clear" w:color="auto" w:fill="CCEBFF"/>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56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Arial" w:cs="Arial" w:eastAsia="Arial" w:hAnsi="Arial"/>
                <w:sz w:val="16"/>
                <w:szCs w:val="16"/>
                <w:color w:val="auto"/>
                <w:w w:val="96"/>
              </w:rPr>
              <w:t>Ultra Aluminum Manufacturing, Inc.</w:t>
            </w:r>
          </w:p>
        </w:tc>
        <w:tc>
          <w:tcPr>
            <w:tcW w:w="1460" w:type="dxa"/>
            <w:vAlign w:val="bottom"/>
            <w:tcBorders>
              <w:bottom w:val="single" w:sz="8" w:color="auto"/>
              <w:right w:val="single" w:sz="8" w:color="auto"/>
            </w:tcBorders>
            <w:shd w:val="clear" w:color="auto" w:fill="CCEBFF"/>
          </w:tcPr>
          <w:p>
            <w:pPr>
              <w:spacing w:after="0"/>
              <w:rPr>
                <w:sz w:val="18"/>
                <w:szCs w:val="18"/>
                <w:color w:val="auto"/>
              </w:rPr>
            </w:pPr>
          </w:p>
        </w:tc>
        <w:tc>
          <w:tcPr>
            <w:tcW w:w="176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8"/>
              </w:rPr>
              <w:t>cash</w:t>
            </w:r>
          </w:p>
        </w:tc>
        <w:tc>
          <w:tcPr>
            <w:tcW w:w="120" w:type="dxa"/>
            <w:vAlign w:val="bottom"/>
            <w:tcBorders>
              <w:bottom w:val="single" w:sz="8" w:color="auto"/>
            </w:tcBorders>
            <w:shd w:val="clear" w:color="auto" w:fill="CCEBFF"/>
          </w:tcPr>
          <w:p>
            <w:pPr>
              <w:spacing w:after="0"/>
              <w:rPr>
                <w:sz w:val="18"/>
                <w:szCs w:val="18"/>
                <w:color w:val="auto"/>
              </w:rPr>
            </w:pPr>
          </w:p>
        </w:tc>
        <w:tc>
          <w:tcPr>
            <w:tcW w:w="1020" w:type="dxa"/>
            <w:vAlign w:val="bottom"/>
            <w:tcBorders>
              <w:bottom w:val="single" w:sz="8" w:color="auto"/>
              <w:right w:val="single" w:sz="8" w:color="auto"/>
            </w:tcBorders>
            <w:shd w:val="clear" w:color="auto" w:fill="CCEBFF"/>
          </w:tcPr>
          <w:p>
            <w:pPr>
              <w:spacing w:after="0"/>
              <w:rPr>
                <w:sz w:val="18"/>
                <w:szCs w:val="18"/>
                <w:color w:val="auto"/>
              </w:rPr>
            </w:pPr>
          </w:p>
        </w:tc>
        <w:tc>
          <w:tcPr>
            <w:tcW w:w="160" w:type="dxa"/>
            <w:vAlign w:val="bottom"/>
            <w:tcBorders>
              <w:bottom w:val="single" w:sz="8" w:color="auto"/>
            </w:tcBorders>
            <w:shd w:val="clear" w:color="auto" w:fill="CCEBFF"/>
          </w:tcPr>
          <w:p>
            <w:pPr>
              <w:spacing w:after="0"/>
              <w:rPr>
                <w:sz w:val="18"/>
                <w:szCs w:val="18"/>
                <w:color w:val="auto"/>
              </w:rPr>
            </w:pPr>
          </w:p>
        </w:tc>
        <w:tc>
          <w:tcPr>
            <w:tcW w:w="980" w:type="dxa"/>
            <w:vAlign w:val="bottom"/>
            <w:tcBorders>
              <w:bottom w:val="single" w:sz="8" w:color="auto"/>
              <w:right w:val="single" w:sz="8" w:color="auto"/>
            </w:tcBorders>
            <w:shd w:val="clear" w:color="auto" w:fill="CCEBFF"/>
          </w:tcPr>
          <w:p>
            <w:pPr>
              <w:spacing w:after="0"/>
              <w:rPr>
                <w:sz w:val="18"/>
                <w:szCs w:val="18"/>
                <w:color w:val="auto"/>
              </w:rPr>
            </w:pPr>
          </w:p>
        </w:tc>
        <w:tc>
          <w:tcPr>
            <w:tcW w:w="40" w:type="dxa"/>
            <w:vAlign w:val="bottom"/>
            <w:tcBorders>
              <w:bottom w:val="single" w:sz="8" w:color="auto"/>
            </w:tcBorders>
            <w:shd w:val="clear" w:color="auto" w:fill="CCEBFF"/>
          </w:tcPr>
          <w:p>
            <w:pPr>
              <w:spacing w:after="0"/>
              <w:rPr>
                <w:sz w:val="18"/>
                <w:szCs w:val="18"/>
                <w:color w:val="auto"/>
              </w:rPr>
            </w:pPr>
          </w:p>
        </w:tc>
        <w:tc>
          <w:tcPr>
            <w:tcW w:w="820" w:type="dxa"/>
            <w:vAlign w:val="bottom"/>
            <w:tcBorders>
              <w:bottom w:val="single" w:sz="8" w:color="auto"/>
              <w:right w:val="single" w:sz="8" w:color="auto"/>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560" w:type="dxa"/>
            <w:vAlign w:val="bottom"/>
            <w:tcBorders>
              <w:left w:val="single" w:sz="8" w:color="auto"/>
              <w:right w:val="single" w:sz="8" w:color="auto"/>
            </w:tcBorders>
            <w:vMerge w:val="continue"/>
            <w:shd w:val="clear" w:color="auto" w:fill="CCEBFF"/>
          </w:tcPr>
          <w:p>
            <w:pPr>
              <w:spacing w:after="0"/>
              <w:rPr>
                <w:sz w:val="15"/>
                <w:szCs w:val="15"/>
                <w:color w:val="auto"/>
              </w:rPr>
            </w:pPr>
          </w:p>
        </w:tc>
        <w:tc>
          <w:tcPr>
            <w:tcW w:w="6360" w:type="dxa"/>
            <w:vAlign w:val="bottom"/>
            <w:tcBorders>
              <w:right w:val="single" w:sz="8" w:color="auto"/>
            </w:tcBorders>
            <w:gridSpan w:val="8"/>
            <w:shd w:val="clear" w:color="auto" w:fill="CCEBFF"/>
          </w:tcPr>
          <w:p>
            <w:pPr>
              <w:spacing w:after="0" w:line="176" w:lineRule="exact"/>
              <w:rPr>
                <w:sz w:val="20"/>
                <w:szCs w:val="20"/>
                <w:color w:val="auto"/>
              </w:rPr>
            </w:pPr>
            <w:r>
              <w:rPr>
                <w:rFonts w:ascii="Arial" w:cs="Arial" w:eastAsia="Arial" w:hAnsi="Arial"/>
                <w:sz w:val="16"/>
                <w:szCs w:val="16"/>
                <w:color w:val="auto"/>
                <w:w w:val="94"/>
              </w:rPr>
              <w:t>Located in Howell, Michigan and founded in 1996, Ultra is a leading manufacturer of aluminum</w:t>
            </w:r>
          </w:p>
        </w:tc>
        <w:tc>
          <w:tcPr>
            <w:tcW w:w="0" w:type="dxa"/>
            <w:vAlign w:val="bottom"/>
          </w:tcPr>
          <w:p>
            <w:pPr>
              <w:spacing w:after="0"/>
              <w:rPr>
                <w:sz w:val="1"/>
                <w:szCs w:val="1"/>
                <w:color w:val="auto"/>
              </w:rPr>
            </w:pPr>
          </w:p>
        </w:tc>
      </w:tr>
      <w:tr>
        <w:trPr>
          <w:trHeight w:val="216"/>
        </w:trPr>
        <w:tc>
          <w:tcPr>
            <w:tcW w:w="2560" w:type="dxa"/>
            <w:vAlign w:val="bottom"/>
            <w:tcBorders>
              <w:left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8"/>
              </w:rPr>
              <w:t>(Ultra)</w:t>
            </w:r>
          </w:p>
        </w:tc>
        <w:tc>
          <w:tcPr>
            <w:tcW w:w="6360" w:type="dxa"/>
            <w:vAlign w:val="bottom"/>
            <w:tcBorders>
              <w:right w:val="single" w:sz="8" w:color="auto"/>
            </w:tcBorders>
            <w:gridSpan w:val="8"/>
            <w:shd w:val="clear" w:color="auto" w:fill="CCEBFF"/>
          </w:tcPr>
          <w:p>
            <w:pPr>
              <w:spacing w:after="0"/>
              <w:rPr>
                <w:sz w:val="20"/>
                <w:szCs w:val="20"/>
                <w:color w:val="auto"/>
              </w:rPr>
            </w:pPr>
            <w:r>
              <w:rPr>
                <w:rFonts w:ascii="Arial" w:cs="Arial" w:eastAsia="Arial" w:hAnsi="Arial"/>
                <w:sz w:val="16"/>
                <w:szCs w:val="16"/>
                <w:color w:val="auto"/>
              </w:rPr>
              <w:t>fencing, gates and railing. The company designs and produces an extensive selection of</w:t>
            </w: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shd w:val="clear" w:color="auto" w:fill="CCEBFF"/>
          </w:tcPr>
          <w:p>
            <w:pPr>
              <w:spacing w:after="0"/>
              <w:rPr>
                <w:sz w:val="17"/>
                <w:szCs w:val="17"/>
                <w:color w:val="auto"/>
              </w:rPr>
            </w:pPr>
          </w:p>
        </w:tc>
        <w:tc>
          <w:tcPr>
            <w:tcW w:w="6360" w:type="dxa"/>
            <w:vAlign w:val="bottom"/>
            <w:tcBorders>
              <w:right w:val="single" w:sz="8" w:color="auto"/>
            </w:tcBorders>
            <w:gridSpan w:val="8"/>
            <w:shd w:val="clear" w:color="auto" w:fill="CCEBFF"/>
          </w:tcPr>
          <w:p>
            <w:pPr>
              <w:spacing w:after="0"/>
              <w:rPr>
                <w:sz w:val="20"/>
                <w:szCs w:val="20"/>
                <w:color w:val="auto"/>
              </w:rPr>
            </w:pPr>
            <w:r>
              <w:rPr>
                <w:rFonts w:ascii="Arial" w:cs="Arial" w:eastAsia="Arial" w:hAnsi="Arial"/>
                <w:sz w:val="16"/>
                <w:szCs w:val="16"/>
                <w:color w:val="auto"/>
                <w:w w:val="93"/>
              </w:rPr>
              <w:t>ornamental aluminum fence and railing products for contractors, landscapers, fence dealers and</w:t>
            </w:r>
          </w:p>
        </w:tc>
        <w:tc>
          <w:tcPr>
            <w:tcW w:w="0" w:type="dxa"/>
            <w:vAlign w:val="bottom"/>
          </w:tcPr>
          <w:p>
            <w:pPr>
              <w:spacing w:after="0"/>
              <w:rPr>
                <w:sz w:val="1"/>
                <w:szCs w:val="1"/>
                <w:color w:val="auto"/>
              </w:rPr>
            </w:pPr>
          </w:p>
        </w:tc>
      </w:tr>
      <w:tr>
        <w:trPr>
          <w:trHeight w:val="219"/>
        </w:trPr>
        <w:tc>
          <w:tcPr>
            <w:tcW w:w="256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5540" w:type="dxa"/>
            <w:vAlign w:val="bottom"/>
            <w:tcBorders>
              <w:bottom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rPr>
              <w:t>wholesalers. The Company had sales of approximately $45 million in 2021.</w:t>
            </w:r>
          </w:p>
        </w:tc>
        <w:tc>
          <w:tcPr>
            <w:tcW w:w="820" w:type="dxa"/>
            <w:vAlign w:val="bottom"/>
            <w:tcBorders>
              <w:bottom w:val="single" w:sz="8" w:color="auto"/>
              <w:right w:val="single" w:sz="8" w:color="auto"/>
            </w:tcBorders>
            <w:shd w:val="clear" w:color="auto" w:fill="CCEB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560" w:type="dxa"/>
            <w:vAlign w:val="bottom"/>
            <w:tcBorders>
              <w:left w:val="single" w:sz="8" w:color="auto"/>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$20,754</w:t>
            </w:r>
          </w:p>
        </w:tc>
        <w:tc>
          <w:tcPr>
            <w:tcW w:w="12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tcPr>
          <w:p>
            <w:pPr>
              <w:spacing w:after="0"/>
              <w:rPr>
                <w:sz w:val="17"/>
                <w:szCs w:val="17"/>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December 20, 2021</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cash paid for 100% stock</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11,417</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9,337</w:t>
            </w:r>
          </w:p>
        </w:tc>
        <w:tc>
          <w:tcPr>
            <w:tcW w:w="40" w:type="dxa"/>
            <w:vAlign w:val="bottom"/>
          </w:tcPr>
          <w:p>
            <w:pPr>
              <w:spacing w:after="0"/>
              <w:rPr>
                <w:sz w:val="17"/>
                <w:szCs w:val="17"/>
                <w:color w:val="auto"/>
              </w:rPr>
            </w:pP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Industrial</w:t>
            </w:r>
          </w:p>
        </w:tc>
        <w:tc>
          <w:tcPr>
            <w:tcW w:w="0" w:type="dxa"/>
            <w:vAlign w:val="bottom"/>
          </w:tcPr>
          <w:p>
            <w:pPr>
              <w:spacing w:after="0"/>
              <w:rPr>
                <w:sz w:val="1"/>
                <w:szCs w:val="1"/>
                <w:color w:val="auto"/>
              </w:rPr>
            </w:pPr>
          </w:p>
        </w:tc>
      </w:tr>
      <w:tr>
        <w:trPr>
          <w:trHeight w:val="209"/>
        </w:trPr>
        <w:tc>
          <w:tcPr>
            <w:tcW w:w="25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Advantage Labels &amp; Packaging, Inc.</w:t>
            </w:r>
          </w:p>
        </w:tc>
        <w:tc>
          <w:tcPr>
            <w:tcW w:w="146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purchase</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560" w:type="dxa"/>
            <w:vAlign w:val="bottom"/>
            <w:tcBorders>
              <w:left w:val="single" w:sz="8" w:color="auto"/>
              <w:right w:val="single" w:sz="8" w:color="auto"/>
            </w:tcBorders>
            <w:vMerge w:val="continue"/>
          </w:tcPr>
          <w:p>
            <w:pPr>
              <w:spacing w:after="0"/>
              <w:rPr>
                <w:sz w:val="15"/>
                <w:szCs w:val="15"/>
                <w:color w:val="auto"/>
              </w:rPr>
            </w:pPr>
          </w:p>
        </w:tc>
        <w:tc>
          <w:tcPr>
            <w:tcW w:w="6360" w:type="dxa"/>
            <w:vAlign w:val="bottom"/>
            <w:tcBorders>
              <w:right w:val="single" w:sz="8" w:color="auto"/>
            </w:tcBorders>
            <w:gridSpan w:val="8"/>
          </w:tcPr>
          <w:p>
            <w:pPr>
              <w:spacing w:after="0" w:line="176" w:lineRule="exact"/>
              <w:rPr>
                <w:sz w:val="20"/>
                <w:szCs w:val="20"/>
                <w:color w:val="auto"/>
              </w:rPr>
            </w:pPr>
            <w:r>
              <w:rPr>
                <w:rFonts w:ascii="Arial" w:cs="Arial" w:eastAsia="Arial" w:hAnsi="Arial"/>
                <w:sz w:val="16"/>
                <w:szCs w:val="16"/>
                <w:color w:val="auto"/>
                <w:w w:val="95"/>
              </w:rPr>
              <w:t>Based in Grand Rapids, Michigan, Advantage provides blank and customized labels, printers,</w:t>
            </w:r>
          </w:p>
        </w:tc>
        <w:tc>
          <w:tcPr>
            <w:tcW w:w="0" w:type="dxa"/>
            <w:vAlign w:val="bottom"/>
          </w:tcPr>
          <w:p>
            <w:pPr>
              <w:spacing w:after="0"/>
              <w:rPr>
                <w:sz w:val="1"/>
                <w:szCs w:val="1"/>
                <w:color w:val="auto"/>
              </w:rPr>
            </w:pPr>
          </w:p>
        </w:tc>
      </w:tr>
      <w:tr>
        <w:trPr>
          <w:trHeight w:val="216"/>
        </w:trPr>
        <w:tc>
          <w:tcPr>
            <w:tcW w:w="2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(Advantage)</w:t>
            </w:r>
          </w:p>
        </w:tc>
        <w:tc>
          <w:tcPr>
            <w:tcW w:w="6360" w:type="dxa"/>
            <w:vAlign w:val="bottom"/>
            <w:tcBorders>
              <w:right w:val="single" w:sz="8" w:color="auto"/>
            </w:tcBorders>
            <w:gridSpan w:val="8"/>
          </w:tcPr>
          <w:p>
            <w:pPr>
              <w:spacing w:after="0"/>
              <w:rPr>
                <w:sz w:val="20"/>
                <w:szCs w:val="20"/>
                <w:color w:val="auto"/>
              </w:rPr>
            </w:pPr>
            <w:r>
              <w:rPr>
                <w:rFonts w:ascii="Arial" w:cs="Arial" w:eastAsia="Arial" w:hAnsi="Arial"/>
                <w:sz w:val="16"/>
                <w:szCs w:val="16"/>
                <w:color w:val="auto"/>
                <w:w w:val="95"/>
              </w:rPr>
              <w:t>label applicators and other packaging supplies. Key industries served by the company include</w:t>
            </w: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tcPr>
          <w:p>
            <w:pPr>
              <w:spacing w:after="0"/>
              <w:rPr>
                <w:sz w:val="17"/>
                <w:szCs w:val="17"/>
                <w:color w:val="auto"/>
              </w:rPr>
            </w:pPr>
          </w:p>
        </w:tc>
        <w:tc>
          <w:tcPr>
            <w:tcW w:w="6360" w:type="dxa"/>
            <w:vAlign w:val="bottom"/>
            <w:tcBorders>
              <w:right w:val="single" w:sz="8" w:color="auto"/>
            </w:tcBorders>
            <w:gridSpan w:val="8"/>
          </w:tcPr>
          <w:p>
            <w:pPr>
              <w:spacing w:after="0"/>
              <w:rPr>
                <w:sz w:val="20"/>
                <w:szCs w:val="20"/>
                <w:color w:val="auto"/>
              </w:rPr>
            </w:pPr>
            <w:r>
              <w:rPr>
                <w:rFonts w:ascii="Arial" w:cs="Arial" w:eastAsia="Arial" w:hAnsi="Arial"/>
                <w:sz w:val="16"/>
                <w:szCs w:val="16"/>
                <w:color w:val="auto"/>
                <w:w w:val="91"/>
              </w:rPr>
              <w:t>beer and beverage; body armor; food production and processing; greenhouse and nursery; hobby</w:t>
            </w: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tcPr>
          <w:p>
            <w:pPr>
              <w:spacing w:after="0"/>
              <w:rPr>
                <w:sz w:val="17"/>
                <w:szCs w:val="17"/>
                <w:color w:val="auto"/>
              </w:rPr>
            </w:pPr>
          </w:p>
        </w:tc>
        <w:tc>
          <w:tcPr>
            <w:tcW w:w="6360" w:type="dxa"/>
            <w:vAlign w:val="bottom"/>
            <w:tcBorders>
              <w:right w:val="single" w:sz="8" w:color="auto"/>
            </w:tcBorders>
            <w:gridSpan w:val="8"/>
          </w:tcPr>
          <w:p>
            <w:pPr>
              <w:spacing w:after="0"/>
              <w:rPr>
                <w:sz w:val="20"/>
                <w:szCs w:val="20"/>
                <w:color w:val="auto"/>
              </w:rPr>
            </w:pPr>
            <w:r>
              <w:rPr>
                <w:rFonts w:ascii="Arial" w:cs="Arial" w:eastAsia="Arial" w:hAnsi="Arial"/>
                <w:sz w:val="16"/>
                <w:szCs w:val="16"/>
                <w:color w:val="auto"/>
                <w:w w:val="96"/>
              </w:rPr>
              <w:t>and craft; manufacturing; and automotive. The company had trailing 12-month sales through</w:t>
            </w:r>
          </w:p>
        </w:tc>
        <w:tc>
          <w:tcPr>
            <w:tcW w:w="0" w:type="dxa"/>
            <w:vAlign w:val="bottom"/>
          </w:tcPr>
          <w:p>
            <w:pPr>
              <w:spacing w:after="0"/>
              <w:rPr>
                <w:sz w:val="1"/>
                <w:szCs w:val="1"/>
                <w:color w:val="auto"/>
              </w:rPr>
            </w:pPr>
          </w:p>
        </w:tc>
      </w:tr>
      <w:tr>
        <w:trPr>
          <w:trHeight w:val="219"/>
        </w:trPr>
        <w:tc>
          <w:tcPr>
            <w:tcW w:w="2560" w:type="dxa"/>
            <w:vAlign w:val="bottom"/>
            <w:tcBorders>
              <w:left w:val="single" w:sz="8" w:color="auto"/>
              <w:bottom w:val="single" w:sz="8" w:color="auto"/>
              <w:right w:val="single" w:sz="8" w:color="auto"/>
            </w:tcBorders>
          </w:tcPr>
          <w:p>
            <w:pPr>
              <w:spacing w:after="0"/>
              <w:rPr>
                <w:sz w:val="19"/>
                <w:szCs w:val="19"/>
                <w:color w:val="auto"/>
              </w:rPr>
            </w:pPr>
          </w:p>
        </w:tc>
        <w:tc>
          <w:tcPr>
            <w:tcW w:w="32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w w:val="95"/>
              </w:rPr>
              <w:t>November 2021 of approximately $19.8 million.</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560" w:type="dxa"/>
            <w:vAlign w:val="bottom"/>
            <w:tcBorders>
              <w:left w:val="single" w:sz="8" w:color="auto"/>
              <w:right w:val="single" w:sz="8" w:color="auto"/>
            </w:tcBorders>
            <w:shd w:val="clear" w:color="auto" w:fill="CCEBFF"/>
          </w:tcPr>
          <w:p>
            <w:pPr>
              <w:spacing w:after="0"/>
              <w:rPr>
                <w:sz w:val="16"/>
                <w:szCs w:val="16"/>
                <w:color w:val="auto"/>
              </w:rPr>
            </w:pPr>
          </w:p>
        </w:tc>
        <w:tc>
          <w:tcPr>
            <w:tcW w:w="1460" w:type="dxa"/>
            <w:vAlign w:val="bottom"/>
            <w:tcBorders>
              <w:right w:val="single" w:sz="8" w:color="auto"/>
            </w:tcBorders>
            <w:shd w:val="clear" w:color="auto" w:fill="CCEBFF"/>
          </w:tcPr>
          <w:p>
            <w:pPr>
              <w:spacing w:after="0"/>
              <w:rPr>
                <w:sz w:val="16"/>
                <w:szCs w:val="16"/>
                <w:color w:val="auto"/>
              </w:rPr>
            </w:pPr>
          </w:p>
        </w:tc>
        <w:tc>
          <w:tcPr>
            <w:tcW w:w="176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3"/>
              </w:rPr>
              <w:t>$10,831</w:t>
            </w:r>
          </w:p>
        </w:tc>
        <w:tc>
          <w:tcPr>
            <w:tcW w:w="120" w:type="dxa"/>
            <w:vAlign w:val="bottom"/>
            <w:shd w:val="clear" w:color="auto" w:fill="CCEBFF"/>
          </w:tcPr>
          <w:p>
            <w:pPr>
              <w:spacing w:after="0"/>
              <w:rPr>
                <w:sz w:val="16"/>
                <w:szCs w:val="16"/>
                <w:color w:val="auto"/>
              </w:rPr>
            </w:pPr>
          </w:p>
        </w:tc>
        <w:tc>
          <w:tcPr>
            <w:tcW w:w="1020" w:type="dxa"/>
            <w:vAlign w:val="bottom"/>
            <w:tcBorders>
              <w:right w:val="single" w:sz="8" w:color="auto"/>
            </w:tcBorders>
            <w:shd w:val="clear" w:color="auto" w:fill="CCEBFF"/>
          </w:tcPr>
          <w:p>
            <w:pPr>
              <w:spacing w:after="0"/>
              <w:rPr>
                <w:sz w:val="16"/>
                <w:szCs w:val="16"/>
                <w:color w:val="auto"/>
              </w:rPr>
            </w:pPr>
          </w:p>
        </w:tc>
        <w:tc>
          <w:tcPr>
            <w:tcW w:w="160" w:type="dxa"/>
            <w:vAlign w:val="bottom"/>
            <w:shd w:val="clear" w:color="auto" w:fill="CCEBFF"/>
          </w:tcPr>
          <w:p>
            <w:pPr>
              <w:spacing w:after="0"/>
              <w:rPr>
                <w:sz w:val="16"/>
                <w:szCs w:val="16"/>
                <w:color w:val="auto"/>
              </w:rPr>
            </w:pPr>
          </w:p>
        </w:tc>
        <w:tc>
          <w:tcPr>
            <w:tcW w:w="980" w:type="dxa"/>
            <w:vAlign w:val="bottom"/>
            <w:tcBorders>
              <w:right w:val="single" w:sz="8" w:color="auto"/>
            </w:tcBorders>
            <w:shd w:val="clear" w:color="auto" w:fill="CCEBFF"/>
          </w:tcPr>
          <w:p>
            <w:pPr>
              <w:spacing w:after="0"/>
              <w:rPr>
                <w:sz w:val="16"/>
                <w:szCs w:val="16"/>
                <w:color w:val="auto"/>
              </w:rPr>
            </w:pPr>
          </w:p>
        </w:tc>
        <w:tc>
          <w:tcPr>
            <w:tcW w:w="40" w:type="dxa"/>
            <w:vAlign w:val="bottom"/>
            <w:shd w:val="clear" w:color="auto" w:fill="CCEBFF"/>
          </w:tcPr>
          <w:p>
            <w:pPr>
              <w:spacing w:after="0"/>
              <w:rPr>
                <w:sz w:val="16"/>
                <w:szCs w:val="16"/>
                <w:color w:val="auto"/>
              </w:rPr>
            </w:pPr>
          </w:p>
        </w:tc>
        <w:tc>
          <w:tcPr>
            <w:tcW w:w="820" w:type="dxa"/>
            <w:vAlign w:val="bottom"/>
            <w:tcBorders>
              <w:right w:val="single" w:sz="8" w:color="auto"/>
            </w:tcBorders>
            <w:shd w:val="clear" w:color="auto" w:fill="CCEB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shd w:val="clear" w:color="auto" w:fill="CCEBFF"/>
          </w:tcPr>
          <w:p>
            <w:pPr>
              <w:spacing w:after="0"/>
              <w:rPr>
                <w:sz w:val="17"/>
                <w:szCs w:val="17"/>
                <w:color w:val="auto"/>
              </w:rPr>
            </w:pPr>
          </w:p>
        </w:tc>
        <w:tc>
          <w:tcPr>
            <w:tcW w:w="1460" w:type="dxa"/>
            <w:vAlign w:val="bottom"/>
            <w:tcBorders>
              <w:right w:val="single" w:sz="8" w:color="auto"/>
            </w:tcBorders>
            <w:shd w:val="clear" w:color="auto" w:fill="CCEBFF"/>
          </w:tcPr>
          <w:p>
            <w:pPr>
              <w:spacing w:after="0"/>
              <w:rPr>
                <w:sz w:val="17"/>
                <w:szCs w:val="17"/>
                <w:color w:val="auto"/>
              </w:rPr>
            </w:pPr>
          </w:p>
        </w:tc>
        <w:tc>
          <w:tcPr>
            <w:tcW w:w="176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0"/>
              </w:rPr>
              <w:t>cash paid for 70% stock</w:t>
            </w:r>
          </w:p>
        </w:tc>
        <w:tc>
          <w:tcPr>
            <w:tcW w:w="120" w:type="dxa"/>
            <w:vAlign w:val="bottom"/>
            <w:shd w:val="clear" w:color="auto" w:fill="CCEBFF"/>
          </w:tcPr>
          <w:p>
            <w:pPr>
              <w:spacing w:after="0"/>
              <w:rPr>
                <w:sz w:val="17"/>
                <w:szCs w:val="17"/>
                <w:color w:val="auto"/>
              </w:rPr>
            </w:pPr>
          </w:p>
        </w:tc>
        <w:tc>
          <w:tcPr>
            <w:tcW w:w="1020" w:type="dxa"/>
            <w:vAlign w:val="bottom"/>
            <w:tcBorders>
              <w:right w:val="single" w:sz="8" w:color="auto"/>
            </w:tcBorders>
            <w:shd w:val="clear" w:color="auto" w:fill="CCEBFF"/>
          </w:tcPr>
          <w:p>
            <w:pPr>
              <w:spacing w:after="0"/>
              <w:rPr>
                <w:sz w:val="17"/>
                <w:szCs w:val="17"/>
                <w:color w:val="auto"/>
              </w:rPr>
            </w:pPr>
          </w:p>
        </w:tc>
        <w:tc>
          <w:tcPr>
            <w:tcW w:w="160" w:type="dxa"/>
            <w:vAlign w:val="bottom"/>
            <w:shd w:val="clear" w:color="auto" w:fill="CCEBFF"/>
          </w:tcPr>
          <w:p>
            <w:pPr>
              <w:spacing w:after="0"/>
              <w:rPr>
                <w:sz w:val="17"/>
                <w:szCs w:val="17"/>
                <w:color w:val="auto"/>
              </w:rPr>
            </w:pPr>
          </w:p>
        </w:tc>
        <w:tc>
          <w:tcPr>
            <w:tcW w:w="980" w:type="dxa"/>
            <w:vAlign w:val="bottom"/>
            <w:tcBorders>
              <w:right w:val="single" w:sz="8" w:color="auto"/>
            </w:tcBorders>
            <w:shd w:val="clear" w:color="auto" w:fill="CCEBFF"/>
          </w:tcPr>
          <w:p>
            <w:pPr>
              <w:spacing w:after="0"/>
              <w:rPr>
                <w:sz w:val="17"/>
                <w:szCs w:val="17"/>
                <w:color w:val="auto"/>
              </w:rPr>
            </w:pPr>
          </w:p>
        </w:tc>
        <w:tc>
          <w:tcPr>
            <w:tcW w:w="40" w:type="dxa"/>
            <w:vAlign w:val="bottom"/>
            <w:shd w:val="clear" w:color="auto" w:fill="CCEBFF"/>
          </w:tcPr>
          <w:p>
            <w:pPr>
              <w:spacing w:after="0"/>
              <w:rPr>
                <w:sz w:val="17"/>
                <w:szCs w:val="17"/>
                <w:color w:val="auto"/>
              </w:rPr>
            </w:pPr>
          </w:p>
        </w:tc>
        <w:tc>
          <w:tcPr>
            <w:tcW w:w="820" w:type="dxa"/>
            <w:vAlign w:val="bottom"/>
            <w:tcBorders>
              <w:right w:val="single" w:sz="8" w:color="auto"/>
            </w:tcBorders>
            <w:shd w:val="clear" w:color="auto" w:fill="CCEB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shd w:val="clear" w:color="auto" w:fill="CCEBFF"/>
          </w:tcPr>
          <w:p>
            <w:pPr>
              <w:spacing w:after="0"/>
              <w:rPr>
                <w:sz w:val="17"/>
                <w:szCs w:val="17"/>
                <w:color w:val="auto"/>
              </w:rPr>
            </w:pPr>
          </w:p>
        </w:tc>
        <w:tc>
          <w:tcPr>
            <w:tcW w:w="146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2"/>
              </w:rPr>
              <w:t>November 22, 2021</w:t>
            </w:r>
          </w:p>
        </w:tc>
        <w:tc>
          <w:tcPr>
            <w:tcW w:w="176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8"/>
              </w:rPr>
              <w:t>purchase and</w:t>
            </w:r>
          </w:p>
        </w:tc>
        <w:tc>
          <w:tcPr>
            <w:tcW w:w="120" w:type="dxa"/>
            <w:vAlign w:val="bottom"/>
            <w:shd w:val="clear" w:color="auto" w:fill="CCEBFF"/>
          </w:tcPr>
          <w:p>
            <w:pPr>
              <w:jc w:val="right"/>
              <w:ind w:right="9"/>
              <w:spacing w:after="0"/>
              <w:rPr>
                <w:sz w:val="20"/>
                <w:szCs w:val="20"/>
                <w:color w:val="auto"/>
              </w:rPr>
            </w:pPr>
            <w:r>
              <w:rPr>
                <w:rFonts w:ascii="Arial" w:cs="Arial" w:eastAsia="Arial" w:hAnsi="Arial"/>
                <w:sz w:val="10"/>
                <w:szCs w:val="10"/>
                <w:color w:val="auto"/>
                <w:w w:val="71"/>
              </w:rPr>
              <w:t>$</w:t>
            </w:r>
          </w:p>
        </w:tc>
        <w:tc>
          <w:tcPr>
            <w:tcW w:w="102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9,562</w:t>
            </w:r>
          </w:p>
        </w:tc>
        <w:tc>
          <w:tcPr>
            <w:tcW w:w="160" w:type="dxa"/>
            <w:vAlign w:val="bottom"/>
            <w:shd w:val="clear" w:color="auto" w:fill="CCEBFF"/>
          </w:tcPr>
          <w:p>
            <w:pPr>
              <w:jc w:val="right"/>
              <w:ind w:right="4"/>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1,269</w:t>
            </w:r>
          </w:p>
        </w:tc>
        <w:tc>
          <w:tcPr>
            <w:tcW w:w="40" w:type="dxa"/>
            <w:vAlign w:val="bottom"/>
            <w:shd w:val="clear" w:color="auto" w:fill="CCEBFF"/>
          </w:tcPr>
          <w:p>
            <w:pPr>
              <w:spacing w:after="0"/>
              <w:rPr>
                <w:sz w:val="17"/>
                <w:szCs w:val="17"/>
                <w:color w:val="auto"/>
              </w:rPr>
            </w:pPr>
          </w:p>
        </w:tc>
        <w:tc>
          <w:tcPr>
            <w:tcW w:w="82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9"/>
              </w:rPr>
              <w:t>Other</w:t>
            </w: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shd w:val="clear" w:color="auto" w:fill="CCEBFF"/>
          </w:tcPr>
          <w:p>
            <w:pPr>
              <w:spacing w:after="0"/>
              <w:rPr>
                <w:sz w:val="17"/>
                <w:szCs w:val="17"/>
                <w:color w:val="auto"/>
              </w:rPr>
            </w:pPr>
          </w:p>
        </w:tc>
        <w:tc>
          <w:tcPr>
            <w:tcW w:w="1460" w:type="dxa"/>
            <w:vAlign w:val="bottom"/>
            <w:tcBorders>
              <w:right w:val="single" w:sz="8" w:color="auto"/>
            </w:tcBorders>
            <w:shd w:val="clear" w:color="auto" w:fill="CCEBFF"/>
          </w:tcPr>
          <w:p>
            <w:pPr>
              <w:spacing w:after="0"/>
              <w:rPr>
                <w:sz w:val="17"/>
                <w:szCs w:val="17"/>
                <w:color w:val="auto"/>
              </w:rPr>
            </w:pPr>
          </w:p>
        </w:tc>
        <w:tc>
          <w:tcPr>
            <w:tcW w:w="176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1"/>
              </w:rPr>
              <w:t>noncontrolling interest, net</w:t>
            </w:r>
          </w:p>
        </w:tc>
        <w:tc>
          <w:tcPr>
            <w:tcW w:w="120" w:type="dxa"/>
            <w:vAlign w:val="bottom"/>
            <w:shd w:val="clear" w:color="auto" w:fill="CCEBFF"/>
          </w:tcPr>
          <w:p>
            <w:pPr>
              <w:spacing w:after="0"/>
              <w:rPr>
                <w:sz w:val="17"/>
                <w:szCs w:val="17"/>
                <w:color w:val="auto"/>
              </w:rPr>
            </w:pPr>
          </w:p>
        </w:tc>
        <w:tc>
          <w:tcPr>
            <w:tcW w:w="1020" w:type="dxa"/>
            <w:vAlign w:val="bottom"/>
            <w:tcBorders>
              <w:right w:val="single" w:sz="8" w:color="auto"/>
            </w:tcBorders>
            <w:shd w:val="clear" w:color="auto" w:fill="CCEBFF"/>
          </w:tcPr>
          <w:p>
            <w:pPr>
              <w:spacing w:after="0"/>
              <w:rPr>
                <w:sz w:val="17"/>
                <w:szCs w:val="17"/>
                <w:color w:val="auto"/>
              </w:rPr>
            </w:pPr>
          </w:p>
        </w:tc>
        <w:tc>
          <w:tcPr>
            <w:tcW w:w="160" w:type="dxa"/>
            <w:vAlign w:val="bottom"/>
            <w:shd w:val="clear" w:color="auto" w:fill="CCEBFF"/>
          </w:tcPr>
          <w:p>
            <w:pPr>
              <w:spacing w:after="0"/>
              <w:rPr>
                <w:sz w:val="17"/>
                <w:szCs w:val="17"/>
                <w:color w:val="auto"/>
              </w:rPr>
            </w:pPr>
          </w:p>
        </w:tc>
        <w:tc>
          <w:tcPr>
            <w:tcW w:w="980" w:type="dxa"/>
            <w:vAlign w:val="bottom"/>
            <w:tcBorders>
              <w:right w:val="single" w:sz="8" w:color="auto"/>
            </w:tcBorders>
            <w:shd w:val="clear" w:color="auto" w:fill="CCEBFF"/>
          </w:tcPr>
          <w:p>
            <w:pPr>
              <w:spacing w:after="0"/>
              <w:rPr>
                <w:sz w:val="17"/>
                <w:szCs w:val="17"/>
                <w:color w:val="auto"/>
              </w:rPr>
            </w:pPr>
          </w:p>
        </w:tc>
        <w:tc>
          <w:tcPr>
            <w:tcW w:w="40" w:type="dxa"/>
            <w:vAlign w:val="bottom"/>
            <w:shd w:val="clear" w:color="auto" w:fill="CCEBFF"/>
          </w:tcPr>
          <w:p>
            <w:pPr>
              <w:spacing w:after="0"/>
              <w:rPr>
                <w:sz w:val="17"/>
                <w:szCs w:val="17"/>
                <w:color w:val="auto"/>
              </w:rPr>
            </w:pPr>
          </w:p>
        </w:tc>
        <w:tc>
          <w:tcPr>
            <w:tcW w:w="820" w:type="dxa"/>
            <w:vAlign w:val="bottom"/>
            <w:tcBorders>
              <w:right w:val="single" w:sz="8" w:color="auto"/>
            </w:tcBorders>
            <w:shd w:val="clear" w:color="auto" w:fill="CCEB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6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Arial" w:cs="Arial" w:eastAsia="Arial" w:hAnsi="Arial"/>
                <w:sz w:val="16"/>
                <w:szCs w:val="16"/>
                <w:color w:val="auto"/>
                <w:w w:val="93"/>
              </w:rPr>
              <w:t>Ficus Pax Private Limited (Ficus)</w:t>
            </w:r>
          </w:p>
        </w:tc>
        <w:tc>
          <w:tcPr>
            <w:tcW w:w="1460" w:type="dxa"/>
            <w:vAlign w:val="bottom"/>
            <w:tcBorders>
              <w:bottom w:val="single" w:sz="8" w:color="auto"/>
              <w:right w:val="single" w:sz="8" w:color="auto"/>
            </w:tcBorders>
            <w:shd w:val="clear" w:color="auto" w:fill="CCEBFF"/>
          </w:tcPr>
          <w:p>
            <w:pPr>
              <w:spacing w:after="0"/>
              <w:rPr>
                <w:sz w:val="18"/>
                <w:szCs w:val="18"/>
                <w:color w:val="auto"/>
              </w:rPr>
            </w:pPr>
          </w:p>
        </w:tc>
        <w:tc>
          <w:tcPr>
            <w:tcW w:w="176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0"/>
              </w:rPr>
              <w:t>of acquired cash</w:t>
            </w:r>
          </w:p>
        </w:tc>
        <w:tc>
          <w:tcPr>
            <w:tcW w:w="120" w:type="dxa"/>
            <w:vAlign w:val="bottom"/>
            <w:tcBorders>
              <w:bottom w:val="single" w:sz="8" w:color="auto"/>
            </w:tcBorders>
            <w:shd w:val="clear" w:color="auto" w:fill="CCEBFF"/>
          </w:tcPr>
          <w:p>
            <w:pPr>
              <w:spacing w:after="0"/>
              <w:rPr>
                <w:sz w:val="18"/>
                <w:szCs w:val="18"/>
                <w:color w:val="auto"/>
              </w:rPr>
            </w:pPr>
          </w:p>
        </w:tc>
        <w:tc>
          <w:tcPr>
            <w:tcW w:w="1020" w:type="dxa"/>
            <w:vAlign w:val="bottom"/>
            <w:tcBorders>
              <w:bottom w:val="single" w:sz="8" w:color="auto"/>
              <w:right w:val="single" w:sz="8" w:color="auto"/>
            </w:tcBorders>
            <w:shd w:val="clear" w:color="auto" w:fill="CCEBFF"/>
          </w:tcPr>
          <w:p>
            <w:pPr>
              <w:spacing w:after="0"/>
              <w:rPr>
                <w:sz w:val="18"/>
                <w:szCs w:val="18"/>
                <w:color w:val="auto"/>
              </w:rPr>
            </w:pPr>
          </w:p>
        </w:tc>
        <w:tc>
          <w:tcPr>
            <w:tcW w:w="160" w:type="dxa"/>
            <w:vAlign w:val="bottom"/>
            <w:tcBorders>
              <w:bottom w:val="single" w:sz="8" w:color="auto"/>
            </w:tcBorders>
            <w:shd w:val="clear" w:color="auto" w:fill="CCEBFF"/>
          </w:tcPr>
          <w:p>
            <w:pPr>
              <w:spacing w:after="0"/>
              <w:rPr>
                <w:sz w:val="18"/>
                <w:szCs w:val="18"/>
                <w:color w:val="auto"/>
              </w:rPr>
            </w:pPr>
          </w:p>
        </w:tc>
        <w:tc>
          <w:tcPr>
            <w:tcW w:w="980" w:type="dxa"/>
            <w:vAlign w:val="bottom"/>
            <w:tcBorders>
              <w:bottom w:val="single" w:sz="8" w:color="auto"/>
              <w:right w:val="single" w:sz="8" w:color="auto"/>
            </w:tcBorders>
            <w:shd w:val="clear" w:color="auto" w:fill="CCEBFF"/>
          </w:tcPr>
          <w:p>
            <w:pPr>
              <w:spacing w:after="0"/>
              <w:rPr>
                <w:sz w:val="18"/>
                <w:szCs w:val="18"/>
                <w:color w:val="auto"/>
              </w:rPr>
            </w:pPr>
          </w:p>
        </w:tc>
        <w:tc>
          <w:tcPr>
            <w:tcW w:w="40" w:type="dxa"/>
            <w:vAlign w:val="bottom"/>
            <w:tcBorders>
              <w:bottom w:val="single" w:sz="8" w:color="auto"/>
            </w:tcBorders>
            <w:shd w:val="clear" w:color="auto" w:fill="CCEBFF"/>
          </w:tcPr>
          <w:p>
            <w:pPr>
              <w:spacing w:after="0"/>
              <w:rPr>
                <w:sz w:val="18"/>
                <w:szCs w:val="18"/>
                <w:color w:val="auto"/>
              </w:rPr>
            </w:pPr>
          </w:p>
        </w:tc>
        <w:tc>
          <w:tcPr>
            <w:tcW w:w="820" w:type="dxa"/>
            <w:vAlign w:val="bottom"/>
            <w:tcBorders>
              <w:bottom w:val="single" w:sz="8" w:color="auto"/>
              <w:right w:val="single" w:sz="8" w:color="auto"/>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560" w:type="dxa"/>
            <w:vAlign w:val="bottom"/>
            <w:tcBorders>
              <w:left w:val="single" w:sz="8" w:color="auto"/>
              <w:right w:val="single" w:sz="8" w:color="auto"/>
            </w:tcBorders>
            <w:vMerge w:val="continue"/>
            <w:shd w:val="clear" w:color="auto" w:fill="CCEBFF"/>
          </w:tcPr>
          <w:p>
            <w:pPr>
              <w:spacing w:after="0"/>
              <w:rPr>
                <w:sz w:val="16"/>
                <w:szCs w:val="16"/>
                <w:color w:val="auto"/>
              </w:rPr>
            </w:pPr>
          </w:p>
        </w:tc>
        <w:tc>
          <w:tcPr>
            <w:tcW w:w="6360" w:type="dxa"/>
            <w:vAlign w:val="bottom"/>
            <w:tcBorders>
              <w:right w:val="single" w:sz="8" w:color="auto"/>
            </w:tcBorders>
            <w:gridSpan w:val="8"/>
            <w:shd w:val="clear" w:color="auto" w:fill="CCEBFF"/>
          </w:tcPr>
          <w:p>
            <w:pPr>
              <w:spacing w:after="0"/>
              <w:rPr>
                <w:sz w:val="20"/>
                <w:szCs w:val="20"/>
                <w:color w:val="auto"/>
              </w:rPr>
            </w:pPr>
            <w:r>
              <w:rPr>
                <w:rFonts w:ascii="Arial" w:cs="Arial" w:eastAsia="Arial" w:hAnsi="Arial"/>
                <w:sz w:val="16"/>
                <w:szCs w:val="16"/>
                <w:color w:val="auto"/>
                <w:w w:val="90"/>
              </w:rPr>
              <w:t>Headquartered in Bangalore, India, Ficus manufactures mixed-material cases and crates, nail-less</w:t>
            </w: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shd w:val="clear" w:color="auto" w:fill="CCEBFF"/>
          </w:tcPr>
          <w:p>
            <w:pPr>
              <w:spacing w:after="0"/>
              <w:rPr>
                <w:sz w:val="17"/>
                <w:szCs w:val="17"/>
                <w:color w:val="auto"/>
              </w:rPr>
            </w:pPr>
          </w:p>
        </w:tc>
        <w:tc>
          <w:tcPr>
            <w:tcW w:w="6360" w:type="dxa"/>
            <w:vAlign w:val="bottom"/>
            <w:tcBorders>
              <w:right w:val="single" w:sz="8" w:color="auto"/>
            </w:tcBorders>
            <w:gridSpan w:val="8"/>
            <w:shd w:val="clear" w:color="auto" w:fill="CCEBFF"/>
          </w:tcPr>
          <w:p>
            <w:pPr>
              <w:spacing w:after="0"/>
              <w:rPr>
                <w:sz w:val="20"/>
                <w:szCs w:val="20"/>
                <w:color w:val="auto"/>
              </w:rPr>
            </w:pPr>
            <w:r>
              <w:rPr>
                <w:rFonts w:ascii="Arial" w:cs="Arial" w:eastAsia="Arial" w:hAnsi="Arial"/>
                <w:sz w:val="16"/>
                <w:szCs w:val="16"/>
                <w:color w:val="auto"/>
                <w:w w:val="96"/>
              </w:rPr>
              <w:t>plywood boxes, wooden pallets and other packaging products through 10 facilities located in</w:t>
            </w: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shd w:val="clear" w:color="auto" w:fill="CCEBFF"/>
          </w:tcPr>
          <w:p>
            <w:pPr>
              <w:spacing w:after="0"/>
              <w:rPr>
                <w:sz w:val="17"/>
                <w:szCs w:val="17"/>
                <w:color w:val="auto"/>
              </w:rPr>
            </w:pPr>
          </w:p>
        </w:tc>
        <w:tc>
          <w:tcPr>
            <w:tcW w:w="6360" w:type="dxa"/>
            <w:vAlign w:val="bottom"/>
            <w:tcBorders>
              <w:right w:val="single" w:sz="8" w:color="auto"/>
            </w:tcBorders>
            <w:gridSpan w:val="8"/>
            <w:shd w:val="clear" w:color="auto" w:fill="CCEBFF"/>
          </w:tcPr>
          <w:p>
            <w:pPr>
              <w:spacing w:after="0"/>
              <w:rPr>
                <w:sz w:val="20"/>
                <w:szCs w:val="20"/>
                <w:color w:val="auto"/>
              </w:rPr>
            </w:pPr>
            <w:r>
              <w:rPr>
                <w:rFonts w:ascii="Arial" w:cs="Arial" w:eastAsia="Arial" w:hAnsi="Arial"/>
                <w:sz w:val="16"/>
                <w:szCs w:val="16"/>
                <w:color w:val="auto"/>
                <w:w w:val="91"/>
              </w:rPr>
              <w:t>major industrial markets throughout southern India. Ficus also owns a majority stake in Wadpack,</w:t>
            </w: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shd w:val="clear" w:color="auto" w:fill="CCEBFF"/>
          </w:tcPr>
          <w:p>
            <w:pPr>
              <w:spacing w:after="0"/>
              <w:rPr>
                <w:sz w:val="17"/>
                <w:szCs w:val="17"/>
                <w:color w:val="auto"/>
              </w:rPr>
            </w:pPr>
          </w:p>
        </w:tc>
        <w:tc>
          <w:tcPr>
            <w:tcW w:w="6360" w:type="dxa"/>
            <w:vAlign w:val="bottom"/>
            <w:tcBorders>
              <w:right w:val="single" w:sz="8" w:color="auto"/>
            </w:tcBorders>
            <w:gridSpan w:val="8"/>
            <w:shd w:val="clear" w:color="auto" w:fill="CCEBFF"/>
          </w:tcPr>
          <w:p>
            <w:pPr>
              <w:spacing w:after="0"/>
              <w:rPr>
                <w:sz w:val="20"/>
                <w:szCs w:val="20"/>
                <w:color w:val="auto"/>
              </w:rPr>
            </w:pPr>
            <w:r>
              <w:rPr>
                <w:rFonts w:ascii="Arial" w:cs="Arial" w:eastAsia="Arial" w:hAnsi="Arial"/>
                <w:sz w:val="16"/>
                <w:szCs w:val="16"/>
                <w:color w:val="auto"/>
                <w:w w:val="91"/>
              </w:rPr>
              <w:t>a manufacturer of corrugated fiber board containers, corrugated pallets and display solutions. The</w:t>
            </w:r>
          </w:p>
        </w:tc>
        <w:tc>
          <w:tcPr>
            <w:tcW w:w="0" w:type="dxa"/>
            <w:vAlign w:val="bottom"/>
          </w:tcPr>
          <w:p>
            <w:pPr>
              <w:spacing w:after="0"/>
              <w:rPr>
                <w:sz w:val="1"/>
                <w:szCs w:val="1"/>
                <w:color w:val="auto"/>
              </w:rPr>
            </w:pPr>
          </w:p>
        </w:tc>
      </w:tr>
      <w:tr>
        <w:trPr>
          <w:trHeight w:val="219"/>
        </w:trPr>
        <w:tc>
          <w:tcPr>
            <w:tcW w:w="256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6360" w:type="dxa"/>
            <w:vAlign w:val="bottom"/>
            <w:tcBorders>
              <w:bottom w:val="single" w:sz="8" w:color="auto"/>
              <w:right w:val="single" w:sz="8" w:color="auto"/>
            </w:tcBorders>
            <w:gridSpan w:val="8"/>
            <w:shd w:val="clear" w:color="auto" w:fill="CCEBFF"/>
          </w:tcPr>
          <w:p>
            <w:pPr>
              <w:spacing w:after="0"/>
              <w:rPr>
                <w:sz w:val="20"/>
                <w:szCs w:val="20"/>
                <w:color w:val="auto"/>
              </w:rPr>
            </w:pPr>
            <w:r>
              <w:rPr>
                <w:rFonts w:ascii="Arial" w:cs="Arial" w:eastAsia="Arial" w:hAnsi="Arial"/>
                <w:sz w:val="16"/>
                <w:szCs w:val="16"/>
                <w:color w:val="auto"/>
                <w:w w:val="95"/>
              </w:rPr>
              <w:t>Company had trailing 12-month sales through August 2021 of approximately $39 million USD.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00" w:lineRule="exact"/>
        <w:rPr>
          <w:sz w:val="20"/>
          <w:szCs w:val="20"/>
          <w:color w:val="auto"/>
        </w:rPr>
      </w:pPr>
    </w:p>
    <w:p>
      <w:pPr>
        <w:spacing w:after="0" w:line="226" w:lineRule="exact"/>
        <w:rPr>
          <w:sz w:val="20"/>
          <w:szCs w:val="20"/>
          <w:color w:val="auto"/>
        </w:rPr>
      </w:pPr>
    </w:p>
    <w:tbl>
      <w:tblPr>
        <w:tblLayout w:type="fixed"/>
        <w:tblInd w:w="50" w:type="dxa"/>
        <w:tblCellMar>
          <w:top w:w="0" w:type="dxa"/>
          <w:left w:w="0" w:type="dxa"/>
          <w:bottom w:w="0" w:type="dxa"/>
          <w:right w:w="0" w:type="dxa"/>
        </w:tblCellMar>
      </w:tblPr>
      <w:tr>
        <w:trPr>
          <w:trHeight w:val="216"/>
        </w:trPr>
        <w:tc>
          <w:tcPr>
            <w:tcW w:w="2560" w:type="dxa"/>
            <w:vAlign w:val="bottom"/>
            <w:tcBorders>
              <w:top w:val="single" w:sz="8" w:color="auto"/>
              <w:left w:val="single" w:sz="8" w:color="auto"/>
              <w:right w:val="single" w:sz="8" w:color="auto"/>
            </w:tcBorders>
          </w:tcPr>
          <w:p>
            <w:pPr>
              <w:spacing w:after="0"/>
              <w:rPr>
                <w:sz w:val="18"/>
                <w:szCs w:val="18"/>
                <w:color w:val="auto"/>
              </w:rPr>
            </w:pPr>
          </w:p>
        </w:tc>
        <w:tc>
          <w:tcPr>
            <w:tcW w:w="1460" w:type="dxa"/>
            <w:vAlign w:val="bottom"/>
            <w:tcBorders>
              <w:top w:val="single" w:sz="8" w:color="auto"/>
              <w:right w:val="single" w:sz="8" w:color="auto"/>
            </w:tcBorders>
          </w:tcPr>
          <w:p>
            <w:pPr>
              <w:spacing w:after="0"/>
              <w:rPr>
                <w:sz w:val="18"/>
                <w:szCs w:val="18"/>
                <w:color w:val="auto"/>
              </w:rPr>
            </w:pPr>
          </w:p>
        </w:tc>
        <w:tc>
          <w:tcPr>
            <w:tcW w:w="1760" w:type="dxa"/>
            <w:vAlign w:val="bottom"/>
            <w:tcBorders>
              <w:top w:val="single" w:sz="8" w:color="auto"/>
              <w:right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right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right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Net</w:t>
            </w:r>
          </w:p>
        </w:tc>
        <w:tc>
          <w:tcPr>
            <w:tcW w:w="86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Company</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Acquisition</w:t>
            </w:r>
          </w:p>
        </w:tc>
        <w:tc>
          <w:tcPr>
            <w:tcW w:w="17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right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7"/>
              </w:rPr>
              <w:t>Intangible</w:t>
            </w:r>
          </w:p>
        </w:tc>
        <w:tc>
          <w:tcPr>
            <w:tcW w:w="160" w:type="dxa"/>
            <w:vAlign w:val="bottom"/>
          </w:tcPr>
          <w:p>
            <w:pPr>
              <w:spacing w:after="0"/>
              <w:rPr>
                <w:sz w:val="17"/>
                <w:szCs w:val="17"/>
                <w:color w:val="auto"/>
              </w:rPr>
            </w:pPr>
          </w:p>
        </w:tc>
        <w:tc>
          <w:tcPr>
            <w:tcW w:w="980" w:type="dxa"/>
            <w:vAlign w:val="bottom"/>
            <w:tcBorders>
              <w:right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Tangible</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Operating</w:t>
            </w:r>
          </w:p>
        </w:tc>
        <w:tc>
          <w:tcPr>
            <w:tcW w:w="0" w:type="dxa"/>
            <w:vAlign w:val="bottom"/>
          </w:tcPr>
          <w:p>
            <w:pPr>
              <w:spacing w:after="0"/>
              <w:rPr>
                <w:sz w:val="1"/>
                <w:szCs w:val="1"/>
                <w:color w:val="auto"/>
              </w:rPr>
            </w:pPr>
          </w:p>
        </w:tc>
      </w:tr>
      <w:tr>
        <w:trPr>
          <w:trHeight w:val="223"/>
        </w:trPr>
        <w:tc>
          <w:tcPr>
            <w:tcW w:w="2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Name</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Date</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Purchase Price</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Assets</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Segment</w:t>
            </w:r>
          </w:p>
        </w:tc>
        <w:tc>
          <w:tcPr>
            <w:tcW w:w="0" w:type="dxa"/>
            <w:vAlign w:val="bottom"/>
          </w:tcPr>
          <w:p>
            <w:pPr>
              <w:spacing w:after="0"/>
              <w:rPr>
                <w:sz w:val="1"/>
                <w:szCs w:val="1"/>
                <w:color w:val="auto"/>
              </w:rPr>
            </w:pPr>
          </w:p>
        </w:tc>
      </w:tr>
      <w:tr>
        <w:trPr>
          <w:trHeight w:val="193"/>
        </w:trPr>
        <w:tc>
          <w:tcPr>
            <w:tcW w:w="2560" w:type="dxa"/>
            <w:vAlign w:val="bottom"/>
            <w:tcBorders>
              <w:left w:val="single" w:sz="8" w:color="auto"/>
              <w:right w:val="single" w:sz="8" w:color="auto"/>
            </w:tcBorders>
            <w:shd w:val="clear" w:color="auto" w:fill="CCEBFF"/>
          </w:tcPr>
          <w:p>
            <w:pPr>
              <w:spacing w:after="0"/>
              <w:rPr>
                <w:sz w:val="16"/>
                <w:szCs w:val="16"/>
                <w:color w:val="auto"/>
              </w:rPr>
            </w:pPr>
          </w:p>
        </w:tc>
        <w:tc>
          <w:tcPr>
            <w:tcW w:w="1460" w:type="dxa"/>
            <w:vAlign w:val="bottom"/>
            <w:tcBorders>
              <w:right w:val="single" w:sz="8" w:color="auto"/>
            </w:tcBorders>
            <w:shd w:val="clear" w:color="auto" w:fill="CCEBFF"/>
          </w:tcPr>
          <w:p>
            <w:pPr>
              <w:spacing w:after="0"/>
              <w:rPr>
                <w:sz w:val="16"/>
                <w:szCs w:val="16"/>
                <w:color w:val="auto"/>
              </w:rPr>
            </w:pPr>
          </w:p>
        </w:tc>
        <w:tc>
          <w:tcPr>
            <w:tcW w:w="176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3"/>
              </w:rPr>
              <w:t>$5,984</w:t>
            </w:r>
          </w:p>
        </w:tc>
        <w:tc>
          <w:tcPr>
            <w:tcW w:w="120" w:type="dxa"/>
            <w:vAlign w:val="bottom"/>
            <w:shd w:val="clear" w:color="auto" w:fill="CCEBFF"/>
          </w:tcPr>
          <w:p>
            <w:pPr>
              <w:spacing w:after="0"/>
              <w:rPr>
                <w:sz w:val="16"/>
                <w:szCs w:val="16"/>
                <w:color w:val="auto"/>
              </w:rPr>
            </w:pPr>
          </w:p>
        </w:tc>
        <w:tc>
          <w:tcPr>
            <w:tcW w:w="1020" w:type="dxa"/>
            <w:vAlign w:val="bottom"/>
            <w:tcBorders>
              <w:right w:val="single" w:sz="8" w:color="auto"/>
            </w:tcBorders>
            <w:shd w:val="clear" w:color="auto" w:fill="CCEBFF"/>
          </w:tcPr>
          <w:p>
            <w:pPr>
              <w:spacing w:after="0"/>
              <w:rPr>
                <w:sz w:val="16"/>
                <w:szCs w:val="16"/>
                <w:color w:val="auto"/>
              </w:rPr>
            </w:pPr>
          </w:p>
        </w:tc>
        <w:tc>
          <w:tcPr>
            <w:tcW w:w="160" w:type="dxa"/>
            <w:vAlign w:val="bottom"/>
            <w:shd w:val="clear" w:color="auto" w:fill="CCEBFF"/>
          </w:tcPr>
          <w:p>
            <w:pPr>
              <w:spacing w:after="0"/>
              <w:rPr>
                <w:sz w:val="16"/>
                <w:szCs w:val="16"/>
                <w:color w:val="auto"/>
              </w:rPr>
            </w:pPr>
          </w:p>
        </w:tc>
        <w:tc>
          <w:tcPr>
            <w:tcW w:w="980" w:type="dxa"/>
            <w:vAlign w:val="bottom"/>
            <w:tcBorders>
              <w:right w:val="single" w:sz="8" w:color="auto"/>
            </w:tcBorders>
            <w:shd w:val="clear" w:color="auto" w:fill="CCEBFF"/>
          </w:tcPr>
          <w:p>
            <w:pPr>
              <w:spacing w:after="0"/>
              <w:rPr>
                <w:sz w:val="16"/>
                <w:szCs w:val="16"/>
                <w:color w:val="auto"/>
              </w:rPr>
            </w:pPr>
          </w:p>
        </w:tc>
        <w:tc>
          <w:tcPr>
            <w:tcW w:w="860" w:type="dxa"/>
            <w:vAlign w:val="bottom"/>
            <w:tcBorders>
              <w:right w:val="single" w:sz="8" w:color="auto"/>
            </w:tcBorders>
            <w:shd w:val="clear" w:color="auto" w:fill="CCEBFF"/>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560" w:type="dxa"/>
            <w:vAlign w:val="bottom"/>
            <w:tcBorders>
              <w:left w:val="single" w:sz="8" w:color="auto"/>
              <w:right w:val="single" w:sz="8" w:color="auto"/>
            </w:tcBorders>
            <w:shd w:val="clear" w:color="auto" w:fill="CCEBFF"/>
          </w:tcPr>
          <w:p>
            <w:pPr>
              <w:spacing w:after="0"/>
              <w:rPr>
                <w:sz w:val="21"/>
                <w:szCs w:val="21"/>
                <w:color w:val="auto"/>
              </w:rPr>
            </w:pPr>
          </w:p>
        </w:tc>
        <w:tc>
          <w:tcPr>
            <w:tcW w:w="146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2"/>
              </w:rPr>
              <w:t>November 1, 2021</w:t>
            </w:r>
          </w:p>
        </w:tc>
        <w:tc>
          <w:tcPr>
            <w:tcW w:w="176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0"/>
              </w:rPr>
              <w:t>cash paid for 100% asset</w:t>
            </w:r>
          </w:p>
        </w:tc>
        <w:tc>
          <w:tcPr>
            <w:tcW w:w="120" w:type="dxa"/>
            <w:vAlign w:val="bottom"/>
            <w:shd w:val="clear" w:color="auto" w:fill="CCEBFF"/>
          </w:tcPr>
          <w:p>
            <w:pPr>
              <w:jc w:val="right"/>
              <w:ind w:right="9"/>
              <w:spacing w:after="0"/>
              <w:rPr>
                <w:sz w:val="20"/>
                <w:szCs w:val="20"/>
                <w:color w:val="auto"/>
              </w:rPr>
            </w:pPr>
            <w:r>
              <w:rPr>
                <w:rFonts w:ascii="Arial" w:cs="Arial" w:eastAsia="Arial" w:hAnsi="Arial"/>
                <w:sz w:val="10"/>
                <w:szCs w:val="10"/>
                <w:color w:val="auto"/>
                <w:w w:val="71"/>
              </w:rPr>
              <w:t>$</w:t>
            </w:r>
          </w:p>
        </w:tc>
        <w:tc>
          <w:tcPr>
            <w:tcW w:w="102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5,681</w:t>
            </w:r>
          </w:p>
        </w:tc>
        <w:tc>
          <w:tcPr>
            <w:tcW w:w="160" w:type="dxa"/>
            <w:vAlign w:val="bottom"/>
            <w:shd w:val="clear" w:color="auto" w:fill="CCEBFF"/>
          </w:tcPr>
          <w:p>
            <w:pPr>
              <w:jc w:val="right"/>
              <w:ind w:right="4"/>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303</w:t>
            </w:r>
          </w:p>
        </w:tc>
        <w:tc>
          <w:tcPr>
            <w:tcW w:w="86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9"/>
              </w:rPr>
              <w:t>Other</w:t>
            </w:r>
          </w:p>
        </w:tc>
        <w:tc>
          <w:tcPr>
            <w:tcW w:w="0" w:type="dxa"/>
            <w:vAlign w:val="bottom"/>
          </w:tcPr>
          <w:p>
            <w:pPr>
              <w:spacing w:after="0"/>
              <w:rPr>
                <w:sz w:val="1"/>
                <w:szCs w:val="1"/>
                <w:color w:val="auto"/>
              </w:rPr>
            </w:pPr>
          </w:p>
        </w:tc>
      </w:tr>
      <w:tr>
        <w:trPr>
          <w:trHeight w:val="152"/>
        </w:trPr>
        <w:tc>
          <w:tcPr>
            <w:tcW w:w="2560" w:type="dxa"/>
            <w:vAlign w:val="bottom"/>
            <w:tcBorders>
              <w:left w:val="single" w:sz="8" w:color="auto"/>
              <w:right w:val="single" w:sz="8" w:color="auto"/>
            </w:tcBorders>
            <w:shd w:val="clear" w:color="auto" w:fill="CCEBFF"/>
          </w:tcPr>
          <w:p>
            <w:pPr>
              <w:spacing w:after="0"/>
              <w:rPr>
                <w:sz w:val="13"/>
                <w:szCs w:val="13"/>
                <w:color w:val="auto"/>
              </w:rPr>
            </w:pPr>
          </w:p>
        </w:tc>
        <w:tc>
          <w:tcPr>
            <w:tcW w:w="1460" w:type="dxa"/>
            <w:vAlign w:val="bottom"/>
            <w:tcBorders>
              <w:right w:val="single" w:sz="8" w:color="auto"/>
            </w:tcBorders>
            <w:shd w:val="clear" w:color="auto" w:fill="CCEBFF"/>
          </w:tcPr>
          <w:p>
            <w:pPr>
              <w:spacing w:after="0"/>
              <w:rPr>
                <w:sz w:val="13"/>
                <w:szCs w:val="13"/>
                <w:color w:val="auto"/>
              </w:rPr>
            </w:pPr>
          </w:p>
        </w:tc>
        <w:tc>
          <w:tcPr>
            <w:tcW w:w="1760" w:type="dxa"/>
            <w:vAlign w:val="bottom"/>
            <w:tcBorders>
              <w:right w:val="single" w:sz="8" w:color="auto"/>
            </w:tcBorders>
            <w:shd w:val="clear" w:color="auto" w:fill="CCEBFF"/>
          </w:tcPr>
          <w:p>
            <w:pPr>
              <w:jc w:val="center"/>
              <w:spacing w:after="0" w:line="152" w:lineRule="exact"/>
              <w:rPr>
                <w:sz w:val="20"/>
                <w:szCs w:val="20"/>
                <w:color w:val="auto"/>
              </w:rPr>
            </w:pPr>
            <w:r>
              <w:rPr>
                <w:rFonts w:ascii="Arial" w:cs="Arial" w:eastAsia="Arial" w:hAnsi="Arial"/>
                <w:sz w:val="16"/>
                <w:szCs w:val="16"/>
                <w:color w:val="auto"/>
                <w:w w:val="87"/>
              </w:rPr>
              <w:t>purchase and estimated</w:t>
            </w:r>
          </w:p>
        </w:tc>
        <w:tc>
          <w:tcPr>
            <w:tcW w:w="120" w:type="dxa"/>
            <w:vAlign w:val="bottom"/>
            <w:shd w:val="clear" w:color="auto" w:fill="CCEBFF"/>
          </w:tcPr>
          <w:p>
            <w:pPr>
              <w:spacing w:after="0"/>
              <w:rPr>
                <w:sz w:val="13"/>
                <w:szCs w:val="13"/>
                <w:color w:val="auto"/>
              </w:rPr>
            </w:pPr>
          </w:p>
        </w:tc>
        <w:tc>
          <w:tcPr>
            <w:tcW w:w="1020" w:type="dxa"/>
            <w:vAlign w:val="bottom"/>
            <w:tcBorders>
              <w:right w:val="single" w:sz="8" w:color="auto"/>
            </w:tcBorders>
            <w:shd w:val="clear" w:color="auto" w:fill="CCEBFF"/>
          </w:tcPr>
          <w:p>
            <w:pPr>
              <w:spacing w:after="0"/>
              <w:rPr>
                <w:sz w:val="13"/>
                <w:szCs w:val="13"/>
                <w:color w:val="auto"/>
              </w:rPr>
            </w:pPr>
          </w:p>
        </w:tc>
        <w:tc>
          <w:tcPr>
            <w:tcW w:w="160" w:type="dxa"/>
            <w:vAlign w:val="bottom"/>
            <w:shd w:val="clear" w:color="auto" w:fill="CCEBFF"/>
          </w:tcPr>
          <w:p>
            <w:pPr>
              <w:spacing w:after="0"/>
              <w:rPr>
                <w:sz w:val="13"/>
                <w:szCs w:val="13"/>
                <w:color w:val="auto"/>
              </w:rPr>
            </w:pPr>
          </w:p>
        </w:tc>
        <w:tc>
          <w:tcPr>
            <w:tcW w:w="980" w:type="dxa"/>
            <w:vAlign w:val="bottom"/>
            <w:tcBorders>
              <w:right w:val="single" w:sz="8" w:color="auto"/>
            </w:tcBorders>
            <w:shd w:val="clear" w:color="auto" w:fill="CCEBFF"/>
          </w:tcPr>
          <w:p>
            <w:pPr>
              <w:spacing w:after="0"/>
              <w:rPr>
                <w:sz w:val="13"/>
                <w:szCs w:val="13"/>
                <w:color w:val="auto"/>
              </w:rPr>
            </w:pPr>
          </w:p>
        </w:tc>
        <w:tc>
          <w:tcPr>
            <w:tcW w:w="860" w:type="dxa"/>
            <w:vAlign w:val="bottom"/>
            <w:tcBorders>
              <w:right w:val="single" w:sz="8" w:color="auto"/>
            </w:tcBorders>
            <w:shd w:val="clear" w:color="auto" w:fill="CCEBFF"/>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56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Arial" w:cs="Arial" w:eastAsia="Arial" w:hAnsi="Arial"/>
                <w:sz w:val="16"/>
                <w:szCs w:val="16"/>
                <w:color w:val="auto"/>
                <w:w w:val="93"/>
              </w:rPr>
              <w:t>Boxpack Packaging (Boxpack)</w:t>
            </w:r>
          </w:p>
        </w:tc>
        <w:tc>
          <w:tcPr>
            <w:tcW w:w="1460" w:type="dxa"/>
            <w:vAlign w:val="bottom"/>
            <w:tcBorders>
              <w:bottom w:val="single" w:sz="8" w:color="auto"/>
              <w:right w:val="single" w:sz="8" w:color="auto"/>
            </w:tcBorders>
            <w:shd w:val="clear" w:color="auto" w:fill="CCEBFF"/>
          </w:tcPr>
          <w:p>
            <w:pPr>
              <w:spacing w:after="0"/>
              <w:rPr>
                <w:sz w:val="18"/>
                <w:szCs w:val="18"/>
                <w:color w:val="auto"/>
              </w:rPr>
            </w:pPr>
          </w:p>
        </w:tc>
        <w:tc>
          <w:tcPr>
            <w:tcW w:w="176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1"/>
              </w:rPr>
              <w:t>contingent consideration</w:t>
            </w:r>
          </w:p>
        </w:tc>
        <w:tc>
          <w:tcPr>
            <w:tcW w:w="120" w:type="dxa"/>
            <w:vAlign w:val="bottom"/>
            <w:tcBorders>
              <w:bottom w:val="single" w:sz="8" w:color="auto"/>
            </w:tcBorders>
            <w:shd w:val="clear" w:color="auto" w:fill="CCEBFF"/>
          </w:tcPr>
          <w:p>
            <w:pPr>
              <w:spacing w:after="0"/>
              <w:rPr>
                <w:sz w:val="18"/>
                <w:szCs w:val="18"/>
                <w:color w:val="auto"/>
              </w:rPr>
            </w:pPr>
          </w:p>
        </w:tc>
        <w:tc>
          <w:tcPr>
            <w:tcW w:w="1020" w:type="dxa"/>
            <w:vAlign w:val="bottom"/>
            <w:tcBorders>
              <w:bottom w:val="single" w:sz="8" w:color="auto"/>
              <w:right w:val="single" w:sz="8" w:color="auto"/>
            </w:tcBorders>
            <w:shd w:val="clear" w:color="auto" w:fill="CCEBFF"/>
          </w:tcPr>
          <w:p>
            <w:pPr>
              <w:spacing w:after="0"/>
              <w:rPr>
                <w:sz w:val="18"/>
                <w:szCs w:val="18"/>
                <w:color w:val="auto"/>
              </w:rPr>
            </w:pPr>
          </w:p>
        </w:tc>
        <w:tc>
          <w:tcPr>
            <w:tcW w:w="160" w:type="dxa"/>
            <w:vAlign w:val="bottom"/>
            <w:tcBorders>
              <w:bottom w:val="single" w:sz="8" w:color="auto"/>
            </w:tcBorders>
            <w:shd w:val="clear" w:color="auto" w:fill="CCEBFF"/>
          </w:tcPr>
          <w:p>
            <w:pPr>
              <w:spacing w:after="0"/>
              <w:rPr>
                <w:sz w:val="18"/>
                <w:szCs w:val="18"/>
                <w:color w:val="auto"/>
              </w:rPr>
            </w:pPr>
          </w:p>
        </w:tc>
        <w:tc>
          <w:tcPr>
            <w:tcW w:w="980" w:type="dxa"/>
            <w:vAlign w:val="bottom"/>
            <w:tcBorders>
              <w:bottom w:val="single" w:sz="8" w:color="auto"/>
              <w:right w:val="single" w:sz="8" w:color="auto"/>
            </w:tcBorders>
            <w:shd w:val="clear" w:color="auto" w:fill="CCEBFF"/>
          </w:tcPr>
          <w:p>
            <w:pPr>
              <w:spacing w:after="0"/>
              <w:rPr>
                <w:sz w:val="18"/>
                <w:szCs w:val="18"/>
                <w:color w:val="auto"/>
              </w:rPr>
            </w:pPr>
          </w:p>
        </w:tc>
        <w:tc>
          <w:tcPr>
            <w:tcW w:w="860" w:type="dxa"/>
            <w:vAlign w:val="bottom"/>
            <w:tcBorders>
              <w:bottom w:val="single" w:sz="8" w:color="auto"/>
              <w:right w:val="single" w:sz="8" w:color="auto"/>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560" w:type="dxa"/>
            <w:vAlign w:val="bottom"/>
            <w:tcBorders>
              <w:left w:val="single" w:sz="8" w:color="auto"/>
              <w:right w:val="single" w:sz="8" w:color="auto"/>
            </w:tcBorders>
            <w:vMerge w:val="continue"/>
            <w:shd w:val="clear" w:color="auto" w:fill="CCEBFF"/>
          </w:tcPr>
          <w:p>
            <w:pPr>
              <w:spacing w:after="0"/>
              <w:rPr>
                <w:sz w:val="16"/>
                <w:szCs w:val="16"/>
                <w:color w:val="auto"/>
              </w:rPr>
            </w:pPr>
          </w:p>
        </w:tc>
        <w:tc>
          <w:tcPr>
            <w:tcW w:w="636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rPr>
              <w:t>Based near Melbourne, Australia, Boxpack specializes in flexographic and lithographic</w:t>
            </w: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shd w:val="clear" w:color="auto" w:fill="CCEBFF"/>
          </w:tcPr>
          <w:p>
            <w:pPr>
              <w:spacing w:after="0"/>
              <w:rPr>
                <w:sz w:val="17"/>
                <w:szCs w:val="17"/>
                <w:color w:val="auto"/>
              </w:rPr>
            </w:pPr>
          </w:p>
        </w:tc>
        <w:tc>
          <w:tcPr>
            <w:tcW w:w="636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6"/>
              </w:rPr>
              <w:t>cardboard packaging, using the latest CAD design and finishing techniques. Boxpack serves</w:t>
            </w: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shd w:val="clear" w:color="auto" w:fill="CCEBFF"/>
          </w:tcPr>
          <w:p>
            <w:pPr>
              <w:spacing w:after="0"/>
              <w:rPr>
                <w:sz w:val="17"/>
                <w:szCs w:val="17"/>
                <w:color w:val="auto"/>
              </w:rPr>
            </w:pPr>
          </w:p>
        </w:tc>
        <w:tc>
          <w:tcPr>
            <w:tcW w:w="636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5"/>
              </w:rPr>
              <w:t>multiple industries, including food and beverage, confectionary, pharmaceutical, industrial and</w:t>
            </w: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shd w:val="clear" w:color="auto" w:fill="CCEBFF"/>
          </w:tcPr>
          <w:p>
            <w:pPr>
              <w:spacing w:after="0"/>
              <w:rPr>
                <w:sz w:val="17"/>
                <w:szCs w:val="17"/>
                <w:color w:val="auto"/>
              </w:rPr>
            </w:pPr>
          </w:p>
        </w:tc>
        <w:tc>
          <w:tcPr>
            <w:tcW w:w="636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6"/>
              </w:rPr>
              <w:t>agricultural. The Company had trailing 12-month sales through June 30, 2021, of $6.2 million</w:t>
            </w:r>
          </w:p>
        </w:tc>
        <w:tc>
          <w:tcPr>
            <w:tcW w:w="0" w:type="dxa"/>
            <w:vAlign w:val="bottom"/>
          </w:tcPr>
          <w:p>
            <w:pPr>
              <w:spacing w:after="0"/>
              <w:rPr>
                <w:sz w:val="1"/>
                <w:szCs w:val="1"/>
                <w:color w:val="auto"/>
              </w:rPr>
            </w:pPr>
          </w:p>
        </w:tc>
      </w:tr>
      <w:tr>
        <w:trPr>
          <w:trHeight w:val="219"/>
        </w:trPr>
        <w:tc>
          <w:tcPr>
            <w:tcW w:w="256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3340" w:type="dxa"/>
            <w:vAlign w:val="bottom"/>
            <w:tcBorders>
              <w:bottom w:val="single" w:sz="8" w:color="auto"/>
            </w:tcBorders>
            <w:gridSpan w:val="3"/>
            <w:shd w:val="clear" w:color="auto" w:fill="CCEBFF"/>
          </w:tcPr>
          <w:p>
            <w:pPr>
              <w:spacing w:after="0"/>
              <w:rPr>
                <w:sz w:val="20"/>
                <w:szCs w:val="20"/>
                <w:color w:val="auto"/>
              </w:rPr>
            </w:pPr>
            <w:r>
              <w:rPr>
                <w:rFonts w:ascii="Arial" w:cs="Arial" w:eastAsia="Arial" w:hAnsi="Arial"/>
                <w:sz w:val="16"/>
                <w:szCs w:val="16"/>
                <w:color w:val="auto"/>
              </w:rPr>
              <w:t>USD ($8.2 million AUD).</w:t>
            </w:r>
          </w:p>
        </w:tc>
        <w:tc>
          <w:tcPr>
            <w:tcW w:w="1020" w:type="dxa"/>
            <w:vAlign w:val="bottom"/>
            <w:tcBorders>
              <w:bottom w:val="single" w:sz="8" w:color="auto"/>
              <w:right w:val="single" w:sz="8" w:color="CCEBFF"/>
            </w:tcBorders>
            <w:shd w:val="clear" w:color="auto" w:fill="CCEBFF"/>
          </w:tcPr>
          <w:p>
            <w:pPr>
              <w:spacing w:after="0"/>
              <w:rPr>
                <w:sz w:val="19"/>
                <w:szCs w:val="19"/>
                <w:color w:val="auto"/>
              </w:rPr>
            </w:pPr>
          </w:p>
        </w:tc>
        <w:tc>
          <w:tcPr>
            <w:tcW w:w="160" w:type="dxa"/>
            <w:vAlign w:val="bottom"/>
            <w:tcBorders>
              <w:bottom w:val="single" w:sz="8" w:color="auto"/>
            </w:tcBorders>
            <w:shd w:val="clear" w:color="auto" w:fill="CCEBFF"/>
          </w:tcPr>
          <w:p>
            <w:pPr>
              <w:spacing w:after="0"/>
              <w:rPr>
                <w:sz w:val="19"/>
                <w:szCs w:val="19"/>
                <w:color w:val="auto"/>
              </w:rPr>
            </w:pPr>
          </w:p>
        </w:tc>
        <w:tc>
          <w:tcPr>
            <w:tcW w:w="980" w:type="dxa"/>
            <w:vAlign w:val="bottom"/>
            <w:tcBorders>
              <w:bottom w:val="single" w:sz="8" w:color="auto"/>
              <w:right w:val="single" w:sz="8" w:color="CCEBFF"/>
            </w:tcBorders>
            <w:shd w:val="clear" w:color="auto" w:fill="CCEBFF"/>
          </w:tcPr>
          <w:p>
            <w:pPr>
              <w:spacing w:after="0"/>
              <w:rPr>
                <w:sz w:val="19"/>
                <w:szCs w:val="19"/>
                <w:color w:val="auto"/>
              </w:rPr>
            </w:pPr>
          </w:p>
        </w:tc>
        <w:tc>
          <w:tcPr>
            <w:tcW w:w="860" w:type="dxa"/>
            <w:vAlign w:val="bottom"/>
            <w:tcBorders>
              <w:bottom w:val="single" w:sz="8" w:color="auto"/>
              <w:right w:val="single" w:sz="8" w:color="auto"/>
            </w:tcBorders>
            <w:shd w:val="clear" w:color="auto" w:fill="CCEB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560" w:type="dxa"/>
            <w:vAlign w:val="bottom"/>
            <w:tcBorders>
              <w:left w:val="single" w:sz="8" w:color="auto"/>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$6,443</w:t>
            </w:r>
          </w:p>
        </w:tc>
        <w:tc>
          <w:tcPr>
            <w:tcW w:w="12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560" w:type="dxa"/>
            <w:vAlign w:val="bottom"/>
            <w:tcBorders>
              <w:left w:val="single" w:sz="8" w:color="auto"/>
              <w:right w:val="single" w:sz="8" w:color="auto"/>
            </w:tcBorders>
          </w:tcPr>
          <w:p>
            <w:pPr>
              <w:spacing w:after="0"/>
              <w:rPr>
                <w:sz w:val="21"/>
                <w:szCs w:val="21"/>
                <w:color w:val="auto"/>
              </w:rPr>
            </w:pPr>
          </w:p>
        </w:tc>
        <w:tc>
          <w:tcPr>
            <w:tcW w:w="14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w w:val="93"/>
              </w:rPr>
              <w:t>September 27, 2021</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cash paid for 100% asset</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4,039</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2,404</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Construction</w:t>
            </w:r>
          </w:p>
        </w:tc>
        <w:tc>
          <w:tcPr>
            <w:tcW w:w="0" w:type="dxa"/>
            <w:vAlign w:val="bottom"/>
          </w:tcPr>
          <w:p>
            <w:pPr>
              <w:spacing w:after="0"/>
              <w:rPr>
                <w:sz w:val="1"/>
                <w:szCs w:val="1"/>
                <w:color w:val="auto"/>
              </w:rPr>
            </w:pPr>
          </w:p>
        </w:tc>
      </w:tr>
      <w:tr>
        <w:trPr>
          <w:trHeight w:val="152"/>
        </w:trPr>
        <w:tc>
          <w:tcPr>
            <w:tcW w:w="2560" w:type="dxa"/>
            <w:vAlign w:val="bottom"/>
            <w:tcBorders>
              <w:left w:val="single" w:sz="8" w:color="auto"/>
              <w:right w:val="single" w:sz="8" w:color="auto"/>
            </w:tcBorders>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c>
          <w:tcPr>
            <w:tcW w:w="1760" w:type="dxa"/>
            <w:vAlign w:val="bottom"/>
            <w:tcBorders>
              <w:right w:val="single" w:sz="8" w:color="auto"/>
            </w:tcBorders>
          </w:tcPr>
          <w:p>
            <w:pPr>
              <w:jc w:val="center"/>
              <w:spacing w:after="0" w:line="152" w:lineRule="exact"/>
              <w:rPr>
                <w:sz w:val="20"/>
                <w:szCs w:val="20"/>
                <w:color w:val="auto"/>
              </w:rPr>
            </w:pPr>
            <w:r>
              <w:rPr>
                <w:rFonts w:ascii="Arial" w:cs="Arial" w:eastAsia="Arial" w:hAnsi="Arial"/>
                <w:sz w:val="16"/>
                <w:szCs w:val="16"/>
                <w:color w:val="auto"/>
                <w:w w:val="87"/>
              </w:rPr>
              <w:t>purchase and estimated</w:t>
            </w:r>
          </w:p>
        </w:tc>
        <w:tc>
          <w:tcPr>
            <w:tcW w:w="12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5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1"/>
              </w:rPr>
              <w:t>Shelter Products, Inc. (Shelter)</w:t>
            </w:r>
          </w:p>
        </w:tc>
        <w:tc>
          <w:tcPr>
            <w:tcW w:w="1460" w:type="dxa"/>
            <w:vAlign w:val="bottom"/>
            <w:tcBorders>
              <w:bottom w:val="single" w:sz="8" w:color="auto"/>
              <w:right w:val="single" w:sz="8" w:color="auto"/>
            </w:tcBorders>
          </w:tcPr>
          <w:p>
            <w:pPr>
              <w:spacing w:after="0"/>
              <w:rPr>
                <w:sz w:val="17"/>
                <w:szCs w:val="17"/>
                <w:color w:val="auto"/>
              </w:rPr>
            </w:pP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contingent consideration</w:t>
            </w: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560" w:type="dxa"/>
            <w:vAlign w:val="bottom"/>
            <w:tcBorders>
              <w:left w:val="single" w:sz="8" w:color="auto"/>
              <w:right w:val="single" w:sz="8" w:color="auto"/>
            </w:tcBorders>
            <w:vMerge w:val="continue"/>
          </w:tcPr>
          <w:p>
            <w:pPr>
              <w:spacing w:after="0"/>
              <w:rPr>
                <w:sz w:val="16"/>
                <w:szCs w:val="16"/>
                <w:color w:val="auto"/>
              </w:rPr>
            </w:pPr>
          </w:p>
        </w:tc>
        <w:tc>
          <w:tcPr>
            <w:tcW w:w="636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6"/>
              </w:rPr>
              <w:t>Based in Haleyville, Alabama, Shelter operates its distribution and logistics business from an</w:t>
            </w: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tcPr>
          <w:p>
            <w:pPr>
              <w:spacing w:after="0"/>
              <w:rPr>
                <w:sz w:val="17"/>
                <w:szCs w:val="17"/>
                <w:color w:val="auto"/>
              </w:rPr>
            </w:pPr>
          </w:p>
        </w:tc>
        <w:tc>
          <w:tcPr>
            <w:tcW w:w="636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3"/>
              </w:rPr>
              <w:t>87,800 sq.-ft. warehouse that specializes in manufactured housing industry customers. Shelter’s</w:t>
            </w: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tcPr>
          <w:p>
            <w:pPr>
              <w:spacing w:after="0"/>
              <w:rPr>
                <w:sz w:val="17"/>
                <w:szCs w:val="17"/>
                <w:color w:val="auto"/>
              </w:rPr>
            </w:pPr>
          </w:p>
        </w:tc>
        <w:tc>
          <w:tcPr>
            <w:tcW w:w="636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3"/>
              </w:rPr>
              <w:t>facility is adjacent to a UFP manufacturing facility that supplies trusses to manufactured housing</w:t>
            </w: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tcPr>
          <w:p>
            <w:pPr>
              <w:spacing w:after="0"/>
              <w:rPr>
                <w:sz w:val="17"/>
                <w:szCs w:val="17"/>
                <w:color w:val="auto"/>
              </w:rPr>
            </w:pPr>
          </w:p>
        </w:tc>
        <w:tc>
          <w:tcPr>
            <w:tcW w:w="636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3"/>
              </w:rPr>
              <w:t>builders, and the proximity will enable additional operational synergies. The Company had sales</w:t>
            </w:r>
          </w:p>
        </w:tc>
        <w:tc>
          <w:tcPr>
            <w:tcW w:w="0" w:type="dxa"/>
            <w:vAlign w:val="bottom"/>
          </w:tcPr>
          <w:p>
            <w:pPr>
              <w:spacing w:after="0"/>
              <w:rPr>
                <w:sz w:val="1"/>
                <w:szCs w:val="1"/>
                <w:color w:val="auto"/>
              </w:rPr>
            </w:pPr>
          </w:p>
        </w:tc>
      </w:tr>
      <w:tr>
        <w:trPr>
          <w:trHeight w:val="219"/>
        </w:trPr>
        <w:tc>
          <w:tcPr>
            <w:tcW w:w="2560" w:type="dxa"/>
            <w:vAlign w:val="bottom"/>
            <w:tcBorders>
              <w:left w:val="single" w:sz="8" w:color="auto"/>
              <w:bottom w:val="single" w:sz="8" w:color="auto"/>
              <w:right w:val="single" w:sz="8" w:color="auto"/>
            </w:tcBorders>
          </w:tcPr>
          <w:p>
            <w:pPr>
              <w:spacing w:after="0"/>
              <w:rPr>
                <w:sz w:val="19"/>
                <w:szCs w:val="19"/>
                <w:color w:val="auto"/>
              </w:rPr>
            </w:pPr>
          </w:p>
        </w:tc>
        <w:tc>
          <w:tcPr>
            <w:tcW w:w="334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of approximately $11.4 million in 2020.</w:t>
            </w:r>
          </w:p>
        </w:tc>
        <w:tc>
          <w:tcPr>
            <w:tcW w:w="10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The intangible assets for the above investments have not been finalized and allocated to their respective identifiable asset and goodwill accounts. In aggregate, investments completed since the end of September 2021 and not consolidated with other operations contributed approximately $93.3 million in net sales and $6.1 million in operating profits during the first nine months of 2022.</w:t>
      </w:r>
    </w:p>
    <w:p>
      <w:pPr>
        <w:spacing w:after="0" w:line="187" w:lineRule="exact"/>
        <w:rPr>
          <w:sz w:val="20"/>
          <w:szCs w:val="20"/>
          <w:color w:val="auto"/>
        </w:rPr>
      </w:pPr>
    </w:p>
    <w:p>
      <w:pPr>
        <w:jc w:val="both"/>
        <w:ind w:left="60" w:right="59" w:firstLine="492"/>
        <w:spacing w:after="0" w:line="270" w:lineRule="auto"/>
        <w:rPr>
          <w:sz w:val="20"/>
          <w:szCs w:val="20"/>
          <w:color w:val="auto"/>
        </w:rPr>
      </w:pPr>
      <w:r>
        <w:rPr>
          <w:rFonts w:ascii="Arial" w:cs="Arial" w:eastAsia="Arial" w:hAnsi="Arial"/>
          <w:sz w:val="17"/>
          <w:szCs w:val="17"/>
          <w:color w:val="auto"/>
        </w:rPr>
        <w:t>As a result of the investment in Dempsey on June 27, 2022, we own 50% of the issued equity of the Company, and the remaining 50% of the issued equity is owned by the previous owners (“Sellers”). The investment in Dempsey is an unconsolidated variable interest entity and we have accounted for it using the equity method of accounting because we do not have a controlling financial interest in the entity. Per the contracts, the Sellers have a put right to sell their equity interest to us for $50 million and we have a call right to purchase the Seller’s equity interest for $70 million, which are both first exercisable in June 2025 and expire in June 2030. As of September 24, 2022, the carrying value of our investment in Dempsey is $67.0 million and is recorded in Other Assets. Our maximum exposure to loss consists of our investment amount and any contingent loss that may occur in the future as a result of a change in the fair value of Dempsey relative to the strike price of the put option.</w:t>
      </w:r>
    </w:p>
    <w:p>
      <w:pPr>
        <w:spacing w:after="0" w:line="177" w:lineRule="exact"/>
        <w:rPr>
          <w:sz w:val="20"/>
          <w:szCs w:val="20"/>
          <w:color w:val="auto"/>
        </w:rPr>
      </w:pPr>
    </w:p>
    <w:p>
      <w:pPr>
        <w:ind w:left="560" w:hanging="510"/>
        <w:spacing w:after="0"/>
        <w:tabs>
          <w:tab w:leader="none" w:pos="5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jc w:val="both"/>
        <w:ind w:left="60" w:right="59" w:firstLine="492"/>
        <w:spacing w:after="0" w:line="291" w:lineRule="auto"/>
        <w:rPr>
          <w:sz w:val="20"/>
          <w:szCs w:val="20"/>
          <w:color w:val="auto"/>
        </w:rPr>
      </w:pPr>
      <w:r>
        <w:rPr>
          <w:rFonts w:ascii="Arial" w:cs="Arial" w:eastAsia="Arial" w:hAnsi="Arial"/>
          <w:sz w:val="16"/>
          <w:szCs w:val="16"/>
          <w:color w:val="auto"/>
        </w:rPr>
        <w:t>We operate manufacturing, treating and distribution facilities internationally, but primarily in the United States. Our business segments consist of UFP Retail Solutions, UFP Industrial and UFP Construction and align with the end markets we serve. This segment structure allows for a specialized and consistent sales approach among Company operations, efficient use of resources and capital, and quicker introduction of new products and services. We manage the operations of our individual locations primarily through a market-centered reporting structure under which each location is included in a business unit and business units are included in our Retail, Industrial, and Construction segments. In the case of locations which serve multiple segments, results are allocated and accounted for by segment.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60" w:right="59" w:firstLine="492"/>
        <w:spacing w:after="0" w:line="255" w:lineRule="auto"/>
        <w:rPr>
          <w:sz w:val="20"/>
          <w:szCs w:val="20"/>
          <w:color w:val="auto"/>
        </w:rPr>
      </w:pPr>
      <w:r>
        <w:rPr>
          <w:rFonts w:ascii="Arial" w:cs="Arial" w:eastAsia="Arial" w:hAnsi="Arial"/>
          <w:sz w:val="18"/>
          <w:szCs w:val="18"/>
          <w:color w:val="auto"/>
        </w:rPr>
        <w:t>The exception to this market-centered reporting and management structure is our International segment, which comprises our Mexico, Canada, Europe, India, and Australia operations and sales and buying offices in other parts of the world and our Ardellis segment, which represents our wholly owned fully licensed captive insurance company based in Bermuda. Our International and Ardellis segments do not meet the quantitative thresholds in order to be separately reported and accordingly, the International and Ardellis segments have been aggregated in the “All Other” segment for reporting purposes.</w:t>
      </w:r>
    </w:p>
    <w:p>
      <w:pPr>
        <w:spacing w:after="0" w:line="192" w:lineRule="exact"/>
        <w:rPr>
          <w:sz w:val="20"/>
          <w:szCs w:val="20"/>
          <w:color w:val="auto"/>
        </w:rPr>
      </w:pPr>
    </w:p>
    <w:p>
      <w:pPr>
        <w:jc w:val="both"/>
        <w:ind w:left="60" w:right="59" w:firstLine="492"/>
        <w:spacing w:after="0" w:line="270" w:lineRule="auto"/>
        <w:rPr>
          <w:sz w:val="20"/>
          <w:szCs w:val="20"/>
          <w:color w:val="auto"/>
        </w:rPr>
      </w:pPr>
      <w:r>
        <w:rPr>
          <w:rFonts w:ascii="Arial" w:cs="Arial" w:eastAsia="Arial" w:hAnsi="Arial"/>
          <w:sz w:val="17"/>
          <w:szCs w:val="17"/>
          <w:color w:val="auto"/>
        </w:rPr>
        <w:t>“Corporate” includes purchasing, transportation and administrative functions that serve our operating segments. Operating results of Corporate primarily consist of net sales to external customers initiated by UFP Purchasing and UFP Transportation and over (under) allocated costs. The operating results of UFP Real Estate, Inc., which owns and leases real estate, and UFP Transportation Ltd., which owns, leases and operates transportation equipment, are also included in the Corporate column. Inter-company lease and service charges are assessed to our operating segments for the use of these assets and services at fair market value rates. Total assets in the Corporate column include unallocated cash and cash equivalents, certain prepaid assets, certain property, equipment and other assets pertaining to the centralized activities of Corporate, UFP Real Estate, Inc., UFP Transportation, Inc., UFP Purchasing, Inc., and UFP RMS, LLC. The tables below are presented in thousands:</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80" w:type="dxa"/>
            <w:vAlign w:val="bottom"/>
            <w:tcBorders>
              <w:bottom w:val="single" w:sz="8" w:color="auto"/>
            </w:tcBorders>
            <w:gridSpan w:val="24"/>
          </w:tcPr>
          <w:p>
            <w:pPr>
              <w:jc w:val="right"/>
              <w:ind w:right="660"/>
              <w:spacing w:after="0"/>
              <w:rPr>
                <w:sz w:val="20"/>
                <w:szCs w:val="20"/>
                <w:color w:val="auto"/>
              </w:rPr>
            </w:pPr>
            <w:r>
              <w:rPr>
                <w:rFonts w:ascii="Arial" w:cs="Arial" w:eastAsia="Arial" w:hAnsi="Arial"/>
                <w:sz w:val="14"/>
                <w:szCs w:val="14"/>
                <w:b w:val="1"/>
                <w:bCs w:val="1"/>
                <w:color w:val="auto"/>
              </w:rPr>
              <w:t>Three Months Ended September 24, 2022</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r>
      <w:tr>
        <w:trPr>
          <w:trHeight w:val="156"/>
        </w:trPr>
        <w:tc>
          <w:tcPr>
            <w:tcW w:w="2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rPr>
              <w:t>Retail</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Industrial</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Construction</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All Other</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4"/>
          </w:tcPr>
          <w:p>
            <w:pPr>
              <w:jc w:val="right"/>
              <w:ind w:right="260"/>
              <w:spacing w:after="0" w:line="149" w:lineRule="exact"/>
              <w:rPr>
                <w:sz w:val="20"/>
                <w:szCs w:val="20"/>
                <w:color w:val="auto"/>
              </w:rPr>
            </w:pPr>
            <w:r>
              <w:rPr>
                <w:rFonts w:ascii="Arial" w:cs="Arial" w:eastAsia="Arial" w:hAnsi="Arial"/>
                <w:sz w:val="14"/>
                <w:szCs w:val="14"/>
                <w:b w:val="1"/>
                <w:bCs w:val="1"/>
                <w:color w:val="auto"/>
              </w:rPr>
              <w:t>Corporate</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215"/>
              <w:spacing w:after="0" w:line="149" w:lineRule="exact"/>
              <w:rPr>
                <w:sz w:val="20"/>
                <w:szCs w:val="20"/>
                <w:color w:val="auto"/>
              </w:rPr>
            </w:pPr>
            <w:r>
              <w:rPr>
                <w:rFonts w:ascii="Arial" w:cs="Arial" w:eastAsia="Arial" w:hAnsi="Arial"/>
                <w:sz w:val="14"/>
                <w:szCs w:val="14"/>
                <w:b w:val="1"/>
                <w:bCs w:val="1"/>
                <w:color w:val="auto"/>
              </w:rPr>
              <w:t>Total</w:t>
            </w:r>
          </w:p>
        </w:tc>
      </w:tr>
      <w:tr>
        <w:trPr>
          <w:trHeight w:val="216"/>
        </w:trPr>
        <w:tc>
          <w:tcPr>
            <w:tcW w:w="2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 to outside customers</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$ 845,304</w:t>
            </w: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$ 584,808</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$ 777,126</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$ 112,203</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3,414</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2,322,855</w:t>
            </w:r>
          </w:p>
        </w:tc>
      </w:tr>
      <w:tr>
        <w:trPr>
          <w:trHeight w:val="216"/>
        </w:trPr>
        <w:tc>
          <w:tcPr>
            <w:tcW w:w="2760" w:type="dxa"/>
            <w:vAlign w:val="bottom"/>
          </w:tcPr>
          <w:p>
            <w:pPr>
              <w:ind w:left="20"/>
              <w:spacing w:after="0"/>
              <w:rPr>
                <w:sz w:val="20"/>
                <w:szCs w:val="20"/>
                <w:color w:val="auto"/>
              </w:rPr>
            </w:pPr>
            <w:r>
              <w:rPr>
                <w:rFonts w:ascii="Arial" w:cs="Arial" w:eastAsia="Arial" w:hAnsi="Arial"/>
                <w:sz w:val="18"/>
                <w:szCs w:val="18"/>
                <w:color w:val="auto"/>
              </w:rPr>
              <w:t>Intersegment net sales</w:t>
            </w:r>
          </w:p>
        </w:tc>
        <w:tc>
          <w:tcPr>
            <w:tcW w:w="1080" w:type="dxa"/>
            <w:vAlign w:val="bottom"/>
            <w:gridSpan w:val="6"/>
          </w:tcPr>
          <w:p>
            <w:pPr>
              <w:jc w:val="right"/>
              <w:spacing w:after="0"/>
              <w:rPr>
                <w:sz w:val="20"/>
                <w:szCs w:val="20"/>
                <w:color w:val="auto"/>
              </w:rPr>
            </w:pPr>
            <w:r>
              <w:rPr>
                <w:rFonts w:ascii="Arial" w:cs="Arial" w:eastAsia="Arial" w:hAnsi="Arial"/>
                <w:sz w:val="18"/>
                <w:szCs w:val="18"/>
                <w:color w:val="auto"/>
              </w:rPr>
              <w:t>87,362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4"/>
          </w:tcPr>
          <w:p>
            <w:pPr>
              <w:jc w:val="right"/>
              <w:ind w:right="40"/>
              <w:spacing w:after="0"/>
              <w:rPr>
                <w:sz w:val="20"/>
                <w:szCs w:val="20"/>
                <w:color w:val="auto"/>
              </w:rPr>
            </w:pPr>
            <w:r>
              <w:rPr>
                <w:rFonts w:ascii="Arial" w:cs="Arial" w:eastAsia="Arial" w:hAnsi="Arial"/>
                <w:sz w:val="18"/>
                <w:szCs w:val="18"/>
                <w:color w:val="auto"/>
              </w:rPr>
              <w:t>19,778</w:t>
            </w:r>
          </w:p>
        </w:tc>
        <w:tc>
          <w:tcPr>
            <w:tcW w:w="20" w:type="dxa"/>
            <w:vAlign w:val="bottom"/>
          </w:tcPr>
          <w:p>
            <w:pPr>
              <w:spacing w:after="0"/>
              <w:rPr>
                <w:sz w:val="18"/>
                <w:szCs w:val="18"/>
                <w:color w:val="auto"/>
              </w:rPr>
            </w:pP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31,352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102,927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(241,419)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from operations</w:t>
            </w:r>
          </w:p>
        </w:tc>
        <w:tc>
          <w:tcPr>
            <w:tcW w:w="10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28,932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77,298</w:t>
            </w:r>
          </w:p>
        </w:tc>
        <w:tc>
          <w:tcPr>
            <w:tcW w:w="2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110,384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13,705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237,044</w:t>
            </w:r>
          </w:p>
        </w:tc>
      </w:tr>
      <w:tr>
        <w:trPr>
          <w:trHeight w:val="601"/>
        </w:trPr>
        <w:tc>
          <w:tcPr>
            <w:tcW w:w="2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24"/>
          </w:tcPr>
          <w:p>
            <w:pPr>
              <w:jc w:val="right"/>
              <w:ind w:right="680"/>
              <w:spacing w:after="0"/>
              <w:rPr>
                <w:sz w:val="20"/>
                <w:szCs w:val="20"/>
                <w:color w:val="auto"/>
              </w:rPr>
            </w:pPr>
            <w:r>
              <w:rPr>
                <w:rFonts w:ascii="Arial" w:cs="Arial" w:eastAsia="Arial" w:hAnsi="Arial"/>
                <w:sz w:val="14"/>
                <w:szCs w:val="14"/>
                <w:b w:val="1"/>
                <w:bCs w:val="1"/>
                <w:color w:val="auto"/>
              </w:rPr>
              <w:t>Three Months Ended September 25, 2021</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155"/>
        </w:trPr>
        <w:tc>
          <w:tcPr>
            <w:tcW w:w="2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rPr>
              <w:t>Retail</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Industrial</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Construction</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All Other</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4"/>
          </w:tcPr>
          <w:p>
            <w:pPr>
              <w:jc w:val="right"/>
              <w:ind w:right="260"/>
              <w:spacing w:after="0" w:line="149" w:lineRule="exact"/>
              <w:rPr>
                <w:sz w:val="20"/>
                <w:szCs w:val="20"/>
                <w:color w:val="auto"/>
              </w:rPr>
            </w:pPr>
            <w:r>
              <w:rPr>
                <w:rFonts w:ascii="Arial" w:cs="Arial" w:eastAsia="Arial" w:hAnsi="Arial"/>
                <w:sz w:val="14"/>
                <w:szCs w:val="14"/>
                <w:b w:val="1"/>
                <w:bCs w:val="1"/>
                <w:color w:val="auto"/>
              </w:rPr>
              <w:t>Corporate</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235"/>
              <w:spacing w:after="0" w:line="149" w:lineRule="exact"/>
              <w:rPr>
                <w:sz w:val="20"/>
                <w:szCs w:val="20"/>
                <w:color w:val="auto"/>
              </w:rPr>
            </w:pPr>
            <w:r>
              <w:rPr>
                <w:rFonts w:ascii="Arial" w:cs="Arial" w:eastAsia="Arial" w:hAnsi="Arial"/>
                <w:sz w:val="14"/>
                <w:szCs w:val="14"/>
                <w:b w:val="1"/>
                <w:bCs w:val="1"/>
                <w:color w:val="auto"/>
              </w:rPr>
              <w:t>Total</w:t>
            </w:r>
          </w:p>
        </w:tc>
      </w:tr>
      <w:tr>
        <w:trPr>
          <w:trHeight w:val="216"/>
        </w:trPr>
        <w:tc>
          <w:tcPr>
            <w:tcW w:w="2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 to outside customers</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9"/>
              </w:rPr>
              <w:t>$ 696,201</w:t>
            </w: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$ 573,234</w:t>
            </w: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$ 722,872</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  98,689</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2,788</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2,093,784</w:t>
            </w:r>
          </w:p>
        </w:tc>
      </w:tr>
      <w:tr>
        <w:trPr>
          <w:trHeight w:val="216"/>
        </w:trPr>
        <w:tc>
          <w:tcPr>
            <w:tcW w:w="2760" w:type="dxa"/>
            <w:vAlign w:val="bottom"/>
          </w:tcPr>
          <w:p>
            <w:pPr>
              <w:ind w:left="20"/>
              <w:spacing w:after="0"/>
              <w:rPr>
                <w:sz w:val="20"/>
                <w:szCs w:val="20"/>
                <w:color w:val="auto"/>
              </w:rPr>
            </w:pPr>
            <w:r>
              <w:rPr>
                <w:rFonts w:ascii="Arial" w:cs="Arial" w:eastAsia="Arial" w:hAnsi="Arial"/>
                <w:sz w:val="18"/>
                <w:szCs w:val="18"/>
                <w:color w:val="auto"/>
              </w:rPr>
              <w:t>Intersegment net sales</w:t>
            </w:r>
          </w:p>
        </w:tc>
        <w:tc>
          <w:tcPr>
            <w:tcW w:w="1080" w:type="dxa"/>
            <w:vAlign w:val="bottom"/>
            <w:gridSpan w:val="6"/>
          </w:tcPr>
          <w:p>
            <w:pPr>
              <w:jc w:val="right"/>
              <w:ind w:right="20"/>
              <w:spacing w:after="0"/>
              <w:rPr>
                <w:sz w:val="20"/>
                <w:szCs w:val="20"/>
                <w:color w:val="auto"/>
              </w:rPr>
            </w:pPr>
            <w:r>
              <w:rPr>
                <w:rFonts w:ascii="Arial" w:cs="Arial" w:eastAsia="Arial" w:hAnsi="Arial"/>
                <w:sz w:val="18"/>
                <w:szCs w:val="18"/>
                <w:color w:val="auto"/>
              </w:rPr>
              <w:t>50,546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23,148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27,574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122,470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(223,738)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from operations</w:t>
            </w:r>
          </w:p>
        </w:tc>
        <w:tc>
          <w:tcPr>
            <w:tcW w:w="1140" w:type="dxa"/>
            <w:vAlign w:val="bottom"/>
            <w:gridSpan w:val="8"/>
            <w:shd w:val="clear" w:color="auto" w:fill="CCEEFF"/>
          </w:tcPr>
          <w:p>
            <w:pPr>
              <w:jc w:val="right"/>
              <w:ind w:right="20"/>
              <w:spacing w:after="0"/>
              <w:rPr>
                <w:sz w:val="20"/>
                <w:szCs w:val="20"/>
                <w:color w:val="auto"/>
              </w:rPr>
            </w:pPr>
            <w:r>
              <w:rPr>
                <w:rFonts w:ascii="Arial" w:cs="Arial" w:eastAsia="Arial" w:hAnsi="Arial"/>
                <w:sz w:val="18"/>
                <w:szCs w:val="18"/>
                <w:color w:val="auto"/>
              </w:rPr>
              <w:t>(26,153)</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70,408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84,205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20,283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168,125</w:t>
            </w:r>
          </w:p>
        </w:tc>
      </w:tr>
      <w:tr>
        <w:trPr>
          <w:trHeight w:val="601"/>
        </w:trPr>
        <w:tc>
          <w:tcPr>
            <w:tcW w:w="2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24"/>
          </w:tcPr>
          <w:p>
            <w:pPr>
              <w:ind w:left="580"/>
              <w:spacing w:after="0"/>
              <w:rPr>
                <w:sz w:val="20"/>
                <w:szCs w:val="20"/>
                <w:color w:val="auto"/>
              </w:rPr>
            </w:pPr>
            <w:r>
              <w:rPr>
                <w:rFonts w:ascii="Arial" w:cs="Arial" w:eastAsia="Arial" w:hAnsi="Arial"/>
                <w:sz w:val="14"/>
                <w:szCs w:val="14"/>
                <w:b w:val="1"/>
                <w:bCs w:val="1"/>
                <w:color w:val="auto"/>
              </w:rPr>
              <w:t>Nine Months Ended September 24, 2022</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156"/>
        </w:trPr>
        <w:tc>
          <w:tcPr>
            <w:tcW w:w="2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w w:val="94"/>
              </w:rPr>
              <w:t>Retail</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Industrial</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Construction</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4"/>
          </w:tcPr>
          <w:p>
            <w:pPr>
              <w:ind w:left="100"/>
              <w:spacing w:after="0" w:line="149" w:lineRule="exact"/>
              <w:rPr>
                <w:sz w:val="20"/>
                <w:szCs w:val="20"/>
                <w:color w:val="auto"/>
              </w:rPr>
            </w:pPr>
            <w:r>
              <w:rPr>
                <w:rFonts w:ascii="Arial" w:cs="Arial" w:eastAsia="Arial" w:hAnsi="Arial"/>
                <w:sz w:val="14"/>
                <w:szCs w:val="14"/>
                <w:b w:val="1"/>
                <w:bCs w:val="1"/>
                <w:color w:val="auto"/>
              </w:rPr>
              <w:t>All Other</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2"/>
              </w:rPr>
              <w:t>Corporate</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215"/>
              <w:spacing w:after="0" w:line="149" w:lineRule="exact"/>
              <w:rPr>
                <w:sz w:val="20"/>
                <w:szCs w:val="20"/>
                <w:color w:val="auto"/>
              </w:rPr>
            </w:pPr>
            <w:r>
              <w:rPr>
                <w:rFonts w:ascii="Arial" w:cs="Arial" w:eastAsia="Arial" w:hAnsi="Arial"/>
                <w:sz w:val="14"/>
                <w:szCs w:val="14"/>
                <w:b w:val="1"/>
                <w:bCs w:val="1"/>
                <w:color w:val="auto"/>
              </w:rPr>
              <w:t>Total</w:t>
            </w:r>
          </w:p>
        </w:tc>
      </w:tr>
      <w:tr>
        <w:trPr>
          <w:trHeight w:val="216"/>
        </w:trPr>
        <w:tc>
          <w:tcPr>
            <w:tcW w:w="2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 to outside customers</w:t>
            </w: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88"/>
              </w:rPr>
              <w:t>$ 2,959,976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$ 1,872,510</w:t>
            </w: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w w:val="88"/>
              </w:rPr>
              <w:t>$ 2,538,973</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$ 332,186</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9,397</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7,713,042</w:t>
            </w:r>
          </w:p>
        </w:tc>
      </w:tr>
      <w:tr>
        <w:trPr>
          <w:trHeight w:val="216"/>
        </w:trPr>
        <w:tc>
          <w:tcPr>
            <w:tcW w:w="2760" w:type="dxa"/>
            <w:vAlign w:val="bottom"/>
          </w:tcPr>
          <w:p>
            <w:pPr>
              <w:ind w:left="20"/>
              <w:spacing w:after="0"/>
              <w:rPr>
                <w:sz w:val="20"/>
                <w:szCs w:val="20"/>
                <w:color w:val="auto"/>
              </w:rPr>
            </w:pPr>
            <w:r>
              <w:rPr>
                <w:rFonts w:ascii="Arial" w:cs="Arial" w:eastAsia="Arial" w:hAnsi="Arial"/>
                <w:sz w:val="18"/>
                <w:szCs w:val="18"/>
                <w:color w:val="auto"/>
              </w:rPr>
              <w:t>Intersegment net sales</w:t>
            </w:r>
          </w:p>
        </w:tc>
        <w:tc>
          <w:tcPr>
            <w:tcW w:w="980" w:type="dxa"/>
            <w:vAlign w:val="bottom"/>
            <w:gridSpan w:val="5"/>
          </w:tcPr>
          <w:p>
            <w:pPr>
              <w:jc w:val="right"/>
              <w:ind w:right="40"/>
              <w:spacing w:after="0"/>
              <w:rPr>
                <w:sz w:val="20"/>
                <w:szCs w:val="20"/>
                <w:color w:val="auto"/>
              </w:rPr>
            </w:pPr>
            <w:r>
              <w:rPr>
                <w:rFonts w:ascii="Arial" w:cs="Arial" w:eastAsia="Arial" w:hAnsi="Arial"/>
                <w:sz w:val="18"/>
                <w:szCs w:val="18"/>
                <w:color w:val="auto"/>
              </w:rPr>
              <w:t>220,922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63,438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7"/>
          </w:tcPr>
          <w:p>
            <w:pPr>
              <w:jc w:val="right"/>
              <w:ind w:right="40"/>
              <w:spacing w:after="0"/>
              <w:rPr>
                <w:sz w:val="20"/>
                <w:szCs w:val="20"/>
                <w:color w:val="auto"/>
              </w:rPr>
            </w:pPr>
            <w:r>
              <w:rPr>
                <w:rFonts w:ascii="Arial" w:cs="Arial" w:eastAsia="Arial" w:hAnsi="Arial"/>
                <w:sz w:val="18"/>
                <w:szCs w:val="18"/>
                <w:color w:val="auto"/>
              </w:rPr>
              <w:t>88,570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338,592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w w:val="93"/>
              </w:rPr>
              <w:t>(711,522)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from operations</w:t>
            </w:r>
          </w:p>
        </w:tc>
        <w:tc>
          <w:tcPr>
            <w:tcW w:w="9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124,856</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253,899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7"/>
            <w:shd w:val="clear" w:color="auto" w:fill="CCEEFF"/>
          </w:tcPr>
          <w:p>
            <w:pPr>
              <w:jc w:val="right"/>
              <w:ind w:right="40"/>
              <w:spacing w:after="0"/>
              <w:rPr>
                <w:sz w:val="20"/>
                <w:szCs w:val="20"/>
                <w:color w:val="auto"/>
              </w:rPr>
            </w:pPr>
            <w:r>
              <w:rPr>
                <w:rFonts w:ascii="Arial" w:cs="Arial" w:eastAsia="Arial" w:hAnsi="Arial"/>
                <w:sz w:val="18"/>
                <w:szCs w:val="18"/>
                <w:color w:val="auto"/>
              </w:rPr>
              <w:t>322,034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51,268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781,635</w:t>
            </w:r>
          </w:p>
        </w:tc>
      </w:tr>
      <w:tr>
        <w:trPr>
          <w:trHeight w:val="385"/>
        </w:trPr>
        <w:tc>
          <w:tcPr>
            <w:tcW w:w="27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21"/>
          </w:tcPr>
          <w:p>
            <w:pPr>
              <w:jc w:val="right"/>
              <w:spacing w:after="0"/>
              <w:rPr>
                <w:sz w:val="20"/>
                <w:szCs w:val="20"/>
                <w:color w:val="auto"/>
              </w:rPr>
            </w:pPr>
            <w:r>
              <w:rPr>
                <w:rFonts w:ascii="Arial" w:cs="Arial" w:eastAsia="Arial" w:hAnsi="Arial"/>
                <w:sz w:val="14"/>
                <w:szCs w:val="14"/>
                <w:b w:val="1"/>
                <w:bCs w:val="1"/>
                <w:color w:val="auto"/>
              </w:rPr>
              <w:t>Nine Months Ended September 25, 2021</w:t>
            </w: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155"/>
        </w:trPr>
        <w:tc>
          <w:tcPr>
            <w:tcW w:w="2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5"/>
          </w:tcPr>
          <w:p>
            <w:pPr>
              <w:jc w:val="right"/>
              <w:ind w:right="420"/>
              <w:spacing w:after="0" w:line="149" w:lineRule="exact"/>
              <w:rPr>
                <w:sz w:val="20"/>
                <w:szCs w:val="20"/>
                <w:color w:val="auto"/>
              </w:rPr>
            </w:pPr>
            <w:r>
              <w:rPr>
                <w:rFonts w:ascii="Arial" w:cs="Arial" w:eastAsia="Arial" w:hAnsi="Arial"/>
                <w:sz w:val="14"/>
                <w:szCs w:val="14"/>
                <w:b w:val="1"/>
                <w:bCs w:val="1"/>
                <w:color w:val="auto"/>
              </w:rPr>
              <w:t>Retail</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5"/>
          </w:tcPr>
          <w:p>
            <w:pPr>
              <w:ind w:left="100"/>
              <w:spacing w:after="0" w:line="149" w:lineRule="exact"/>
              <w:rPr>
                <w:sz w:val="20"/>
                <w:szCs w:val="20"/>
                <w:color w:val="auto"/>
              </w:rPr>
            </w:pPr>
            <w:r>
              <w:rPr>
                <w:rFonts w:ascii="Arial" w:cs="Arial" w:eastAsia="Arial" w:hAnsi="Arial"/>
                <w:sz w:val="14"/>
                <w:szCs w:val="14"/>
                <w:b w:val="1"/>
                <w:bCs w:val="1"/>
                <w:color w:val="auto"/>
              </w:rPr>
              <w:t>Industrial</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gridSpan w:val="6"/>
          </w:tcPr>
          <w:p>
            <w:pPr>
              <w:spacing w:after="0" w:line="149" w:lineRule="exact"/>
              <w:rPr>
                <w:sz w:val="20"/>
                <w:szCs w:val="20"/>
                <w:color w:val="auto"/>
              </w:rPr>
            </w:pPr>
            <w:r>
              <w:rPr>
                <w:rFonts w:ascii="Arial" w:cs="Arial" w:eastAsia="Arial" w:hAnsi="Arial"/>
                <w:sz w:val="14"/>
                <w:szCs w:val="14"/>
                <w:b w:val="1"/>
                <w:bCs w:val="1"/>
                <w:color w:val="auto"/>
              </w:rPr>
              <w:t>Construction</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All Other</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4"/>
          </w:tcPr>
          <w:p>
            <w:pPr>
              <w:jc w:val="right"/>
              <w:ind w:right="240"/>
              <w:spacing w:after="0" w:line="149" w:lineRule="exact"/>
              <w:rPr>
                <w:sz w:val="20"/>
                <w:szCs w:val="20"/>
                <w:color w:val="auto"/>
              </w:rPr>
            </w:pPr>
            <w:r>
              <w:rPr>
                <w:rFonts w:ascii="Arial" w:cs="Arial" w:eastAsia="Arial" w:hAnsi="Arial"/>
                <w:sz w:val="14"/>
                <w:szCs w:val="14"/>
                <w:b w:val="1"/>
                <w:bCs w:val="1"/>
                <w:color w:val="auto"/>
              </w:rPr>
              <w:t>Corporate</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235"/>
              <w:spacing w:after="0" w:line="149" w:lineRule="exact"/>
              <w:rPr>
                <w:sz w:val="20"/>
                <w:szCs w:val="20"/>
                <w:color w:val="auto"/>
              </w:rPr>
            </w:pPr>
            <w:r>
              <w:rPr>
                <w:rFonts w:ascii="Arial" w:cs="Arial" w:eastAsia="Arial" w:hAnsi="Arial"/>
                <w:sz w:val="14"/>
                <w:szCs w:val="14"/>
                <w:b w:val="1"/>
                <w:bCs w:val="1"/>
                <w:color w:val="auto"/>
              </w:rPr>
              <w:t>Total</w:t>
            </w:r>
          </w:p>
        </w:tc>
      </w:tr>
      <w:tr>
        <w:trPr>
          <w:trHeight w:val="216"/>
        </w:trPr>
        <w:tc>
          <w:tcPr>
            <w:tcW w:w="2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 to outside customers</w:t>
            </w:r>
          </w:p>
        </w:tc>
        <w:tc>
          <w:tcPr>
            <w:tcW w:w="94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0"/>
              </w:rPr>
              <w:t>$ 2,714,440</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w w:val="90"/>
              </w:rPr>
              <w:t>$ 1,633,289</w:t>
            </w: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0"/>
              </w:rPr>
              <w:t>$ 2,021,106</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$ 243,736</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6,758</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6,619,329</w:t>
            </w:r>
          </w:p>
        </w:tc>
      </w:tr>
      <w:tr>
        <w:trPr>
          <w:trHeight w:val="216"/>
        </w:trPr>
        <w:tc>
          <w:tcPr>
            <w:tcW w:w="2760" w:type="dxa"/>
            <w:vAlign w:val="bottom"/>
          </w:tcPr>
          <w:p>
            <w:pPr>
              <w:ind w:left="20"/>
              <w:spacing w:after="0"/>
              <w:rPr>
                <w:sz w:val="20"/>
                <w:szCs w:val="20"/>
                <w:color w:val="auto"/>
              </w:rPr>
            </w:pPr>
            <w:r>
              <w:rPr>
                <w:rFonts w:ascii="Arial" w:cs="Arial" w:eastAsia="Arial" w:hAnsi="Arial"/>
                <w:sz w:val="18"/>
                <w:szCs w:val="18"/>
                <w:color w:val="auto"/>
              </w:rPr>
              <w:t>Intersegment net sales</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163,279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66,039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62,069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345,920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(637,307)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from operations</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89,443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190,344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184,330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44,565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542,547</w:t>
            </w:r>
          </w:p>
        </w:tc>
      </w:tr>
    </w:tbl>
    <w:p>
      <w:pPr>
        <w:spacing w:after="0" w:line="20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following table presents goodwill by segment as of September 24, 2022, and December 25, 2021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3740" w:type="dxa"/>
            <w:vAlign w:val="bottom"/>
          </w:tcPr>
          <w:p>
            <w:pPr>
              <w:spacing w:after="0"/>
              <w:rPr>
                <w:sz w:val="15"/>
                <w:szCs w:val="15"/>
                <w:color w:val="auto"/>
              </w:rPr>
            </w:pPr>
          </w:p>
        </w:tc>
        <w:tc>
          <w:tcPr>
            <w:tcW w:w="640" w:type="dxa"/>
            <w:vAlign w:val="bottom"/>
          </w:tcPr>
          <w:p>
            <w:pPr>
              <w:jc w:val="right"/>
              <w:ind w:right="33"/>
              <w:spacing w:after="0"/>
              <w:rPr>
                <w:sz w:val="20"/>
                <w:szCs w:val="20"/>
                <w:color w:val="auto"/>
              </w:rPr>
            </w:pPr>
            <w:r>
              <w:rPr>
                <w:rFonts w:ascii="Arial" w:cs="Arial" w:eastAsia="Arial" w:hAnsi="Arial"/>
                <w:sz w:val="14"/>
                <w:szCs w:val="14"/>
                <w:b w:val="1"/>
                <w:bCs w:val="1"/>
                <w:color w:val="auto"/>
              </w:rPr>
              <w:t>Retail</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Industrial</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Construction</w:t>
            </w: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All Other</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Corporate</w:t>
            </w:r>
          </w:p>
        </w:tc>
        <w:tc>
          <w:tcPr>
            <w:tcW w:w="82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r>
      <w:tr>
        <w:trPr>
          <w:trHeight w:val="216"/>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25, 2021</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$ 73,376</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$ 128,541</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89,000</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$ 24,121</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$ 315,038</w:t>
            </w:r>
          </w:p>
        </w:tc>
        <w:tc>
          <w:tcPr>
            <w:tcW w:w="20" w:type="dxa"/>
            <w:vAlign w:val="bottom"/>
          </w:tcPr>
          <w:p>
            <w:pPr>
              <w:spacing w:after="0"/>
              <w:rPr>
                <w:sz w:val="18"/>
                <w:szCs w:val="18"/>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8"/>
                <w:szCs w:val="18"/>
                <w:color w:val="auto"/>
              </w:rPr>
              <w:t>2022 Acquisitions</w:t>
            </w:r>
          </w:p>
        </w:tc>
        <w:tc>
          <w:tcPr>
            <w:tcW w:w="640" w:type="dxa"/>
            <w:vAlign w:val="bottom"/>
          </w:tcPr>
          <w:p>
            <w:pPr>
              <w:jc w:val="right"/>
              <w:spacing w:after="0"/>
              <w:rPr>
                <w:sz w:val="20"/>
                <w:szCs w:val="20"/>
                <w:color w:val="auto"/>
              </w:rPr>
            </w:pPr>
            <w:r>
              <w:rPr>
                <w:rFonts w:ascii="Arial" w:cs="Arial" w:eastAsia="Arial" w:hAnsi="Arial"/>
                <w:sz w:val="18"/>
                <w:szCs w:val="18"/>
                <w:color w:val="auto"/>
              </w:rPr>
              <w:t>11,958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11,958</w:t>
            </w:r>
          </w:p>
        </w:tc>
        <w:tc>
          <w:tcPr>
            <w:tcW w:w="20" w:type="dxa"/>
            <w:vAlign w:val="bottom"/>
          </w:tcPr>
          <w:p>
            <w:pPr>
              <w:spacing w:after="0"/>
              <w:rPr>
                <w:sz w:val="18"/>
                <w:szCs w:val="18"/>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 Purchase Accounting Adjustments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1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(5,830)</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(5,952)</w:t>
            </w:r>
          </w:p>
        </w:tc>
        <w:tc>
          <w:tcPr>
            <w:tcW w:w="20" w:type="dxa"/>
            <w:vAlign w:val="bottom"/>
          </w:tcPr>
          <w:p>
            <w:pPr>
              <w:spacing w:after="0"/>
              <w:rPr>
                <w:sz w:val="18"/>
                <w:szCs w:val="18"/>
                <w:color w:val="auto"/>
              </w:rPr>
            </w:pPr>
          </w:p>
        </w:tc>
      </w:tr>
      <w:tr>
        <w:trPr>
          <w:trHeight w:val="223"/>
        </w:trPr>
        <w:tc>
          <w:tcPr>
            <w:tcW w:w="3740" w:type="dxa"/>
            <w:vAlign w:val="bottom"/>
          </w:tcPr>
          <w:p>
            <w:pPr>
              <w:ind w:left="20"/>
              <w:spacing w:after="0"/>
              <w:rPr>
                <w:sz w:val="20"/>
                <w:szCs w:val="20"/>
                <w:color w:val="auto"/>
              </w:rPr>
            </w:pPr>
            <w:r>
              <w:rPr>
                <w:rFonts w:ascii="Arial" w:cs="Arial" w:eastAsia="Arial" w:hAnsi="Arial"/>
                <w:sz w:val="18"/>
                <w:szCs w:val="18"/>
                <w:color w:val="auto"/>
              </w:rPr>
              <w:t>Foreign Exchange, Net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(215)</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(1,646)</w:t>
            </w:r>
          </w:p>
        </w:tc>
        <w:tc>
          <w:tcPr>
            <w:tcW w:w="260" w:type="dxa"/>
            <w:vAlign w:val="bottom"/>
          </w:tcPr>
          <w:p>
            <w:pPr>
              <w:spacing w:after="0"/>
              <w:rPr>
                <w:sz w:val="19"/>
                <w:szCs w:val="19"/>
                <w:color w:val="auto"/>
              </w:rPr>
            </w:pP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(1,861)</w:t>
            </w:r>
          </w:p>
        </w:tc>
        <w:tc>
          <w:tcPr>
            <w:tcW w:w="20" w:type="dxa"/>
            <w:vAlign w:val="bottom"/>
          </w:tcPr>
          <w:p>
            <w:pPr>
              <w:spacing w:after="0"/>
              <w:rPr>
                <w:sz w:val="19"/>
                <w:szCs w:val="19"/>
                <w:color w:val="auto"/>
              </w:rPr>
            </w:pPr>
          </w:p>
        </w:tc>
      </w:tr>
      <w:tr>
        <w:trPr>
          <w:trHeight w:val="216"/>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September 24, 2022</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$ 85,627</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$ 122,711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87,711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$ 23,134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$ 319,183</w:t>
            </w:r>
          </w:p>
        </w:tc>
        <w:tc>
          <w:tcPr>
            <w:tcW w:w="20" w:type="dxa"/>
            <w:vAlign w:val="bottom"/>
          </w:tcPr>
          <w:p>
            <w:pPr>
              <w:spacing w:after="0"/>
              <w:rPr>
                <w:sz w:val="18"/>
                <w:szCs w:val="18"/>
                <w:color w:val="auto"/>
              </w:rPr>
            </w:pPr>
          </w:p>
        </w:tc>
      </w:tr>
      <w:tr>
        <w:trPr>
          <w:trHeight w:val="20"/>
        </w:trPr>
        <w:tc>
          <w:tcPr>
            <w:tcW w:w="37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8"/>
        </w:trPr>
        <w:tc>
          <w:tcPr>
            <w:tcW w:w="3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15</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37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4"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The following table presents total assets by segment as of September 24, 2022, and December 25, 2021 (in thousands).</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w w:val="86"/>
              </w:rPr>
              <w:t>Total Assets by Segment</w:t>
            </w:r>
          </w:p>
        </w:tc>
        <w:tc>
          <w:tcPr>
            <w:tcW w:w="700" w:type="dxa"/>
            <w:vAlign w:val="bottom"/>
            <w:tcBorders>
              <w:bottom w:val="single" w:sz="8" w:color="auto"/>
            </w:tcBorders>
          </w:tcPr>
          <w:p>
            <w:pPr>
              <w:spacing w:after="0"/>
              <w:rPr>
                <w:sz w:val="15"/>
                <w:szCs w:val="15"/>
                <w:color w:val="auto"/>
              </w:rPr>
            </w:pPr>
          </w:p>
        </w:tc>
      </w:tr>
      <w:tr>
        <w:trPr>
          <w:trHeight w:val="13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060" w:type="dxa"/>
            <w:vAlign w:val="bottom"/>
            <w:gridSpan w:val="3"/>
          </w:tcPr>
          <w:p>
            <w:pPr>
              <w:ind w:left="20"/>
              <w:spacing w:after="0" w:line="139" w:lineRule="exact"/>
              <w:rPr>
                <w:sz w:val="20"/>
                <w:szCs w:val="20"/>
                <w:color w:val="auto"/>
              </w:rPr>
            </w:pPr>
            <w:r>
              <w:rPr>
                <w:rFonts w:ascii="Arial" w:cs="Arial" w:eastAsia="Arial" w:hAnsi="Arial"/>
                <w:sz w:val="14"/>
                <w:szCs w:val="14"/>
                <w:b w:val="1"/>
                <w:bCs w:val="1"/>
                <w:color w:val="auto"/>
              </w:rPr>
              <w:t>September 24,</w:t>
            </w:r>
          </w:p>
        </w:tc>
        <w:tc>
          <w:tcPr>
            <w:tcW w:w="1140" w:type="dxa"/>
            <w:vAlign w:val="bottom"/>
            <w:gridSpan w:val="3"/>
          </w:tcPr>
          <w:p>
            <w:pPr>
              <w:ind w:left="60"/>
              <w:spacing w:after="0" w:line="139" w:lineRule="exact"/>
              <w:rPr>
                <w:sz w:val="20"/>
                <w:szCs w:val="20"/>
                <w:color w:val="auto"/>
              </w:rPr>
            </w:pPr>
            <w:r>
              <w:rPr>
                <w:rFonts w:ascii="Arial" w:cs="Arial" w:eastAsia="Arial" w:hAnsi="Arial"/>
                <w:sz w:val="14"/>
                <w:szCs w:val="14"/>
                <w:b w:val="1"/>
                <w:bCs w:val="1"/>
                <w:color w:val="auto"/>
              </w:rPr>
              <w:t>December 25,</w:t>
            </w:r>
          </w:p>
        </w:tc>
        <w:tc>
          <w:tcPr>
            <w:tcW w:w="700" w:type="dxa"/>
            <w:vAlign w:val="bottom"/>
          </w:tcPr>
          <w:p>
            <w:pPr>
              <w:spacing w:after="0"/>
              <w:rPr>
                <w:sz w:val="12"/>
                <w:szCs w:val="12"/>
                <w:color w:val="auto"/>
              </w:rPr>
            </w:pPr>
          </w:p>
        </w:tc>
      </w:tr>
      <w:tr>
        <w:trPr>
          <w:trHeight w:val="171"/>
        </w:trPr>
        <w:tc>
          <w:tcPr>
            <w:tcW w:w="6000" w:type="dxa"/>
            <w:vAlign w:val="bottom"/>
            <w:gridSpan w:val="3"/>
          </w:tcPr>
          <w:p>
            <w:pPr>
              <w:ind w:left="20"/>
              <w:spacing w:after="0"/>
              <w:rPr>
                <w:sz w:val="20"/>
                <w:szCs w:val="20"/>
                <w:color w:val="auto"/>
              </w:rPr>
            </w:pPr>
            <w:r>
              <w:rPr>
                <w:rFonts w:ascii="Arial" w:cs="Arial" w:eastAsia="Arial" w:hAnsi="Arial"/>
                <w:sz w:val="14"/>
                <w:szCs w:val="14"/>
                <w:b w:val="1"/>
                <w:bCs w:val="1"/>
                <w:color w:val="auto"/>
              </w:rPr>
              <w:t>Segment Classification</w:t>
            </w:r>
          </w:p>
        </w:tc>
        <w:tc>
          <w:tcPr>
            <w:tcW w:w="120" w:type="dxa"/>
            <w:vAlign w:val="bottom"/>
          </w:tcPr>
          <w:p>
            <w:pPr>
              <w:spacing w:after="0"/>
              <w:rPr>
                <w:sz w:val="14"/>
                <w:szCs w:val="14"/>
                <w:color w:val="auto"/>
              </w:rPr>
            </w:pPr>
          </w:p>
        </w:tc>
        <w:tc>
          <w:tcPr>
            <w:tcW w:w="800" w:type="dxa"/>
            <w:vAlign w:val="bottom"/>
          </w:tcPr>
          <w:p>
            <w:pPr>
              <w:jc w:val="right"/>
              <w:ind w:right="235"/>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1"/>
              </w:rPr>
              <w:t>% 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shd w:val="clear" w:color="auto" w:fill="000000"/>
          </w:tcPr>
          <w:p>
            <w:pPr>
              <w:spacing w:after="0" w:line="20" w:lineRule="exact"/>
              <w:rPr>
                <w:sz w:val="1"/>
                <w:szCs w:val="1"/>
                <w:color w:val="auto"/>
              </w:rPr>
            </w:pPr>
          </w:p>
        </w:tc>
        <w:tc>
          <w:tcPr>
            <w:tcW w:w="4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shd w:val="clear" w:color="auto" w:fill="000000"/>
          </w:tcPr>
          <w:p>
            <w:pPr>
              <w:spacing w:after="0" w:line="20" w:lineRule="exact"/>
              <w:rPr>
                <w:sz w:val="1"/>
                <w:szCs w:val="1"/>
                <w:color w:val="auto"/>
              </w:rPr>
            </w:pPr>
          </w:p>
        </w:tc>
        <w:tc>
          <w:tcPr>
            <w:tcW w:w="800" w:type="dxa"/>
            <w:vAlign w:val="bottom"/>
            <w:tcBorders>
              <w:bottom w:val="single" w:sz="8" w:color="auto"/>
            </w:tcBorders>
            <w:shd w:val="clear" w:color="auto" w:fill="000000"/>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shd w:val="clear" w:color="auto" w:fill="000000"/>
          </w:tcPr>
          <w:p>
            <w:pPr>
              <w:spacing w:after="0" w:line="20" w:lineRule="exact"/>
              <w:rPr>
                <w:sz w:val="1"/>
                <w:szCs w:val="1"/>
                <w:color w:val="auto"/>
              </w:rPr>
            </w:pPr>
          </w:p>
        </w:tc>
        <w:tc>
          <w:tcPr>
            <w:tcW w:w="800" w:type="dxa"/>
            <w:vAlign w:val="bottom"/>
            <w:tcBorders>
              <w:bottom w:val="single" w:sz="8" w:color="auto"/>
            </w:tcBorders>
            <w:shd w:val="clear" w:color="auto" w:fill="000000"/>
          </w:tcPr>
          <w:p>
            <w:pPr>
              <w:spacing w:after="0" w:line="20" w:lineRule="exact"/>
              <w:rPr>
                <w:sz w:val="1"/>
                <w:szCs w:val="1"/>
                <w:color w:val="auto"/>
              </w:rPr>
            </w:pPr>
          </w:p>
        </w:tc>
        <w:tc>
          <w:tcPr>
            <w:tcW w:w="220" w:type="dxa"/>
            <w:vAlign w:val="bottom"/>
            <w:tcBorders>
              <w:bottom w:val="single" w:sz="8" w:color="CCEEFF"/>
              <w:right w:val="single" w:sz="8" w:color="auto"/>
            </w:tcBorders>
          </w:tcPr>
          <w:p>
            <w:pPr>
              <w:spacing w:after="0" w:line="20" w:lineRule="exact"/>
              <w:rPr>
                <w:sz w:val="1"/>
                <w:szCs w:val="1"/>
                <w:color w:val="auto"/>
              </w:rPr>
            </w:pPr>
          </w:p>
        </w:tc>
        <w:tc>
          <w:tcPr>
            <w:tcW w:w="700" w:type="dxa"/>
            <w:vAlign w:val="bottom"/>
            <w:tcBorders>
              <w:bottom w:val="single" w:sz="8" w:color="auto"/>
            </w:tcBorders>
            <w:shd w:val="clear" w:color="auto" w:fill="000000"/>
          </w:tcPr>
          <w:p>
            <w:pPr>
              <w:spacing w:after="0" w:line="20" w:lineRule="exact"/>
              <w:rPr>
                <w:sz w:val="1"/>
                <w:szCs w:val="1"/>
                <w:color w:val="auto"/>
              </w:rPr>
            </w:pPr>
          </w:p>
        </w:tc>
      </w:tr>
      <w:tr>
        <w:trPr>
          <w:trHeight w:val="203"/>
        </w:trPr>
        <w:tc>
          <w:tcPr>
            <w:tcW w:w="6000" w:type="dxa"/>
            <w:vAlign w:val="bottom"/>
            <w:gridSpan w:val="3"/>
            <w:shd w:val="clear" w:color="auto" w:fill="CCEEFF"/>
          </w:tcPr>
          <w:p>
            <w:pPr>
              <w:ind w:left="20"/>
              <w:spacing w:after="0" w:line="203" w:lineRule="exact"/>
              <w:rPr>
                <w:sz w:val="20"/>
                <w:szCs w:val="20"/>
                <w:color w:val="auto"/>
              </w:rPr>
            </w:pPr>
            <w:r>
              <w:rPr>
                <w:rFonts w:ascii="Arial" w:cs="Arial" w:eastAsia="Arial" w:hAnsi="Arial"/>
                <w:sz w:val="18"/>
                <w:szCs w:val="18"/>
                <w:color w:val="auto"/>
              </w:rPr>
              <w:t>Retail</w:t>
            </w: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975,733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844,189</w:t>
            </w:r>
          </w:p>
        </w:tc>
        <w:tc>
          <w:tcPr>
            <w:tcW w:w="22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15.6 %</w:t>
            </w:r>
          </w:p>
        </w:tc>
      </w:tr>
      <w:tr>
        <w:trPr>
          <w:trHeight w:val="216"/>
        </w:trPr>
        <w:tc>
          <w:tcPr>
            <w:tcW w:w="6000" w:type="dxa"/>
            <w:vAlign w:val="bottom"/>
            <w:gridSpan w:val="3"/>
          </w:tcPr>
          <w:p>
            <w:pPr>
              <w:ind w:left="20"/>
              <w:spacing w:after="0"/>
              <w:rPr>
                <w:sz w:val="20"/>
                <w:szCs w:val="20"/>
                <w:color w:val="auto"/>
              </w:rPr>
            </w:pPr>
            <w:r>
              <w:rPr>
                <w:rFonts w:ascii="Arial" w:cs="Arial" w:eastAsia="Arial" w:hAnsi="Arial"/>
                <w:sz w:val="18"/>
                <w:szCs w:val="18"/>
                <w:color w:val="auto"/>
              </w:rPr>
              <w:t>Industrial</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855,240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741,672</w:t>
            </w:r>
          </w:p>
        </w:tc>
        <w:tc>
          <w:tcPr>
            <w:tcW w:w="220" w:type="dxa"/>
            <w:vAlign w:val="bottom"/>
          </w:tcPr>
          <w:p>
            <w:pPr>
              <w:spacing w:after="0"/>
              <w:rPr>
                <w:sz w:val="18"/>
                <w:szCs w:val="18"/>
                <w:color w:val="auto"/>
              </w:rPr>
            </w:pPr>
          </w:p>
        </w:tc>
        <w:tc>
          <w:tcPr>
            <w:tcW w:w="700" w:type="dxa"/>
            <w:vAlign w:val="bottom"/>
          </w:tcPr>
          <w:p>
            <w:pPr>
              <w:jc w:val="right"/>
              <w:ind w:right="113"/>
              <w:spacing w:after="0"/>
              <w:rPr>
                <w:sz w:val="20"/>
                <w:szCs w:val="20"/>
                <w:color w:val="auto"/>
              </w:rPr>
            </w:pPr>
            <w:r>
              <w:rPr>
                <w:rFonts w:ascii="Arial" w:cs="Arial" w:eastAsia="Arial" w:hAnsi="Arial"/>
                <w:sz w:val="18"/>
                <w:szCs w:val="18"/>
                <w:color w:val="auto"/>
              </w:rPr>
              <w:t>15.3</w:t>
            </w:r>
          </w:p>
        </w:tc>
      </w:tr>
      <w:tr>
        <w:trPr>
          <w:trHeight w:val="216"/>
        </w:trPr>
        <w:tc>
          <w:tcPr>
            <w:tcW w:w="6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Construction</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834,917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736,157</w:t>
            </w:r>
          </w:p>
        </w:tc>
        <w:tc>
          <w:tcPr>
            <w:tcW w:w="2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13.4</w:t>
            </w:r>
          </w:p>
        </w:tc>
      </w:tr>
      <w:tr>
        <w:trPr>
          <w:trHeight w:val="216"/>
        </w:trPr>
        <w:tc>
          <w:tcPr>
            <w:tcW w:w="6000" w:type="dxa"/>
            <w:vAlign w:val="bottom"/>
            <w:gridSpan w:val="3"/>
          </w:tcPr>
          <w:p>
            <w:pPr>
              <w:ind w:left="20"/>
              <w:spacing w:after="0"/>
              <w:rPr>
                <w:sz w:val="20"/>
                <w:szCs w:val="20"/>
                <w:color w:val="auto"/>
              </w:rPr>
            </w:pPr>
            <w:r>
              <w:rPr>
                <w:rFonts w:ascii="Arial" w:cs="Arial" w:eastAsia="Arial" w:hAnsi="Arial"/>
                <w:sz w:val="18"/>
                <w:szCs w:val="18"/>
                <w:color w:val="auto"/>
              </w:rPr>
              <w:t>All Other</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324,113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343,363</w:t>
            </w:r>
          </w:p>
        </w:tc>
        <w:tc>
          <w:tcPr>
            <w:tcW w:w="22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(5.6)</w:t>
            </w:r>
          </w:p>
        </w:tc>
      </w:tr>
      <w:tr>
        <w:trPr>
          <w:trHeight w:val="236"/>
        </w:trPr>
        <w:tc>
          <w:tcPr>
            <w:tcW w:w="60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748,544</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579,890</w:t>
            </w:r>
          </w:p>
        </w:tc>
        <w:tc>
          <w:tcPr>
            <w:tcW w:w="220" w:type="dxa"/>
            <w:vAlign w:val="bottom"/>
            <w:tcBorders>
              <w:bottom w:val="single" w:sz="8" w:color="CCEEFF"/>
              <w:right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29.1</w:t>
            </w:r>
          </w:p>
        </w:tc>
      </w:tr>
      <w:tr>
        <w:trPr>
          <w:trHeight w:val="203"/>
        </w:trPr>
        <w:tc>
          <w:tcPr>
            <w:tcW w:w="6000" w:type="dxa"/>
            <w:vAlign w:val="bottom"/>
            <w:gridSpan w:val="3"/>
          </w:tcPr>
          <w:p>
            <w:pPr>
              <w:ind w:left="20"/>
              <w:spacing w:after="0" w:line="203" w:lineRule="exact"/>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3,738,547</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3,245,271</w:t>
            </w:r>
          </w:p>
        </w:tc>
        <w:tc>
          <w:tcPr>
            <w:tcW w:w="2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15.2 %</w:t>
            </w: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144" w:lineRule="exact"/>
        <w:rPr>
          <w:sz w:val="20"/>
          <w:szCs w:val="20"/>
          <w:color w:val="auto"/>
        </w:rPr>
      </w:pPr>
    </w:p>
    <w:p>
      <w:pPr>
        <w:ind w:left="560" w:hanging="510"/>
        <w:spacing w:after="0"/>
        <w:tabs>
          <w:tab w:leader="none" w:pos="5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Effective tax rates differ from statutory federal income tax rates, primarily due to provisions for foreign, state and local income taxes and permanent tax differences. Our effective tax rate was 25.4% in the third quarter of 2022 compared to 23.0% in the third quarter of 2021 and was 24.8% in the first nine months of 2022 compared to 24.0% for the same period in 2021. The increase was primarily due to one-time tax credits recorded as discrete items in 2021 that are not available in 2022.</w:t>
      </w:r>
    </w:p>
    <w:p>
      <w:pPr>
        <w:spacing w:after="0" w:line="197" w:lineRule="exact"/>
        <w:rPr>
          <w:sz w:val="20"/>
          <w:szCs w:val="20"/>
          <w:color w:val="auto"/>
        </w:rPr>
      </w:pPr>
    </w:p>
    <w:p>
      <w:pPr>
        <w:ind w:left="480" w:hanging="430"/>
        <w:spacing w:after="0"/>
        <w:tabs>
          <w:tab w:leader="none" w:pos="4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60" w:right="319" w:firstLine="492"/>
        <w:spacing w:after="0" w:line="277" w:lineRule="auto"/>
        <w:rPr>
          <w:sz w:val="20"/>
          <w:szCs w:val="20"/>
          <w:color w:val="auto"/>
        </w:rPr>
      </w:pPr>
      <w:r>
        <w:rPr>
          <w:rFonts w:ascii="Arial" w:cs="Arial" w:eastAsia="Arial" w:hAnsi="Arial"/>
          <w:sz w:val="18"/>
          <w:szCs w:val="18"/>
          <w:color w:val="auto"/>
        </w:rPr>
        <w:t>Below is a summary of common stock issuances for the first nine months of 2022 and 2021 (in thousands, except average share price):</w:t>
      </w:r>
    </w:p>
    <w:p>
      <w:pPr>
        <w:spacing w:after="0" w:line="27"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74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September 24, 2022</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Common</w:t>
            </w:r>
          </w:p>
        </w:tc>
        <w:tc>
          <w:tcPr>
            <w:tcW w:w="26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Average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53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81"/>
        </w:trPr>
        <w:tc>
          <w:tcPr>
            <w:tcW w:w="1800" w:type="dxa"/>
            <w:vAlign w:val="bottom"/>
            <w:gridSpan w:val="2"/>
            <w:vMerge w:val="restart"/>
          </w:tcPr>
          <w:p>
            <w:pPr>
              <w:spacing w:after="0" w:line="192" w:lineRule="exact"/>
              <w:rPr>
                <w:sz w:val="20"/>
                <w:szCs w:val="20"/>
                <w:color w:val="auto"/>
              </w:rPr>
            </w:pPr>
            <w:r>
              <w:rPr>
                <w:rFonts w:ascii="Arial" w:cs="Arial" w:eastAsia="Arial" w:hAnsi="Arial"/>
                <w:sz w:val="18"/>
                <w:szCs w:val="18"/>
                <w:b w:val="1"/>
                <w:bCs w:val="1"/>
                <w:color w:val="auto"/>
                <w:w w:val="88"/>
              </w:rPr>
              <w:t>Share Issuance Activity</w:t>
            </w:r>
          </w:p>
        </w:tc>
        <w:tc>
          <w:tcPr>
            <w:tcW w:w="5360" w:type="dxa"/>
            <w:vAlign w:val="bottom"/>
          </w:tcPr>
          <w:p>
            <w:pPr>
              <w:spacing w:after="0"/>
              <w:rPr>
                <w:sz w:val="7"/>
                <w:szCs w:val="7"/>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Stock</w:t>
            </w:r>
          </w:p>
        </w:tc>
        <w:tc>
          <w:tcPr>
            <w:tcW w:w="2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1800" w:type="dxa"/>
            <w:vAlign w:val="bottom"/>
            <w:tcBorders>
              <w:bottom w:val="single" w:sz="8" w:color="auto"/>
            </w:tcBorders>
            <w:gridSpan w:val="2"/>
            <w:vMerge w:val="continue"/>
          </w:tcPr>
          <w:p>
            <w:pPr>
              <w:spacing w:after="0"/>
              <w:rPr>
                <w:sz w:val="11"/>
                <w:szCs w:val="11"/>
                <w:color w:val="auto"/>
              </w:rPr>
            </w:pPr>
          </w:p>
        </w:tc>
        <w:tc>
          <w:tcPr>
            <w:tcW w:w="53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53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issued under the employee stock purchase plan</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Shares issued under the employee stock gift program</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160"/>
              <w:spacing w:after="0"/>
              <w:rPr>
                <w:sz w:val="20"/>
                <w:szCs w:val="20"/>
                <w:color w:val="auto"/>
              </w:rPr>
            </w:pPr>
            <w:r>
              <w:rPr>
                <w:rFonts w:ascii="Arial" w:cs="Arial" w:eastAsia="Arial" w:hAnsi="Arial"/>
                <w:sz w:val="18"/>
                <w:szCs w:val="18"/>
                <w:color w:val="auto"/>
              </w:rPr>
              <w:t>Shares issued under the director retainer stock program</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2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83.24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Shares issued under the bonus plan</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755</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160"/>
              <w:spacing w:after="0"/>
              <w:rPr>
                <w:sz w:val="20"/>
                <w:szCs w:val="20"/>
                <w:color w:val="auto"/>
              </w:rPr>
            </w:pPr>
            <w:r>
              <w:rPr>
                <w:rFonts w:ascii="Arial" w:cs="Arial" w:eastAsia="Arial" w:hAnsi="Arial"/>
                <w:sz w:val="18"/>
                <w:szCs w:val="18"/>
                <w:color w:val="auto"/>
              </w:rPr>
              <w:t>Shares issued under the executive stock match plan</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2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82.87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Forfeitures</w:t>
            </w:r>
          </w:p>
        </w:tc>
        <w:tc>
          <w:tcPr>
            <w:tcW w:w="8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(13)</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Total shares issued under stock grant programs</w:t>
            </w:r>
          </w:p>
        </w:tc>
        <w:tc>
          <w:tcPr>
            <w:tcW w:w="800" w:type="dxa"/>
            <w:vAlign w:val="bottom"/>
          </w:tcPr>
          <w:p>
            <w:pPr>
              <w:jc w:val="center"/>
              <w:spacing w:after="0"/>
              <w:rPr>
                <w:sz w:val="20"/>
                <w:szCs w:val="20"/>
                <w:color w:val="auto"/>
              </w:rPr>
            </w:pPr>
            <w:r>
              <w:rPr>
                <w:rFonts w:ascii="Arial" w:cs="Arial" w:eastAsia="Arial" w:hAnsi="Arial"/>
                <w:sz w:val="18"/>
                <w:szCs w:val="18"/>
                <w:color w:val="auto"/>
                <w:w w:val="86"/>
              </w:rPr>
              <w:t>809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82.73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Shares issued under the deferred compensation plans</w:t>
            </w:r>
          </w:p>
        </w:tc>
        <w:tc>
          <w:tcPr>
            <w:tcW w:w="800" w:type="dxa"/>
            <w:vAlign w:val="bottom"/>
          </w:tcPr>
          <w:p>
            <w:pPr>
              <w:jc w:val="center"/>
              <w:spacing w:after="0"/>
              <w:rPr>
                <w:sz w:val="20"/>
                <w:szCs w:val="20"/>
                <w:color w:val="auto"/>
              </w:rPr>
            </w:pPr>
            <w:r>
              <w:rPr>
                <w:rFonts w:ascii="Arial" w:cs="Arial" w:eastAsia="Arial" w:hAnsi="Arial"/>
                <w:sz w:val="18"/>
                <w:szCs w:val="18"/>
                <w:color w:val="auto"/>
                <w:w w:val="86"/>
              </w:rPr>
              <w:t>102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82.36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319" w:firstLine="486"/>
        <w:spacing w:after="0" w:line="277" w:lineRule="auto"/>
        <w:rPr>
          <w:sz w:val="20"/>
          <w:szCs w:val="20"/>
          <w:color w:val="auto"/>
        </w:rPr>
      </w:pPr>
      <w:r>
        <w:rPr>
          <w:rFonts w:ascii="Arial" w:cs="Arial" w:eastAsia="Arial" w:hAnsi="Arial"/>
          <w:sz w:val="18"/>
          <w:szCs w:val="18"/>
          <w:color w:val="auto"/>
        </w:rPr>
        <w:t>During the first nine months of 2022, we repurchased approximately 1,210,000 shares of our common stock at an average share price of $77.06.</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74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September 25, 2021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280" w:type="dxa"/>
            <w:vAlign w:val="bottom"/>
          </w:tcPr>
          <w:p>
            <w:pPr>
              <w:spacing w:after="0"/>
              <w:rPr>
                <w:sz w:val="10"/>
                <w:szCs w:val="10"/>
                <w:color w:val="auto"/>
              </w:rPr>
            </w:pPr>
          </w:p>
        </w:tc>
        <w:tc>
          <w:tcPr>
            <w:tcW w:w="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Average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53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800" w:type="dxa"/>
            <w:vAlign w:val="bottom"/>
            <w:vMerge w:val="restart"/>
          </w:tcPr>
          <w:p>
            <w:pPr>
              <w:spacing w:after="0" w:line="192" w:lineRule="exact"/>
              <w:rPr>
                <w:sz w:val="20"/>
                <w:szCs w:val="20"/>
                <w:color w:val="auto"/>
              </w:rPr>
            </w:pPr>
            <w:r>
              <w:rPr>
                <w:rFonts w:ascii="Arial" w:cs="Arial" w:eastAsia="Arial" w:hAnsi="Arial"/>
                <w:sz w:val="18"/>
                <w:szCs w:val="18"/>
                <w:b w:val="1"/>
                <w:bCs w:val="1"/>
                <w:color w:val="auto"/>
                <w:w w:val="88"/>
              </w:rPr>
              <w:t>Share Issuance Activity</w:t>
            </w:r>
          </w:p>
        </w:tc>
        <w:tc>
          <w:tcPr>
            <w:tcW w:w="5340" w:type="dxa"/>
            <w:vAlign w:val="bottom"/>
          </w:tcPr>
          <w:p>
            <w:pPr>
              <w:spacing w:after="0"/>
              <w:rPr>
                <w:sz w:val="7"/>
                <w:szCs w:val="7"/>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Stock</w:t>
            </w:r>
          </w:p>
        </w:tc>
        <w:tc>
          <w:tcPr>
            <w:tcW w:w="2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00" w:type="dxa"/>
            <w:vAlign w:val="bottom"/>
            <w:tcBorders>
              <w:bottom w:val="single" w:sz="8" w:color="auto"/>
            </w:tcBorders>
            <w:vMerge w:val="continue"/>
          </w:tcPr>
          <w:p>
            <w:pPr>
              <w:spacing w:after="0"/>
              <w:rPr>
                <w:sz w:val="11"/>
                <w:szCs w:val="11"/>
                <w:color w:val="auto"/>
              </w:rPr>
            </w:pPr>
          </w:p>
        </w:tc>
        <w:tc>
          <w:tcPr>
            <w:tcW w:w="53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53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Shares issued under the employee stock purchase plan</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Shares issued under the employee stock gift program</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180"/>
              <w:spacing w:after="0"/>
              <w:rPr>
                <w:sz w:val="20"/>
                <w:szCs w:val="20"/>
                <w:color w:val="auto"/>
              </w:rPr>
            </w:pPr>
            <w:r>
              <w:rPr>
                <w:rFonts w:ascii="Arial" w:cs="Arial" w:eastAsia="Arial" w:hAnsi="Arial"/>
                <w:sz w:val="18"/>
                <w:szCs w:val="18"/>
                <w:color w:val="auto"/>
              </w:rPr>
              <w:t>Shares issued under the director retainer stock program</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2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69.80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Shares issued under the bonus plan</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487</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180"/>
              <w:spacing w:after="0"/>
              <w:rPr>
                <w:sz w:val="20"/>
                <w:szCs w:val="20"/>
                <w:color w:val="auto"/>
              </w:rPr>
            </w:pPr>
            <w:r>
              <w:rPr>
                <w:rFonts w:ascii="Arial" w:cs="Arial" w:eastAsia="Arial" w:hAnsi="Arial"/>
                <w:sz w:val="18"/>
                <w:szCs w:val="18"/>
                <w:color w:val="auto"/>
              </w:rPr>
              <w:t>Shares issued under the executive stock grants plan</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77</w:t>
            </w:r>
          </w:p>
        </w:tc>
        <w:tc>
          <w:tcPr>
            <w:tcW w:w="2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60.24</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Forfeitures</w:t>
            </w:r>
          </w:p>
        </w:tc>
        <w:tc>
          <w:tcPr>
            <w:tcW w:w="8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(21)</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60" w:type="dxa"/>
            <w:vAlign w:val="bottom"/>
            <w:gridSpan w:val="3"/>
          </w:tcPr>
          <w:p>
            <w:pPr>
              <w:ind w:left="20"/>
              <w:spacing w:after="0"/>
              <w:rPr>
                <w:sz w:val="20"/>
                <w:szCs w:val="20"/>
                <w:color w:val="auto"/>
              </w:rPr>
            </w:pPr>
            <w:r>
              <w:rPr>
                <w:rFonts w:ascii="Arial" w:cs="Arial" w:eastAsia="Arial" w:hAnsi="Arial"/>
                <w:sz w:val="18"/>
                <w:szCs w:val="18"/>
                <w:color w:val="auto"/>
              </w:rPr>
              <w:t>Total shares issued under stock grant programs</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549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57.64</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60" w:type="dxa"/>
            <w:vAlign w:val="bottom"/>
            <w:gridSpan w:val="3"/>
          </w:tcPr>
          <w:p>
            <w:pPr>
              <w:ind w:left="20"/>
              <w:spacing w:after="0"/>
              <w:rPr>
                <w:sz w:val="20"/>
                <w:szCs w:val="20"/>
                <w:color w:val="auto"/>
              </w:rPr>
            </w:pPr>
            <w:r>
              <w:rPr>
                <w:rFonts w:ascii="Arial" w:cs="Arial" w:eastAsia="Arial" w:hAnsi="Arial"/>
                <w:sz w:val="18"/>
                <w:szCs w:val="18"/>
                <w:color w:val="auto"/>
              </w:rPr>
              <w:t>Shares issued under the deferred compensation plans</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108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62.48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During the first nine months of 2021, we did not repurchase any of our shares of common stock.</w:t>
      </w:r>
    </w:p>
    <w:p>
      <w:pPr>
        <w:spacing w:after="0" w:line="221" w:lineRule="exact"/>
        <w:rPr>
          <w:sz w:val="20"/>
          <w:szCs w:val="20"/>
          <w:color w:val="auto"/>
        </w:rPr>
      </w:pPr>
    </w:p>
    <w:p>
      <w:pPr>
        <w:ind w:left="500" w:hanging="450"/>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ind w:left="60" w:right="259" w:firstLine="648"/>
        <w:spacing w:after="0" w:line="279" w:lineRule="auto"/>
        <w:rPr>
          <w:sz w:val="20"/>
          <w:szCs w:val="20"/>
          <w:color w:val="auto"/>
        </w:rPr>
      </w:pPr>
      <w:r>
        <w:rPr>
          <w:rFonts w:ascii="Arial" w:cs="Arial" w:eastAsia="Arial" w:hAnsi="Arial"/>
          <w:sz w:val="17"/>
          <w:szCs w:val="17"/>
          <w:color w:val="auto"/>
        </w:rPr>
        <w:t>Inventories are stated at the lower of cost or net realizable value. The cost of inventories includes raw materials, direct labor, and manufacturing overhead. Cost is determined on a weighted average FIFO basis. Raw materials consist primarily of unfinished wood products and other materials expected to be manufactured or treated prior to sale, while finished goods represent various manufactured and treated wood products ready for sale.</w:t>
      </w:r>
    </w:p>
    <w:p>
      <w:pPr>
        <w:spacing w:after="0" w:line="171" w:lineRule="exact"/>
        <w:rPr>
          <w:sz w:val="20"/>
          <w:szCs w:val="20"/>
          <w:color w:val="auto"/>
        </w:rPr>
      </w:pPr>
    </w:p>
    <w:p>
      <w:pPr>
        <w:ind w:left="60" w:right="259" w:firstLine="648"/>
        <w:spacing w:after="0" w:line="293" w:lineRule="auto"/>
        <w:rPr>
          <w:sz w:val="20"/>
          <w:szCs w:val="20"/>
          <w:color w:val="auto"/>
        </w:rPr>
      </w:pPr>
      <w:r>
        <w:rPr>
          <w:rFonts w:ascii="Arial" w:cs="Arial" w:eastAsia="Arial" w:hAnsi="Arial"/>
          <w:sz w:val="16"/>
          <w:szCs w:val="16"/>
          <w:color w:val="auto"/>
        </w:rPr>
        <w:t>We write down the value of inventory, the impact of which is reflected in cost of goods sold in the Condensed Consolidated Statement of Earnings and Comprehensive Income, if the cost of specific inventory items on hand exceeds the amount we expect to realize from the ultimate sale or disposal of the inventory. These estimates are based on management's judgment regarding future demand and market conditions and analysis of historical experience. There was no lower of cost or net realizable value adjustment to inventory as of September 24, 2022 and the lower of cost or net realizable value adjustment to inventory as September 25, 2021 was $1.3 million.</w:t>
      </w:r>
    </w:p>
    <w:p>
      <w:pPr>
        <w:spacing w:after="0" w:line="160" w:lineRule="exact"/>
        <w:rPr>
          <w:sz w:val="20"/>
          <w:szCs w:val="20"/>
          <w:color w:val="auto"/>
        </w:rPr>
      </w:pPr>
    </w:p>
    <w:p>
      <w:pPr>
        <w:ind w:left="560" w:hanging="510"/>
        <w:spacing w:after="0"/>
        <w:tabs>
          <w:tab w:leader="none" w:pos="5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ind w:left="60" w:right="419" w:firstLine="648"/>
        <w:spacing w:after="0" w:line="277" w:lineRule="auto"/>
        <w:rPr>
          <w:sz w:val="20"/>
          <w:szCs w:val="20"/>
          <w:color w:val="auto"/>
        </w:rPr>
      </w:pPr>
      <w:r>
        <w:rPr>
          <w:rFonts w:ascii="Arial" w:cs="Arial" w:eastAsia="Arial" w:hAnsi="Arial"/>
          <w:sz w:val="18"/>
          <w:szCs w:val="18"/>
          <w:color w:val="auto"/>
        </w:rPr>
        <w:t>Subsequent to our reporting date, we repurchased approximately 32,000 shares for $2.2 million, at an average share price of $69.31.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UFP Industries, Inc. is a holding company with subsidiaries throughout North America, Europe, Asia, and Australia that supply wood, wood composite and other products to three markets: retail, industrial, and construction. We are headquartered in Grand Rapids, Michigan. For more information about UFP Industries, Inc., or our affiliated operations, go to www.ufpi.com.</w:t>
      </w:r>
    </w:p>
    <w:p>
      <w:pPr>
        <w:spacing w:after="0" w:line="187"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This report contains forward-looking statements within the meaning of Section 21E of the Securities Exchange Act, as amended, that are based on management’s beliefs, assumptions, current expectations, estimates and projections about the markets we serve, the economy and the Company itself. Words like “anticipates,” “believes,” “confident,” “estimates,” “expects,” “forecasts,” “likely,” “plans,” “projects,” “should,” variations of such words, and similar expressions identify such forward-looking statements. These statements do not guarantee future performance and involve certain risks, uncertainties and assumptions that are difficult to predict with regard to timing, extent, likelihood and degree of occurrence. The Company does not undertake to update forward-looking statements to reflect facts, circumstances, events, or assumptions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fluctuations in the price of lumber; adverse or unusual weather conditions; adverse economic conditions in the markets we serve; government regulations, particularly involving environmental and safety regulations, government imposed “stay at home” orders and directives to cease or curtail operations; and our ability to make successful business acquisitions. Certain of these risk factors as well as other risk factors and additional information are included in the Company's reports on Form 10-K and 10-Q on file with the Securities and Exchange Commission. We are pleased to present this overview of the third quarter of 2022.</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results for the third quarter of 2022 include the following highlights:</w:t>
      </w:r>
    </w:p>
    <w:p>
      <w:pPr>
        <w:spacing w:after="0" w:line="225" w:lineRule="exact"/>
        <w:rPr>
          <w:sz w:val="20"/>
          <w:szCs w:val="20"/>
          <w:color w:val="auto"/>
        </w:rPr>
      </w:pPr>
    </w:p>
    <w:p>
      <w:pPr>
        <w:jc w:val="both"/>
        <w:ind w:left="880" w:right="79" w:hanging="317"/>
        <w:spacing w:after="0" w:line="254"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net sales were up 11% compared to the third quarter of 2021, which was comprised of a 6% increase in selling prices, a 2% increase in unit sales due to acquisitions completed since September of last year, and a 3% increase in organic unit sales. The overall increase in our selling prices is due to a combination of higher lumber prices and operating costs, an improvement in our product mix of value-added products which tend to be sold on a fixed price, elevated end market demand, and our value-based selling initiatives. Organic unit growth of 6% in our construction segment and 5% in our retail segment was offset by an organic unit decline of 2% in our industrial segment.</w:t>
      </w:r>
    </w:p>
    <w:p>
      <w:pPr>
        <w:spacing w:after="0" w:line="194" w:lineRule="exact"/>
        <w:rPr>
          <w:rFonts w:ascii="Arial" w:cs="Arial" w:eastAsia="Arial" w:hAnsi="Arial"/>
          <w:sz w:val="18"/>
          <w:szCs w:val="18"/>
          <w:color w:val="auto"/>
        </w:rPr>
      </w:pPr>
    </w:p>
    <w:p>
      <w:pPr>
        <w:jc w:val="both"/>
        <w:ind w:left="880" w:right="79" w:hanging="317"/>
        <w:spacing w:after="0" w:line="279" w:lineRule="auto"/>
        <w:tabs>
          <w:tab w:leader="none" w:pos="8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gross profits increased by $122.6 million, or 37.4%, compared to the same period of the prior year. Acquired operations contributed $8.3 million to the increase in our gross profits. Excluding the impact of acquisitions, gross profits increased by $114.3 million. We estimate that value-added products contributed $62.9 million and commodity-based products contributed $51.4 to the increase in gross profit.</w:t>
      </w:r>
    </w:p>
    <w:p>
      <w:pPr>
        <w:spacing w:after="0" w:line="171" w:lineRule="exact"/>
        <w:rPr>
          <w:rFonts w:ascii="Arial" w:cs="Arial" w:eastAsia="Arial" w:hAnsi="Arial"/>
          <w:sz w:val="17"/>
          <w:szCs w:val="17"/>
          <w:color w:val="auto"/>
        </w:rPr>
      </w:pPr>
    </w:p>
    <w:p>
      <w:pPr>
        <w:jc w:val="both"/>
        <w:ind w:left="880" w:right="79" w:hanging="317"/>
        <w:spacing w:after="0" w:line="273" w:lineRule="auto"/>
        <w:tabs>
          <w:tab w:leader="none" w:pos="8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operating profits increased $68.9 million, or 41%, compared to the third quarter of 2021. This increase resulted from a variety of factors including improved leveraging of our fixed costs in business units that experienced organic growth, increased sales of new and value-added products which have higher gross margins, and our ability to effectively include lumber and other cost increases in the selling prices of our products. In addition, our value-based and selective selling practices have enabled us to improve our profit per unit. Acquisitions contributed approximately $3.7 million to our increase in operating profits.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880" w:right="79" w:hanging="317"/>
        <w:spacing w:after="0" w:line="273" w:lineRule="auto"/>
        <w:tabs>
          <w:tab w:leader="none" w:pos="8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cash flows from operations for the first nine months of 2022 increased to $535 million compared to $282 million of cash flows provided by operations during the first nine months of 2021. The improved cash flows resulted from net earnings and non-cash expenses totaling $687 million, compared to $475 million last year, offset by a $152 million increase in net working capital since the end of last year, compared to a $193 million increase in the prior year. This year, customer demand, particularly in our retail segment, followed more typical seasonal trends which allowed us to improve our inventory turns.</w:t>
      </w:r>
    </w:p>
    <w:p>
      <w:pPr>
        <w:spacing w:after="0" w:line="177" w:lineRule="exact"/>
        <w:rPr>
          <w:rFonts w:ascii="Arial" w:cs="Arial" w:eastAsia="Arial" w:hAnsi="Arial"/>
          <w:sz w:val="17"/>
          <w:szCs w:val="17"/>
          <w:color w:val="auto"/>
        </w:rPr>
      </w:pPr>
    </w:p>
    <w:p>
      <w:pPr>
        <w:jc w:val="both"/>
        <w:ind w:left="880" w:right="79" w:hanging="317"/>
        <w:spacing w:after="0" w:line="279" w:lineRule="auto"/>
        <w:tabs>
          <w:tab w:leader="none" w:pos="8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cash surplus at the end of September 2022 was $134.6 million compared to net debt (debt and cash overdraft less cash) of $182.4 million at the end of September 2021. Our unused borrowing capacity under revolving credit facilities and a shelf agreement with certain lenders along with our cash surplus resulted in total liquidity of approximately $1.5 billion at the end of the third quarter of 2022.</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HISTORICAL LUMBER PRICES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We experience significant fluctuations in the cost of commodity lumber products from primary producers (“Lumber</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Market”). The following table presents the Random Lengths framing lumber composite price:</w:t>
      </w:r>
    </w:p>
    <w:p>
      <w:pPr>
        <w:spacing w:after="0" w:line="216" w:lineRule="exact"/>
        <w:rPr>
          <w:sz w:val="20"/>
          <w:szCs w:val="20"/>
          <w:color w:val="auto"/>
        </w:rPr>
      </w:pPr>
    </w:p>
    <w:p>
      <w:pPr>
        <w:jc w:val="center"/>
        <w:ind w:left="6780"/>
        <w:spacing w:after="0"/>
        <w:rPr>
          <w:sz w:val="20"/>
          <w:szCs w:val="20"/>
          <w:color w:val="auto"/>
        </w:rPr>
      </w:pPr>
      <w:r>
        <w:rPr>
          <w:rFonts w:ascii="Arial" w:cs="Arial" w:eastAsia="Arial" w:hAnsi="Arial"/>
          <w:sz w:val="14"/>
          <w:szCs w:val="14"/>
          <w:b w:val="1"/>
          <w:bCs w:val="1"/>
          <w:color w:val="auto"/>
        </w:rPr>
        <w:t>Random Lengths Composite</w:t>
      </w:r>
    </w:p>
    <w:p>
      <w:pPr>
        <w:jc w:val="center"/>
        <w:ind w:left="6780"/>
        <w:spacing w:after="0" w:line="236" w:lineRule="auto"/>
        <w:rPr>
          <w:sz w:val="20"/>
          <w:szCs w:val="20"/>
          <w:color w:val="auto"/>
        </w:rPr>
      </w:pPr>
      <w:r>
        <w:rPr>
          <w:rFonts w:ascii="Arial" w:cs="Arial" w:eastAsia="Arial" w:hAnsi="Arial"/>
          <w:sz w:val="14"/>
          <w:szCs w:val="14"/>
          <w:b w:val="1"/>
          <w:bCs w:val="1"/>
          <w:color w:val="auto"/>
        </w:rPr>
        <w:t>Average $/MBF</w:t>
      </w:r>
    </w:p>
    <w:tbl>
      <w:tblPr>
        <w:tblLayout w:type="fixed"/>
        <w:tblInd w:w="4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3340" w:type="dxa"/>
            <w:vAlign w:val="bottom"/>
            <w:tcBorders>
              <w:bottom w:val="single" w:sz="8" w:color="CCEEFF"/>
            </w:tcBorders>
          </w:tcPr>
          <w:p>
            <w:pPr>
              <w:spacing w:after="0"/>
              <w:rPr>
                <w:sz w:val="14"/>
                <w:szCs w:val="14"/>
                <w:color w:val="auto"/>
              </w:rPr>
            </w:pPr>
          </w:p>
        </w:tc>
        <w:tc>
          <w:tcPr>
            <w:tcW w:w="358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bottom w:val="single" w:sz="8" w:color="CCEEFF"/>
            </w:tcBorders>
          </w:tcPr>
          <w:p>
            <w:pPr>
              <w:spacing w:after="0"/>
              <w:rPr>
                <w:sz w:val="14"/>
                <w:szCs w:val="14"/>
                <w:color w:val="auto"/>
              </w:rPr>
            </w:pPr>
          </w:p>
        </w:tc>
        <w:tc>
          <w:tcPr>
            <w:tcW w:w="40" w:type="dxa"/>
            <w:vAlign w:val="bottom"/>
            <w:tcBorders>
              <w:top w:val="single" w:sz="8" w:color="auto"/>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January</w:t>
            </w:r>
          </w:p>
        </w:tc>
        <w:tc>
          <w:tcPr>
            <w:tcW w:w="35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February</w:t>
            </w:r>
          </w:p>
        </w:tc>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1,225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March</w:t>
            </w:r>
          </w:p>
        </w:tc>
        <w:tc>
          <w:tcPr>
            <w:tcW w:w="3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April</w:t>
            </w:r>
          </w:p>
        </w:tc>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1,051</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1,080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May</w:t>
            </w:r>
          </w:p>
        </w:tc>
        <w:tc>
          <w:tcPr>
            <w:tcW w:w="3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June</w:t>
            </w:r>
          </w:p>
        </w:tc>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1,344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July</w:t>
            </w:r>
          </w:p>
        </w:tc>
        <w:tc>
          <w:tcPr>
            <w:tcW w:w="3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August</w:t>
            </w:r>
          </w:p>
        </w:tc>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September</w:t>
            </w:r>
          </w:p>
        </w:tc>
        <w:tc>
          <w:tcPr>
            <w:tcW w:w="3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Third quarter average</w:t>
            </w:r>
          </w:p>
        </w:tc>
        <w:tc>
          <w:tcPr>
            <w:tcW w:w="3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Year-to-date average</w:t>
            </w:r>
          </w:p>
        </w:tc>
        <w:tc>
          <w:tcPr>
            <w:tcW w:w="3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903</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920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Third quarter percentage change</w:t>
            </w:r>
          </w:p>
        </w:tc>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16.7 %</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Year-to-date percentage change</w:t>
            </w:r>
          </w:p>
        </w:tc>
        <w:tc>
          <w:tcPr>
            <w:tcW w:w="3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580" w:type="dxa"/>
            <w:vAlign w:val="bottom"/>
          </w:tcPr>
          <w:p>
            <w:pPr>
              <w:jc w:val="right"/>
              <w:ind w:right="229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44"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In addition, a Southern Yellow Pine (“SYP”) composite price, which we prepare and use, is presented below. Our purchases of this species comprise almost two-thirds of our total lumber purchases.</w:t>
      </w:r>
    </w:p>
    <w:p>
      <w:pPr>
        <w:spacing w:after="0" w:line="175" w:lineRule="exact"/>
        <w:rPr>
          <w:sz w:val="20"/>
          <w:szCs w:val="20"/>
          <w:color w:val="auto"/>
        </w:rPr>
      </w:pPr>
    </w:p>
    <w:p>
      <w:pPr>
        <w:jc w:val="center"/>
        <w:ind w:left="6800"/>
        <w:spacing w:after="0"/>
        <w:rPr>
          <w:sz w:val="20"/>
          <w:szCs w:val="20"/>
          <w:color w:val="auto"/>
        </w:rPr>
      </w:pPr>
      <w:r>
        <w:rPr>
          <w:rFonts w:ascii="Arial" w:cs="Arial" w:eastAsia="Arial" w:hAnsi="Arial"/>
          <w:sz w:val="14"/>
          <w:szCs w:val="14"/>
          <w:b w:val="1"/>
          <w:bCs w:val="1"/>
          <w:color w:val="auto"/>
        </w:rPr>
        <w:t>Southern Yellow Pine</w:t>
      </w:r>
    </w:p>
    <w:p>
      <w:pPr>
        <w:jc w:val="center"/>
        <w:ind w:left="6800"/>
        <w:spacing w:after="0" w:line="236" w:lineRule="auto"/>
        <w:rPr>
          <w:sz w:val="20"/>
          <w:szCs w:val="20"/>
          <w:color w:val="auto"/>
        </w:rPr>
      </w:pPr>
      <w:r>
        <w:rPr>
          <w:rFonts w:ascii="Arial" w:cs="Arial" w:eastAsia="Arial" w:hAnsi="Arial"/>
          <w:sz w:val="14"/>
          <w:szCs w:val="14"/>
          <w:b w:val="1"/>
          <w:bCs w:val="1"/>
          <w:color w:val="auto"/>
        </w:rPr>
        <w:t>Average $/MBF</w:t>
      </w:r>
    </w:p>
    <w:tbl>
      <w:tblPr>
        <w:tblLayout w:type="fixed"/>
        <w:tblInd w:w="40" w:type="dxa"/>
        <w:tblCellMar>
          <w:top w:w="0" w:type="dxa"/>
          <w:left w:w="0" w:type="dxa"/>
          <w:bottom w:w="0" w:type="dxa"/>
          <w:right w:w="0" w:type="dxa"/>
        </w:tblCellMar>
      </w:tblPr>
      <w:tr>
        <w:trPr>
          <w:trHeight w:val="163"/>
        </w:trPr>
        <w:tc>
          <w:tcPr>
            <w:tcW w:w="698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151"/>
              <w:spacing w:after="0" w:line="155"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40" w:type="dxa"/>
            <w:vAlign w:val="bottom"/>
            <w:shd w:val="clear" w:color="auto" w:fill="CCEEFF"/>
          </w:tcPr>
          <w:p>
            <w:pPr>
              <w:spacing w:after="0"/>
              <w:rPr>
                <w:sz w:val="18"/>
                <w:szCs w:val="18"/>
                <w:color w:val="auto"/>
              </w:rPr>
            </w:pP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color w:val="auto"/>
              </w:rPr>
              <w:t>February</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1,115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903</w:t>
            </w:r>
          </w:p>
        </w:tc>
        <w:tc>
          <w:tcPr>
            <w:tcW w:w="140" w:type="dxa"/>
            <w:vAlign w:val="bottom"/>
          </w:tcPr>
          <w:p>
            <w:pPr>
              <w:spacing w:after="0"/>
              <w:rPr>
                <w:sz w:val="18"/>
                <w:szCs w:val="18"/>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40" w:type="dxa"/>
            <w:vAlign w:val="bottom"/>
            <w:shd w:val="clear" w:color="auto" w:fill="CCEEFF"/>
          </w:tcPr>
          <w:p>
            <w:pPr>
              <w:spacing w:after="0"/>
              <w:rPr>
                <w:sz w:val="18"/>
                <w:szCs w:val="18"/>
                <w:color w:val="auto"/>
              </w:rPr>
            </w:pP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color w:val="auto"/>
              </w:rPr>
              <w:t>April</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922</w:t>
            </w:r>
          </w:p>
        </w:tc>
        <w:tc>
          <w:tcPr>
            <w:tcW w:w="140" w:type="dxa"/>
            <w:vAlign w:val="bottom"/>
          </w:tcPr>
          <w:p>
            <w:pPr>
              <w:spacing w:after="0"/>
              <w:rPr>
                <w:sz w:val="18"/>
                <w:szCs w:val="18"/>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May</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40" w:type="dxa"/>
            <w:vAlign w:val="bottom"/>
            <w:shd w:val="clear" w:color="auto" w:fill="CCEEFF"/>
          </w:tcPr>
          <w:p>
            <w:pPr>
              <w:spacing w:after="0"/>
              <w:rPr>
                <w:sz w:val="18"/>
                <w:szCs w:val="18"/>
                <w:color w:val="auto"/>
              </w:rPr>
            </w:pP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color w:val="auto"/>
              </w:rPr>
              <w:t>June</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1,052</w:t>
            </w:r>
          </w:p>
        </w:tc>
        <w:tc>
          <w:tcPr>
            <w:tcW w:w="140" w:type="dxa"/>
            <w:vAlign w:val="bottom"/>
          </w:tcPr>
          <w:p>
            <w:pPr>
              <w:spacing w:after="0"/>
              <w:rPr>
                <w:sz w:val="18"/>
                <w:szCs w:val="18"/>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40" w:type="dxa"/>
            <w:vAlign w:val="bottom"/>
            <w:shd w:val="clear" w:color="auto" w:fill="CCEEFF"/>
          </w:tcPr>
          <w:p>
            <w:pPr>
              <w:spacing w:after="0"/>
              <w:rPr>
                <w:sz w:val="18"/>
                <w:szCs w:val="18"/>
                <w:color w:val="auto"/>
              </w:rPr>
            </w:pP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color w:val="auto"/>
              </w:rPr>
              <w:t>August</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448</w:t>
            </w:r>
          </w:p>
        </w:tc>
        <w:tc>
          <w:tcPr>
            <w:tcW w:w="140" w:type="dxa"/>
            <w:vAlign w:val="bottom"/>
          </w:tcPr>
          <w:p>
            <w:pPr>
              <w:spacing w:after="0"/>
              <w:rPr>
                <w:sz w:val="18"/>
                <w:szCs w:val="18"/>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4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Third quarter average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40" w:type="dxa"/>
            <w:vAlign w:val="bottom"/>
            <w:shd w:val="clear" w:color="auto" w:fill="CCEEFF"/>
          </w:tcPr>
          <w:p>
            <w:pPr>
              <w:spacing w:after="0"/>
              <w:rPr>
                <w:sz w:val="18"/>
                <w:szCs w:val="18"/>
                <w:color w:val="auto"/>
              </w:rPr>
            </w:pP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color w:val="auto"/>
              </w:rPr>
              <w:t>Year-to-date average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800</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808</w:t>
            </w:r>
          </w:p>
        </w:tc>
        <w:tc>
          <w:tcPr>
            <w:tcW w:w="14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color w:val="auto"/>
              </w:rPr>
              <w:t>Third quarter percentage change</w:t>
            </w: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15.1 %</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Year-to-date percentage change</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The sequential decrease in overall lumber prices for the third quarter of the year was primarily due to demand in the retail and housing markets beginning to return to more normalized levels and improvements in supply chain constraints. A change in lumber prices impacts our profitability of products sold with fixed and variable prices, as discussed below.</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IMPACT OF THE LUMBER MARKET ON OUR OPERATING RESULTS</w:t>
      </w:r>
    </w:p>
    <w:p>
      <w:pPr>
        <w:spacing w:after="0" w:line="229"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We generally price our products to pass lumber costs through to our customers so that our profitability is based on the value-added manufacturing, distribution, engineering, and other services we provide. As a result, our sales levels (and working capital requirements) are impacted by the lumber costs of our products. Lumber costs were 51.9% and 58.0% of our sales in the first nine months of 2022 and 2021, respectively. The decrease from the prior year ratio reflects an improvement in our sales mix of value-added products as well as our value-based selling practices.</w:t>
      </w:r>
    </w:p>
    <w:p>
      <w:pPr>
        <w:spacing w:after="0" w:line="1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Our gross margins are impacted by (1) the relative level of the Lumber Market (i.e. whether prices are higher or lower from comparative periods), and (2) the trend in the market price of lumber (i.e. whether the price of lumber is increasing or decreasing within a period or from period to period). Moreover, as explained below, our products are priced differently. Some of our products have fixed selling prices, while the selling prices of other products are indexed to the reported Lumber Market with a fixed dollar adder to cover conversion costs and profits. Consequently, the level and trend of the Lumber Market impact our products differently.</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color w:val="auto"/>
        </w:rPr>
        <w:t>Below is a general description of the primary ways in which our products are priced.</w:t>
      </w:r>
    </w:p>
    <w:p>
      <w:pPr>
        <w:spacing w:after="0" w:line="225" w:lineRule="exact"/>
        <w:rPr>
          <w:sz w:val="20"/>
          <w:szCs w:val="20"/>
          <w:color w:val="auto"/>
        </w:rPr>
      </w:pPr>
    </w:p>
    <w:p>
      <w:pPr>
        <w:jc w:val="both"/>
        <w:ind w:left="880" w:right="79" w:hanging="317"/>
        <w:spacing w:after="0" w:line="272" w:lineRule="auto"/>
        <w:tabs>
          <w:tab w:leader="none" w:pos="880"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Products with fixed selling prices.</w:t>
      </w:r>
      <w:r>
        <w:rPr>
          <w:rFonts w:ascii="Arial" w:cs="Arial" w:eastAsia="Arial" w:hAnsi="Arial"/>
          <w:sz w:val="17"/>
          <w:szCs w:val="17"/>
          <w:color w:val="auto"/>
        </w:rPr>
        <w:t xml:space="preserve"> These products include value-added products, such as manufactured items, sold within all segments. Prices for these products are generally fixed at the time of the sales quotation for a specified period of time. In order to reduce any exposure to adverse trends in the price of component lumber products, we attempt to lock in costs with our suppliers or purchase necessary inventory for these sales commitments. The time period limitation eventually allows us to periodically re-price our products for changes in lumber costs from our suppliers. We believe our percentage of sales of fixed price items is usually greatest in our third and fourth quarters.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880" w:right="79" w:hanging="317"/>
        <w:spacing w:after="0" w:line="272" w:lineRule="auto"/>
        <w:tabs>
          <w:tab w:leader="none" w:pos="880"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Products with selling prices indexed to the reported Lumber Market with a fixed dollar “adder” to cover conversion costs and profit.</w:t>
      </w:r>
      <w:r>
        <w:rPr>
          <w:rFonts w:ascii="Arial" w:cs="Arial" w:eastAsia="Arial" w:hAnsi="Arial"/>
          <w:sz w:val="17"/>
          <w:szCs w:val="17"/>
          <w:color w:val="auto"/>
        </w:rPr>
        <w:t xml:space="preserve"> These products primarily include treated lumber, panel goods, other commodity-type items, and trusses sold to the manufactured housing industry. For these products, we estimate the customers’ needs and we carry anticipated levels of inventory. Because lumber costs are incurred in advance of final sale prices, subsequent increases or decreases in the market price of lumber impact our gross margins. We believe our sales of these products are at their highest relative level in our third quarter, primarily due to pressure-treated lumber sold in our retail segment.</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For each of the product pricing categories above, our margins are exposed to changes in the trend of lumber prices.</w:t>
      </w:r>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The greatest risk associated with changes in the </w:t>
      </w:r>
      <w:r>
        <w:rPr>
          <w:rFonts w:ascii="Arial" w:cs="Arial" w:eastAsia="Arial" w:hAnsi="Arial"/>
          <w:sz w:val="18"/>
          <w:szCs w:val="18"/>
          <w:u w:val="single" w:color="auto"/>
          <w:color w:val="auto"/>
        </w:rPr>
        <w:t>trend</w:t>
      </w:r>
      <w:r>
        <w:rPr>
          <w:rFonts w:ascii="Arial" w:cs="Arial" w:eastAsia="Arial" w:hAnsi="Arial"/>
          <w:sz w:val="18"/>
          <w:szCs w:val="18"/>
          <w:color w:val="auto"/>
        </w:rPr>
        <w:t xml:space="preserve"> of lumber prices is on the following products:</w:t>
      </w:r>
    </w:p>
    <w:p>
      <w:pPr>
        <w:spacing w:after="0" w:line="225" w:lineRule="exact"/>
        <w:rPr>
          <w:sz w:val="20"/>
          <w:szCs w:val="20"/>
          <w:color w:val="auto"/>
        </w:rPr>
      </w:pPr>
    </w:p>
    <w:p>
      <w:pPr>
        <w:jc w:val="both"/>
        <w:ind w:left="880" w:right="79" w:hanging="317"/>
        <w:spacing w:after="0" w:line="253"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Products with significant inventory levels with low turnover rates, whose selling prices are indexed to the Lumber Market.</w:t>
      </w:r>
      <w:r>
        <w:rPr>
          <w:rFonts w:ascii="Arial" w:cs="Arial" w:eastAsia="Arial" w:hAnsi="Arial"/>
          <w:sz w:val="18"/>
          <w:szCs w:val="18"/>
          <w:color w:val="auto"/>
        </w:rPr>
        <w:t xml:space="preserve"> In other words, the longer the period of time these products remain in inventory, the greater the exposure to changes in the price of lumber. This would include treated lumber, which comprised approximately 22% of our total net sales in the first nine months of 2022. This exposure is less significant with remanufactured lumber, panel goods, other commodity-type items, and trusses sold to the manufactured housing market due to the higher rate of inventory turnover. We attempt to mitigate the risk associated with treated lumber through inventory consignment programs with our vendors. We estimate that 17.3% of our total purchases for the first nine months of 2022 were completed under these programs. (</w:t>
      </w:r>
      <w:r>
        <w:rPr>
          <w:rFonts w:ascii="Arial" w:cs="Arial" w:eastAsia="Arial" w:hAnsi="Arial"/>
          <w:sz w:val="18"/>
          <w:szCs w:val="18"/>
          <w:i w:val="1"/>
          <w:iCs w:val="1"/>
          <w:color w:val="auto"/>
        </w:rPr>
        <w:t>Please refer to the “Risk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 section of our annual report on form 10-K, filed with the United States Securities and Exchange Commission.</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jc w:val="both"/>
        <w:ind w:left="880" w:right="79" w:hanging="317"/>
        <w:spacing w:after="0" w:line="263"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Products with fixed selling prices sold under long-term supply arrangements, particularly those involving multi-family construction projects.</w:t>
      </w:r>
      <w:r>
        <w:rPr>
          <w:rFonts w:ascii="Arial" w:cs="Arial" w:eastAsia="Arial" w:hAnsi="Arial"/>
          <w:sz w:val="18"/>
          <w:szCs w:val="18"/>
          <w:color w:val="auto"/>
        </w:rPr>
        <w:t xml:space="preserve"> We attempt to mitigate this risk through our purchasing practices and longer vendor commitments.</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addition to the impact of the Lumber Market trends on gross margins, changes in the level of the market cause fluctuations in gross margins when comparing operating results from period to period. This is explained in the following example, which assumes the price of lumber has increased from period one to period two, with no changes in the trend within each period.</w:t>
      </w:r>
    </w:p>
    <w:p>
      <w:pPr>
        <w:spacing w:after="0" w:line="192" w:lineRule="exact"/>
        <w:rPr>
          <w:sz w:val="20"/>
          <w:szCs w:val="20"/>
          <w:color w:val="auto"/>
        </w:rPr>
      </w:pPr>
    </w:p>
    <w:tbl>
      <w:tblPr>
        <w:tblLayout w:type="fixed"/>
        <w:tblInd w:w="60" w:type="dxa"/>
        <w:tblCellMar>
          <w:top w:w="0" w:type="dxa"/>
          <w:left w:w="0" w:type="dxa"/>
          <w:bottom w:w="0" w:type="dxa"/>
          <w:right w:w="0" w:type="dxa"/>
        </w:tblCellMar>
      </w:tblPr>
      <w:tr>
        <w:trPr>
          <w:trHeight w:val="178"/>
        </w:trPr>
        <w:tc>
          <w:tcPr>
            <w:tcW w:w="40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Period 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Period 2</w:t>
            </w:r>
          </w:p>
        </w:tc>
      </w:tr>
      <w:tr>
        <w:trPr>
          <w:trHeight w:val="216"/>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Lumber cost</w:t>
            </w:r>
          </w:p>
        </w:tc>
        <w:tc>
          <w:tcPr>
            <w:tcW w:w="2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0" w:type="dxa"/>
            <w:vAlign w:val="bottom"/>
            <w:tcBorders>
              <w:top w:val="single" w:sz="8" w:color="CCEEFF"/>
            </w:tcBorders>
            <w:shd w:val="clear" w:color="auto" w:fill="CCEEFF"/>
          </w:tcPr>
          <w:p>
            <w:pPr>
              <w:spacing w:after="0"/>
              <w:rPr>
                <w:sz w:val="18"/>
                <w:szCs w:val="18"/>
                <w:color w:val="auto"/>
              </w:rPr>
            </w:pPr>
          </w:p>
        </w:tc>
      </w:tr>
      <w:tr>
        <w:trPr>
          <w:trHeight w:val="223"/>
        </w:trPr>
        <w:tc>
          <w:tcPr>
            <w:tcW w:w="4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Conversion cost</w:t>
            </w:r>
          </w:p>
        </w:tc>
        <w:tc>
          <w:tcPr>
            <w:tcW w:w="28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tcPr>
          <w:p>
            <w:pPr>
              <w:spacing w:after="0"/>
              <w:rPr>
                <w:sz w:val="19"/>
                <w:szCs w:val="19"/>
                <w:color w:val="auto"/>
              </w:rPr>
            </w:pPr>
          </w:p>
        </w:tc>
      </w:tr>
      <w:tr>
        <w:trPr>
          <w:trHeight w:val="216"/>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Product cost</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00" w:type="dxa"/>
            <w:vAlign w:val="bottom"/>
            <w:shd w:val="clear" w:color="auto" w:fill="CCEEFF"/>
          </w:tcPr>
          <w:p>
            <w:pPr>
              <w:spacing w:after="0"/>
              <w:rPr>
                <w:sz w:val="18"/>
                <w:szCs w:val="18"/>
                <w:color w:val="auto"/>
              </w:rPr>
            </w:pPr>
          </w:p>
        </w:tc>
      </w:tr>
      <w:tr>
        <w:trPr>
          <w:trHeight w:val="223"/>
        </w:trPr>
        <w:tc>
          <w:tcPr>
            <w:tcW w:w="4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Adder</w:t>
            </w:r>
          </w:p>
        </w:tc>
        <w:tc>
          <w:tcPr>
            <w:tcW w:w="28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tcPr>
          <w:p>
            <w:pPr>
              <w:spacing w:after="0"/>
              <w:rPr>
                <w:sz w:val="19"/>
                <w:szCs w:val="19"/>
                <w:color w:val="auto"/>
              </w:rPr>
            </w:pPr>
          </w:p>
        </w:tc>
      </w:tr>
      <w:tr>
        <w:trPr>
          <w:trHeight w:val="216"/>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Sell price</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CEEFF"/>
          </w:tcPr>
          <w:p>
            <w:pPr>
              <w:spacing w:after="0"/>
              <w:rPr>
                <w:sz w:val="18"/>
                <w:szCs w:val="18"/>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Gross margin</w:t>
            </w: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12.5 %</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10.0 %</w:t>
            </w:r>
          </w:p>
        </w:tc>
      </w:tr>
    </w:tbl>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As is apparent from the preceding example, the level of lumber prices does not impact our overall profits but does impact our margins. Gross margins and operating margins are negatively impacted during periods of high lumber prices; conversely, we experience margin improvement when lumber prices are relatively 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completed three business acquisitions during the first nine months of fiscal 2022 and nine during all of fiscal 2021. The annual historical sales attributable to acquisitions completed in the first nine months of fiscal 2022 was approximately $131 million, while the annual historical sales attributable to acquisitions completed during the last quarter of 2021 was approximately $76 million. These business combinations were not significant to our quarterly results individually or in aggregate and thus pro forma results for 2022 and 2021 are not presented.</w:t>
      </w:r>
    </w:p>
    <w:p>
      <w:pPr>
        <w:spacing w:after="0" w:line="18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See Notes to the Unaudited Condensed Consolidated Financial Statements, Note F, “Business Combinations” for additional information.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following table presents, for the periods indicated, the components of our Unaudited Condensed Consolidated Statements of Earnings as a percentage of net sales.</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4340" w:type="dxa"/>
            <w:vAlign w:val="bottom"/>
          </w:tcPr>
          <w:p>
            <w:pPr>
              <w:spacing w:after="0"/>
              <w:rPr>
                <w:sz w:val="15"/>
                <w:szCs w:val="15"/>
                <w:color w:val="auto"/>
              </w:rPr>
            </w:pPr>
          </w:p>
        </w:tc>
        <w:tc>
          <w:tcPr>
            <w:tcW w:w="228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4"/>
                <w:szCs w:val="14"/>
                <w:b w:val="1"/>
                <w:bCs w:val="1"/>
                <w:color w:val="auto"/>
              </w:rPr>
              <w:t>Three Months Ended</w:t>
            </w:r>
          </w:p>
        </w:tc>
        <w:tc>
          <w:tcPr>
            <w:tcW w:w="228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4"/>
                <w:szCs w:val="14"/>
                <w:b w:val="1"/>
                <w:bCs w:val="1"/>
                <w:color w:val="auto"/>
              </w:rPr>
              <w:t>Nine Months Ended</w:t>
            </w:r>
          </w:p>
        </w:tc>
      </w:tr>
      <w:tr>
        <w:trPr>
          <w:trHeight w:val="126"/>
        </w:trPr>
        <w:tc>
          <w:tcPr>
            <w:tcW w:w="4340" w:type="dxa"/>
            <w:vAlign w:val="bottom"/>
          </w:tcPr>
          <w:p>
            <w:pPr>
              <w:spacing w:after="0"/>
              <w:rPr>
                <w:sz w:val="10"/>
                <w:szCs w:val="10"/>
                <w:color w:val="auto"/>
              </w:rPr>
            </w:pPr>
          </w:p>
        </w:tc>
        <w:tc>
          <w:tcPr>
            <w:tcW w:w="1140" w:type="dxa"/>
            <w:vAlign w:val="bottom"/>
            <w:gridSpan w:val="2"/>
          </w:tcPr>
          <w:p>
            <w:pPr>
              <w:jc w:val="right"/>
              <w:ind w:right="170"/>
              <w:spacing w:after="0" w:line="126" w:lineRule="exact"/>
              <w:rPr>
                <w:sz w:val="20"/>
                <w:szCs w:val="20"/>
                <w:color w:val="auto"/>
              </w:rPr>
            </w:pPr>
            <w:r>
              <w:rPr>
                <w:rFonts w:ascii="Arial" w:cs="Arial" w:eastAsia="Arial" w:hAnsi="Arial"/>
                <w:sz w:val="14"/>
                <w:szCs w:val="14"/>
                <w:b w:val="1"/>
                <w:bCs w:val="1"/>
                <w:color w:val="auto"/>
                <w:w w:val="89"/>
              </w:rPr>
              <w:t>September 24,</w:t>
            </w:r>
          </w:p>
        </w:tc>
        <w:tc>
          <w:tcPr>
            <w:tcW w:w="1140" w:type="dxa"/>
            <w:vAlign w:val="bottom"/>
            <w:gridSpan w:val="2"/>
          </w:tcPr>
          <w:p>
            <w:pPr>
              <w:jc w:val="right"/>
              <w:ind w:right="170"/>
              <w:spacing w:after="0" w:line="126" w:lineRule="exact"/>
              <w:rPr>
                <w:sz w:val="20"/>
                <w:szCs w:val="20"/>
                <w:color w:val="auto"/>
              </w:rPr>
            </w:pPr>
            <w:r>
              <w:rPr>
                <w:rFonts w:ascii="Arial" w:cs="Arial" w:eastAsia="Arial" w:hAnsi="Arial"/>
                <w:sz w:val="14"/>
                <w:szCs w:val="14"/>
                <w:b w:val="1"/>
                <w:bCs w:val="1"/>
                <w:color w:val="auto"/>
                <w:w w:val="89"/>
              </w:rPr>
              <w:t>September 25,</w:t>
            </w:r>
          </w:p>
        </w:tc>
        <w:tc>
          <w:tcPr>
            <w:tcW w:w="1120" w:type="dxa"/>
            <w:vAlign w:val="bottom"/>
            <w:gridSpan w:val="2"/>
          </w:tcPr>
          <w:p>
            <w:pPr>
              <w:jc w:val="right"/>
              <w:ind w:right="150"/>
              <w:spacing w:after="0" w:line="126" w:lineRule="exact"/>
              <w:rPr>
                <w:sz w:val="20"/>
                <w:szCs w:val="20"/>
                <w:color w:val="auto"/>
              </w:rPr>
            </w:pPr>
            <w:r>
              <w:rPr>
                <w:rFonts w:ascii="Arial" w:cs="Arial" w:eastAsia="Arial" w:hAnsi="Arial"/>
                <w:sz w:val="14"/>
                <w:szCs w:val="14"/>
                <w:b w:val="1"/>
                <w:bCs w:val="1"/>
                <w:color w:val="auto"/>
                <w:w w:val="89"/>
              </w:rPr>
              <w:t>September 24,</w:t>
            </w:r>
          </w:p>
        </w:tc>
        <w:tc>
          <w:tcPr>
            <w:tcW w:w="1160" w:type="dxa"/>
            <w:vAlign w:val="bottom"/>
            <w:gridSpan w:val="2"/>
          </w:tcPr>
          <w:p>
            <w:pPr>
              <w:jc w:val="right"/>
              <w:ind w:right="170"/>
              <w:spacing w:after="0" w:line="126" w:lineRule="exact"/>
              <w:rPr>
                <w:sz w:val="20"/>
                <w:szCs w:val="20"/>
                <w:color w:val="auto"/>
              </w:rPr>
            </w:pPr>
            <w:r>
              <w:rPr>
                <w:rFonts w:ascii="Arial" w:cs="Arial" w:eastAsia="Arial" w:hAnsi="Arial"/>
                <w:sz w:val="14"/>
                <w:szCs w:val="14"/>
                <w:b w:val="1"/>
                <w:bCs w:val="1"/>
                <w:color w:val="auto"/>
                <w:w w:val="91"/>
              </w:rPr>
              <w:t>September 25,</w:t>
            </w:r>
          </w:p>
        </w:tc>
      </w:tr>
      <w:tr>
        <w:trPr>
          <w:trHeight w:val="178"/>
        </w:trPr>
        <w:tc>
          <w:tcPr>
            <w:tcW w:w="43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5"/>
                <w:szCs w:val="15"/>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r>
      <w:tr>
        <w:trPr>
          <w:trHeight w:val="216"/>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w:t>
            </w:r>
          </w:p>
        </w:tc>
        <w:tc>
          <w:tcPr>
            <w:tcW w:w="24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2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2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260" w:type="dxa"/>
            <w:vAlign w:val="bottom"/>
            <w:tcBorders>
              <w:bottom w:val="single" w:sz="8" w:color="CCEEFF"/>
            </w:tcBorders>
          </w:tcPr>
          <w:p>
            <w:pPr>
              <w:spacing w:after="0"/>
              <w:rPr>
                <w:sz w:val="18"/>
                <w:szCs w:val="18"/>
                <w:color w:val="auto"/>
              </w:rPr>
            </w:pPr>
          </w:p>
        </w:tc>
      </w:tr>
      <w:tr>
        <w:trPr>
          <w:trHeight w:val="209"/>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60" w:type="dxa"/>
            <w:vAlign w:val="bottom"/>
            <w:shd w:val="clear" w:color="auto" w:fill="CCEEFF"/>
          </w:tcPr>
          <w:p>
            <w:pPr>
              <w:spacing w:after="0"/>
              <w:rPr>
                <w:sz w:val="18"/>
                <w:szCs w:val="18"/>
                <w:color w:val="auto"/>
              </w:rPr>
            </w:pPr>
          </w:p>
        </w:tc>
      </w:tr>
      <w:tr>
        <w:trPr>
          <w:trHeight w:val="216"/>
        </w:trPr>
        <w:tc>
          <w:tcPr>
            <w:tcW w:w="434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900" w:type="dxa"/>
            <w:vAlign w:val="bottom"/>
          </w:tcPr>
          <w:p>
            <w:pPr>
              <w:jc w:val="right"/>
              <w:spacing w:after="0"/>
              <w:rPr>
                <w:sz w:val="20"/>
                <w:szCs w:val="20"/>
                <w:color w:val="auto"/>
              </w:rPr>
            </w:pPr>
            <w:r>
              <w:rPr>
                <w:rFonts w:ascii="Arial" w:cs="Arial" w:eastAsia="Arial" w:hAnsi="Arial"/>
                <w:sz w:val="18"/>
                <w:szCs w:val="18"/>
                <w:color w:val="auto"/>
              </w:rPr>
              <w:t>9.2</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w:t>
            </w:r>
          </w:p>
        </w:tc>
        <w:tc>
          <w:tcPr>
            <w:tcW w:w="260" w:type="dxa"/>
            <w:vAlign w:val="bottom"/>
          </w:tcPr>
          <w:p>
            <w:pPr>
              <w:spacing w:after="0"/>
              <w:rPr>
                <w:sz w:val="18"/>
                <w:szCs w:val="18"/>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(gains) losses, net</w:t>
            </w: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11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(0.5)</w:t>
            </w:r>
          </w:p>
        </w:tc>
        <w:tc>
          <w:tcPr>
            <w:tcW w:w="11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(0.2)</w:t>
            </w:r>
          </w:p>
        </w:tc>
      </w:tr>
      <w:tr>
        <w:trPr>
          <w:trHeight w:val="210"/>
        </w:trPr>
        <w:tc>
          <w:tcPr>
            <w:tcW w:w="4340" w:type="dxa"/>
            <w:vAlign w:val="bottom"/>
          </w:tcPr>
          <w:p>
            <w:pPr>
              <w:ind w:left="20"/>
              <w:spacing w:after="0"/>
              <w:rPr>
                <w:sz w:val="20"/>
                <w:szCs w:val="20"/>
                <w:color w:val="auto"/>
              </w:rPr>
            </w:pPr>
            <w:r>
              <w:rPr>
                <w:rFonts w:ascii="Arial" w:cs="Arial" w:eastAsia="Arial" w:hAnsi="Arial"/>
                <w:sz w:val="18"/>
                <w:szCs w:val="18"/>
                <w:color w:val="auto"/>
              </w:rPr>
              <w:t>Earnings from operations</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6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60" w:type="dxa"/>
            <w:vAlign w:val="bottom"/>
          </w:tcPr>
          <w:p>
            <w:pPr>
              <w:spacing w:after="0"/>
              <w:rPr>
                <w:sz w:val="18"/>
                <w:szCs w:val="18"/>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8"/>
                <w:szCs w:val="18"/>
                <w:color w:val="auto"/>
              </w:rPr>
            </w:pPr>
          </w:p>
        </w:tc>
      </w:tr>
      <w:tr>
        <w:trPr>
          <w:trHeight w:val="210"/>
        </w:trPr>
        <w:tc>
          <w:tcPr>
            <w:tcW w:w="4340" w:type="dxa"/>
            <w:vAlign w:val="bottom"/>
          </w:tcPr>
          <w:p>
            <w:pPr>
              <w:ind w:left="20"/>
              <w:spacing w:after="0"/>
              <w:rPr>
                <w:sz w:val="20"/>
                <w:szCs w:val="20"/>
                <w:color w:val="auto"/>
              </w:rPr>
            </w:pPr>
            <w:r>
              <w:rPr>
                <w:rFonts w:ascii="Arial" w:cs="Arial" w:eastAsia="Arial" w:hAnsi="Arial"/>
                <w:sz w:val="18"/>
                <w:szCs w:val="18"/>
                <w:color w:val="auto"/>
              </w:rPr>
              <w:t>Earnings before income taxes</w:t>
            </w:r>
          </w:p>
        </w:tc>
        <w:tc>
          <w:tcPr>
            <w:tcW w:w="900" w:type="dxa"/>
            <w:vAlign w:val="bottom"/>
          </w:tcPr>
          <w:p>
            <w:pPr>
              <w:jc w:val="right"/>
              <w:spacing w:after="0"/>
              <w:rPr>
                <w:sz w:val="20"/>
                <w:szCs w:val="20"/>
                <w:color w:val="auto"/>
              </w:rPr>
            </w:pPr>
            <w:r>
              <w:rPr>
                <w:rFonts w:ascii="Arial" w:cs="Arial" w:eastAsia="Arial" w:hAnsi="Arial"/>
                <w:sz w:val="18"/>
                <w:szCs w:val="18"/>
                <w:color w:val="auto"/>
              </w:rPr>
              <w:t>9.9</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w:t>
            </w:r>
          </w:p>
        </w:tc>
        <w:tc>
          <w:tcPr>
            <w:tcW w:w="260" w:type="dxa"/>
            <w:vAlign w:val="bottom"/>
          </w:tcPr>
          <w:p>
            <w:pPr>
              <w:spacing w:after="0"/>
              <w:rPr>
                <w:sz w:val="18"/>
                <w:szCs w:val="18"/>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18"/>
                <w:szCs w:val="18"/>
                <w:color w:val="auto"/>
              </w:rPr>
            </w:pPr>
          </w:p>
        </w:tc>
      </w:tr>
      <w:tr>
        <w:trPr>
          <w:trHeight w:val="210"/>
        </w:trPr>
        <w:tc>
          <w:tcPr>
            <w:tcW w:w="434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900" w:type="dxa"/>
            <w:vAlign w:val="bottom"/>
          </w:tcPr>
          <w:p>
            <w:pPr>
              <w:jc w:val="right"/>
              <w:spacing w:after="0"/>
              <w:rPr>
                <w:sz w:val="20"/>
                <w:szCs w:val="20"/>
                <w:color w:val="auto"/>
              </w:rPr>
            </w:pPr>
            <w:r>
              <w:rPr>
                <w:rFonts w:ascii="Arial" w:cs="Arial" w:eastAsia="Arial" w:hAnsi="Arial"/>
                <w:sz w:val="18"/>
                <w:szCs w:val="18"/>
                <w:color w:val="auto"/>
              </w:rPr>
              <w:t>7.4</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18"/>
                <w:szCs w:val="18"/>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Less net earnings attributable to noncontrolling interest</w:t>
            </w: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(0.2)</w:t>
            </w:r>
          </w:p>
        </w:tc>
        <w:tc>
          <w:tcPr>
            <w:tcW w:w="11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(0.2)</w:t>
            </w:r>
          </w:p>
        </w:tc>
        <w:tc>
          <w:tcPr>
            <w:tcW w:w="11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(0.2)</w:t>
            </w:r>
          </w:p>
        </w:tc>
        <w:tc>
          <w:tcPr>
            <w:tcW w:w="11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r>
      <w:tr>
        <w:trPr>
          <w:trHeight w:val="210"/>
        </w:trPr>
        <w:tc>
          <w:tcPr>
            <w:tcW w:w="4340" w:type="dxa"/>
            <w:vAlign w:val="bottom"/>
          </w:tcPr>
          <w:p>
            <w:pPr>
              <w:ind w:left="20"/>
              <w:spacing w:after="0"/>
              <w:rPr>
                <w:sz w:val="20"/>
                <w:szCs w:val="20"/>
                <w:color w:val="auto"/>
              </w:rPr>
            </w:pPr>
            <w:r>
              <w:rPr>
                <w:rFonts w:ascii="Arial" w:cs="Arial" w:eastAsia="Arial" w:hAnsi="Arial"/>
                <w:sz w:val="18"/>
                <w:szCs w:val="18"/>
                <w:color w:val="auto"/>
              </w:rPr>
              <w:t>Net earnings attributable to controlling interest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r>
      <w:tr>
        <w:trPr>
          <w:trHeight w:val="20"/>
        </w:trPr>
        <w:tc>
          <w:tcPr>
            <w:tcW w:w="4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35" w:lineRule="exact"/>
        <w:rPr>
          <w:sz w:val="20"/>
          <w:szCs w:val="20"/>
          <w:color w:val="auto"/>
        </w:rPr>
      </w:pPr>
    </w:p>
    <w:p>
      <w:pPr>
        <w:ind w:left="60"/>
        <w:spacing w:after="0"/>
        <w:rPr>
          <w:sz w:val="20"/>
          <w:szCs w:val="20"/>
          <w:color w:val="auto"/>
        </w:rPr>
      </w:pPr>
      <w:r>
        <w:rPr>
          <w:rFonts w:ascii="Arial" w:cs="Arial" w:eastAsia="Arial" w:hAnsi="Arial"/>
          <w:sz w:val="14"/>
          <w:szCs w:val="14"/>
          <w:color w:val="auto"/>
        </w:rPr>
        <w:t>Note: Actual percentages are calculated and may not sum to total due to rounding.</w:t>
      </w:r>
    </w:p>
    <w:p>
      <w:pPr>
        <w:spacing w:after="0" w:line="208"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As a result of the impact of the level of lumber prices on the percentages displayed in the table above (see Impact of the Lumber Market on Our Operating Results), we believe it is useful to compare our change in units sold with our change in gross profits, selling, general, and administrative expenses, and operating profits as presented in the following table. The percentages displayed below represent the percentage change from the prior year comparable period.</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436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Percentage Change</w:t>
            </w:r>
          </w:p>
        </w:tc>
        <w:tc>
          <w:tcPr>
            <w:tcW w:w="10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55"/>
        </w:trPr>
        <w:tc>
          <w:tcPr>
            <w:tcW w:w="4360" w:type="dxa"/>
            <w:vAlign w:val="bottom"/>
          </w:tcPr>
          <w:p>
            <w:pPr>
              <w:spacing w:after="0"/>
              <w:rPr>
                <w:sz w:val="13"/>
                <w:szCs w:val="13"/>
                <w:color w:val="auto"/>
              </w:rPr>
            </w:pPr>
          </w:p>
        </w:tc>
        <w:tc>
          <w:tcPr>
            <w:tcW w:w="2360" w:type="dxa"/>
            <w:vAlign w:val="bottom"/>
            <w:gridSpan w:val="4"/>
          </w:tcPr>
          <w:p>
            <w:pPr>
              <w:ind w:left="460"/>
              <w:spacing w:after="0" w:line="149" w:lineRule="exact"/>
              <w:rPr>
                <w:sz w:val="20"/>
                <w:szCs w:val="20"/>
                <w:color w:val="auto"/>
              </w:rPr>
            </w:pPr>
            <w:r>
              <w:rPr>
                <w:rFonts w:ascii="Arial" w:cs="Arial" w:eastAsia="Arial" w:hAnsi="Arial"/>
                <w:sz w:val="14"/>
                <w:szCs w:val="14"/>
                <w:b w:val="1"/>
                <w:bCs w:val="1"/>
                <w:color w:val="auto"/>
              </w:rPr>
              <w:t>Three Months Ended</w:t>
            </w:r>
          </w:p>
        </w:tc>
        <w:tc>
          <w:tcPr>
            <w:tcW w:w="2180" w:type="dxa"/>
            <w:vAlign w:val="bottom"/>
            <w:gridSpan w:val="3"/>
          </w:tcPr>
          <w:p>
            <w:pPr>
              <w:jc w:val="right"/>
              <w:ind w:right="396"/>
              <w:spacing w:after="0" w:line="149" w:lineRule="exact"/>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3"/>
                <w:szCs w:val="13"/>
                <w:color w:val="auto"/>
              </w:rPr>
            </w:pPr>
          </w:p>
        </w:tc>
      </w:tr>
      <w:tr>
        <w:trPr>
          <w:trHeight w:val="126"/>
        </w:trPr>
        <w:tc>
          <w:tcPr>
            <w:tcW w:w="4360" w:type="dxa"/>
            <w:vAlign w:val="bottom"/>
          </w:tcPr>
          <w:p>
            <w:pPr>
              <w:spacing w:after="0"/>
              <w:rPr>
                <w:sz w:val="10"/>
                <w:szCs w:val="10"/>
                <w:color w:val="auto"/>
              </w:rPr>
            </w:pPr>
          </w:p>
        </w:tc>
        <w:tc>
          <w:tcPr>
            <w:tcW w:w="1180" w:type="dxa"/>
            <w:vAlign w:val="bottom"/>
            <w:tcBorders>
              <w:top w:val="single" w:sz="8" w:color="auto"/>
            </w:tcBorders>
            <w:gridSpan w:val="2"/>
          </w:tcPr>
          <w:p>
            <w:pPr>
              <w:ind w:left="80"/>
              <w:spacing w:after="0" w:line="126" w:lineRule="exact"/>
              <w:rPr>
                <w:sz w:val="20"/>
                <w:szCs w:val="20"/>
                <w:color w:val="auto"/>
              </w:rPr>
            </w:pPr>
            <w:r>
              <w:rPr>
                <w:rFonts w:ascii="Arial" w:cs="Arial" w:eastAsia="Arial" w:hAnsi="Arial"/>
                <w:sz w:val="14"/>
                <w:szCs w:val="14"/>
                <w:b w:val="1"/>
                <w:bCs w:val="1"/>
                <w:color w:val="auto"/>
              </w:rPr>
              <w:t>September 24,</w:t>
            </w:r>
          </w:p>
        </w:tc>
        <w:tc>
          <w:tcPr>
            <w:tcW w:w="1020" w:type="dxa"/>
            <w:vAlign w:val="bottom"/>
            <w:tcBorders>
              <w:top w:val="single" w:sz="8" w:color="auto"/>
            </w:tcBorders>
          </w:tcPr>
          <w:p>
            <w:pPr>
              <w:ind w:left="80"/>
              <w:spacing w:after="0" w:line="126" w:lineRule="exact"/>
              <w:rPr>
                <w:sz w:val="20"/>
                <w:szCs w:val="20"/>
                <w:color w:val="auto"/>
              </w:rPr>
            </w:pPr>
            <w:r>
              <w:rPr>
                <w:rFonts w:ascii="Arial" w:cs="Arial" w:eastAsia="Arial" w:hAnsi="Arial"/>
                <w:sz w:val="14"/>
                <w:szCs w:val="14"/>
                <w:b w:val="1"/>
                <w:bCs w:val="1"/>
                <w:color w:val="auto"/>
                <w:w w:val="96"/>
              </w:rPr>
              <w:t>September 25,</w:t>
            </w:r>
          </w:p>
        </w:tc>
        <w:tc>
          <w:tcPr>
            <w:tcW w:w="160" w:type="dxa"/>
            <w:vAlign w:val="bottom"/>
          </w:tcPr>
          <w:p>
            <w:pPr>
              <w:spacing w:after="0"/>
              <w:rPr>
                <w:sz w:val="10"/>
                <w:szCs w:val="10"/>
                <w:color w:val="auto"/>
              </w:rPr>
            </w:pPr>
          </w:p>
        </w:tc>
        <w:tc>
          <w:tcPr>
            <w:tcW w:w="1180" w:type="dxa"/>
            <w:vAlign w:val="bottom"/>
            <w:tcBorders>
              <w:top w:val="single" w:sz="8" w:color="auto"/>
            </w:tcBorders>
            <w:gridSpan w:val="2"/>
          </w:tcPr>
          <w:p>
            <w:pPr>
              <w:ind w:left="60"/>
              <w:spacing w:after="0" w:line="126" w:lineRule="exact"/>
              <w:rPr>
                <w:sz w:val="20"/>
                <w:szCs w:val="20"/>
                <w:color w:val="auto"/>
              </w:rPr>
            </w:pPr>
            <w:r>
              <w:rPr>
                <w:rFonts w:ascii="Arial" w:cs="Arial" w:eastAsia="Arial" w:hAnsi="Arial"/>
                <w:sz w:val="14"/>
                <w:szCs w:val="14"/>
                <w:b w:val="1"/>
                <w:bCs w:val="1"/>
                <w:color w:val="auto"/>
              </w:rPr>
              <w:t>September 24,</w:t>
            </w:r>
          </w:p>
        </w:tc>
        <w:tc>
          <w:tcPr>
            <w:tcW w:w="100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4"/>
                <w:szCs w:val="14"/>
                <w:b w:val="1"/>
                <w:bCs w:val="1"/>
                <w:color w:val="auto"/>
                <w:w w:val="96"/>
              </w:rPr>
              <w:t>September 25,</w:t>
            </w:r>
          </w:p>
        </w:tc>
        <w:tc>
          <w:tcPr>
            <w:tcW w:w="20" w:type="dxa"/>
            <w:vAlign w:val="bottom"/>
          </w:tcPr>
          <w:p>
            <w:pPr>
              <w:spacing w:after="0"/>
              <w:rPr>
                <w:sz w:val="10"/>
                <w:szCs w:val="10"/>
                <w:color w:val="auto"/>
              </w:rPr>
            </w:pPr>
          </w:p>
        </w:tc>
      </w:tr>
      <w:tr>
        <w:trPr>
          <w:trHeight w:val="178"/>
        </w:trPr>
        <w:tc>
          <w:tcPr>
            <w:tcW w:w="436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5"/>
                <w:szCs w:val="15"/>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Units sold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13.0 %</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5.0 %</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30.0 %</w:t>
            </w:r>
          </w:p>
        </w:tc>
        <w:tc>
          <w:tcPr>
            <w:tcW w:w="20" w:type="dxa"/>
            <w:vAlign w:val="bottom"/>
          </w:tcPr>
          <w:p>
            <w:pPr>
              <w:spacing w:after="0"/>
              <w:rPr>
                <w:sz w:val="18"/>
                <w:szCs w:val="18"/>
                <w:color w:val="auto"/>
              </w:rPr>
            </w:pPr>
          </w:p>
        </w:tc>
      </w:tr>
      <w:tr>
        <w:trPr>
          <w:trHeight w:val="216"/>
        </w:trPr>
        <w:tc>
          <w:tcPr>
            <w:tcW w:w="43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020" w:type="dxa"/>
            <w:vAlign w:val="bottom"/>
          </w:tcPr>
          <w:p>
            <w:pPr>
              <w:jc w:val="right"/>
              <w:ind w:right="217"/>
              <w:spacing w:after="0"/>
              <w:rPr>
                <w:sz w:val="20"/>
                <w:szCs w:val="20"/>
                <w:color w:val="auto"/>
              </w:rPr>
            </w:pPr>
            <w:r>
              <w:rPr>
                <w:rFonts w:ascii="Arial" w:cs="Arial" w:eastAsia="Arial" w:hAnsi="Arial"/>
                <w:sz w:val="18"/>
                <w:szCs w:val="18"/>
                <w:color w:val="auto"/>
              </w:rPr>
              <w:t>37.4</w:t>
            </w:r>
          </w:p>
        </w:tc>
        <w:tc>
          <w:tcPr>
            <w:tcW w:w="160" w:type="dxa"/>
            <w:vAlign w:val="bottom"/>
          </w:tcPr>
          <w:p>
            <w:pPr>
              <w:spacing w:after="0"/>
              <w:rPr>
                <w:sz w:val="18"/>
                <w:szCs w:val="18"/>
                <w:color w:val="auto"/>
              </w:rPr>
            </w:pPr>
          </w:p>
        </w:tc>
        <w:tc>
          <w:tcPr>
            <w:tcW w:w="1020" w:type="dxa"/>
            <w:vAlign w:val="bottom"/>
          </w:tcPr>
          <w:p>
            <w:pPr>
              <w:ind w:left="400"/>
              <w:spacing w:after="0"/>
              <w:rPr>
                <w:sz w:val="20"/>
                <w:szCs w:val="20"/>
                <w:color w:val="auto"/>
              </w:rPr>
            </w:pPr>
            <w:r>
              <w:rPr>
                <w:rFonts w:ascii="Arial" w:cs="Arial" w:eastAsia="Arial" w:hAnsi="Arial"/>
                <w:sz w:val="18"/>
                <w:szCs w:val="18"/>
                <w:color w:val="auto"/>
              </w:rPr>
              <w:t>35.9</w:t>
            </w:r>
          </w:p>
        </w:tc>
        <w:tc>
          <w:tcPr>
            <w:tcW w:w="160" w:type="dxa"/>
            <w:vAlign w:val="bottom"/>
          </w:tcPr>
          <w:p>
            <w:pPr>
              <w:spacing w:after="0"/>
              <w:rPr>
                <w:sz w:val="18"/>
                <w:szCs w:val="18"/>
                <w:color w:val="auto"/>
              </w:rPr>
            </w:pPr>
          </w:p>
        </w:tc>
        <w:tc>
          <w:tcPr>
            <w:tcW w:w="1020" w:type="dxa"/>
            <w:vAlign w:val="bottom"/>
          </w:tcPr>
          <w:p>
            <w:pPr>
              <w:jc w:val="right"/>
              <w:ind w:right="218"/>
              <w:spacing w:after="0"/>
              <w:rPr>
                <w:sz w:val="20"/>
                <w:szCs w:val="20"/>
                <w:color w:val="auto"/>
              </w:rPr>
            </w:pPr>
            <w:r>
              <w:rPr>
                <w:rFonts w:ascii="Arial" w:cs="Arial" w:eastAsia="Arial" w:hAnsi="Arial"/>
                <w:sz w:val="18"/>
                <w:szCs w:val="18"/>
                <w:color w:val="auto"/>
              </w:rPr>
              <w:t>38.3</w:t>
            </w:r>
          </w:p>
        </w:tc>
        <w:tc>
          <w:tcPr>
            <w:tcW w:w="160" w:type="dxa"/>
            <w:vAlign w:val="bottom"/>
          </w:tcPr>
          <w:p>
            <w:pPr>
              <w:spacing w:after="0"/>
              <w:rPr>
                <w:sz w:val="18"/>
                <w:szCs w:val="18"/>
                <w:color w:val="auto"/>
              </w:rPr>
            </w:pPr>
          </w:p>
        </w:tc>
        <w:tc>
          <w:tcPr>
            <w:tcW w:w="1000" w:type="dxa"/>
            <w:vAlign w:val="bottom"/>
          </w:tcPr>
          <w:p>
            <w:pPr>
              <w:jc w:val="right"/>
              <w:ind w:right="196"/>
              <w:spacing w:after="0"/>
              <w:rPr>
                <w:sz w:val="20"/>
                <w:szCs w:val="20"/>
                <w:color w:val="auto"/>
              </w:rPr>
            </w:pPr>
            <w:r>
              <w:rPr>
                <w:rFonts w:ascii="Arial" w:cs="Arial" w:eastAsia="Arial" w:hAnsi="Arial"/>
                <w:sz w:val="18"/>
                <w:szCs w:val="18"/>
                <w:color w:val="auto"/>
              </w:rPr>
              <w:t>68.8</w:t>
            </w:r>
          </w:p>
        </w:tc>
        <w:tc>
          <w:tcPr>
            <w:tcW w:w="20" w:type="dxa"/>
            <w:vAlign w:val="bottom"/>
          </w:tcPr>
          <w:p>
            <w:pPr>
              <w:spacing w:after="0"/>
              <w:rPr>
                <w:sz w:val="18"/>
                <w:szCs w:val="18"/>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02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26.5</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25.9</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rPr>
              <w:t>28.7</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40.9</w:t>
            </w:r>
          </w:p>
        </w:tc>
        <w:tc>
          <w:tcPr>
            <w:tcW w:w="20" w:type="dxa"/>
            <w:vAlign w:val="bottom"/>
          </w:tcPr>
          <w:p>
            <w:pPr>
              <w:spacing w:after="0"/>
              <w:rPr>
                <w:sz w:val="18"/>
                <w:szCs w:val="18"/>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Earnings from operations</w:t>
            </w:r>
          </w:p>
        </w:tc>
        <w:tc>
          <w:tcPr>
            <w:tcW w:w="1020" w:type="dxa"/>
            <w:vAlign w:val="bottom"/>
          </w:tcPr>
          <w:p>
            <w:pPr>
              <w:jc w:val="right"/>
              <w:ind w:right="217"/>
              <w:spacing w:after="0"/>
              <w:rPr>
                <w:sz w:val="20"/>
                <w:szCs w:val="20"/>
                <w:color w:val="auto"/>
              </w:rPr>
            </w:pPr>
            <w:r>
              <w:rPr>
                <w:rFonts w:ascii="Arial" w:cs="Arial" w:eastAsia="Arial" w:hAnsi="Arial"/>
                <w:sz w:val="18"/>
                <w:szCs w:val="18"/>
                <w:color w:val="auto"/>
              </w:rPr>
              <w:t>41.0</w:t>
            </w:r>
          </w:p>
        </w:tc>
        <w:tc>
          <w:tcPr>
            <w:tcW w:w="160" w:type="dxa"/>
            <w:vAlign w:val="bottom"/>
          </w:tcPr>
          <w:p>
            <w:pPr>
              <w:spacing w:after="0"/>
              <w:rPr>
                <w:sz w:val="20"/>
                <w:szCs w:val="20"/>
                <w:color w:val="auto"/>
              </w:rPr>
            </w:pPr>
          </w:p>
        </w:tc>
        <w:tc>
          <w:tcPr>
            <w:tcW w:w="1020" w:type="dxa"/>
            <w:vAlign w:val="bottom"/>
          </w:tcPr>
          <w:p>
            <w:pPr>
              <w:ind w:left="400"/>
              <w:spacing w:after="0"/>
              <w:rPr>
                <w:sz w:val="20"/>
                <w:szCs w:val="20"/>
                <w:color w:val="auto"/>
              </w:rPr>
            </w:pPr>
            <w:r>
              <w:rPr>
                <w:rFonts w:ascii="Arial" w:cs="Arial" w:eastAsia="Arial" w:hAnsi="Arial"/>
                <w:sz w:val="18"/>
                <w:szCs w:val="18"/>
                <w:color w:val="auto"/>
              </w:rPr>
              <w:t>57.7</w:t>
            </w:r>
          </w:p>
        </w:tc>
        <w:tc>
          <w:tcPr>
            <w:tcW w:w="160" w:type="dxa"/>
            <w:vAlign w:val="bottom"/>
          </w:tcPr>
          <w:p>
            <w:pPr>
              <w:spacing w:after="0"/>
              <w:rPr>
                <w:sz w:val="20"/>
                <w:szCs w:val="20"/>
                <w:color w:val="auto"/>
              </w:rPr>
            </w:pPr>
          </w:p>
        </w:tc>
        <w:tc>
          <w:tcPr>
            <w:tcW w:w="1020" w:type="dxa"/>
            <w:vAlign w:val="bottom"/>
          </w:tcPr>
          <w:p>
            <w:pPr>
              <w:jc w:val="right"/>
              <w:ind w:right="218"/>
              <w:spacing w:after="0"/>
              <w:rPr>
                <w:sz w:val="20"/>
                <w:szCs w:val="20"/>
                <w:color w:val="auto"/>
              </w:rPr>
            </w:pPr>
            <w:r>
              <w:rPr>
                <w:rFonts w:ascii="Arial" w:cs="Arial" w:eastAsia="Arial" w:hAnsi="Arial"/>
                <w:sz w:val="18"/>
                <w:szCs w:val="18"/>
                <w:color w:val="auto"/>
              </w:rPr>
              <w:t>44.1</w:t>
            </w:r>
          </w:p>
        </w:tc>
        <w:tc>
          <w:tcPr>
            <w:tcW w:w="160" w:type="dxa"/>
            <w:vAlign w:val="bottom"/>
          </w:tcPr>
          <w:p>
            <w:pPr>
              <w:spacing w:after="0"/>
              <w:rPr>
                <w:sz w:val="20"/>
                <w:szCs w:val="20"/>
                <w:color w:val="auto"/>
              </w:rPr>
            </w:pPr>
          </w:p>
        </w:tc>
        <w:tc>
          <w:tcPr>
            <w:tcW w:w="1000" w:type="dxa"/>
            <w:vAlign w:val="bottom"/>
          </w:tcPr>
          <w:p>
            <w:pPr>
              <w:jc w:val="right"/>
              <w:ind w:right="196"/>
              <w:spacing w:after="0"/>
              <w:rPr>
                <w:sz w:val="20"/>
                <w:szCs w:val="20"/>
                <w:color w:val="auto"/>
              </w:rPr>
            </w:pPr>
            <w:r>
              <w:rPr>
                <w:rFonts w:ascii="Arial" w:cs="Arial" w:eastAsia="Arial" w:hAnsi="Arial"/>
                <w:sz w:val="18"/>
                <w:szCs w:val="18"/>
                <w:color w:val="auto"/>
              </w:rPr>
              <w:t>110.6</w:t>
            </w:r>
          </w:p>
        </w:tc>
        <w:tc>
          <w:tcPr>
            <w:tcW w:w="20" w:type="dxa"/>
            <w:vAlign w:val="bottom"/>
          </w:tcPr>
          <w:p>
            <w:pPr>
              <w:spacing w:after="0"/>
              <w:rPr>
                <w:sz w:val="20"/>
                <w:szCs w:val="20"/>
                <w:color w:val="auto"/>
              </w:rPr>
            </w:pPr>
          </w:p>
        </w:tc>
      </w:tr>
      <w:tr>
        <w:trPr>
          <w:trHeight w:val="634"/>
        </w:trPr>
        <w:tc>
          <w:tcPr>
            <w:tcW w:w="4360" w:type="dxa"/>
            <w:vAlign w:val="bottom"/>
          </w:tcPr>
          <w:p>
            <w:pPr>
              <w:spacing w:after="0"/>
              <w:rPr>
                <w:sz w:val="24"/>
                <w:szCs w:val="24"/>
                <w:color w:val="auto"/>
              </w:rPr>
            </w:pPr>
          </w:p>
        </w:tc>
        <w:tc>
          <w:tcPr>
            <w:tcW w:w="1020" w:type="dxa"/>
            <w:vAlign w:val="bottom"/>
          </w:tcPr>
          <w:p>
            <w:pPr>
              <w:jc w:val="right"/>
              <w:ind w:right="737"/>
              <w:spacing w:after="0"/>
              <w:rPr>
                <w:sz w:val="20"/>
                <w:szCs w:val="20"/>
                <w:color w:val="auto"/>
              </w:rPr>
            </w:pPr>
            <w:r>
              <w:rPr>
                <w:rFonts w:ascii="Arial" w:cs="Arial" w:eastAsia="Arial" w:hAnsi="Arial"/>
                <w:sz w:val="18"/>
                <w:szCs w:val="18"/>
                <w:color w:val="auto"/>
                <w:w w:val="89"/>
              </w:rPr>
              <w:t>22</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4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4"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The following table presents, for the periods indicated, our selling, general, and administrative expenses (SG&amp;A) as a percentage of gross profit. Given our strategies to enhance our capabilities and improve our value-added product offering, and recognizing the higher relative level of SG&amp;A these strategies require, we believe this ratio provides an enhanced view of our effectiveness in managing these costs and mitigates the impact of changing lumber prices.</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3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5"/>
                <w:szCs w:val="15"/>
                <w:color w:val="auto"/>
              </w:rPr>
            </w:pPr>
          </w:p>
        </w:tc>
        <w:tc>
          <w:tcPr>
            <w:tcW w:w="2440" w:type="dxa"/>
            <w:vAlign w:val="bottom"/>
            <w:gridSpan w:val="4"/>
          </w:tcPr>
          <w:p>
            <w:pPr>
              <w:jc w:val="right"/>
              <w:ind w:right="617"/>
              <w:spacing w:after="0"/>
              <w:rPr>
                <w:sz w:val="20"/>
                <w:szCs w:val="20"/>
                <w:color w:val="auto"/>
              </w:rPr>
            </w:pPr>
            <w:r>
              <w:rPr>
                <w:rFonts w:ascii="Arial" w:cs="Arial" w:eastAsia="Arial" w:hAnsi="Arial"/>
                <w:sz w:val="14"/>
                <w:szCs w:val="14"/>
                <w:b w:val="1"/>
                <w:bCs w:val="1"/>
                <w:color w:val="auto"/>
              </w:rPr>
              <w:t>Nine Months Ended</w:t>
            </w:r>
          </w:p>
        </w:tc>
      </w:tr>
      <w:tr>
        <w:trPr>
          <w:trHeight w:val="126"/>
        </w:trPr>
        <w:tc>
          <w:tcPr>
            <w:tcW w:w="35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ind w:left="80"/>
              <w:spacing w:after="0" w:line="126" w:lineRule="exact"/>
              <w:rPr>
                <w:sz w:val="20"/>
                <w:szCs w:val="20"/>
                <w:color w:val="auto"/>
              </w:rPr>
            </w:pPr>
            <w:r>
              <w:rPr>
                <w:rFonts w:ascii="Arial" w:cs="Arial" w:eastAsia="Arial" w:hAnsi="Arial"/>
                <w:sz w:val="14"/>
                <w:szCs w:val="14"/>
                <w:b w:val="1"/>
                <w:bCs w:val="1"/>
                <w:color w:val="auto"/>
              </w:rPr>
              <w:t>September 24,</w:t>
            </w: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17"/>
              <w:spacing w:after="0" w:line="126" w:lineRule="exact"/>
              <w:rPr>
                <w:sz w:val="20"/>
                <w:szCs w:val="20"/>
                <w:color w:val="auto"/>
              </w:rPr>
            </w:pPr>
            <w:r>
              <w:rPr>
                <w:rFonts w:ascii="Arial" w:cs="Arial" w:eastAsia="Arial" w:hAnsi="Arial"/>
                <w:sz w:val="14"/>
                <w:szCs w:val="14"/>
                <w:b w:val="1"/>
                <w:bCs w:val="1"/>
                <w:color w:val="auto"/>
                <w:w w:val="98"/>
              </w:rPr>
              <w:t>September 25,</w:t>
            </w:r>
          </w:p>
        </w:tc>
        <w:tc>
          <w:tcPr>
            <w:tcW w:w="1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ind w:left="80"/>
              <w:spacing w:after="0" w:line="126" w:lineRule="exact"/>
              <w:rPr>
                <w:sz w:val="20"/>
                <w:szCs w:val="20"/>
                <w:color w:val="auto"/>
              </w:rPr>
            </w:pPr>
            <w:r>
              <w:rPr>
                <w:rFonts w:ascii="Arial" w:cs="Arial" w:eastAsia="Arial" w:hAnsi="Arial"/>
                <w:sz w:val="14"/>
                <w:szCs w:val="14"/>
                <w:b w:val="1"/>
                <w:bCs w:val="1"/>
                <w:color w:val="auto"/>
              </w:rPr>
              <w:t>September 24,</w:t>
            </w: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4"/>
                <w:szCs w:val="14"/>
                <w:b w:val="1"/>
                <w:bCs w:val="1"/>
                <w:color w:val="auto"/>
              </w:rPr>
              <w:t>September 25,</w:t>
            </w:r>
          </w:p>
        </w:tc>
      </w:tr>
      <w:tr>
        <w:trPr>
          <w:trHeight w:val="178"/>
        </w:trPr>
        <w:tc>
          <w:tcPr>
            <w:tcW w:w="35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2021</w:t>
            </w: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450,176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327,555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1,431,991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1,035,403</w:t>
            </w:r>
          </w:p>
        </w:tc>
      </w:tr>
      <w:tr>
        <w:trPr>
          <w:trHeight w:val="216"/>
        </w:trPr>
        <w:tc>
          <w:tcPr>
            <w:tcW w:w="3500" w:type="dxa"/>
            <w:vAlign w:val="bottom"/>
          </w:tcPr>
          <w:p>
            <w:pPr>
              <w:ind w:left="20"/>
              <w:spacing w:after="0"/>
              <w:rPr>
                <w:sz w:val="20"/>
                <w:szCs w:val="20"/>
                <w:color w:val="auto"/>
              </w:rPr>
            </w:pPr>
            <w:r>
              <w:rPr>
                <w:rFonts w:ascii="Arial" w:cs="Arial" w:eastAsia="Arial" w:hAnsi="Arial"/>
                <w:sz w:val="18"/>
                <w:szCs w:val="18"/>
                <w:color w:val="auto"/>
                <w:w w:val="95"/>
              </w:rPr>
              <w:t>Selling, general, and administrative expenses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214,327</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169,467</w:t>
            </w:r>
          </w:p>
        </w:tc>
        <w:tc>
          <w:tcPr>
            <w:tcW w:w="16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649,015</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504,104</w:t>
            </w: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SG&amp;A as percentage of gross profit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r>
    </w:tbl>
    <w:p>
      <w:pPr>
        <w:spacing w:after="0" w:line="202"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Bonus expense, which is a component of SG&amp;A, increased in the third quarter to $58 million compared to $44 million in the prior year. Modifications made to our bonus plan during 2022 are intended to reduce the payout rate when higher levels of pre-bonus earnings from operations are achieved. The adjustment to reduce bonus expense based on the new parameters was recorded in the second quarter and totaled $17 million. As a result of this change, our year to date bonus accrual rate has decreased to 19.0% of pre-bonus earnings from operations from a historical rate of approximately 21.0%. Bonus rates continue to be derived based on return on investment achieved. Bonus expense in the first nine months of 2022 totaled $183 million compared to $141 million in the prior year.</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Operating Results by Segment:</w:t>
      </w:r>
    </w:p>
    <w:p>
      <w:pPr>
        <w:spacing w:after="0" w:line="22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Our business segments consist of UFP Retail Solutions, UFP Industrial and UFP Construction, and align with the end markets we serve. Among other things, this structure allows for a more specialized and consistent sales approach among Company operations, more efficient use of resources and capital, and quicker introduction of new products and services. We manage the operations of our individual locations primarily through a market-centered reporting structure under which each location is included in a business unit and business units are included in our Retail, Industrial, and Construction segments. The exception to this market-centered reporting and management structure is our International segment, which comprises our Mexico, Canada, Europe, Asia, and Australia operations and sales and buying offices in other parts of the world. Our International segment and Ardellis (our insurance captive) are included in the “All Other” column of the table below. The “Corporate” column includes purchasing, transportation and administrative functions that serve our operating segments. Operating results of Corporate primarily consists of over (under) allocated costs. The operating results of UFP Real Estate, Inc., which owns and leases real estate, and UFP Transportation Ltd., which owns, leases, and operates transportation equipment, are also included in the Corporate column. Inter-company lease and services charges are assessed to our operating segments for the use of these assets and services at fair market value rates.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tables present our operating results, for the periods indicated, by segment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0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8"/>
          </w:tcPr>
          <w:p>
            <w:pPr>
              <w:jc w:val="right"/>
              <w:ind w:right="7"/>
              <w:spacing w:after="0"/>
              <w:rPr>
                <w:sz w:val="20"/>
                <w:szCs w:val="20"/>
                <w:color w:val="auto"/>
              </w:rPr>
            </w:pPr>
            <w:r>
              <w:rPr>
                <w:rFonts w:ascii="Arial" w:cs="Arial" w:eastAsia="Arial" w:hAnsi="Arial"/>
                <w:sz w:val="14"/>
                <w:szCs w:val="14"/>
                <w:b w:val="1"/>
                <w:bCs w:val="1"/>
                <w:color w:val="auto"/>
                <w:w w:val="92"/>
              </w:rPr>
              <w:t>Three Months Ended September 24, 2022</w:t>
            </w: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304"/>
        </w:trPr>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Retail</w:t>
            </w:r>
          </w:p>
        </w:tc>
        <w:tc>
          <w:tcPr>
            <w:tcW w:w="140" w:type="dxa"/>
            <w:vAlign w:val="bottom"/>
          </w:tcPr>
          <w:p>
            <w:pPr>
              <w:spacing w:after="0"/>
              <w:rPr>
                <w:sz w:val="24"/>
                <w:szCs w:val="24"/>
                <w:color w:val="auto"/>
              </w:rPr>
            </w:pPr>
          </w:p>
        </w:tc>
        <w:tc>
          <w:tcPr>
            <w:tcW w:w="840" w:type="dxa"/>
            <w:vAlign w:val="bottom"/>
          </w:tcPr>
          <w:p>
            <w:pPr>
              <w:jc w:val="right"/>
              <w:ind w:right="93"/>
              <w:spacing w:after="0"/>
              <w:rPr>
                <w:sz w:val="20"/>
                <w:szCs w:val="20"/>
                <w:color w:val="auto"/>
              </w:rPr>
            </w:pPr>
            <w:r>
              <w:rPr>
                <w:rFonts w:ascii="Arial" w:cs="Arial" w:eastAsia="Arial" w:hAnsi="Arial"/>
                <w:sz w:val="14"/>
                <w:szCs w:val="14"/>
                <w:b w:val="1"/>
                <w:bCs w:val="1"/>
                <w:color w:val="auto"/>
              </w:rPr>
              <w:t>Industrial</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Construction</w:t>
            </w:r>
          </w:p>
        </w:tc>
        <w:tc>
          <w:tcPr>
            <w:tcW w:w="14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24"/>
                <w:szCs w:val="24"/>
                <w:color w:val="auto"/>
              </w:rPr>
            </w:pPr>
          </w:p>
        </w:tc>
        <w:tc>
          <w:tcPr>
            <w:tcW w:w="88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845,304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584,808</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777,126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112,203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3,414</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2,322,855</w:t>
            </w:r>
          </w:p>
        </w:tc>
        <w:tc>
          <w:tcPr>
            <w:tcW w:w="20" w:type="dxa"/>
            <w:vAlign w:val="bottom"/>
          </w:tcPr>
          <w:p>
            <w:pPr>
              <w:spacing w:after="0"/>
              <w:rPr>
                <w:sz w:val="18"/>
                <w:szCs w:val="18"/>
                <w:color w:val="auto"/>
              </w:rPr>
            </w:pPr>
          </w:p>
        </w:tc>
      </w:tr>
      <w:tr>
        <w:trPr>
          <w:trHeight w:val="223"/>
        </w:trPr>
        <w:tc>
          <w:tcPr>
            <w:tcW w:w="2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767,841</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440,975</w:t>
            </w:r>
          </w:p>
        </w:tc>
        <w:tc>
          <w:tcPr>
            <w:tcW w:w="1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577,552</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82,740</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3,571</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1,872,679</w:t>
            </w:r>
          </w:p>
        </w:tc>
        <w:tc>
          <w:tcPr>
            <w:tcW w:w="20" w:type="dxa"/>
            <w:vAlign w:val="bottom"/>
          </w:tcPr>
          <w:p>
            <w:pPr>
              <w:spacing w:after="0"/>
              <w:rPr>
                <w:sz w:val="19"/>
                <w:szCs w:val="19"/>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77,463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143,833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199,574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29,463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450,176</w:t>
            </w:r>
          </w:p>
        </w:tc>
        <w:tc>
          <w:tcPr>
            <w:tcW w:w="20" w:type="dxa"/>
            <w:vAlign w:val="bottom"/>
          </w:tcPr>
          <w:p>
            <w:pPr>
              <w:spacing w:after="0"/>
              <w:rPr>
                <w:sz w:val="18"/>
                <w:szCs w:val="18"/>
                <w:color w:val="auto"/>
              </w:rPr>
            </w:pPr>
          </w:p>
        </w:tc>
      </w:tr>
      <w:tr>
        <w:trPr>
          <w:trHeight w:val="202"/>
        </w:trPr>
        <w:tc>
          <w:tcPr>
            <w:tcW w:w="2040" w:type="dxa"/>
            <w:vAlign w:val="bottom"/>
          </w:tcPr>
          <w:p>
            <w:pPr>
              <w:ind w:left="20"/>
              <w:spacing w:after="0" w:line="201" w:lineRule="exact"/>
              <w:rPr>
                <w:sz w:val="20"/>
                <w:szCs w:val="20"/>
                <w:color w:val="auto"/>
              </w:rPr>
            </w:pPr>
            <w:r>
              <w:rPr>
                <w:rFonts w:ascii="Arial" w:cs="Arial" w:eastAsia="Arial" w:hAnsi="Arial"/>
                <w:sz w:val="18"/>
                <w:szCs w:val="18"/>
                <w:color w:val="auto"/>
              </w:rPr>
              <w:t>Selling, general,</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4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48,435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66,521</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89,455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16,752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(6,836)</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214,327</w:t>
            </w:r>
          </w:p>
        </w:tc>
        <w:tc>
          <w:tcPr>
            <w:tcW w:w="20" w:type="dxa"/>
            <w:vAlign w:val="bottom"/>
          </w:tcPr>
          <w:p>
            <w:pPr>
              <w:spacing w:after="0"/>
              <w:rPr>
                <w:sz w:val="20"/>
                <w:szCs w:val="20"/>
                <w:color w:val="auto"/>
              </w:rPr>
            </w:pPr>
          </w:p>
        </w:tc>
      </w:tr>
      <w:tr>
        <w:trPr>
          <w:trHeight w:val="236"/>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(265)</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(994)</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20" w:type="dxa"/>
            <w:vAlign w:val="bottom"/>
          </w:tcPr>
          <w:p>
            <w:pPr>
              <w:spacing w:after="0"/>
              <w:rPr>
                <w:sz w:val="20"/>
                <w:szCs w:val="20"/>
                <w:color w:val="auto"/>
              </w:rPr>
            </w:pPr>
          </w:p>
        </w:tc>
      </w:tr>
      <w:tr>
        <w:trPr>
          <w:trHeight w:val="210"/>
        </w:trPr>
        <w:tc>
          <w:tcPr>
            <w:tcW w:w="204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w w:val="99"/>
              </w:rPr>
              <w:t>Earnings from operations</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28,932</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77,298</w:t>
            </w: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110,384</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13,705</w:t>
            </w: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6,725</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237,044</w:t>
            </w:r>
          </w:p>
        </w:tc>
        <w:tc>
          <w:tcPr>
            <w:tcW w:w="20" w:type="dxa"/>
            <w:vAlign w:val="bottom"/>
          </w:tcPr>
          <w:p>
            <w:pPr>
              <w:spacing w:after="0"/>
              <w:rPr>
                <w:sz w:val="18"/>
                <w:szCs w:val="18"/>
                <w:color w:val="auto"/>
              </w:rPr>
            </w:pPr>
          </w:p>
        </w:tc>
      </w:tr>
      <w:tr>
        <w:trPr>
          <w:trHeight w:val="864"/>
        </w:trPr>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gridSpan w:val="3"/>
          </w:tcPr>
          <w:p>
            <w:pPr>
              <w:ind w:left="20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2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4"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0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8"/>
          </w:tcPr>
          <w:p>
            <w:pPr>
              <w:jc w:val="right"/>
              <w:ind w:right="7"/>
              <w:spacing w:after="0"/>
              <w:rPr>
                <w:sz w:val="20"/>
                <w:szCs w:val="20"/>
                <w:color w:val="auto"/>
              </w:rPr>
            </w:pPr>
            <w:r>
              <w:rPr>
                <w:rFonts w:ascii="Arial" w:cs="Arial" w:eastAsia="Arial" w:hAnsi="Arial"/>
                <w:sz w:val="14"/>
                <w:szCs w:val="14"/>
                <w:b w:val="1"/>
                <w:bCs w:val="1"/>
                <w:color w:val="auto"/>
                <w:w w:val="92"/>
              </w:rPr>
              <w:t>Three Months Ended September 25, 2021</w:t>
            </w: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304"/>
        </w:trPr>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Retail</w:t>
            </w:r>
          </w:p>
        </w:tc>
        <w:tc>
          <w:tcPr>
            <w:tcW w:w="140" w:type="dxa"/>
            <w:vAlign w:val="bottom"/>
          </w:tcPr>
          <w:p>
            <w:pPr>
              <w:spacing w:after="0"/>
              <w:rPr>
                <w:sz w:val="24"/>
                <w:szCs w:val="24"/>
                <w:color w:val="auto"/>
              </w:rPr>
            </w:pPr>
          </w:p>
        </w:tc>
        <w:tc>
          <w:tcPr>
            <w:tcW w:w="840" w:type="dxa"/>
            <w:vAlign w:val="bottom"/>
          </w:tcPr>
          <w:p>
            <w:pPr>
              <w:jc w:val="right"/>
              <w:ind w:right="93"/>
              <w:spacing w:after="0"/>
              <w:rPr>
                <w:sz w:val="20"/>
                <w:szCs w:val="20"/>
                <w:color w:val="auto"/>
              </w:rPr>
            </w:pPr>
            <w:r>
              <w:rPr>
                <w:rFonts w:ascii="Arial" w:cs="Arial" w:eastAsia="Arial" w:hAnsi="Arial"/>
                <w:sz w:val="14"/>
                <w:szCs w:val="14"/>
                <w:b w:val="1"/>
                <w:bCs w:val="1"/>
                <w:color w:val="auto"/>
              </w:rPr>
              <w:t>Industrial</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Construction</w:t>
            </w:r>
          </w:p>
        </w:tc>
        <w:tc>
          <w:tcPr>
            <w:tcW w:w="14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24"/>
                <w:szCs w:val="24"/>
                <w:color w:val="auto"/>
              </w:rPr>
            </w:pPr>
          </w:p>
        </w:tc>
        <w:tc>
          <w:tcPr>
            <w:tcW w:w="88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696,201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573,234</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722,872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98,689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2,788</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2,093,784</w:t>
            </w:r>
          </w:p>
        </w:tc>
        <w:tc>
          <w:tcPr>
            <w:tcW w:w="20" w:type="dxa"/>
            <w:vAlign w:val="bottom"/>
          </w:tcPr>
          <w:p>
            <w:pPr>
              <w:spacing w:after="0"/>
              <w:rPr>
                <w:sz w:val="18"/>
                <w:szCs w:val="18"/>
                <w:color w:val="auto"/>
              </w:rPr>
            </w:pPr>
          </w:p>
        </w:tc>
      </w:tr>
      <w:tr>
        <w:trPr>
          <w:trHeight w:val="223"/>
        </w:trPr>
        <w:tc>
          <w:tcPr>
            <w:tcW w:w="2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685,369</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446,822</w:t>
            </w:r>
          </w:p>
        </w:tc>
        <w:tc>
          <w:tcPr>
            <w:tcW w:w="1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568,809</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63,082</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2,147</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1,766,229</w:t>
            </w:r>
          </w:p>
        </w:tc>
        <w:tc>
          <w:tcPr>
            <w:tcW w:w="20" w:type="dxa"/>
            <w:vAlign w:val="bottom"/>
          </w:tcPr>
          <w:p>
            <w:pPr>
              <w:spacing w:after="0"/>
              <w:rPr>
                <w:sz w:val="19"/>
                <w:szCs w:val="19"/>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126,412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154,063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35,607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327,555</w:t>
            </w:r>
          </w:p>
        </w:tc>
        <w:tc>
          <w:tcPr>
            <w:tcW w:w="20" w:type="dxa"/>
            <w:vAlign w:val="bottom"/>
          </w:tcPr>
          <w:p>
            <w:pPr>
              <w:spacing w:after="0"/>
              <w:rPr>
                <w:sz w:val="18"/>
                <w:szCs w:val="18"/>
                <w:color w:val="auto"/>
              </w:rPr>
            </w:pPr>
          </w:p>
        </w:tc>
      </w:tr>
      <w:tr>
        <w:trPr>
          <w:trHeight w:val="202"/>
        </w:trPr>
        <w:tc>
          <w:tcPr>
            <w:tcW w:w="2040" w:type="dxa"/>
            <w:vAlign w:val="bottom"/>
          </w:tcPr>
          <w:p>
            <w:pPr>
              <w:ind w:left="20"/>
              <w:spacing w:after="0" w:line="201" w:lineRule="exact"/>
              <w:rPr>
                <w:sz w:val="20"/>
                <w:szCs w:val="20"/>
                <w:color w:val="auto"/>
              </w:rPr>
            </w:pPr>
            <w:r>
              <w:rPr>
                <w:rFonts w:ascii="Arial" w:cs="Arial" w:eastAsia="Arial" w:hAnsi="Arial"/>
                <w:sz w:val="18"/>
                <w:szCs w:val="18"/>
                <w:color w:val="auto"/>
              </w:rPr>
              <w:t>Selling, general,</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4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36,899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55,723</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70,663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15,996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(9,814)</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169,467</w:t>
            </w:r>
          </w:p>
        </w:tc>
        <w:tc>
          <w:tcPr>
            <w:tcW w:w="20" w:type="dxa"/>
            <w:vAlign w:val="bottom"/>
          </w:tcPr>
          <w:p>
            <w:pPr>
              <w:spacing w:after="0"/>
              <w:rPr>
                <w:sz w:val="20"/>
                <w:szCs w:val="20"/>
                <w:color w:val="auto"/>
              </w:rPr>
            </w:pPr>
          </w:p>
        </w:tc>
      </w:tr>
      <w:tr>
        <w:trPr>
          <w:trHeight w:val="236"/>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(805)</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(672)</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(8,927)</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(10,037)</w:t>
            </w:r>
          </w:p>
        </w:tc>
        <w:tc>
          <w:tcPr>
            <w:tcW w:w="20" w:type="dxa"/>
            <w:vAlign w:val="bottom"/>
          </w:tcPr>
          <w:p>
            <w:pPr>
              <w:spacing w:after="0"/>
              <w:rPr>
                <w:sz w:val="20"/>
                <w:szCs w:val="20"/>
                <w:color w:val="auto"/>
              </w:rPr>
            </w:pPr>
          </w:p>
        </w:tc>
      </w:tr>
      <w:tr>
        <w:trPr>
          <w:trHeight w:val="210"/>
        </w:trPr>
        <w:tc>
          <w:tcPr>
            <w:tcW w:w="204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w w:val="99"/>
              </w:rPr>
              <w:t>Earnings from operations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(26,153)</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70,408</w:t>
            </w: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84,205</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20,283</w:t>
            </w: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19,382</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168,125</w:t>
            </w:r>
          </w:p>
        </w:tc>
        <w:tc>
          <w:tcPr>
            <w:tcW w:w="20" w:type="dxa"/>
            <w:vAlign w:val="bottom"/>
          </w:tcPr>
          <w:p>
            <w:pPr>
              <w:spacing w:after="0"/>
              <w:rPr>
                <w:sz w:val="18"/>
                <w:szCs w:val="18"/>
                <w:color w:val="auto"/>
              </w:rPr>
            </w:pPr>
          </w:p>
        </w:tc>
      </w:tr>
      <w:tr>
        <w:trPr>
          <w:trHeight w:val="601"/>
        </w:trPr>
        <w:tc>
          <w:tcPr>
            <w:tcW w:w="20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8"/>
          </w:tcPr>
          <w:p>
            <w:pPr>
              <w:jc w:val="right"/>
              <w:ind w:right="47"/>
              <w:spacing w:after="0"/>
              <w:rPr>
                <w:sz w:val="20"/>
                <w:szCs w:val="20"/>
                <w:color w:val="auto"/>
              </w:rPr>
            </w:pPr>
            <w:r>
              <w:rPr>
                <w:rFonts w:ascii="Arial" w:cs="Arial" w:eastAsia="Arial" w:hAnsi="Arial"/>
                <w:sz w:val="14"/>
                <w:szCs w:val="14"/>
                <w:b w:val="1"/>
                <w:bCs w:val="1"/>
                <w:color w:val="auto"/>
                <w:w w:val="94"/>
              </w:rPr>
              <w:t>Nine Months Ended September 24, 2022</w:t>
            </w: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Retail</w:t>
            </w:r>
          </w:p>
        </w:tc>
        <w:tc>
          <w:tcPr>
            <w:tcW w:w="140" w:type="dxa"/>
            <w:vAlign w:val="bottom"/>
          </w:tcPr>
          <w:p>
            <w:pPr>
              <w:spacing w:after="0"/>
              <w:rPr>
                <w:sz w:val="24"/>
                <w:szCs w:val="24"/>
                <w:color w:val="auto"/>
              </w:rPr>
            </w:pPr>
          </w:p>
        </w:tc>
        <w:tc>
          <w:tcPr>
            <w:tcW w:w="840" w:type="dxa"/>
            <w:vAlign w:val="bottom"/>
          </w:tcPr>
          <w:p>
            <w:pPr>
              <w:jc w:val="right"/>
              <w:ind w:right="93"/>
              <w:spacing w:after="0"/>
              <w:rPr>
                <w:sz w:val="20"/>
                <w:szCs w:val="20"/>
                <w:color w:val="auto"/>
              </w:rPr>
            </w:pPr>
            <w:r>
              <w:rPr>
                <w:rFonts w:ascii="Arial" w:cs="Arial" w:eastAsia="Arial" w:hAnsi="Arial"/>
                <w:sz w:val="14"/>
                <w:szCs w:val="14"/>
                <w:b w:val="1"/>
                <w:bCs w:val="1"/>
                <w:color w:val="auto"/>
              </w:rPr>
              <w:t>Industrial</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Construction</w:t>
            </w:r>
          </w:p>
        </w:tc>
        <w:tc>
          <w:tcPr>
            <w:tcW w:w="14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24"/>
                <w:szCs w:val="24"/>
                <w:color w:val="auto"/>
              </w:rPr>
            </w:pPr>
          </w:p>
        </w:tc>
        <w:tc>
          <w:tcPr>
            <w:tcW w:w="88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2,959,976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1,872,510</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2,538,973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332,186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9,397</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7,713,042</w:t>
            </w:r>
          </w:p>
        </w:tc>
        <w:tc>
          <w:tcPr>
            <w:tcW w:w="20" w:type="dxa"/>
            <w:vAlign w:val="bottom"/>
          </w:tcPr>
          <w:p>
            <w:pPr>
              <w:spacing w:after="0"/>
              <w:rPr>
                <w:sz w:val="18"/>
                <w:szCs w:val="18"/>
                <w:color w:val="auto"/>
              </w:rPr>
            </w:pPr>
          </w:p>
        </w:tc>
      </w:tr>
      <w:tr>
        <w:trPr>
          <w:trHeight w:val="223"/>
        </w:trPr>
        <w:tc>
          <w:tcPr>
            <w:tcW w:w="2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2,674,996</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1,417,006</w:t>
            </w:r>
          </w:p>
        </w:tc>
        <w:tc>
          <w:tcPr>
            <w:tcW w:w="1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1,950,671</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230,100</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8,278</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6,281,051</w:t>
            </w:r>
          </w:p>
        </w:tc>
        <w:tc>
          <w:tcPr>
            <w:tcW w:w="20" w:type="dxa"/>
            <w:vAlign w:val="bottom"/>
          </w:tcPr>
          <w:p>
            <w:pPr>
              <w:spacing w:after="0"/>
              <w:rPr>
                <w:sz w:val="19"/>
                <w:szCs w:val="19"/>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455,504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588,302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102,086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1,431,991</w:t>
            </w:r>
          </w:p>
        </w:tc>
        <w:tc>
          <w:tcPr>
            <w:tcW w:w="20" w:type="dxa"/>
            <w:vAlign w:val="bottom"/>
          </w:tcPr>
          <w:p>
            <w:pPr>
              <w:spacing w:after="0"/>
              <w:rPr>
                <w:sz w:val="18"/>
                <w:szCs w:val="18"/>
                <w:color w:val="auto"/>
              </w:rPr>
            </w:pPr>
          </w:p>
        </w:tc>
      </w:tr>
      <w:tr>
        <w:trPr>
          <w:trHeight w:val="202"/>
        </w:trPr>
        <w:tc>
          <w:tcPr>
            <w:tcW w:w="2040" w:type="dxa"/>
            <w:vAlign w:val="bottom"/>
          </w:tcPr>
          <w:p>
            <w:pPr>
              <w:ind w:left="20"/>
              <w:spacing w:after="0" w:line="201" w:lineRule="exact"/>
              <w:rPr>
                <w:sz w:val="20"/>
                <w:szCs w:val="20"/>
                <w:color w:val="auto"/>
              </w:rPr>
            </w:pPr>
            <w:r>
              <w:rPr>
                <w:rFonts w:ascii="Arial" w:cs="Arial" w:eastAsia="Arial" w:hAnsi="Arial"/>
                <w:sz w:val="18"/>
                <w:szCs w:val="18"/>
                <w:color w:val="auto"/>
              </w:rPr>
              <w:t>Selling, general,</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4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159,490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200,987</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266,430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49,733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(27,625)</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649,015</w:t>
            </w:r>
          </w:p>
        </w:tc>
        <w:tc>
          <w:tcPr>
            <w:tcW w:w="20" w:type="dxa"/>
            <w:vAlign w:val="bottom"/>
          </w:tcPr>
          <w:p>
            <w:pPr>
              <w:spacing w:after="0"/>
              <w:rPr>
                <w:sz w:val="20"/>
                <w:szCs w:val="20"/>
                <w:color w:val="auto"/>
              </w:rPr>
            </w:pPr>
          </w:p>
        </w:tc>
      </w:tr>
      <w:tr>
        <w:trPr>
          <w:trHeight w:val="236"/>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(162)</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(834)</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20" w:type="dxa"/>
            <w:vAlign w:val="bottom"/>
          </w:tcPr>
          <w:p>
            <w:pPr>
              <w:spacing w:after="0"/>
              <w:rPr>
                <w:sz w:val="20"/>
                <w:szCs w:val="20"/>
                <w:color w:val="auto"/>
              </w:rPr>
            </w:pPr>
          </w:p>
        </w:tc>
      </w:tr>
      <w:tr>
        <w:trPr>
          <w:trHeight w:val="210"/>
        </w:trPr>
        <w:tc>
          <w:tcPr>
            <w:tcW w:w="204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w w:val="99"/>
              </w:rPr>
              <w:t>Earnings from operations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124,856</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253,899</w:t>
            </w: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322,034</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51,268</w:t>
            </w: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29,578</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781,635</w:t>
            </w:r>
          </w:p>
        </w:tc>
        <w:tc>
          <w:tcPr>
            <w:tcW w:w="20" w:type="dxa"/>
            <w:vAlign w:val="bottom"/>
          </w:tcPr>
          <w:p>
            <w:pPr>
              <w:spacing w:after="0"/>
              <w:rPr>
                <w:sz w:val="18"/>
                <w:szCs w:val="18"/>
                <w:color w:val="auto"/>
              </w:rPr>
            </w:pPr>
          </w:p>
        </w:tc>
      </w:tr>
      <w:tr>
        <w:trPr>
          <w:trHeight w:val="601"/>
        </w:trPr>
        <w:tc>
          <w:tcPr>
            <w:tcW w:w="20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8"/>
          </w:tcPr>
          <w:p>
            <w:pPr>
              <w:jc w:val="right"/>
              <w:ind w:right="47"/>
              <w:spacing w:after="0"/>
              <w:rPr>
                <w:sz w:val="20"/>
                <w:szCs w:val="20"/>
                <w:color w:val="auto"/>
              </w:rPr>
            </w:pPr>
            <w:r>
              <w:rPr>
                <w:rFonts w:ascii="Arial" w:cs="Arial" w:eastAsia="Arial" w:hAnsi="Arial"/>
                <w:sz w:val="14"/>
                <w:szCs w:val="14"/>
                <w:b w:val="1"/>
                <w:bCs w:val="1"/>
                <w:color w:val="auto"/>
                <w:w w:val="94"/>
              </w:rPr>
              <w:t>Nine Months Ended September 25, 2021</w:t>
            </w: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Retail</w:t>
            </w:r>
          </w:p>
        </w:tc>
        <w:tc>
          <w:tcPr>
            <w:tcW w:w="140" w:type="dxa"/>
            <w:vAlign w:val="bottom"/>
          </w:tcPr>
          <w:p>
            <w:pPr>
              <w:spacing w:after="0"/>
              <w:rPr>
                <w:sz w:val="24"/>
                <w:szCs w:val="24"/>
                <w:color w:val="auto"/>
              </w:rPr>
            </w:pPr>
          </w:p>
        </w:tc>
        <w:tc>
          <w:tcPr>
            <w:tcW w:w="840" w:type="dxa"/>
            <w:vAlign w:val="bottom"/>
          </w:tcPr>
          <w:p>
            <w:pPr>
              <w:jc w:val="right"/>
              <w:ind w:right="93"/>
              <w:spacing w:after="0"/>
              <w:rPr>
                <w:sz w:val="20"/>
                <w:szCs w:val="20"/>
                <w:color w:val="auto"/>
              </w:rPr>
            </w:pPr>
            <w:r>
              <w:rPr>
                <w:rFonts w:ascii="Arial" w:cs="Arial" w:eastAsia="Arial" w:hAnsi="Arial"/>
                <w:sz w:val="14"/>
                <w:szCs w:val="14"/>
                <w:b w:val="1"/>
                <w:bCs w:val="1"/>
                <w:color w:val="auto"/>
              </w:rPr>
              <w:t>Industrial</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Construction</w:t>
            </w:r>
          </w:p>
        </w:tc>
        <w:tc>
          <w:tcPr>
            <w:tcW w:w="14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24"/>
                <w:szCs w:val="24"/>
                <w:color w:val="auto"/>
              </w:rPr>
            </w:pPr>
          </w:p>
        </w:tc>
        <w:tc>
          <w:tcPr>
            <w:tcW w:w="88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2,714,440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1,633,289</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2,021,106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243,736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6,758</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6,619,329</w:t>
            </w:r>
          </w:p>
        </w:tc>
        <w:tc>
          <w:tcPr>
            <w:tcW w:w="20" w:type="dxa"/>
            <w:vAlign w:val="bottom"/>
          </w:tcPr>
          <w:p>
            <w:pPr>
              <w:spacing w:after="0"/>
              <w:rPr>
                <w:sz w:val="18"/>
                <w:szCs w:val="18"/>
                <w:color w:val="auto"/>
              </w:rPr>
            </w:pPr>
          </w:p>
        </w:tc>
      </w:tr>
      <w:tr>
        <w:trPr>
          <w:trHeight w:val="223"/>
        </w:trPr>
        <w:tc>
          <w:tcPr>
            <w:tcW w:w="2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2,480,804</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1,292,102</w:t>
            </w:r>
          </w:p>
        </w:tc>
        <w:tc>
          <w:tcPr>
            <w:tcW w:w="1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1,644,069</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160,853</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6,098</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5,583,926</w:t>
            </w:r>
          </w:p>
        </w:tc>
        <w:tc>
          <w:tcPr>
            <w:tcW w:w="20" w:type="dxa"/>
            <w:vAlign w:val="bottom"/>
          </w:tcPr>
          <w:p>
            <w:pPr>
              <w:spacing w:after="0"/>
              <w:rPr>
                <w:sz w:val="19"/>
                <w:szCs w:val="19"/>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233,636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341,187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377,037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82,883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1,035,403</w:t>
            </w:r>
          </w:p>
        </w:tc>
        <w:tc>
          <w:tcPr>
            <w:tcW w:w="20" w:type="dxa"/>
            <w:vAlign w:val="bottom"/>
          </w:tcPr>
          <w:p>
            <w:pPr>
              <w:spacing w:after="0"/>
              <w:rPr>
                <w:sz w:val="18"/>
                <w:szCs w:val="18"/>
                <w:color w:val="auto"/>
              </w:rPr>
            </w:pPr>
          </w:p>
        </w:tc>
      </w:tr>
      <w:tr>
        <w:trPr>
          <w:trHeight w:val="202"/>
        </w:trPr>
        <w:tc>
          <w:tcPr>
            <w:tcW w:w="2040" w:type="dxa"/>
            <w:vAlign w:val="bottom"/>
          </w:tcPr>
          <w:p>
            <w:pPr>
              <w:ind w:left="20"/>
              <w:spacing w:after="0" w:line="201" w:lineRule="exact"/>
              <w:rPr>
                <w:sz w:val="20"/>
                <w:szCs w:val="20"/>
                <w:color w:val="auto"/>
              </w:rPr>
            </w:pPr>
            <w:r>
              <w:rPr>
                <w:rFonts w:ascii="Arial" w:cs="Arial" w:eastAsia="Arial" w:hAnsi="Arial"/>
                <w:sz w:val="18"/>
                <w:szCs w:val="18"/>
                <w:color w:val="auto"/>
              </w:rPr>
              <w:t>Selling, general,</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4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144,375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150,739</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193,144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40,021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(24,175)</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504,104</w:t>
            </w:r>
          </w:p>
        </w:tc>
        <w:tc>
          <w:tcPr>
            <w:tcW w:w="20" w:type="dxa"/>
            <w:vAlign w:val="bottom"/>
          </w:tcPr>
          <w:p>
            <w:pPr>
              <w:spacing w:after="0"/>
              <w:rPr>
                <w:sz w:val="20"/>
                <w:szCs w:val="20"/>
                <w:color w:val="auto"/>
              </w:rPr>
            </w:pPr>
          </w:p>
        </w:tc>
      </w:tr>
      <w:tr>
        <w:trPr>
          <w:trHeight w:val="236"/>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(182)</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(437)</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(1,703)</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(9,030)</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(11,248)</w:t>
            </w:r>
          </w:p>
        </w:tc>
        <w:tc>
          <w:tcPr>
            <w:tcW w:w="20" w:type="dxa"/>
            <w:vAlign w:val="bottom"/>
          </w:tcPr>
          <w:p>
            <w:pPr>
              <w:spacing w:after="0"/>
              <w:rPr>
                <w:sz w:val="20"/>
                <w:szCs w:val="20"/>
                <w:color w:val="auto"/>
              </w:rPr>
            </w:pPr>
          </w:p>
        </w:tc>
      </w:tr>
      <w:tr>
        <w:trPr>
          <w:trHeight w:val="210"/>
        </w:trPr>
        <w:tc>
          <w:tcPr>
            <w:tcW w:w="204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w w:val="99"/>
              </w:rPr>
              <w:t>Earnings from operations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89,443</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190,344</w:t>
            </w: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184,330</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44,565</w:t>
            </w: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33,865</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542,547</w:t>
            </w:r>
          </w:p>
        </w:tc>
        <w:tc>
          <w:tcPr>
            <w:tcW w:w="20" w:type="dxa"/>
            <w:vAlign w:val="bottom"/>
          </w:tcPr>
          <w:p>
            <w:pPr>
              <w:spacing w:after="0"/>
              <w:rPr>
                <w:sz w:val="18"/>
                <w:szCs w:val="18"/>
                <w:color w:val="auto"/>
              </w:rPr>
            </w:pPr>
          </w:p>
        </w:tc>
      </w:tr>
      <w:tr>
        <w:trPr>
          <w:trHeight w:val="648"/>
        </w:trPr>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gridSpan w:val="3"/>
          </w:tcPr>
          <w:p>
            <w:pPr>
              <w:ind w:left="20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2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4"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The following tables present the components of our operating results, for the periods indicated, as a percentage of net sales by segment.</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40" w:type="dxa"/>
            <w:vAlign w:val="bottom"/>
            <w:tcBorders>
              <w:bottom w:val="single" w:sz="8" w:color="auto"/>
            </w:tcBorders>
            <w:gridSpan w:val="19"/>
          </w:tcPr>
          <w:p>
            <w:pPr>
              <w:ind w:left="880"/>
              <w:spacing w:after="0"/>
              <w:rPr>
                <w:sz w:val="20"/>
                <w:szCs w:val="20"/>
                <w:color w:val="auto"/>
              </w:rPr>
            </w:pPr>
            <w:r>
              <w:rPr>
                <w:rFonts w:ascii="Arial" w:cs="Arial" w:eastAsia="Arial" w:hAnsi="Arial"/>
                <w:sz w:val="14"/>
                <w:szCs w:val="14"/>
                <w:b w:val="1"/>
                <w:bCs w:val="1"/>
                <w:color w:val="auto"/>
                <w:w w:val="92"/>
              </w:rPr>
              <w:t>Three Months Ended September 24, 2022</w:t>
            </w:r>
          </w:p>
        </w:tc>
        <w:tc>
          <w:tcPr>
            <w:tcW w:w="8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r>
      <w:tr>
        <w:trPr>
          <w:trHeight w:val="304"/>
        </w:trPr>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6"/>
          </w:tcPr>
          <w:p>
            <w:pPr>
              <w:ind w:left="280"/>
              <w:spacing w:after="0"/>
              <w:rPr>
                <w:sz w:val="20"/>
                <w:szCs w:val="20"/>
                <w:color w:val="auto"/>
              </w:rPr>
            </w:pPr>
            <w:r>
              <w:rPr>
                <w:rFonts w:ascii="Arial" w:cs="Arial" w:eastAsia="Arial" w:hAnsi="Arial"/>
                <w:sz w:val="14"/>
                <w:szCs w:val="14"/>
                <w:b w:val="1"/>
                <w:bCs w:val="1"/>
                <w:color w:val="auto"/>
              </w:rPr>
              <w:t>Retail</w:t>
            </w:r>
          </w:p>
        </w:tc>
        <w:tc>
          <w:tcPr>
            <w:tcW w:w="1120" w:type="dxa"/>
            <w:vAlign w:val="bottom"/>
            <w:gridSpan w:val="6"/>
          </w:tcPr>
          <w:p>
            <w:pPr>
              <w:ind w:left="140"/>
              <w:spacing w:after="0"/>
              <w:rPr>
                <w:sz w:val="20"/>
                <w:szCs w:val="20"/>
                <w:color w:val="auto"/>
              </w:rPr>
            </w:pPr>
            <w:r>
              <w:rPr>
                <w:rFonts w:ascii="Arial" w:cs="Arial" w:eastAsia="Arial" w:hAnsi="Arial"/>
                <w:sz w:val="14"/>
                <w:szCs w:val="14"/>
                <w:b w:val="1"/>
                <w:bCs w:val="1"/>
                <w:color w:val="auto"/>
              </w:rPr>
              <w:t>Industrial</w:t>
            </w:r>
          </w:p>
        </w:tc>
        <w:tc>
          <w:tcPr>
            <w:tcW w:w="1120" w:type="dxa"/>
            <w:vAlign w:val="bottom"/>
            <w:gridSpan w:val="6"/>
          </w:tcPr>
          <w:p>
            <w:pPr>
              <w:ind w:left="60"/>
              <w:spacing w:after="0"/>
              <w:rPr>
                <w:sz w:val="20"/>
                <w:szCs w:val="20"/>
                <w:color w:val="auto"/>
              </w:rPr>
            </w:pPr>
            <w:r>
              <w:rPr>
                <w:rFonts w:ascii="Arial" w:cs="Arial" w:eastAsia="Arial" w:hAnsi="Arial"/>
                <w:sz w:val="14"/>
                <w:szCs w:val="14"/>
                <w:b w:val="1"/>
                <w:bCs w:val="1"/>
                <w:color w:val="auto"/>
              </w:rPr>
              <w:t>Construction</w:t>
            </w:r>
          </w:p>
        </w:tc>
        <w:tc>
          <w:tcPr>
            <w:tcW w:w="1200" w:type="dxa"/>
            <w:vAlign w:val="bottom"/>
            <w:gridSpan w:val="7"/>
          </w:tcPr>
          <w:p>
            <w:pPr>
              <w:ind w:left="160"/>
              <w:spacing w:after="0"/>
              <w:rPr>
                <w:sz w:val="20"/>
                <w:szCs w:val="20"/>
                <w:color w:val="auto"/>
              </w:rPr>
            </w:pPr>
            <w:r>
              <w:rPr>
                <w:rFonts w:ascii="Arial" w:cs="Arial" w:eastAsia="Arial" w:hAnsi="Arial"/>
                <w:sz w:val="14"/>
                <w:szCs w:val="14"/>
                <w:b w:val="1"/>
                <w:bCs w:val="1"/>
                <w:color w:val="auto"/>
              </w:rPr>
              <w:t>All Other</w:t>
            </w:r>
          </w:p>
        </w:tc>
        <w:tc>
          <w:tcPr>
            <w:tcW w:w="1040" w:type="dxa"/>
            <w:vAlign w:val="bottom"/>
            <w:gridSpan w:val="6"/>
          </w:tcPr>
          <w:p>
            <w:pPr>
              <w:ind w:left="60"/>
              <w:spacing w:after="0"/>
              <w:rPr>
                <w:sz w:val="20"/>
                <w:szCs w:val="20"/>
                <w:color w:val="auto"/>
              </w:rPr>
            </w:pPr>
            <w:r>
              <w:rPr>
                <w:rFonts w:ascii="Arial" w:cs="Arial" w:eastAsia="Arial" w:hAnsi="Arial"/>
                <w:sz w:val="14"/>
                <w:szCs w:val="14"/>
                <w:b w:val="1"/>
                <w:bCs w:val="1"/>
                <w:color w:val="auto"/>
              </w:rPr>
              <w:t>Corporate</w:t>
            </w:r>
          </w:p>
        </w:tc>
        <w:tc>
          <w:tcPr>
            <w:tcW w:w="1120" w:type="dxa"/>
            <w:vAlign w:val="bottom"/>
            <w:gridSpan w:val="3"/>
          </w:tcPr>
          <w:p>
            <w:pPr>
              <w:jc w:val="right"/>
              <w:ind w:right="410"/>
              <w:spacing w:after="0"/>
              <w:rPr>
                <w:sz w:val="20"/>
                <w:szCs w:val="20"/>
                <w:color w:val="auto"/>
              </w:rPr>
            </w:pPr>
            <w:r>
              <w:rPr>
                <w:rFonts w:ascii="Arial" w:cs="Arial" w:eastAsia="Arial" w:hAnsi="Arial"/>
                <w:sz w:val="14"/>
                <w:szCs w:val="14"/>
                <w:b w:val="1"/>
                <w:bCs w:val="1"/>
                <w:color w:val="auto"/>
              </w:rPr>
              <w:t>Total</w:t>
            </w:r>
          </w:p>
        </w:tc>
      </w:tr>
      <w:tr>
        <w:trPr>
          <w:trHeight w:val="216"/>
        </w:trPr>
        <w:tc>
          <w:tcPr>
            <w:tcW w:w="218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gridSpan w:val="3"/>
            <w:shd w:val="clear" w:color="auto" w:fill="CCEEFF"/>
          </w:tcPr>
          <w:p>
            <w:pPr>
              <w:ind w:left="480"/>
              <w:spacing w:after="0"/>
              <w:rPr>
                <w:sz w:val="20"/>
                <w:szCs w:val="20"/>
                <w:color w:val="auto"/>
              </w:rPr>
            </w:pPr>
            <w:r>
              <w:rPr>
                <w:rFonts w:ascii="Arial" w:cs="Arial" w:eastAsia="Arial" w:hAnsi="Arial"/>
                <w:sz w:val="18"/>
                <w:szCs w:val="18"/>
                <w:color w:val="auto"/>
              </w:rPr>
              <w:t>N/A</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23"/>
        </w:trPr>
        <w:tc>
          <w:tcPr>
            <w:tcW w:w="2180" w:type="dxa"/>
            <w:vAlign w:val="bottom"/>
            <w:gridSpan w:val="3"/>
          </w:tcPr>
          <w:p>
            <w:pPr>
              <w:ind w:left="20"/>
              <w:spacing w:after="0"/>
              <w:rPr>
                <w:sz w:val="20"/>
                <w:szCs w:val="20"/>
                <w:color w:val="auto"/>
              </w:rPr>
            </w:pPr>
            <w:r>
              <w:rPr>
                <w:rFonts w:ascii="Arial" w:cs="Arial" w:eastAsia="Arial" w:hAnsi="Arial"/>
                <w:sz w:val="18"/>
                <w:szCs w:val="18"/>
                <w:color w:val="auto"/>
              </w:rPr>
              <w:t>Cost of goods sold</w:t>
            </w:r>
          </w:p>
        </w:tc>
        <w:tc>
          <w:tcPr>
            <w:tcW w:w="900" w:type="dxa"/>
            <w:vAlign w:val="bottom"/>
          </w:tcPr>
          <w:p>
            <w:pPr>
              <w:jc w:val="right"/>
              <w:spacing w:after="0"/>
              <w:rPr>
                <w:sz w:val="20"/>
                <w:szCs w:val="20"/>
                <w:color w:val="auto"/>
              </w:rPr>
            </w:pPr>
            <w:r>
              <w:rPr>
                <w:rFonts w:ascii="Arial" w:cs="Arial" w:eastAsia="Arial" w:hAnsi="Arial"/>
                <w:sz w:val="18"/>
                <w:szCs w:val="18"/>
                <w:color w:val="auto"/>
              </w:rPr>
              <w:t>90.8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6"/>
          </w:tcPr>
          <w:p>
            <w:pPr>
              <w:ind w:left="6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80.6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6"/>
        </w:trPr>
        <w:tc>
          <w:tcPr>
            <w:tcW w:w="218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02"/>
        </w:trPr>
        <w:tc>
          <w:tcPr>
            <w:tcW w:w="218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Selling, general,</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2180" w:type="dxa"/>
            <w:vAlign w:val="bottom"/>
            <w:gridSpan w:val="3"/>
          </w:tcPr>
          <w:p>
            <w:pPr>
              <w:ind w:left="20"/>
              <w:spacing w:after="0"/>
              <w:rPr>
                <w:sz w:val="20"/>
                <w:szCs w:val="20"/>
                <w:color w:val="auto"/>
              </w:rPr>
            </w:pPr>
            <w:r>
              <w:rPr>
                <w:rFonts w:ascii="Arial" w:cs="Arial" w:eastAsia="Arial" w:hAnsi="Arial"/>
                <w:sz w:val="18"/>
                <w:szCs w:val="18"/>
                <w:color w:val="auto"/>
              </w:rPr>
              <w:t>administrative expenses</w:t>
            </w:r>
          </w:p>
        </w:tc>
        <w:tc>
          <w:tcPr>
            <w:tcW w:w="90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6"/>
          </w:tcPr>
          <w:p>
            <w:pPr>
              <w:ind w:left="6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36"/>
        </w:trPr>
        <w:tc>
          <w:tcPr>
            <w:tcW w:w="2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20" w:type="dxa"/>
            <w:vAlign w:val="bottom"/>
            <w:gridSpan w:val="6"/>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6"/>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6"/>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4"/>
            <w:shd w:val="clear" w:color="auto" w:fill="CCEEFF"/>
          </w:tcPr>
          <w:p>
            <w:pPr>
              <w:jc w:val="right"/>
              <w:ind w:right="70"/>
              <w:spacing w:after="0"/>
              <w:rPr>
                <w:sz w:val="20"/>
                <w:szCs w:val="20"/>
                <w:color w:val="auto"/>
              </w:rPr>
            </w:pPr>
            <w:r>
              <w:rPr>
                <w:rFonts w:ascii="Arial" w:cs="Arial" w:eastAsia="Arial" w:hAnsi="Arial"/>
                <w:sz w:val="18"/>
                <w:szCs w:val="18"/>
                <w:color w:val="auto"/>
              </w:rPr>
              <w:t>(0.9)</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6"/>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10"/>
        </w:trPr>
        <w:tc>
          <w:tcPr>
            <w:tcW w:w="2180" w:type="dxa"/>
            <w:vAlign w:val="bottom"/>
            <w:tcBorders>
              <w:top w:val="single" w:sz="8" w:color="CCEEFF"/>
            </w:tcBorders>
            <w:gridSpan w:val="3"/>
          </w:tcPr>
          <w:p>
            <w:pPr>
              <w:ind w:left="20"/>
              <w:spacing w:after="0" w:line="203" w:lineRule="exact"/>
              <w:rPr>
                <w:sz w:val="20"/>
                <w:szCs w:val="20"/>
                <w:color w:val="auto"/>
              </w:rPr>
            </w:pPr>
            <w:r>
              <w:rPr>
                <w:rFonts w:ascii="Arial" w:cs="Arial" w:eastAsia="Arial" w:hAnsi="Arial"/>
                <w:sz w:val="18"/>
                <w:szCs w:val="18"/>
                <w:color w:val="auto"/>
              </w:rPr>
              <w:t>Earnings from operations</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w:t>
            </w: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w w:val="74"/>
              </w:rPr>
              <w:t>%</w:t>
            </w: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13.2</w:t>
            </w: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w w:val="74"/>
              </w:rPr>
              <w:t>%</w:t>
            </w: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14.2</w:t>
            </w: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CCEEFF"/>
            </w:tcBorders>
          </w:tcPr>
          <w:p>
            <w:pPr>
              <w:jc w:val="center"/>
              <w:spacing w:after="0" w:line="203" w:lineRule="exact"/>
              <w:rPr>
                <w:sz w:val="20"/>
                <w:szCs w:val="20"/>
                <w:color w:val="auto"/>
              </w:rPr>
            </w:pPr>
            <w:r>
              <w:rPr>
                <w:rFonts w:ascii="Arial" w:cs="Arial" w:eastAsia="Arial" w:hAnsi="Arial"/>
                <w:sz w:val="18"/>
                <w:szCs w:val="18"/>
                <w:color w:val="auto"/>
                <w:w w:val="87"/>
              </w:rPr>
              <w:t>%</w:t>
            </w: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12.2</w:t>
            </w: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gridSpan w:val="3"/>
          </w:tcPr>
          <w:p>
            <w:pPr>
              <w:ind w:left="620"/>
              <w:spacing w:after="0" w:line="203"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10.2</w:t>
            </w: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r>
      <w:tr>
        <w:trPr>
          <w:trHeight w:val="218"/>
        </w:trPr>
        <w:tc>
          <w:tcPr>
            <w:tcW w:w="5540" w:type="dxa"/>
            <w:vAlign w:val="bottom"/>
            <w:gridSpan w:val="21"/>
          </w:tcPr>
          <w:p>
            <w:pPr>
              <w:ind w:left="20"/>
              <w:spacing w:after="0"/>
              <w:rPr>
                <w:sz w:val="20"/>
                <w:szCs w:val="20"/>
                <w:color w:val="auto"/>
              </w:rPr>
            </w:pPr>
            <w:r>
              <w:rPr>
                <w:rFonts w:ascii="Arial" w:cs="Arial" w:eastAsia="Arial" w:hAnsi="Arial"/>
                <w:sz w:val="14"/>
                <w:szCs w:val="14"/>
                <w:color w:val="auto"/>
              </w:rPr>
              <w:t>Note: Actual percentages are calculated and may not sum to total due to rounding.</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70"/>
        </w:trPr>
        <w:tc>
          <w:tcPr>
            <w:tcW w:w="2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19"/>
          </w:tcPr>
          <w:p>
            <w:pPr>
              <w:jc w:val="center"/>
              <w:ind w:left="734"/>
              <w:spacing w:after="0"/>
              <w:rPr>
                <w:sz w:val="20"/>
                <w:szCs w:val="20"/>
                <w:color w:val="auto"/>
              </w:rPr>
            </w:pPr>
            <w:r>
              <w:rPr>
                <w:rFonts w:ascii="Arial" w:cs="Arial" w:eastAsia="Arial" w:hAnsi="Arial"/>
                <w:sz w:val="14"/>
                <w:szCs w:val="14"/>
                <w:b w:val="1"/>
                <w:bCs w:val="1"/>
                <w:color w:val="auto"/>
                <w:w w:val="92"/>
              </w:rPr>
              <w:t>Three Months Ended September 25, 2021</w:t>
            </w: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r>
        <w:trPr>
          <w:trHeight w:val="304"/>
        </w:trPr>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6"/>
          </w:tcPr>
          <w:p>
            <w:pPr>
              <w:ind w:left="240"/>
              <w:spacing w:after="0"/>
              <w:rPr>
                <w:sz w:val="20"/>
                <w:szCs w:val="20"/>
                <w:color w:val="auto"/>
              </w:rPr>
            </w:pPr>
            <w:r>
              <w:rPr>
                <w:rFonts w:ascii="Arial" w:cs="Arial" w:eastAsia="Arial" w:hAnsi="Arial"/>
                <w:sz w:val="14"/>
                <w:szCs w:val="14"/>
                <w:b w:val="1"/>
                <w:bCs w:val="1"/>
                <w:color w:val="auto"/>
              </w:rPr>
              <w:t>Retail</w:t>
            </w:r>
          </w:p>
        </w:tc>
        <w:tc>
          <w:tcPr>
            <w:tcW w:w="1120" w:type="dxa"/>
            <w:vAlign w:val="bottom"/>
            <w:gridSpan w:val="6"/>
          </w:tcPr>
          <w:p>
            <w:pPr>
              <w:ind w:left="120"/>
              <w:spacing w:after="0"/>
              <w:rPr>
                <w:sz w:val="20"/>
                <w:szCs w:val="20"/>
                <w:color w:val="auto"/>
              </w:rPr>
            </w:pPr>
            <w:r>
              <w:rPr>
                <w:rFonts w:ascii="Arial" w:cs="Arial" w:eastAsia="Arial" w:hAnsi="Arial"/>
                <w:sz w:val="14"/>
                <w:szCs w:val="14"/>
                <w:b w:val="1"/>
                <w:bCs w:val="1"/>
                <w:color w:val="auto"/>
              </w:rPr>
              <w:t>Industrial</w:t>
            </w:r>
          </w:p>
        </w:tc>
        <w:tc>
          <w:tcPr>
            <w:tcW w:w="1120" w:type="dxa"/>
            <w:vAlign w:val="bottom"/>
            <w:gridSpan w:val="6"/>
          </w:tcPr>
          <w:p>
            <w:pPr>
              <w:ind w:left="20"/>
              <w:spacing w:after="0"/>
              <w:rPr>
                <w:sz w:val="20"/>
                <w:szCs w:val="20"/>
                <w:color w:val="auto"/>
              </w:rPr>
            </w:pPr>
            <w:r>
              <w:rPr>
                <w:rFonts w:ascii="Arial" w:cs="Arial" w:eastAsia="Arial" w:hAnsi="Arial"/>
                <w:sz w:val="14"/>
                <w:szCs w:val="14"/>
                <w:b w:val="1"/>
                <w:bCs w:val="1"/>
                <w:color w:val="auto"/>
              </w:rPr>
              <w:t>Construction</w:t>
            </w:r>
          </w:p>
        </w:tc>
        <w:tc>
          <w:tcPr>
            <w:tcW w:w="1200" w:type="dxa"/>
            <w:vAlign w:val="bottom"/>
            <w:gridSpan w:val="7"/>
          </w:tcPr>
          <w:p>
            <w:pPr>
              <w:ind w:left="140"/>
              <w:spacing w:after="0"/>
              <w:rPr>
                <w:sz w:val="20"/>
                <w:szCs w:val="20"/>
                <w:color w:val="auto"/>
              </w:rPr>
            </w:pPr>
            <w:r>
              <w:rPr>
                <w:rFonts w:ascii="Arial" w:cs="Arial" w:eastAsia="Arial" w:hAnsi="Arial"/>
                <w:sz w:val="14"/>
                <w:szCs w:val="14"/>
                <w:b w:val="1"/>
                <w:bCs w:val="1"/>
                <w:color w:val="auto"/>
              </w:rPr>
              <w:t>All Other</w:t>
            </w:r>
          </w:p>
        </w:tc>
        <w:tc>
          <w:tcPr>
            <w:tcW w:w="1040" w:type="dxa"/>
            <w:vAlign w:val="bottom"/>
            <w:gridSpan w:val="6"/>
          </w:tcPr>
          <w:p>
            <w:pPr>
              <w:ind w:left="40"/>
              <w:spacing w:after="0"/>
              <w:rPr>
                <w:sz w:val="20"/>
                <w:szCs w:val="20"/>
                <w:color w:val="auto"/>
              </w:rPr>
            </w:pPr>
            <w:r>
              <w:rPr>
                <w:rFonts w:ascii="Arial" w:cs="Arial" w:eastAsia="Arial" w:hAnsi="Arial"/>
                <w:sz w:val="14"/>
                <w:szCs w:val="14"/>
                <w:b w:val="1"/>
                <w:bCs w:val="1"/>
                <w:color w:val="auto"/>
              </w:rPr>
              <w:t>Corporate</w:t>
            </w:r>
          </w:p>
        </w:tc>
        <w:tc>
          <w:tcPr>
            <w:tcW w:w="1120" w:type="dxa"/>
            <w:vAlign w:val="bottom"/>
            <w:gridSpan w:val="3"/>
          </w:tcPr>
          <w:p>
            <w:pPr>
              <w:jc w:val="right"/>
              <w:ind w:right="430"/>
              <w:spacing w:after="0"/>
              <w:rPr>
                <w:sz w:val="20"/>
                <w:szCs w:val="20"/>
                <w:color w:val="auto"/>
              </w:rPr>
            </w:pPr>
            <w:r>
              <w:rPr>
                <w:rFonts w:ascii="Arial" w:cs="Arial" w:eastAsia="Arial" w:hAnsi="Arial"/>
                <w:sz w:val="14"/>
                <w:szCs w:val="14"/>
                <w:b w:val="1"/>
                <w:bCs w:val="1"/>
                <w:color w:val="auto"/>
              </w:rPr>
              <w:t>Total</w:t>
            </w:r>
          </w:p>
        </w:tc>
      </w:tr>
      <w:tr>
        <w:trPr>
          <w:trHeight w:val="216"/>
        </w:trPr>
        <w:tc>
          <w:tcPr>
            <w:tcW w:w="2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23"/>
        </w:trPr>
        <w:tc>
          <w:tcPr>
            <w:tcW w:w="2180" w:type="dxa"/>
            <w:vAlign w:val="bottom"/>
            <w:gridSpan w:val="3"/>
          </w:tcPr>
          <w:p>
            <w:pPr>
              <w:ind w:left="20"/>
              <w:spacing w:after="0"/>
              <w:rPr>
                <w:sz w:val="20"/>
                <w:szCs w:val="20"/>
                <w:color w:val="auto"/>
              </w:rPr>
            </w:pPr>
            <w:r>
              <w:rPr>
                <w:rFonts w:ascii="Arial" w:cs="Arial" w:eastAsia="Arial" w:hAnsi="Arial"/>
                <w:sz w:val="18"/>
                <w:szCs w:val="18"/>
                <w:color w:val="auto"/>
              </w:rPr>
              <w:t>Cost of goods sold</w:t>
            </w:r>
          </w:p>
        </w:tc>
        <w:tc>
          <w:tcPr>
            <w:tcW w:w="900" w:type="dxa"/>
            <w:vAlign w:val="bottom"/>
          </w:tcPr>
          <w:p>
            <w:pPr>
              <w:jc w:val="right"/>
              <w:spacing w:after="0"/>
              <w:rPr>
                <w:sz w:val="20"/>
                <w:szCs w:val="20"/>
                <w:color w:val="auto"/>
              </w:rPr>
            </w:pPr>
            <w:r>
              <w:rPr>
                <w:rFonts w:ascii="Arial" w:cs="Arial" w:eastAsia="Arial" w:hAnsi="Arial"/>
                <w:sz w:val="18"/>
                <w:szCs w:val="18"/>
                <w:color w:val="auto"/>
              </w:rPr>
              <w:t>98.4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6"/>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84.4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6"/>
        </w:trPr>
        <w:tc>
          <w:tcPr>
            <w:tcW w:w="2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02"/>
        </w:trPr>
        <w:tc>
          <w:tcPr>
            <w:tcW w:w="218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Selling, general,</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2180" w:type="dxa"/>
            <w:vAlign w:val="bottom"/>
            <w:gridSpan w:val="3"/>
          </w:tcPr>
          <w:p>
            <w:pPr>
              <w:ind w:left="20"/>
              <w:spacing w:after="0"/>
              <w:rPr>
                <w:sz w:val="20"/>
                <w:szCs w:val="20"/>
                <w:color w:val="auto"/>
              </w:rPr>
            </w:pPr>
            <w:r>
              <w:rPr>
                <w:rFonts w:ascii="Arial" w:cs="Arial" w:eastAsia="Arial" w:hAnsi="Arial"/>
                <w:sz w:val="18"/>
                <w:szCs w:val="18"/>
                <w:color w:val="auto"/>
              </w:rPr>
              <w:t>administrative expenses</w:t>
            </w:r>
          </w:p>
        </w:tc>
        <w:tc>
          <w:tcPr>
            <w:tcW w:w="90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6"/>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36"/>
        </w:trPr>
        <w:tc>
          <w:tcPr>
            <w:tcW w:w="2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20" w:type="dxa"/>
            <w:vAlign w:val="bottom"/>
            <w:gridSpan w:val="6"/>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6"/>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6"/>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CEEFF"/>
          </w:tcPr>
          <w:p>
            <w:pPr>
              <w:spacing w:after="0"/>
              <w:rPr>
                <w:sz w:val="20"/>
                <w:szCs w:val="20"/>
                <w:color w:val="auto"/>
              </w:rPr>
            </w:pPr>
          </w:p>
        </w:tc>
      </w:tr>
      <w:tr>
        <w:trPr>
          <w:trHeight w:val="210"/>
        </w:trPr>
        <w:tc>
          <w:tcPr>
            <w:tcW w:w="214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rPr>
              <w:t>Earnings from operations</w:t>
            </w: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w:t>
            </w:r>
          </w:p>
        </w:tc>
        <w:tc>
          <w:tcPr>
            <w:tcW w:w="180" w:type="dxa"/>
            <w:vAlign w:val="bottom"/>
            <w:tcBorders>
              <w:top w:val="single" w:sz="8" w:color="CCEEFF"/>
            </w:tcBorders>
            <w:gridSpan w:val="3"/>
          </w:tcPr>
          <w:p>
            <w:pPr>
              <w:spacing w:after="0" w:line="203" w:lineRule="exact"/>
              <w:rPr>
                <w:sz w:val="20"/>
                <w:szCs w:val="20"/>
                <w:color w:val="auto"/>
              </w:rPr>
            </w:pPr>
            <w:r>
              <w:rPr>
                <w:rFonts w:ascii="Arial" w:cs="Arial" w:eastAsia="Arial" w:hAnsi="Arial"/>
                <w:sz w:val="18"/>
                <w:szCs w:val="18"/>
                <w:color w:val="auto"/>
                <w:w w:val="99"/>
              </w:rPr>
              <w:t>%</w:t>
            </w: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12.3</w:t>
            </w:r>
          </w:p>
        </w:tc>
        <w:tc>
          <w:tcPr>
            <w:tcW w:w="180" w:type="dxa"/>
            <w:vAlign w:val="bottom"/>
            <w:tcBorders>
              <w:top w:val="single" w:sz="8" w:color="CCEEFF"/>
            </w:tcBorders>
            <w:gridSpan w:val="3"/>
          </w:tcPr>
          <w:p>
            <w:pPr>
              <w:spacing w:after="0" w:line="203" w:lineRule="exact"/>
              <w:rPr>
                <w:sz w:val="20"/>
                <w:szCs w:val="20"/>
                <w:color w:val="auto"/>
              </w:rPr>
            </w:pPr>
            <w:r>
              <w:rPr>
                <w:rFonts w:ascii="Arial" w:cs="Arial" w:eastAsia="Arial" w:hAnsi="Arial"/>
                <w:sz w:val="18"/>
                <w:szCs w:val="18"/>
                <w:color w:val="auto"/>
                <w:w w:val="99"/>
              </w:rPr>
              <w:t>%</w:t>
            </w: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11.6</w:t>
            </w:r>
          </w:p>
        </w:tc>
        <w:tc>
          <w:tcPr>
            <w:tcW w:w="180" w:type="dxa"/>
            <w:vAlign w:val="bottom"/>
            <w:tcBorders>
              <w:top w:val="single" w:sz="8" w:color="CCEEFF"/>
            </w:tcBorders>
            <w:gridSpan w:val="3"/>
          </w:tcPr>
          <w:p>
            <w:pPr>
              <w:jc w:val="right"/>
              <w:spacing w:after="0" w:line="203" w:lineRule="exact"/>
              <w:rPr>
                <w:sz w:val="20"/>
                <w:szCs w:val="20"/>
                <w:color w:val="auto"/>
              </w:rPr>
            </w:pPr>
            <w:r>
              <w:rPr>
                <w:rFonts w:ascii="Arial" w:cs="Arial" w:eastAsia="Arial" w:hAnsi="Arial"/>
                <w:sz w:val="18"/>
                <w:szCs w:val="18"/>
                <w:color w:val="auto"/>
                <w:w w:val="74"/>
              </w:rPr>
              <w:t>%</w:t>
            </w: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20.6</w:t>
            </w:r>
          </w:p>
        </w:tc>
        <w:tc>
          <w:tcPr>
            <w:tcW w:w="180" w:type="dxa"/>
            <w:vAlign w:val="bottom"/>
            <w:tcBorders>
              <w:top w:val="single" w:sz="8" w:color="CCEEFF"/>
            </w:tcBorders>
            <w:gridSpan w:val="3"/>
          </w:tcPr>
          <w:p>
            <w:pPr>
              <w:jc w:val="right"/>
              <w:spacing w:after="0" w:line="203" w:lineRule="exact"/>
              <w:rPr>
                <w:sz w:val="20"/>
                <w:szCs w:val="20"/>
                <w:color w:val="auto"/>
              </w:rPr>
            </w:pPr>
            <w:r>
              <w:rPr>
                <w:rFonts w:ascii="Arial" w:cs="Arial" w:eastAsia="Arial" w:hAnsi="Arial"/>
                <w:sz w:val="18"/>
                <w:szCs w:val="18"/>
                <w:color w:val="auto"/>
                <w:w w:val="74"/>
              </w:rPr>
              <w:t>%</w:t>
            </w: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gridSpan w:val="2"/>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8.0</w:t>
            </w:r>
          </w:p>
        </w:tc>
        <w:tc>
          <w:tcPr>
            <w:tcW w:w="200" w:type="dxa"/>
            <w:vAlign w:val="bottom"/>
            <w:tcBorders>
              <w:top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w w:val="87"/>
              </w:rPr>
              <w:t>%</w:t>
            </w:r>
          </w:p>
        </w:tc>
      </w:tr>
      <w:tr>
        <w:trPr>
          <w:trHeight w:val="218"/>
        </w:trPr>
        <w:tc>
          <w:tcPr>
            <w:tcW w:w="5540" w:type="dxa"/>
            <w:vAlign w:val="bottom"/>
            <w:gridSpan w:val="21"/>
          </w:tcPr>
          <w:p>
            <w:pPr>
              <w:ind w:left="20"/>
              <w:spacing w:after="0"/>
              <w:rPr>
                <w:sz w:val="20"/>
                <w:szCs w:val="20"/>
                <w:color w:val="auto"/>
              </w:rPr>
            </w:pPr>
            <w:r>
              <w:rPr>
                <w:rFonts w:ascii="Arial" w:cs="Arial" w:eastAsia="Arial" w:hAnsi="Arial"/>
                <w:sz w:val="14"/>
                <w:szCs w:val="14"/>
                <w:color w:val="auto"/>
              </w:rPr>
              <w:t>Note: Actual percentages are calculated and may not sum to total due to rounding.</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70"/>
        </w:trPr>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18"/>
          </w:tcPr>
          <w:p>
            <w:pPr>
              <w:spacing w:after="0"/>
              <w:rPr>
                <w:sz w:val="20"/>
                <w:szCs w:val="20"/>
                <w:color w:val="auto"/>
              </w:rPr>
            </w:pPr>
            <w:r>
              <w:rPr>
                <w:rFonts w:ascii="Arial" w:cs="Arial" w:eastAsia="Arial" w:hAnsi="Arial"/>
                <w:sz w:val="14"/>
                <w:szCs w:val="14"/>
                <w:b w:val="1"/>
                <w:bCs w:val="1"/>
                <w:color w:val="auto"/>
                <w:w w:val="94"/>
              </w:rPr>
              <w:t>Nine Months Ended September 24, 2022</w:t>
            </w: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r>
        <w:trPr>
          <w:trHeight w:val="304"/>
        </w:trPr>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6"/>
          </w:tcPr>
          <w:p>
            <w:pPr>
              <w:ind w:left="260"/>
              <w:spacing w:after="0"/>
              <w:rPr>
                <w:sz w:val="20"/>
                <w:szCs w:val="20"/>
                <w:color w:val="auto"/>
              </w:rPr>
            </w:pPr>
            <w:r>
              <w:rPr>
                <w:rFonts w:ascii="Arial" w:cs="Arial" w:eastAsia="Arial" w:hAnsi="Arial"/>
                <w:sz w:val="14"/>
                <w:szCs w:val="14"/>
                <w:b w:val="1"/>
                <w:bCs w:val="1"/>
                <w:color w:val="auto"/>
              </w:rPr>
              <w:t>Retail</w:t>
            </w:r>
          </w:p>
        </w:tc>
        <w:tc>
          <w:tcPr>
            <w:tcW w:w="1120" w:type="dxa"/>
            <w:vAlign w:val="bottom"/>
            <w:gridSpan w:val="6"/>
          </w:tcPr>
          <w:p>
            <w:pPr>
              <w:ind w:left="140"/>
              <w:spacing w:after="0"/>
              <w:rPr>
                <w:sz w:val="20"/>
                <w:szCs w:val="20"/>
                <w:color w:val="auto"/>
              </w:rPr>
            </w:pPr>
            <w:r>
              <w:rPr>
                <w:rFonts w:ascii="Arial" w:cs="Arial" w:eastAsia="Arial" w:hAnsi="Arial"/>
                <w:sz w:val="14"/>
                <w:szCs w:val="14"/>
                <w:b w:val="1"/>
                <w:bCs w:val="1"/>
                <w:color w:val="auto"/>
              </w:rPr>
              <w:t>Industrial</w:t>
            </w:r>
          </w:p>
        </w:tc>
        <w:tc>
          <w:tcPr>
            <w:tcW w:w="1120" w:type="dxa"/>
            <w:vAlign w:val="bottom"/>
            <w:gridSpan w:val="6"/>
          </w:tcPr>
          <w:p>
            <w:pPr>
              <w:ind w:left="40"/>
              <w:spacing w:after="0"/>
              <w:rPr>
                <w:sz w:val="20"/>
                <w:szCs w:val="20"/>
                <w:color w:val="auto"/>
              </w:rPr>
            </w:pPr>
            <w:r>
              <w:rPr>
                <w:rFonts w:ascii="Arial" w:cs="Arial" w:eastAsia="Arial" w:hAnsi="Arial"/>
                <w:sz w:val="14"/>
                <w:szCs w:val="14"/>
                <w:b w:val="1"/>
                <w:bCs w:val="1"/>
                <w:color w:val="auto"/>
              </w:rPr>
              <w:t>Construction</w:t>
            </w:r>
          </w:p>
        </w:tc>
        <w:tc>
          <w:tcPr>
            <w:tcW w:w="1200" w:type="dxa"/>
            <w:vAlign w:val="bottom"/>
            <w:gridSpan w:val="7"/>
          </w:tcPr>
          <w:p>
            <w:pPr>
              <w:ind w:left="160"/>
              <w:spacing w:after="0"/>
              <w:rPr>
                <w:sz w:val="20"/>
                <w:szCs w:val="20"/>
                <w:color w:val="auto"/>
              </w:rPr>
            </w:pPr>
            <w:r>
              <w:rPr>
                <w:rFonts w:ascii="Arial" w:cs="Arial" w:eastAsia="Arial" w:hAnsi="Arial"/>
                <w:sz w:val="14"/>
                <w:szCs w:val="14"/>
                <w:b w:val="1"/>
                <w:bCs w:val="1"/>
                <w:color w:val="auto"/>
              </w:rPr>
              <w:t>All Other</w:t>
            </w:r>
          </w:p>
        </w:tc>
        <w:tc>
          <w:tcPr>
            <w:tcW w:w="1040" w:type="dxa"/>
            <w:vAlign w:val="bottom"/>
            <w:gridSpan w:val="6"/>
          </w:tcPr>
          <w:p>
            <w:pPr>
              <w:ind w:left="40"/>
              <w:spacing w:after="0"/>
              <w:rPr>
                <w:sz w:val="20"/>
                <w:szCs w:val="20"/>
                <w:color w:val="auto"/>
              </w:rPr>
            </w:pPr>
            <w:r>
              <w:rPr>
                <w:rFonts w:ascii="Arial" w:cs="Arial" w:eastAsia="Arial" w:hAnsi="Arial"/>
                <w:sz w:val="14"/>
                <w:szCs w:val="14"/>
                <w:b w:val="1"/>
                <w:bCs w:val="1"/>
                <w:color w:val="auto"/>
              </w:rPr>
              <w:t>Corporate</w:t>
            </w:r>
          </w:p>
        </w:tc>
        <w:tc>
          <w:tcPr>
            <w:tcW w:w="1120" w:type="dxa"/>
            <w:vAlign w:val="bottom"/>
            <w:gridSpan w:val="3"/>
          </w:tcPr>
          <w:p>
            <w:pPr>
              <w:jc w:val="right"/>
              <w:ind w:right="430"/>
              <w:spacing w:after="0"/>
              <w:rPr>
                <w:sz w:val="20"/>
                <w:szCs w:val="20"/>
                <w:color w:val="auto"/>
              </w:rPr>
            </w:pPr>
            <w:r>
              <w:rPr>
                <w:rFonts w:ascii="Arial" w:cs="Arial" w:eastAsia="Arial" w:hAnsi="Arial"/>
                <w:sz w:val="14"/>
                <w:szCs w:val="14"/>
                <w:b w:val="1"/>
                <w:bCs w:val="1"/>
                <w:color w:val="auto"/>
              </w:rPr>
              <w:t>Total</w:t>
            </w:r>
          </w:p>
        </w:tc>
      </w:tr>
      <w:tr>
        <w:trPr>
          <w:trHeight w:val="216"/>
        </w:trPr>
        <w:tc>
          <w:tcPr>
            <w:tcW w:w="21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87"/>
              </w:rPr>
              <w:t>%</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87"/>
              </w:rPr>
              <w:t>%</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180" w:type="dxa"/>
            <w:vAlign w:val="bottom"/>
            <w:tcBorders>
              <w:top w:val="single" w:sz="8" w:color="CCEEFF"/>
            </w:tcBorders>
            <w:gridSpan w:val="3"/>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23"/>
        </w:trPr>
        <w:tc>
          <w:tcPr>
            <w:tcW w:w="2180" w:type="dxa"/>
            <w:vAlign w:val="bottom"/>
            <w:gridSpan w:val="3"/>
          </w:tcPr>
          <w:p>
            <w:pPr>
              <w:ind w:left="20"/>
              <w:spacing w:after="0"/>
              <w:rPr>
                <w:sz w:val="20"/>
                <w:szCs w:val="20"/>
                <w:color w:val="auto"/>
              </w:rPr>
            </w:pPr>
            <w:r>
              <w:rPr>
                <w:rFonts w:ascii="Arial" w:cs="Arial" w:eastAsia="Arial" w:hAnsi="Arial"/>
                <w:sz w:val="18"/>
                <w:szCs w:val="18"/>
                <w:color w:val="auto"/>
              </w:rPr>
              <w:t>Cost of goods sold</w:t>
            </w:r>
          </w:p>
        </w:tc>
        <w:tc>
          <w:tcPr>
            <w:tcW w:w="900" w:type="dxa"/>
            <w:vAlign w:val="bottom"/>
          </w:tcPr>
          <w:p>
            <w:pPr>
              <w:jc w:val="right"/>
              <w:spacing w:after="0"/>
              <w:rPr>
                <w:sz w:val="20"/>
                <w:szCs w:val="20"/>
                <w:color w:val="auto"/>
              </w:rPr>
            </w:pPr>
            <w:r>
              <w:rPr>
                <w:rFonts w:ascii="Arial" w:cs="Arial" w:eastAsia="Arial" w:hAnsi="Arial"/>
                <w:sz w:val="18"/>
                <w:szCs w:val="18"/>
                <w:color w:val="auto"/>
              </w:rPr>
              <w:t>90.4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6"/>
          </w:tcPr>
          <w:p>
            <w:pPr>
              <w:ind w:left="6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81.4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6"/>
        </w:trPr>
        <w:tc>
          <w:tcPr>
            <w:tcW w:w="21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gridSpan w:val="3"/>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02"/>
        </w:trPr>
        <w:tc>
          <w:tcPr>
            <w:tcW w:w="218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Selling, general,</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2180" w:type="dxa"/>
            <w:vAlign w:val="bottom"/>
            <w:gridSpan w:val="3"/>
          </w:tcPr>
          <w:p>
            <w:pPr>
              <w:ind w:left="20"/>
              <w:spacing w:after="0"/>
              <w:rPr>
                <w:sz w:val="20"/>
                <w:szCs w:val="20"/>
                <w:color w:val="auto"/>
              </w:rPr>
            </w:pPr>
            <w:r>
              <w:rPr>
                <w:rFonts w:ascii="Arial" w:cs="Arial" w:eastAsia="Arial" w:hAnsi="Arial"/>
                <w:sz w:val="18"/>
                <w:szCs w:val="18"/>
                <w:color w:val="auto"/>
              </w:rPr>
              <w:t>administrative expenses</w:t>
            </w:r>
          </w:p>
        </w:tc>
        <w:tc>
          <w:tcPr>
            <w:tcW w:w="90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6"/>
          </w:tcPr>
          <w:p>
            <w:pPr>
              <w:ind w:left="6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36"/>
        </w:trPr>
        <w:tc>
          <w:tcPr>
            <w:tcW w:w="2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20" w:type="dxa"/>
            <w:vAlign w:val="bottom"/>
            <w:gridSpan w:val="6"/>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6"/>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6"/>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10"/>
        </w:trPr>
        <w:tc>
          <w:tcPr>
            <w:tcW w:w="2160" w:type="dxa"/>
            <w:vAlign w:val="bottom"/>
            <w:tcBorders>
              <w:top w:val="single" w:sz="8" w:color="CCEEFF"/>
            </w:tcBorders>
            <w:gridSpan w:val="2"/>
          </w:tcPr>
          <w:p>
            <w:pPr>
              <w:ind w:left="20"/>
              <w:spacing w:after="0" w:line="203" w:lineRule="exact"/>
              <w:rPr>
                <w:sz w:val="20"/>
                <w:szCs w:val="20"/>
                <w:color w:val="auto"/>
              </w:rPr>
            </w:pPr>
            <w:r>
              <w:rPr>
                <w:rFonts w:ascii="Arial" w:cs="Arial" w:eastAsia="Arial" w:hAnsi="Arial"/>
                <w:sz w:val="18"/>
                <w:szCs w:val="18"/>
                <w:color w:val="auto"/>
              </w:rPr>
              <w:t>Earnings from operations</w:t>
            </w:r>
          </w:p>
        </w:tc>
        <w:tc>
          <w:tcPr>
            <w:tcW w:w="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4.2</w:t>
            </w:r>
          </w:p>
        </w:tc>
        <w:tc>
          <w:tcPr>
            <w:tcW w:w="16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w w:val="87"/>
              </w:rPr>
              <w:t>%</w:t>
            </w: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13.6</w:t>
            </w:r>
          </w:p>
        </w:tc>
        <w:tc>
          <w:tcPr>
            <w:tcW w:w="16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w w:val="87"/>
              </w:rPr>
              <w:t>%</w:t>
            </w: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12.7</w:t>
            </w:r>
          </w:p>
        </w:tc>
        <w:tc>
          <w:tcPr>
            <w:tcW w:w="160" w:type="dxa"/>
            <w:vAlign w:val="bottom"/>
            <w:tcBorders>
              <w:top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w w:val="74"/>
              </w:rPr>
              <w:t>%</w:t>
            </w: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15.4</w:t>
            </w:r>
          </w:p>
        </w:tc>
        <w:tc>
          <w:tcPr>
            <w:tcW w:w="160" w:type="dxa"/>
            <w:vAlign w:val="bottom"/>
            <w:tcBorders>
              <w:top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w w:val="74"/>
              </w:rPr>
              <w:t>%</w:t>
            </w: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gridSpan w:val="2"/>
          </w:tcPr>
          <w:p>
            <w:pPr>
              <w:ind w:left="600"/>
              <w:spacing w:after="0" w:line="203"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gridSpan w:val="3"/>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10.1</w:t>
            </w:r>
          </w:p>
        </w:tc>
        <w:tc>
          <w:tcPr>
            <w:tcW w:w="200" w:type="dxa"/>
            <w:vAlign w:val="bottom"/>
            <w:tcBorders>
              <w:top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w w:val="87"/>
              </w:rPr>
              <w:t>%</w:t>
            </w:r>
          </w:p>
        </w:tc>
      </w:tr>
      <w:tr>
        <w:trPr>
          <w:trHeight w:val="218"/>
        </w:trPr>
        <w:tc>
          <w:tcPr>
            <w:tcW w:w="5540" w:type="dxa"/>
            <w:vAlign w:val="bottom"/>
            <w:gridSpan w:val="21"/>
          </w:tcPr>
          <w:p>
            <w:pPr>
              <w:ind w:left="20"/>
              <w:spacing w:after="0"/>
              <w:rPr>
                <w:sz w:val="20"/>
                <w:szCs w:val="20"/>
                <w:color w:val="auto"/>
              </w:rPr>
            </w:pPr>
            <w:r>
              <w:rPr>
                <w:rFonts w:ascii="Arial" w:cs="Arial" w:eastAsia="Arial" w:hAnsi="Arial"/>
                <w:sz w:val="14"/>
                <w:szCs w:val="14"/>
                <w:color w:val="auto"/>
              </w:rPr>
              <w:t>Note: Actual percentages are calculated and may not sum to total due to rounding.</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83"/>
        </w:trPr>
        <w:tc>
          <w:tcPr>
            <w:tcW w:w="2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19"/>
          </w:tcPr>
          <w:p>
            <w:pPr>
              <w:jc w:val="center"/>
              <w:ind w:left="734"/>
              <w:spacing w:after="0"/>
              <w:rPr>
                <w:sz w:val="20"/>
                <w:szCs w:val="20"/>
                <w:color w:val="auto"/>
              </w:rPr>
            </w:pPr>
            <w:r>
              <w:rPr>
                <w:rFonts w:ascii="Arial" w:cs="Arial" w:eastAsia="Arial" w:hAnsi="Arial"/>
                <w:sz w:val="14"/>
                <w:szCs w:val="14"/>
                <w:b w:val="1"/>
                <w:bCs w:val="1"/>
                <w:color w:val="auto"/>
                <w:w w:val="92"/>
              </w:rPr>
              <w:t>Nine Months Ended September 25, 2021</w:t>
            </w: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r>
        <w:trPr>
          <w:trHeight w:val="304"/>
        </w:trPr>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6"/>
          </w:tcPr>
          <w:p>
            <w:pPr>
              <w:ind w:left="240"/>
              <w:spacing w:after="0"/>
              <w:rPr>
                <w:sz w:val="20"/>
                <w:szCs w:val="20"/>
                <w:color w:val="auto"/>
              </w:rPr>
            </w:pPr>
            <w:r>
              <w:rPr>
                <w:rFonts w:ascii="Arial" w:cs="Arial" w:eastAsia="Arial" w:hAnsi="Arial"/>
                <w:sz w:val="14"/>
                <w:szCs w:val="14"/>
                <w:b w:val="1"/>
                <w:bCs w:val="1"/>
                <w:color w:val="auto"/>
              </w:rPr>
              <w:t>Retail</w:t>
            </w:r>
          </w:p>
        </w:tc>
        <w:tc>
          <w:tcPr>
            <w:tcW w:w="1120" w:type="dxa"/>
            <w:vAlign w:val="bottom"/>
            <w:gridSpan w:val="6"/>
          </w:tcPr>
          <w:p>
            <w:pPr>
              <w:ind w:left="120"/>
              <w:spacing w:after="0"/>
              <w:rPr>
                <w:sz w:val="20"/>
                <w:szCs w:val="20"/>
                <w:color w:val="auto"/>
              </w:rPr>
            </w:pPr>
            <w:r>
              <w:rPr>
                <w:rFonts w:ascii="Arial" w:cs="Arial" w:eastAsia="Arial" w:hAnsi="Arial"/>
                <w:sz w:val="14"/>
                <w:szCs w:val="14"/>
                <w:b w:val="1"/>
                <w:bCs w:val="1"/>
                <w:color w:val="auto"/>
              </w:rPr>
              <w:t>Industrial</w:t>
            </w:r>
          </w:p>
        </w:tc>
        <w:tc>
          <w:tcPr>
            <w:tcW w:w="1120" w:type="dxa"/>
            <w:vAlign w:val="bottom"/>
            <w:gridSpan w:val="6"/>
          </w:tcPr>
          <w:p>
            <w:pPr>
              <w:ind w:left="20"/>
              <w:spacing w:after="0"/>
              <w:rPr>
                <w:sz w:val="20"/>
                <w:szCs w:val="20"/>
                <w:color w:val="auto"/>
              </w:rPr>
            </w:pPr>
            <w:r>
              <w:rPr>
                <w:rFonts w:ascii="Arial" w:cs="Arial" w:eastAsia="Arial" w:hAnsi="Arial"/>
                <w:sz w:val="14"/>
                <w:szCs w:val="14"/>
                <w:b w:val="1"/>
                <w:bCs w:val="1"/>
                <w:color w:val="auto"/>
              </w:rPr>
              <w:t>Construction</w:t>
            </w:r>
          </w:p>
        </w:tc>
        <w:tc>
          <w:tcPr>
            <w:tcW w:w="1200" w:type="dxa"/>
            <w:vAlign w:val="bottom"/>
            <w:gridSpan w:val="7"/>
          </w:tcPr>
          <w:p>
            <w:pPr>
              <w:ind w:left="140"/>
              <w:spacing w:after="0"/>
              <w:rPr>
                <w:sz w:val="20"/>
                <w:szCs w:val="20"/>
                <w:color w:val="auto"/>
              </w:rPr>
            </w:pPr>
            <w:r>
              <w:rPr>
                <w:rFonts w:ascii="Arial" w:cs="Arial" w:eastAsia="Arial" w:hAnsi="Arial"/>
                <w:sz w:val="14"/>
                <w:szCs w:val="14"/>
                <w:b w:val="1"/>
                <w:bCs w:val="1"/>
                <w:color w:val="auto"/>
              </w:rPr>
              <w:t>All Other</w:t>
            </w:r>
          </w:p>
        </w:tc>
        <w:tc>
          <w:tcPr>
            <w:tcW w:w="1040" w:type="dxa"/>
            <w:vAlign w:val="bottom"/>
            <w:gridSpan w:val="6"/>
          </w:tcPr>
          <w:p>
            <w:pPr>
              <w:ind w:left="40"/>
              <w:spacing w:after="0"/>
              <w:rPr>
                <w:sz w:val="20"/>
                <w:szCs w:val="20"/>
                <w:color w:val="auto"/>
              </w:rPr>
            </w:pPr>
            <w:r>
              <w:rPr>
                <w:rFonts w:ascii="Arial" w:cs="Arial" w:eastAsia="Arial" w:hAnsi="Arial"/>
                <w:sz w:val="14"/>
                <w:szCs w:val="14"/>
                <w:b w:val="1"/>
                <w:bCs w:val="1"/>
                <w:color w:val="auto"/>
              </w:rPr>
              <w:t>Corporate</w:t>
            </w:r>
          </w:p>
        </w:tc>
        <w:tc>
          <w:tcPr>
            <w:tcW w:w="1120" w:type="dxa"/>
            <w:vAlign w:val="bottom"/>
            <w:gridSpan w:val="3"/>
          </w:tcPr>
          <w:p>
            <w:pPr>
              <w:jc w:val="right"/>
              <w:ind w:right="430"/>
              <w:spacing w:after="0"/>
              <w:rPr>
                <w:sz w:val="20"/>
                <w:szCs w:val="20"/>
                <w:color w:val="auto"/>
              </w:rPr>
            </w:pPr>
            <w:r>
              <w:rPr>
                <w:rFonts w:ascii="Arial" w:cs="Arial" w:eastAsia="Arial" w:hAnsi="Arial"/>
                <w:sz w:val="14"/>
                <w:szCs w:val="14"/>
                <w:b w:val="1"/>
                <w:bCs w:val="1"/>
                <w:color w:val="auto"/>
              </w:rPr>
              <w:t>Total</w:t>
            </w:r>
          </w:p>
        </w:tc>
      </w:tr>
      <w:tr>
        <w:trPr>
          <w:trHeight w:val="216"/>
        </w:trPr>
        <w:tc>
          <w:tcPr>
            <w:tcW w:w="2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40" w:type="dxa"/>
            <w:vAlign w:val="bottom"/>
            <w:tcBorders>
              <w:top w:val="single" w:sz="8" w:color="auto"/>
            </w:tcBorders>
            <w:gridSpan w:val="2"/>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80" w:type="dxa"/>
            <w:vAlign w:val="bottom"/>
            <w:tcBorders>
              <w:top w:val="single" w:sz="8" w:color="CCEEFF"/>
            </w:tcBorders>
            <w:gridSpan w:val="3"/>
            <w:shd w:val="clear" w:color="auto" w:fill="CCEEFF"/>
          </w:tcPr>
          <w:p>
            <w:pPr>
              <w:spacing w:after="0"/>
              <w:rPr>
                <w:sz w:val="18"/>
                <w:szCs w:val="18"/>
                <w:color w:val="auto"/>
              </w:rPr>
            </w:pPr>
          </w:p>
        </w:tc>
        <w:tc>
          <w:tcPr>
            <w:tcW w:w="40" w:type="dxa"/>
            <w:vAlign w:val="bottom"/>
            <w:tcBorders>
              <w:top w:val="single" w:sz="8" w:color="auto"/>
            </w:tcBorders>
            <w:gridSpan w:val="2"/>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23"/>
        </w:trPr>
        <w:tc>
          <w:tcPr>
            <w:tcW w:w="2180" w:type="dxa"/>
            <w:vAlign w:val="bottom"/>
            <w:gridSpan w:val="3"/>
          </w:tcPr>
          <w:p>
            <w:pPr>
              <w:ind w:left="20"/>
              <w:spacing w:after="0"/>
              <w:rPr>
                <w:sz w:val="20"/>
                <w:szCs w:val="20"/>
                <w:color w:val="auto"/>
              </w:rPr>
            </w:pPr>
            <w:r>
              <w:rPr>
                <w:rFonts w:ascii="Arial" w:cs="Arial" w:eastAsia="Arial" w:hAnsi="Arial"/>
                <w:sz w:val="18"/>
                <w:szCs w:val="18"/>
                <w:color w:val="auto"/>
              </w:rPr>
              <w:t>Cost of goods sold</w:t>
            </w:r>
          </w:p>
        </w:tc>
        <w:tc>
          <w:tcPr>
            <w:tcW w:w="900" w:type="dxa"/>
            <w:vAlign w:val="bottom"/>
          </w:tcPr>
          <w:p>
            <w:pPr>
              <w:jc w:val="right"/>
              <w:spacing w:after="0"/>
              <w:rPr>
                <w:sz w:val="20"/>
                <w:szCs w:val="20"/>
                <w:color w:val="auto"/>
              </w:rPr>
            </w:pPr>
            <w:r>
              <w:rPr>
                <w:rFonts w:ascii="Arial" w:cs="Arial" w:eastAsia="Arial" w:hAnsi="Arial"/>
                <w:sz w:val="18"/>
                <w:szCs w:val="18"/>
                <w:color w:val="auto"/>
              </w:rPr>
              <w:t>91.4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6"/>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84.4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6"/>
        </w:trPr>
        <w:tc>
          <w:tcPr>
            <w:tcW w:w="2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40" w:type="dxa"/>
            <w:vAlign w:val="bottom"/>
            <w:tcBorders>
              <w:top w:val="single" w:sz="8" w:color="auto"/>
            </w:tcBorders>
            <w:gridSpan w:val="2"/>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gridSpan w:val="3"/>
            <w:shd w:val="clear" w:color="auto" w:fill="CCEEFF"/>
          </w:tcPr>
          <w:p>
            <w:pPr>
              <w:spacing w:after="0"/>
              <w:rPr>
                <w:sz w:val="18"/>
                <w:szCs w:val="18"/>
                <w:color w:val="auto"/>
              </w:rPr>
            </w:pPr>
          </w:p>
        </w:tc>
        <w:tc>
          <w:tcPr>
            <w:tcW w:w="40" w:type="dxa"/>
            <w:vAlign w:val="bottom"/>
            <w:tcBorders>
              <w:top w:val="single" w:sz="8" w:color="auto"/>
            </w:tcBorders>
            <w:gridSpan w:val="2"/>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02"/>
        </w:trPr>
        <w:tc>
          <w:tcPr>
            <w:tcW w:w="218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Selling, general,</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2180" w:type="dxa"/>
            <w:vAlign w:val="bottom"/>
            <w:gridSpan w:val="3"/>
          </w:tcPr>
          <w:p>
            <w:pPr>
              <w:ind w:left="20"/>
              <w:spacing w:after="0"/>
              <w:rPr>
                <w:sz w:val="20"/>
                <w:szCs w:val="20"/>
                <w:color w:val="auto"/>
              </w:rPr>
            </w:pPr>
            <w:r>
              <w:rPr>
                <w:rFonts w:ascii="Arial" w:cs="Arial" w:eastAsia="Arial" w:hAnsi="Arial"/>
                <w:sz w:val="18"/>
                <w:szCs w:val="18"/>
                <w:color w:val="auto"/>
              </w:rPr>
              <w:t>administrative expenses</w:t>
            </w:r>
          </w:p>
        </w:tc>
        <w:tc>
          <w:tcPr>
            <w:tcW w:w="90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6"/>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36"/>
        </w:trPr>
        <w:tc>
          <w:tcPr>
            <w:tcW w:w="2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20" w:type="dxa"/>
            <w:vAlign w:val="bottom"/>
            <w:gridSpan w:val="6"/>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6"/>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6"/>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6"/>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20"/>
                <w:szCs w:val="20"/>
                <w:color w:val="auto"/>
              </w:rPr>
            </w:pPr>
          </w:p>
        </w:tc>
      </w:tr>
      <w:tr>
        <w:trPr>
          <w:trHeight w:val="210"/>
        </w:trPr>
        <w:tc>
          <w:tcPr>
            <w:tcW w:w="214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rPr>
              <w:t>Earnings from operations</w:t>
            </w:r>
          </w:p>
        </w:tc>
        <w:tc>
          <w:tcPr>
            <w:tcW w:w="40" w:type="dxa"/>
            <w:vAlign w:val="bottom"/>
            <w:tcBorders>
              <w:top w:val="single" w:sz="8" w:color="auto"/>
              <w:bottom w:val="single" w:sz="8" w:color="auto"/>
            </w:tcBorders>
            <w:gridSpan w:val="2"/>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w:t>
            </w:r>
          </w:p>
        </w:tc>
        <w:tc>
          <w:tcPr>
            <w:tcW w:w="180" w:type="dxa"/>
            <w:vAlign w:val="bottom"/>
            <w:tcBorders>
              <w:top w:val="single" w:sz="8" w:color="CCEEFF"/>
            </w:tcBorders>
            <w:gridSpan w:val="3"/>
          </w:tcPr>
          <w:p>
            <w:pPr>
              <w:spacing w:after="0" w:line="203" w:lineRule="exact"/>
              <w:rPr>
                <w:sz w:val="20"/>
                <w:szCs w:val="20"/>
                <w:color w:val="auto"/>
              </w:rPr>
            </w:pPr>
            <w:r>
              <w:rPr>
                <w:rFonts w:ascii="Arial" w:cs="Arial" w:eastAsia="Arial" w:hAnsi="Arial"/>
                <w:sz w:val="18"/>
                <w:szCs w:val="18"/>
                <w:color w:val="auto"/>
                <w:w w:val="99"/>
              </w:rPr>
              <w:t>%</w:t>
            </w: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11.7</w:t>
            </w:r>
          </w:p>
        </w:tc>
        <w:tc>
          <w:tcPr>
            <w:tcW w:w="180" w:type="dxa"/>
            <w:vAlign w:val="bottom"/>
            <w:tcBorders>
              <w:top w:val="single" w:sz="8" w:color="CCEEFF"/>
            </w:tcBorders>
            <w:gridSpan w:val="3"/>
          </w:tcPr>
          <w:p>
            <w:pPr>
              <w:spacing w:after="0" w:line="203" w:lineRule="exact"/>
              <w:rPr>
                <w:sz w:val="20"/>
                <w:szCs w:val="20"/>
                <w:color w:val="auto"/>
              </w:rPr>
            </w:pPr>
            <w:r>
              <w:rPr>
                <w:rFonts w:ascii="Arial" w:cs="Arial" w:eastAsia="Arial" w:hAnsi="Arial"/>
                <w:sz w:val="18"/>
                <w:szCs w:val="18"/>
                <w:color w:val="auto"/>
                <w:w w:val="99"/>
              </w:rPr>
              <w:t>%</w:t>
            </w: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9.1</w:t>
            </w:r>
          </w:p>
        </w:tc>
        <w:tc>
          <w:tcPr>
            <w:tcW w:w="180" w:type="dxa"/>
            <w:vAlign w:val="bottom"/>
            <w:tcBorders>
              <w:top w:val="single" w:sz="8" w:color="CCEEFF"/>
            </w:tcBorders>
            <w:gridSpan w:val="3"/>
          </w:tcPr>
          <w:p>
            <w:pPr>
              <w:jc w:val="right"/>
              <w:spacing w:after="0" w:line="203" w:lineRule="exact"/>
              <w:rPr>
                <w:sz w:val="20"/>
                <w:szCs w:val="20"/>
                <w:color w:val="auto"/>
              </w:rPr>
            </w:pPr>
            <w:r>
              <w:rPr>
                <w:rFonts w:ascii="Arial" w:cs="Arial" w:eastAsia="Arial" w:hAnsi="Arial"/>
                <w:sz w:val="18"/>
                <w:szCs w:val="18"/>
                <w:color w:val="auto"/>
                <w:w w:val="74"/>
              </w:rPr>
              <w:t>%</w:t>
            </w: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18.3</w:t>
            </w:r>
          </w:p>
        </w:tc>
        <w:tc>
          <w:tcPr>
            <w:tcW w:w="180" w:type="dxa"/>
            <w:vAlign w:val="bottom"/>
            <w:tcBorders>
              <w:top w:val="single" w:sz="8" w:color="CCEEFF"/>
            </w:tcBorders>
            <w:gridSpan w:val="3"/>
          </w:tcPr>
          <w:p>
            <w:pPr>
              <w:jc w:val="right"/>
              <w:spacing w:after="0" w:line="203" w:lineRule="exact"/>
              <w:rPr>
                <w:sz w:val="20"/>
                <w:szCs w:val="20"/>
                <w:color w:val="auto"/>
              </w:rPr>
            </w:pPr>
            <w:r>
              <w:rPr>
                <w:rFonts w:ascii="Arial" w:cs="Arial" w:eastAsia="Arial" w:hAnsi="Arial"/>
                <w:sz w:val="18"/>
                <w:szCs w:val="18"/>
                <w:color w:val="auto"/>
                <w:w w:val="74"/>
              </w:rPr>
              <w:t>%</w:t>
            </w: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gridSpan w:val="3"/>
          </w:tcPr>
          <w:p>
            <w:pPr>
              <w:spacing w:after="0"/>
              <w:rPr>
                <w:sz w:val="18"/>
                <w:szCs w:val="18"/>
                <w:color w:val="auto"/>
              </w:rPr>
            </w:pPr>
          </w:p>
        </w:tc>
        <w:tc>
          <w:tcPr>
            <w:tcW w:w="40" w:type="dxa"/>
            <w:vAlign w:val="bottom"/>
            <w:tcBorders>
              <w:top w:val="single" w:sz="8" w:color="auto"/>
              <w:bottom w:val="single" w:sz="8" w:color="auto"/>
            </w:tcBorders>
            <w:gridSpan w:val="2"/>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8.2</w:t>
            </w:r>
          </w:p>
        </w:tc>
        <w:tc>
          <w:tcPr>
            <w:tcW w:w="200" w:type="dxa"/>
            <w:vAlign w:val="bottom"/>
            <w:tcBorders>
              <w:top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w w:val="87"/>
              </w:rPr>
              <w:t>%</w:t>
            </w:r>
          </w:p>
        </w:tc>
      </w:tr>
    </w:tbl>
    <w:p>
      <w:pPr>
        <w:spacing w:after="0" w:line="35" w:lineRule="exact"/>
        <w:rPr>
          <w:sz w:val="20"/>
          <w:szCs w:val="20"/>
          <w:color w:val="auto"/>
        </w:rPr>
      </w:pPr>
    </w:p>
    <w:p>
      <w:pPr>
        <w:ind w:left="60"/>
        <w:spacing w:after="0"/>
        <w:rPr>
          <w:sz w:val="20"/>
          <w:szCs w:val="20"/>
          <w:color w:val="auto"/>
        </w:rPr>
      </w:pPr>
      <w:r>
        <w:rPr>
          <w:rFonts w:ascii="Arial" w:cs="Arial" w:eastAsia="Arial" w:hAnsi="Arial"/>
          <w:sz w:val="14"/>
          <w:szCs w:val="14"/>
          <w:color w:val="auto"/>
        </w:rPr>
        <w:t>Note: Actual percentages are calculated and may not sum to total due to rounding.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SALES</w:t>
      </w:r>
    </w:p>
    <w:p>
      <w:pPr>
        <w:spacing w:after="0" w:line="229"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We design, manufacture and market wood and wood-alternative products, primarily used to enhance outdoor living environments, for national home centers and other retailers, engineered wood components, structural lumber, and other products for factory-built and site-built residential and commercial construction, customized interior fixtures used in a variety of retail stores, commercial, and other structures, and structural wood packaging, components and packing materials for various industries. Our strategic long-term sales objectives include:</w:t>
      </w:r>
    </w:p>
    <w:p>
      <w:pPr>
        <w:spacing w:after="0" w:line="176" w:lineRule="exact"/>
        <w:rPr>
          <w:sz w:val="20"/>
          <w:szCs w:val="20"/>
          <w:color w:val="auto"/>
        </w:rPr>
      </w:pPr>
    </w:p>
    <w:p>
      <w:pPr>
        <w:jc w:val="both"/>
        <w:ind w:left="380" w:right="79" w:hanging="330"/>
        <w:spacing w:after="0" w:line="263"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Maximizing unit sales growth while achieving return on investment goals.</w:t>
      </w:r>
      <w:r>
        <w:rPr>
          <w:rFonts w:ascii="Arial" w:cs="Arial" w:eastAsia="Arial" w:hAnsi="Arial"/>
          <w:sz w:val="18"/>
          <w:szCs w:val="18"/>
          <w:color w:val="auto"/>
        </w:rPr>
        <w:t xml:space="preserve"> The following table presents estimates, for the periods indicated, of our percentage change in net sales which were attributable to changes in overall selling prices versus changes in units shipped.</w:t>
      </w:r>
    </w:p>
    <w:p>
      <w:pPr>
        <w:spacing w:after="0" w:line="188" w:lineRule="exact"/>
        <w:rPr>
          <w:rFonts w:ascii="Arial" w:cs="Arial" w:eastAsia="Arial" w:hAnsi="Arial"/>
          <w:sz w:val="18"/>
          <w:szCs w:val="18"/>
          <w:color w:val="auto"/>
        </w:rPr>
      </w:pPr>
    </w:p>
    <w:p>
      <w:pPr>
        <w:ind w:left="6780" w:hanging="170"/>
        <w:spacing w:after="0"/>
        <w:tabs>
          <w:tab w:leader="none" w:pos="6780" w:val="left"/>
        </w:tabs>
        <w:numPr>
          <w:ilvl w:val="1"/>
          <w:numId w:val="19"/>
        </w:numPr>
        <w:rPr>
          <w:rFonts w:ascii="Arial" w:cs="Arial" w:eastAsia="Arial" w:hAnsi="Arial"/>
          <w:sz w:val="14"/>
          <w:szCs w:val="14"/>
          <w:b w:val="1"/>
          <w:bCs w:val="1"/>
          <w:color w:val="auto"/>
        </w:rPr>
      </w:pPr>
      <w:r>
        <w:rPr>
          <w:rFonts w:ascii="Arial" w:cs="Arial" w:eastAsia="Arial" w:hAnsi="Arial"/>
          <w:sz w:val="14"/>
          <w:szCs w:val="14"/>
          <w:b w:val="1"/>
          <w:bCs w:val="1"/>
          <w:color w:val="auto"/>
        </w:rPr>
        <w:t>Change</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133"/>
        </w:trPr>
        <w:tc>
          <w:tcPr>
            <w:tcW w:w="488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vMerge w:val="restart"/>
          </w:tcPr>
          <w:p>
            <w:pPr>
              <w:jc w:val="right"/>
              <w:ind w:right="190"/>
              <w:spacing w:after="0"/>
              <w:rPr>
                <w:sz w:val="20"/>
                <w:szCs w:val="20"/>
                <w:color w:val="auto"/>
              </w:rPr>
            </w:pPr>
            <w:r>
              <w:rPr>
                <w:rFonts w:ascii="Arial" w:cs="Arial" w:eastAsia="Arial" w:hAnsi="Arial"/>
                <w:sz w:val="14"/>
                <w:szCs w:val="14"/>
                <w:b w:val="1"/>
                <w:bCs w:val="1"/>
                <w:color w:val="auto"/>
                <w:w w:val="89"/>
              </w:rPr>
              <w:t>in Selling</w:t>
            </w:r>
          </w:p>
        </w:tc>
        <w:tc>
          <w:tcPr>
            <w:tcW w:w="4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jc w:val="center"/>
              <w:ind w:right="150"/>
              <w:spacing w:after="0" w:line="133" w:lineRule="exact"/>
              <w:rPr>
                <w:sz w:val="20"/>
                <w:szCs w:val="20"/>
                <w:color w:val="auto"/>
              </w:rPr>
            </w:pPr>
            <w:r>
              <w:rPr>
                <w:rFonts w:ascii="Arial" w:cs="Arial" w:eastAsia="Arial" w:hAnsi="Arial"/>
                <w:sz w:val="14"/>
                <w:szCs w:val="14"/>
                <w:b w:val="1"/>
                <w:bCs w:val="1"/>
                <w:color w:val="auto"/>
                <w:w w:val="91"/>
              </w:rPr>
              <w:t>Acquisition</w:t>
            </w:r>
          </w:p>
        </w:tc>
        <w:tc>
          <w:tcPr>
            <w:tcW w:w="760" w:type="dxa"/>
            <w:vAlign w:val="bottom"/>
            <w:tcBorders>
              <w:top w:val="single" w:sz="8" w:color="auto"/>
            </w:tcBorders>
            <w:gridSpan w:val="2"/>
          </w:tcPr>
          <w:p>
            <w:pPr>
              <w:jc w:val="center"/>
              <w:ind w:right="130"/>
              <w:spacing w:after="0" w:line="133" w:lineRule="exact"/>
              <w:rPr>
                <w:sz w:val="20"/>
                <w:szCs w:val="20"/>
                <w:color w:val="auto"/>
              </w:rPr>
            </w:pPr>
            <w:r>
              <w:rPr>
                <w:rFonts w:ascii="Arial" w:cs="Arial" w:eastAsia="Arial" w:hAnsi="Arial"/>
                <w:sz w:val="14"/>
                <w:szCs w:val="14"/>
                <w:b w:val="1"/>
                <w:bCs w:val="1"/>
                <w:color w:val="auto"/>
                <w:w w:val="94"/>
              </w:rPr>
              <w:t>Organic</w:t>
            </w: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720" w:type="dxa"/>
            <w:vAlign w:val="bottom"/>
            <w:gridSpan w:val="2"/>
            <w:vMerge w:val="restart"/>
          </w:tcPr>
          <w:p>
            <w:pPr>
              <w:jc w:val="right"/>
              <w:ind w:right="150"/>
              <w:spacing w:after="0"/>
              <w:rPr>
                <w:sz w:val="20"/>
                <w:szCs w:val="20"/>
                <w:color w:val="auto"/>
              </w:rPr>
            </w:pPr>
            <w:r>
              <w:rPr>
                <w:rFonts w:ascii="Arial" w:cs="Arial" w:eastAsia="Arial" w:hAnsi="Arial"/>
                <w:sz w:val="14"/>
                <w:szCs w:val="14"/>
                <w:b w:val="1"/>
                <w:bCs w:val="1"/>
                <w:color w:val="auto"/>
                <w:w w:val="86"/>
              </w:rPr>
              <w:t>in Sales</w:t>
            </w:r>
          </w:p>
        </w:tc>
        <w:tc>
          <w:tcPr>
            <w:tcW w:w="860" w:type="dxa"/>
            <w:vAlign w:val="bottom"/>
            <w:gridSpan w:val="2"/>
            <w:vMerge w:val="continue"/>
          </w:tcPr>
          <w:p>
            <w:pPr>
              <w:spacing w:after="0"/>
              <w:rPr>
                <w:sz w:val="12"/>
                <w:szCs w:val="12"/>
                <w:color w:val="auto"/>
              </w:rPr>
            </w:pPr>
          </w:p>
        </w:tc>
        <w:tc>
          <w:tcPr>
            <w:tcW w:w="740" w:type="dxa"/>
            <w:vAlign w:val="bottom"/>
            <w:gridSpan w:val="2"/>
            <w:vMerge w:val="restart"/>
          </w:tcPr>
          <w:p>
            <w:pPr>
              <w:jc w:val="right"/>
              <w:ind w:right="170"/>
              <w:spacing w:after="0"/>
              <w:rPr>
                <w:sz w:val="20"/>
                <w:szCs w:val="20"/>
                <w:color w:val="auto"/>
              </w:rPr>
            </w:pPr>
            <w:r>
              <w:rPr>
                <w:rFonts w:ascii="Arial" w:cs="Arial" w:eastAsia="Arial" w:hAnsi="Arial"/>
                <w:sz w:val="14"/>
                <w:szCs w:val="14"/>
                <w:b w:val="1"/>
                <w:bCs w:val="1"/>
                <w:color w:val="auto"/>
                <w:w w:val="89"/>
              </w:rPr>
              <w:t>in Units</w:t>
            </w:r>
          </w:p>
        </w:tc>
        <w:tc>
          <w:tcPr>
            <w:tcW w:w="940" w:type="dxa"/>
            <w:vAlign w:val="bottom"/>
            <w:gridSpan w:val="2"/>
          </w:tcPr>
          <w:p>
            <w:pPr>
              <w:jc w:val="center"/>
              <w:ind w:right="150"/>
              <w:spacing w:after="0" w:line="149" w:lineRule="exact"/>
              <w:rPr>
                <w:sz w:val="20"/>
                <w:szCs w:val="20"/>
                <w:color w:val="auto"/>
              </w:rPr>
            </w:pPr>
            <w:r>
              <w:rPr>
                <w:rFonts w:ascii="Arial" w:cs="Arial" w:eastAsia="Arial" w:hAnsi="Arial"/>
                <w:sz w:val="14"/>
                <w:szCs w:val="14"/>
                <w:b w:val="1"/>
                <w:bCs w:val="1"/>
                <w:color w:val="auto"/>
                <w:w w:val="95"/>
              </w:rPr>
              <w:t>Unit</w:t>
            </w:r>
          </w:p>
        </w:tc>
        <w:tc>
          <w:tcPr>
            <w:tcW w:w="760" w:type="dxa"/>
            <w:vAlign w:val="bottom"/>
            <w:gridSpan w:val="2"/>
          </w:tcPr>
          <w:p>
            <w:pPr>
              <w:jc w:val="center"/>
              <w:ind w:right="130"/>
              <w:spacing w:after="0" w:line="149" w:lineRule="exact"/>
              <w:rPr>
                <w:sz w:val="20"/>
                <w:szCs w:val="20"/>
                <w:color w:val="auto"/>
              </w:rPr>
            </w:pPr>
            <w:r>
              <w:rPr>
                <w:rFonts w:ascii="Arial" w:cs="Arial" w:eastAsia="Arial" w:hAnsi="Arial"/>
                <w:sz w:val="14"/>
                <w:szCs w:val="14"/>
                <w:b w:val="1"/>
                <w:bCs w:val="1"/>
                <w:color w:val="auto"/>
                <w:w w:val="95"/>
              </w:rPr>
              <w:t>Unit</w:t>
            </w:r>
          </w:p>
        </w:tc>
        <w:tc>
          <w:tcPr>
            <w:tcW w:w="0" w:type="dxa"/>
            <w:vAlign w:val="bottom"/>
          </w:tcPr>
          <w:p>
            <w:pPr>
              <w:spacing w:after="0"/>
              <w:rPr>
                <w:sz w:val="1"/>
                <w:szCs w:val="1"/>
                <w:color w:val="auto"/>
              </w:rPr>
            </w:pPr>
          </w:p>
        </w:tc>
      </w:tr>
      <w:tr>
        <w:trPr>
          <w:trHeight w:val="178"/>
        </w:trPr>
        <w:tc>
          <w:tcPr>
            <w:tcW w:w="488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86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Prices</w:t>
            </w:r>
          </w:p>
        </w:tc>
        <w:tc>
          <w:tcPr>
            <w:tcW w:w="740" w:type="dxa"/>
            <w:vAlign w:val="bottom"/>
            <w:gridSpan w:val="2"/>
            <w:vMerge w:val="continue"/>
          </w:tcPr>
          <w:p>
            <w:pPr>
              <w:spacing w:after="0"/>
              <w:rPr>
                <w:sz w:val="15"/>
                <w:szCs w:val="15"/>
                <w:color w:val="auto"/>
              </w:rPr>
            </w:pPr>
          </w:p>
        </w:tc>
        <w:tc>
          <w:tcPr>
            <w:tcW w:w="94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w w:val="89"/>
              </w:rPr>
              <w:t>Change</w:t>
            </w:r>
          </w:p>
        </w:tc>
        <w:tc>
          <w:tcPr>
            <w:tcW w:w="76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16"/>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Third quarter 2022 versus third quarter 2021</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4880" w:type="dxa"/>
            <w:vAlign w:val="bottom"/>
          </w:tcPr>
          <w:p>
            <w:pPr>
              <w:ind w:left="20"/>
              <w:spacing w:after="0"/>
              <w:rPr>
                <w:sz w:val="20"/>
                <w:szCs w:val="20"/>
                <w:color w:val="auto"/>
              </w:rPr>
            </w:pPr>
            <w:r>
              <w:rPr>
                <w:rFonts w:ascii="Arial" w:cs="Arial" w:eastAsia="Arial" w:hAnsi="Arial"/>
                <w:sz w:val="18"/>
                <w:szCs w:val="18"/>
                <w:color w:val="auto"/>
              </w:rPr>
              <w:t>Year-to-date 2022 versus year-to-date 2021</w:t>
            </w:r>
          </w:p>
        </w:tc>
        <w:tc>
          <w:tcPr>
            <w:tcW w:w="720" w:type="dxa"/>
            <w:vAlign w:val="bottom"/>
            <w:gridSpan w:val="2"/>
          </w:tcPr>
          <w:p>
            <w:pPr>
              <w:jc w:val="right"/>
              <w:ind w:right="10"/>
              <w:spacing w:after="0"/>
              <w:rPr>
                <w:sz w:val="20"/>
                <w:szCs w:val="20"/>
                <w:color w:val="auto"/>
              </w:rPr>
            </w:pPr>
            <w:r>
              <w:rPr>
                <w:rFonts w:ascii="Arial" w:cs="Arial" w:eastAsia="Arial" w:hAnsi="Arial"/>
                <w:sz w:val="18"/>
                <w:szCs w:val="18"/>
                <w:color w:val="auto"/>
              </w:rPr>
              <w:t>16.5 %</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11.5 %</w:t>
            </w:r>
          </w:p>
        </w:tc>
        <w:tc>
          <w:tcPr>
            <w:tcW w:w="740" w:type="dxa"/>
            <w:vAlign w:val="bottom"/>
            <w:gridSpan w:val="2"/>
          </w:tcPr>
          <w:p>
            <w:pPr>
              <w:jc w:val="right"/>
              <w:ind w:right="10"/>
              <w:spacing w:after="0"/>
              <w:rPr>
                <w:sz w:val="20"/>
                <w:szCs w:val="20"/>
                <w:color w:val="auto"/>
              </w:rPr>
            </w:pPr>
            <w:r>
              <w:rPr>
                <w:rFonts w:ascii="Arial" w:cs="Arial" w:eastAsia="Arial" w:hAnsi="Arial"/>
                <w:sz w:val="18"/>
                <w:szCs w:val="18"/>
                <w:color w:val="auto"/>
              </w:rPr>
              <w:t>5.0 %</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3.0 %</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380" w:right="79" w:hanging="330"/>
        <w:spacing w:after="0" w:line="259"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Diversifying our end market sales mix</w:t>
      </w:r>
      <w:r>
        <w:rPr>
          <w:rFonts w:ascii="Arial" w:cs="Arial" w:eastAsia="Arial" w:hAnsi="Arial"/>
          <w:sz w:val="18"/>
          <w:szCs w:val="18"/>
          <w:color w:val="auto"/>
        </w:rPr>
        <w:t xml:space="preserve"> by increasing sales of structural wood and protective packaging to industrial users, increasing our penetration of the concrete forming market, increasing our sales of engineered wood components for custom home, multi-family, military and light commercial construction, and increasing our market share with independent retailers.</w:t>
      </w:r>
    </w:p>
    <w:p>
      <w:pPr>
        <w:spacing w:after="0" w:line="186" w:lineRule="exact"/>
        <w:rPr>
          <w:rFonts w:ascii="Arial" w:cs="Arial" w:eastAsia="Arial" w:hAnsi="Arial"/>
          <w:sz w:val="18"/>
          <w:szCs w:val="18"/>
          <w:color w:val="auto"/>
        </w:rPr>
      </w:pPr>
    </w:p>
    <w:p>
      <w:pPr>
        <w:ind w:left="380" w:hanging="330"/>
        <w:spacing w:after="0"/>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Expanding geographically in our core businesses</w:t>
      </w:r>
      <w:r>
        <w:rPr>
          <w:rFonts w:ascii="Arial" w:cs="Arial" w:eastAsia="Arial" w:hAnsi="Arial"/>
          <w:sz w:val="18"/>
          <w:szCs w:val="18"/>
          <w:color w:val="auto"/>
        </w:rPr>
        <w:t>, domestically and internationally.</w:t>
      </w:r>
    </w:p>
    <w:p>
      <w:pPr>
        <w:spacing w:after="0" w:line="225" w:lineRule="exact"/>
        <w:rPr>
          <w:rFonts w:ascii="Arial" w:cs="Arial" w:eastAsia="Arial" w:hAnsi="Arial"/>
          <w:sz w:val="18"/>
          <w:szCs w:val="18"/>
          <w:color w:val="auto"/>
        </w:rPr>
      </w:pPr>
    </w:p>
    <w:p>
      <w:pPr>
        <w:jc w:val="both"/>
        <w:ind w:left="380" w:right="79" w:hanging="330"/>
        <w:spacing w:after="0" w:line="270" w:lineRule="auto"/>
        <w:tabs>
          <w:tab w:leader="none" w:pos="380"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 xml:space="preserve">Increasing our sales of "value-added" products and enhancing our product offering with new or improved products. </w:t>
      </w:r>
      <w:r>
        <w:rPr>
          <w:rFonts w:ascii="Arial" w:cs="Arial" w:eastAsia="Arial" w:hAnsi="Arial"/>
          <w:sz w:val="17"/>
          <w:szCs w:val="17"/>
          <w:color w:val="auto"/>
        </w:rPr>
        <w:t>Value-added products generally consist of fencing, decking, lattice, and other specialty products sold to the retail market, structural wood packaging, engineered wood components, customized interior fixtures, manufactured and assembled concrete forms, and "wood alternative" products. Engineered wood components include roof trusses, wall panels, and floor systems. Wood alternative products consist of products manufactured with wood and non-wood composites, metal, and plastics. Although we consider the treatment of dimensional lumber and panels with certain chemical preservatives a value-added process, treated lumber is not presently included in the value-added sales totals. Remanufactured lumber and panels that are components of finished goods are also generally categorized as “commodity-based” products.</w:t>
      </w:r>
    </w:p>
    <w:p>
      <w:pPr>
        <w:spacing w:after="0" w:line="181" w:lineRule="exact"/>
        <w:rPr>
          <w:sz w:val="20"/>
          <w:szCs w:val="20"/>
          <w:color w:val="auto"/>
        </w:rPr>
      </w:pPr>
    </w:p>
    <w:p>
      <w:pPr>
        <w:ind w:left="380" w:right="59"/>
        <w:spacing w:after="0" w:line="277" w:lineRule="auto"/>
        <w:rPr>
          <w:sz w:val="20"/>
          <w:szCs w:val="20"/>
          <w:color w:val="auto"/>
        </w:rPr>
      </w:pPr>
      <w:r>
        <w:rPr>
          <w:rFonts w:ascii="Arial" w:cs="Arial" w:eastAsia="Arial" w:hAnsi="Arial"/>
          <w:sz w:val="18"/>
          <w:szCs w:val="18"/>
          <w:color w:val="auto"/>
        </w:rPr>
        <w:t>The following table presents, for the periods indicated, our percentage of value-added and commodity-based sales to total sales by our segments: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3640" w:type="dxa"/>
            <w:vAlign w:val="bottom"/>
          </w:tcPr>
          <w:p>
            <w:pPr>
              <w:spacing w:after="0"/>
              <w:rPr>
                <w:sz w:val="15"/>
                <w:szCs w:val="15"/>
                <w:color w:val="auto"/>
              </w:rPr>
            </w:pPr>
          </w:p>
        </w:tc>
        <w:tc>
          <w:tcPr>
            <w:tcW w:w="2640" w:type="dxa"/>
            <w:vAlign w:val="bottom"/>
            <w:gridSpan w:val="4"/>
          </w:tcPr>
          <w:p>
            <w:pPr>
              <w:spacing w:after="0"/>
              <w:rPr>
                <w:sz w:val="20"/>
                <w:szCs w:val="20"/>
                <w:color w:val="auto"/>
              </w:rPr>
            </w:pPr>
            <w:r>
              <w:rPr>
                <w:rFonts w:ascii="Arial" w:cs="Arial" w:eastAsia="Arial" w:hAnsi="Arial"/>
                <w:sz w:val="14"/>
                <w:szCs w:val="14"/>
                <w:b w:val="1"/>
                <w:bCs w:val="1"/>
                <w:color w:val="auto"/>
                <w:w w:val="95"/>
              </w:rPr>
              <w:t>Three Months Ended September 24, 2022</w:t>
            </w:r>
          </w:p>
        </w:tc>
        <w:tc>
          <w:tcPr>
            <w:tcW w:w="2640" w:type="dxa"/>
            <w:vAlign w:val="bottom"/>
            <w:gridSpan w:val="5"/>
          </w:tcPr>
          <w:p>
            <w:pPr>
              <w:spacing w:after="0"/>
              <w:rPr>
                <w:sz w:val="20"/>
                <w:szCs w:val="20"/>
                <w:color w:val="auto"/>
              </w:rPr>
            </w:pPr>
            <w:r>
              <w:rPr>
                <w:rFonts w:ascii="Arial" w:cs="Arial" w:eastAsia="Arial" w:hAnsi="Arial"/>
                <w:sz w:val="14"/>
                <w:szCs w:val="14"/>
                <w:b w:val="1"/>
                <w:bCs w:val="1"/>
                <w:color w:val="auto"/>
                <w:w w:val="95"/>
              </w:rPr>
              <w:t>Three Months Ended September 25, 2021</w:t>
            </w:r>
          </w:p>
        </w:tc>
      </w:tr>
      <w:tr>
        <w:trPr>
          <w:trHeight w:val="156"/>
        </w:trPr>
        <w:tc>
          <w:tcPr>
            <w:tcW w:w="3640" w:type="dxa"/>
            <w:vAlign w:val="bottom"/>
          </w:tcPr>
          <w:p>
            <w:pPr>
              <w:spacing w:after="0"/>
              <w:rPr>
                <w:sz w:val="13"/>
                <w:szCs w:val="13"/>
                <w:color w:val="auto"/>
              </w:rPr>
            </w:pPr>
          </w:p>
        </w:tc>
        <w:tc>
          <w:tcPr>
            <w:tcW w:w="1360" w:type="dxa"/>
            <w:vAlign w:val="bottom"/>
            <w:tcBorders>
              <w:top w:val="single" w:sz="8" w:color="auto"/>
            </w:tcBorders>
            <w:gridSpan w:val="2"/>
          </w:tcPr>
          <w:p>
            <w:pPr>
              <w:ind w:left="200"/>
              <w:spacing w:after="0" w:line="149" w:lineRule="exact"/>
              <w:rPr>
                <w:sz w:val="20"/>
                <w:szCs w:val="20"/>
                <w:color w:val="auto"/>
              </w:rPr>
            </w:pPr>
            <w:r>
              <w:rPr>
                <w:rFonts w:ascii="Arial" w:cs="Arial" w:eastAsia="Arial" w:hAnsi="Arial"/>
                <w:sz w:val="14"/>
                <w:szCs w:val="14"/>
                <w:b w:val="1"/>
                <w:bCs w:val="1"/>
                <w:color w:val="auto"/>
              </w:rPr>
              <w:t>Value-Added</w:t>
            </w:r>
          </w:p>
        </w:tc>
        <w:tc>
          <w:tcPr>
            <w:tcW w:w="11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2"/>
              </w:rPr>
              <w:t>Commodity-Based</w:t>
            </w:r>
          </w:p>
        </w:tc>
        <w:tc>
          <w:tcPr>
            <w:tcW w:w="100" w:type="dxa"/>
            <w:vAlign w:val="bottom"/>
          </w:tcPr>
          <w:p>
            <w:pPr>
              <w:spacing w:after="0"/>
              <w:rPr>
                <w:sz w:val="13"/>
                <w:szCs w:val="13"/>
                <w:color w:val="auto"/>
              </w:rPr>
            </w:pPr>
          </w:p>
        </w:tc>
        <w:tc>
          <w:tcPr>
            <w:tcW w:w="1340" w:type="dxa"/>
            <w:vAlign w:val="bottom"/>
            <w:tcBorders>
              <w:top w:val="single" w:sz="8" w:color="auto"/>
            </w:tcBorders>
            <w:gridSpan w:val="2"/>
          </w:tcPr>
          <w:p>
            <w:pPr>
              <w:ind w:left="180"/>
              <w:spacing w:after="0" w:line="149" w:lineRule="exact"/>
              <w:rPr>
                <w:sz w:val="20"/>
                <w:szCs w:val="20"/>
                <w:color w:val="auto"/>
              </w:rPr>
            </w:pPr>
            <w:r>
              <w:rPr>
                <w:rFonts w:ascii="Arial" w:cs="Arial" w:eastAsia="Arial" w:hAnsi="Arial"/>
                <w:sz w:val="14"/>
                <w:szCs w:val="14"/>
                <w:b w:val="1"/>
                <w:bCs w:val="1"/>
                <w:color w:val="auto"/>
              </w:rPr>
              <w:t>Value-Added</w:t>
            </w:r>
          </w:p>
        </w:tc>
        <w:tc>
          <w:tcPr>
            <w:tcW w:w="12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3"/>
              </w:rPr>
              <w:t>Commodity-Based</w:t>
            </w:r>
          </w:p>
        </w:tc>
        <w:tc>
          <w:tcPr>
            <w:tcW w:w="100" w:type="dxa"/>
            <w:vAlign w:val="bottom"/>
            <w:gridSpan w:val="2"/>
          </w:tcPr>
          <w:p>
            <w:pPr>
              <w:spacing w:after="0"/>
              <w:rPr>
                <w:sz w:val="13"/>
                <w:szCs w:val="13"/>
                <w:color w:val="auto"/>
              </w:rPr>
            </w:pPr>
          </w:p>
        </w:tc>
      </w:tr>
      <w:tr>
        <w:trPr>
          <w:trHeight w:val="216"/>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Retail</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46.6 %</w:t>
            </w:r>
          </w:p>
        </w:tc>
        <w:tc>
          <w:tcPr>
            <w:tcW w:w="1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53.4 %</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48.6 %</w:t>
            </w:r>
          </w:p>
        </w:tc>
        <w:tc>
          <w:tcPr>
            <w:tcW w:w="1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51.4 %</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640" w:type="dxa"/>
            <w:vAlign w:val="bottom"/>
          </w:tcPr>
          <w:p>
            <w:pPr>
              <w:ind w:left="20"/>
              <w:spacing w:after="0"/>
              <w:rPr>
                <w:sz w:val="20"/>
                <w:szCs w:val="20"/>
                <w:color w:val="auto"/>
              </w:rPr>
            </w:pPr>
            <w:r>
              <w:rPr>
                <w:rFonts w:ascii="Arial" w:cs="Arial" w:eastAsia="Arial" w:hAnsi="Arial"/>
                <w:sz w:val="18"/>
                <w:szCs w:val="18"/>
                <w:color w:val="auto"/>
              </w:rPr>
              <w:t>Industrial</w:t>
            </w:r>
          </w:p>
        </w:tc>
        <w:tc>
          <w:tcPr>
            <w:tcW w:w="1180" w:type="dxa"/>
            <w:vAlign w:val="bottom"/>
          </w:tcPr>
          <w:p>
            <w:pPr>
              <w:jc w:val="right"/>
              <w:spacing w:after="0"/>
              <w:rPr>
                <w:sz w:val="20"/>
                <w:szCs w:val="20"/>
                <w:color w:val="auto"/>
              </w:rPr>
            </w:pPr>
            <w:r>
              <w:rPr>
                <w:rFonts w:ascii="Arial" w:cs="Arial" w:eastAsia="Arial" w:hAnsi="Arial"/>
                <w:sz w:val="18"/>
                <w:szCs w:val="18"/>
                <w:color w:val="auto"/>
              </w:rPr>
              <w:t>73.8 %</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26.2 %</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69.2 %</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30.8 %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81.1 %</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18.9 %</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74.5 %</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25.5 %</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640" w:type="dxa"/>
            <w:vAlign w:val="bottom"/>
          </w:tcPr>
          <w:p>
            <w:pPr>
              <w:ind w:left="20"/>
              <w:spacing w:after="0"/>
              <w:rPr>
                <w:sz w:val="20"/>
                <w:szCs w:val="20"/>
                <w:color w:val="auto"/>
              </w:rPr>
            </w:pPr>
            <w:r>
              <w:rPr>
                <w:rFonts w:ascii="Arial" w:cs="Arial" w:eastAsia="Arial" w:hAnsi="Arial"/>
                <w:sz w:val="18"/>
                <w:szCs w:val="18"/>
                <w:color w:val="auto"/>
              </w:rPr>
              <w:t>All Other and Corporate</w:t>
            </w:r>
          </w:p>
        </w:tc>
        <w:tc>
          <w:tcPr>
            <w:tcW w:w="1180" w:type="dxa"/>
            <w:vAlign w:val="bottom"/>
          </w:tcPr>
          <w:p>
            <w:pPr>
              <w:jc w:val="right"/>
              <w:spacing w:after="0"/>
              <w:rPr>
                <w:sz w:val="20"/>
                <w:szCs w:val="20"/>
                <w:color w:val="auto"/>
              </w:rPr>
            </w:pPr>
            <w:r>
              <w:rPr>
                <w:rFonts w:ascii="Arial" w:cs="Arial" w:eastAsia="Arial" w:hAnsi="Arial"/>
                <w:sz w:val="18"/>
                <w:szCs w:val="18"/>
                <w:color w:val="auto"/>
              </w:rPr>
              <w:t>76.7 %</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23.3 %</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70.7 %</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29.3 %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Sales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66.3 %</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33.7 %</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64.1 %</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35.9 %</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864"/>
        </w:trPr>
        <w:tc>
          <w:tcPr>
            <w:tcW w:w="3640" w:type="dxa"/>
            <w:vAlign w:val="bottom"/>
          </w:tcPr>
          <w:p>
            <w:pPr>
              <w:spacing w:after="0"/>
              <w:rPr>
                <w:sz w:val="24"/>
                <w:szCs w:val="24"/>
                <w:color w:val="auto"/>
              </w:rPr>
            </w:pPr>
          </w:p>
        </w:tc>
        <w:tc>
          <w:tcPr>
            <w:tcW w:w="1180" w:type="dxa"/>
            <w:vAlign w:val="bottom"/>
          </w:tcPr>
          <w:p>
            <w:pPr>
              <w:jc w:val="right"/>
              <w:ind w:right="175"/>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36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4"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3740" w:type="dxa"/>
            <w:vAlign w:val="bottom"/>
          </w:tcPr>
          <w:p>
            <w:pPr>
              <w:spacing w:after="0"/>
              <w:rPr>
                <w:sz w:val="15"/>
                <w:szCs w:val="15"/>
                <w:color w:val="auto"/>
              </w:rPr>
            </w:pPr>
          </w:p>
        </w:tc>
        <w:tc>
          <w:tcPr>
            <w:tcW w:w="2540" w:type="dxa"/>
            <w:vAlign w:val="bottom"/>
            <w:gridSpan w:val="4"/>
          </w:tcPr>
          <w:p>
            <w:pPr>
              <w:spacing w:after="0"/>
              <w:rPr>
                <w:sz w:val="20"/>
                <w:szCs w:val="20"/>
                <w:color w:val="auto"/>
              </w:rPr>
            </w:pPr>
            <w:r>
              <w:rPr>
                <w:rFonts w:ascii="Arial" w:cs="Arial" w:eastAsia="Arial" w:hAnsi="Arial"/>
                <w:sz w:val="14"/>
                <w:szCs w:val="14"/>
                <w:b w:val="1"/>
                <w:bCs w:val="1"/>
                <w:color w:val="auto"/>
                <w:w w:val="94"/>
              </w:rPr>
              <w:t>Nine Months Ended September 24, 2022</w:t>
            </w:r>
          </w:p>
        </w:tc>
        <w:tc>
          <w:tcPr>
            <w:tcW w:w="2620" w:type="dxa"/>
            <w:vAlign w:val="bottom"/>
            <w:gridSpan w:val="4"/>
          </w:tcPr>
          <w:p>
            <w:pPr>
              <w:spacing w:after="0"/>
              <w:rPr>
                <w:sz w:val="20"/>
                <w:szCs w:val="20"/>
                <w:color w:val="auto"/>
              </w:rPr>
            </w:pPr>
            <w:r>
              <w:rPr>
                <w:rFonts w:ascii="Arial" w:cs="Arial" w:eastAsia="Arial" w:hAnsi="Arial"/>
                <w:sz w:val="14"/>
                <w:szCs w:val="14"/>
                <w:b w:val="1"/>
                <w:bCs w:val="1"/>
                <w:color w:val="auto"/>
                <w:w w:val="97"/>
              </w:rPr>
              <w:t>Nine Months Ended September 25, 2021</w:t>
            </w:r>
          </w:p>
        </w:tc>
      </w:tr>
      <w:tr>
        <w:trPr>
          <w:trHeight w:val="156"/>
        </w:trPr>
        <w:tc>
          <w:tcPr>
            <w:tcW w:w="3740" w:type="dxa"/>
            <w:vAlign w:val="bottom"/>
          </w:tcPr>
          <w:p>
            <w:pPr>
              <w:spacing w:after="0"/>
              <w:rPr>
                <w:sz w:val="13"/>
                <w:szCs w:val="13"/>
                <w:color w:val="auto"/>
              </w:rPr>
            </w:pPr>
          </w:p>
        </w:tc>
        <w:tc>
          <w:tcPr>
            <w:tcW w:w="1300" w:type="dxa"/>
            <w:vAlign w:val="bottom"/>
            <w:tcBorders>
              <w:top w:val="single" w:sz="8" w:color="auto"/>
            </w:tcBorders>
            <w:gridSpan w:val="2"/>
          </w:tcPr>
          <w:p>
            <w:pPr>
              <w:ind w:left="160"/>
              <w:spacing w:after="0" w:line="149" w:lineRule="exact"/>
              <w:rPr>
                <w:sz w:val="20"/>
                <w:szCs w:val="20"/>
                <w:color w:val="auto"/>
              </w:rPr>
            </w:pPr>
            <w:r>
              <w:rPr>
                <w:rFonts w:ascii="Arial" w:cs="Arial" w:eastAsia="Arial" w:hAnsi="Arial"/>
                <w:sz w:val="14"/>
                <w:szCs w:val="14"/>
                <w:b w:val="1"/>
                <w:bCs w:val="1"/>
                <w:color w:val="auto"/>
              </w:rPr>
              <w:t>Value-Added</w:t>
            </w:r>
          </w:p>
        </w:tc>
        <w:tc>
          <w:tcPr>
            <w:tcW w:w="116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2"/>
              </w:rPr>
              <w:t>Commodity-Based</w:t>
            </w:r>
          </w:p>
        </w:tc>
        <w:tc>
          <w:tcPr>
            <w:tcW w:w="80" w:type="dxa"/>
            <w:vAlign w:val="bottom"/>
          </w:tcPr>
          <w:p>
            <w:pPr>
              <w:spacing w:after="0"/>
              <w:rPr>
                <w:sz w:val="13"/>
                <w:szCs w:val="13"/>
                <w:color w:val="auto"/>
              </w:rPr>
            </w:pPr>
          </w:p>
        </w:tc>
        <w:tc>
          <w:tcPr>
            <w:tcW w:w="1320" w:type="dxa"/>
            <w:vAlign w:val="bottom"/>
            <w:tcBorders>
              <w:top w:val="single" w:sz="8" w:color="auto"/>
            </w:tcBorders>
            <w:gridSpan w:val="2"/>
          </w:tcPr>
          <w:p>
            <w:pPr>
              <w:ind w:left="180"/>
              <w:spacing w:after="0" w:line="149" w:lineRule="exact"/>
              <w:rPr>
                <w:sz w:val="20"/>
                <w:szCs w:val="20"/>
                <w:color w:val="auto"/>
              </w:rPr>
            </w:pPr>
            <w:r>
              <w:rPr>
                <w:rFonts w:ascii="Arial" w:cs="Arial" w:eastAsia="Arial" w:hAnsi="Arial"/>
                <w:sz w:val="14"/>
                <w:szCs w:val="14"/>
                <w:b w:val="1"/>
                <w:bCs w:val="1"/>
                <w:color w:val="auto"/>
              </w:rPr>
              <w:t>Value-Added</w:t>
            </w:r>
          </w:p>
        </w:tc>
        <w:tc>
          <w:tcPr>
            <w:tcW w:w="114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0"/>
              </w:rPr>
              <w:t>Commodity-Based</w:t>
            </w:r>
          </w:p>
        </w:tc>
        <w:tc>
          <w:tcPr>
            <w:tcW w:w="160" w:type="dxa"/>
            <w:vAlign w:val="bottom"/>
          </w:tcPr>
          <w:p>
            <w:pPr>
              <w:spacing w:after="0"/>
              <w:rPr>
                <w:sz w:val="13"/>
                <w:szCs w:val="13"/>
                <w:color w:val="auto"/>
              </w:rPr>
            </w:pPr>
          </w:p>
        </w:tc>
      </w:tr>
      <w:tr>
        <w:trPr>
          <w:trHeight w:val="216"/>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Retail</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44.2 %</w:t>
            </w: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55.8 %</w:t>
            </w:r>
          </w:p>
        </w:tc>
        <w:tc>
          <w:tcPr>
            <w:tcW w:w="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43.3 %</w:t>
            </w:r>
          </w:p>
        </w:tc>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56.7 %</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8"/>
                <w:szCs w:val="18"/>
                <w:color w:val="auto"/>
              </w:rPr>
              <w:t>Industrial</w:t>
            </w:r>
          </w:p>
        </w:tc>
        <w:tc>
          <w:tcPr>
            <w:tcW w:w="1140" w:type="dxa"/>
            <w:vAlign w:val="bottom"/>
          </w:tcPr>
          <w:p>
            <w:pPr>
              <w:jc w:val="right"/>
              <w:spacing w:after="0"/>
              <w:rPr>
                <w:sz w:val="20"/>
                <w:szCs w:val="20"/>
                <w:color w:val="auto"/>
              </w:rPr>
            </w:pPr>
            <w:r>
              <w:rPr>
                <w:rFonts w:ascii="Arial" w:cs="Arial" w:eastAsia="Arial" w:hAnsi="Arial"/>
                <w:sz w:val="18"/>
                <w:szCs w:val="18"/>
                <w:color w:val="auto"/>
              </w:rPr>
              <w:t>70.6 %</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29.4 %</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66.6 %</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33.4 %</w:t>
            </w:r>
          </w:p>
        </w:tc>
        <w:tc>
          <w:tcPr>
            <w:tcW w:w="160" w:type="dxa"/>
            <w:vAlign w:val="bottom"/>
          </w:tcPr>
          <w:p>
            <w:pPr>
              <w:spacing w:after="0"/>
              <w:rPr>
                <w:sz w:val="18"/>
                <w:szCs w:val="18"/>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75.9 %</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24.1 %</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70.5 %</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29.5 %</w:t>
            </w:r>
          </w:p>
        </w:tc>
        <w:tc>
          <w:tcPr>
            <w:tcW w:w="160" w:type="dxa"/>
            <w:vAlign w:val="bottom"/>
            <w:shd w:val="clear" w:color="auto" w:fill="CCEEFF"/>
          </w:tcPr>
          <w:p>
            <w:pPr>
              <w:spacing w:after="0"/>
              <w:rPr>
                <w:sz w:val="18"/>
                <w:szCs w:val="18"/>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8"/>
                <w:szCs w:val="18"/>
                <w:color w:val="auto"/>
              </w:rPr>
              <w:t>All Other and Corporate</w:t>
            </w:r>
          </w:p>
        </w:tc>
        <w:tc>
          <w:tcPr>
            <w:tcW w:w="1140" w:type="dxa"/>
            <w:vAlign w:val="bottom"/>
          </w:tcPr>
          <w:p>
            <w:pPr>
              <w:jc w:val="right"/>
              <w:spacing w:after="0"/>
              <w:rPr>
                <w:sz w:val="20"/>
                <w:szCs w:val="20"/>
                <w:color w:val="auto"/>
              </w:rPr>
            </w:pPr>
            <w:r>
              <w:rPr>
                <w:rFonts w:ascii="Arial" w:cs="Arial" w:eastAsia="Arial" w:hAnsi="Arial"/>
                <w:sz w:val="18"/>
                <w:szCs w:val="18"/>
                <w:color w:val="auto"/>
              </w:rPr>
              <w:t>74.9 %</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25.1 %</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71.6 %</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28.4 %</w:t>
            </w:r>
          </w:p>
        </w:tc>
        <w:tc>
          <w:tcPr>
            <w:tcW w:w="160" w:type="dxa"/>
            <w:vAlign w:val="bottom"/>
          </w:tcPr>
          <w:p>
            <w:pPr>
              <w:spacing w:after="0"/>
              <w:rPr>
                <w:sz w:val="18"/>
                <w:szCs w:val="18"/>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Sales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62.2 %</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37.8 %</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58.2 %</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41.8 %</w:t>
            </w:r>
          </w:p>
        </w:tc>
        <w:tc>
          <w:tcPr>
            <w:tcW w:w="160" w:type="dxa"/>
            <w:vAlign w:val="bottom"/>
            <w:shd w:val="clear" w:color="auto" w:fill="CCEEFF"/>
          </w:tcPr>
          <w:p>
            <w:pPr>
              <w:spacing w:after="0"/>
              <w:rPr>
                <w:sz w:val="18"/>
                <w:szCs w:val="18"/>
                <w:color w:val="auto"/>
              </w:rPr>
            </w:pPr>
          </w:p>
        </w:tc>
      </w:tr>
    </w:tbl>
    <w:p>
      <w:pPr>
        <w:spacing w:after="0" w:line="143" w:lineRule="exact"/>
        <w:rPr>
          <w:sz w:val="20"/>
          <w:szCs w:val="20"/>
          <w:color w:val="auto"/>
        </w:rPr>
      </w:pPr>
    </w:p>
    <w:p>
      <w:pPr>
        <w:jc w:val="both"/>
        <w:ind w:left="60" w:right="239"/>
        <w:spacing w:after="0" w:line="253" w:lineRule="auto"/>
        <w:rPr>
          <w:sz w:val="20"/>
          <w:szCs w:val="20"/>
          <w:color w:val="auto"/>
        </w:rPr>
      </w:pPr>
      <w:r>
        <w:rPr>
          <w:rFonts w:ascii="Arial" w:cs="Arial" w:eastAsia="Arial" w:hAnsi="Arial"/>
          <w:sz w:val="14"/>
          <w:szCs w:val="14"/>
          <w:color w:val="auto"/>
        </w:rPr>
        <w:t>Note: Certain prior year product reclassifications and the change in designation of certain products as "value-added" resulted in a change in prior year's sales.</w:t>
      </w:r>
    </w:p>
    <w:p>
      <w:pPr>
        <w:spacing w:after="0" w:line="178" w:lineRule="exact"/>
        <w:rPr>
          <w:sz w:val="20"/>
          <w:szCs w:val="20"/>
          <w:color w:val="auto"/>
        </w:rPr>
      </w:pPr>
    </w:p>
    <w:p>
      <w:pPr>
        <w:jc w:val="both"/>
        <w:ind w:left="380" w:right="59"/>
        <w:spacing w:after="0" w:line="272" w:lineRule="auto"/>
        <w:rPr>
          <w:sz w:val="20"/>
          <w:szCs w:val="20"/>
          <w:color w:val="auto"/>
        </w:rPr>
      </w:pPr>
      <w:r>
        <w:rPr>
          <w:rFonts w:ascii="Arial" w:cs="Arial" w:eastAsia="Arial" w:hAnsi="Arial"/>
          <w:sz w:val="17"/>
          <w:szCs w:val="17"/>
          <w:color w:val="auto"/>
        </w:rPr>
        <w:t>Our overall unit sales of value-added products increased approximately 9% in the third quarter of 2022 compared to 2021, comprised of a 4% contribution from acquisitions and 5% organic growth. Our overall unit sales of value-added products increased approximately 7% in the first nine months of 2022 compared to the same period last year, comprised of a 3% contribution from acquisitions and 4% organic growth. Our organic unit sales of commodity-based products increased approximately 1% quarter-over-quarter and our overall unit sales of commodity-based products increased approximately 4% in the first nine months of 2022 compared to the same period last year, comprised of a 3% contribution from acquisitions and 1% organic growth.</w:t>
      </w:r>
    </w:p>
    <w:p>
      <w:pPr>
        <w:spacing w:after="0" w:line="177" w:lineRule="exact"/>
        <w:rPr>
          <w:sz w:val="20"/>
          <w:szCs w:val="20"/>
          <w:color w:val="auto"/>
        </w:rPr>
      </w:pPr>
    </w:p>
    <w:p>
      <w:pPr>
        <w:jc w:val="both"/>
        <w:ind w:left="380" w:right="79" w:hanging="330"/>
        <w:spacing w:after="0" w:line="255"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Developing new products.</w:t>
      </w:r>
      <w:r>
        <w:rPr>
          <w:rFonts w:ascii="Arial" w:cs="Arial" w:eastAsia="Arial" w:hAnsi="Arial"/>
          <w:sz w:val="18"/>
          <w:szCs w:val="18"/>
          <w:color w:val="auto"/>
        </w:rPr>
        <w:t xml:space="preserve"> We define new products as those that will generate sales of at least $1 million per year within 4 years of launch and are still growing and gaining market penetration. New product sales in the third quarter of 2022 increased 38%. Approximately $303 million of new product sales for the first nine months of 2021, while still sold, were sunset in 2022 and excluded from the table below because they no longer meet the definition above. Through the first nine months of the year, we will have exceeded our goal of annual new product sales of at least $525 million in 2022.</w:t>
      </w:r>
    </w:p>
    <w:p>
      <w:pPr>
        <w:spacing w:after="0" w:line="192"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The table below presents new product sales in thousands:</w:t>
      </w: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3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5"/>
          </w:tcPr>
          <w:p>
            <w:pPr>
              <w:jc w:val="center"/>
              <w:ind w:left="197"/>
              <w:spacing w:after="0"/>
              <w:rPr>
                <w:sz w:val="20"/>
                <w:szCs w:val="20"/>
                <w:color w:val="auto"/>
              </w:rPr>
            </w:pPr>
            <w:r>
              <w:rPr>
                <w:rFonts w:ascii="Arial" w:cs="Arial" w:eastAsia="Arial" w:hAnsi="Arial"/>
                <w:sz w:val="14"/>
                <w:szCs w:val="14"/>
                <w:b w:val="1"/>
                <w:bCs w:val="1"/>
                <w:color w:val="auto"/>
                <w:w w:val="90"/>
              </w:rPr>
              <w:t>New Product Sales by Segment</w:t>
            </w:r>
          </w:p>
        </w:tc>
        <w:tc>
          <w:tcPr>
            <w:tcW w:w="5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0"/>
              </w:rPr>
              <w:t>New Product Sales by Segment</w:t>
            </w:r>
          </w:p>
        </w:tc>
        <w:tc>
          <w:tcPr>
            <w:tcW w:w="240" w:type="dxa"/>
            <w:vAlign w:val="bottom"/>
            <w:tcBorders>
              <w:bottom w:val="single" w:sz="8" w:color="auto"/>
            </w:tcBorders>
          </w:tcPr>
          <w:p>
            <w:pPr>
              <w:spacing w:after="0"/>
              <w:rPr>
                <w:sz w:val="15"/>
                <w:szCs w:val="15"/>
                <w:color w:val="auto"/>
              </w:rPr>
            </w:pPr>
          </w:p>
        </w:tc>
      </w:tr>
      <w:tr>
        <w:trPr>
          <w:trHeight w:val="155"/>
        </w:trPr>
        <w:tc>
          <w:tcPr>
            <w:tcW w:w="23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5"/>
          </w:tcPr>
          <w:p>
            <w:pPr>
              <w:jc w:val="center"/>
              <w:ind w:left="217"/>
              <w:spacing w:after="0" w:line="149" w:lineRule="exact"/>
              <w:rPr>
                <w:sz w:val="20"/>
                <w:szCs w:val="20"/>
                <w:color w:val="auto"/>
              </w:rPr>
            </w:pPr>
            <w:r>
              <w:rPr>
                <w:rFonts w:ascii="Arial" w:cs="Arial" w:eastAsia="Arial" w:hAnsi="Arial"/>
                <w:sz w:val="14"/>
                <w:szCs w:val="14"/>
                <w:b w:val="1"/>
                <w:bCs w:val="1"/>
                <w:color w:val="auto"/>
                <w:w w:val="95"/>
              </w:rPr>
              <w:t>Three Months Ended</w:t>
            </w:r>
          </w:p>
        </w:tc>
        <w:tc>
          <w:tcPr>
            <w:tcW w:w="5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Nine Months Ended</w:t>
            </w:r>
          </w:p>
        </w:tc>
        <w:tc>
          <w:tcPr>
            <w:tcW w:w="6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r>
      <w:tr>
        <w:trPr>
          <w:trHeight w:val="139"/>
        </w:trPr>
        <w:tc>
          <w:tcPr>
            <w:tcW w:w="2340" w:type="dxa"/>
            <w:vAlign w:val="bottom"/>
          </w:tcPr>
          <w:p>
            <w:pPr>
              <w:spacing w:after="0"/>
              <w:rPr>
                <w:sz w:val="12"/>
                <w:szCs w:val="12"/>
                <w:color w:val="auto"/>
              </w:rPr>
            </w:pPr>
          </w:p>
        </w:tc>
        <w:tc>
          <w:tcPr>
            <w:tcW w:w="1140" w:type="dxa"/>
            <w:vAlign w:val="bottom"/>
            <w:gridSpan w:val="3"/>
          </w:tcPr>
          <w:p>
            <w:pPr>
              <w:ind w:left="40"/>
              <w:spacing w:after="0" w:line="139" w:lineRule="exact"/>
              <w:rPr>
                <w:sz w:val="20"/>
                <w:szCs w:val="20"/>
                <w:color w:val="auto"/>
              </w:rPr>
            </w:pPr>
            <w:r>
              <w:rPr>
                <w:rFonts w:ascii="Arial" w:cs="Arial" w:eastAsia="Arial" w:hAnsi="Arial"/>
                <w:sz w:val="14"/>
                <w:szCs w:val="14"/>
                <w:b w:val="1"/>
                <w:bCs w:val="1"/>
                <w:color w:val="auto"/>
              </w:rPr>
              <w:t>September 24,</w:t>
            </w:r>
          </w:p>
        </w:tc>
        <w:tc>
          <w:tcPr>
            <w:tcW w:w="1320" w:type="dxa"/>
            <w:vAlign w:val="bottom"/>
            <w:gridSpan w:val="3"/>
          </w:tcPr>
          <w:p>
            <w:pPr>
              <w:ind w:left="60"/>
              <w:spacing w:after="0" w:line="139" w:lineRule="exact"/>
              <w:rPr>
                <w:sz w:val="20"/>
                <w:szCs w:val="20"/>
                <w:color w:val="auto"/>
              </w:rPr>
            </w:pPr>
            <w:r>
              <w:rPr>
                <w:rFonts w:ascii="Arial" w:cs="Arial" w:eastAsia="Arial" w:hAnsi="Arial"/>
                <w:sz w:val="14"/>
                <w:szCs w:val="14"/>
                <w:b w:val="1"/>
                <w:bCs w:val="1"/>
                <w:color w:val="auto"/>
              </w:rPr>
              <w:t>September 25,</w:t>
            </w:r>
          </w:p>
        </w:tc>
        <w:tc>
          <w:tcPr>
            <w:tcW w:w="520" w:type="dxa"/>
            <w:vAlign w:val="bottom"/>
          </w:tcPr>
          <w:p>
            <w:pPr>
              <w:jc w:val="right"/>
              <w:ind w:right="95"/>
              <w:spacing w:after="0" w:line="13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spacing w:after="0" w:line="139" w:lineRule="exact"/>
              <w:rPr>
                <w:sz w:val="20"/>
                <w:szCs w:val="20"/>
                <w:color w:val="auto"/>
              </w:rPr>
            </w:pPr>
            <w:r>
              <w:rPr>
                <w:rFonts w:ascii="Arial" w:cs="Arial" w:eastAsia="Arial" w:hAnsi="Arial"/>
                <w:sz w:val="14"/>
                <w:szCs w:val="14"/>
                <w:b w:val="1"/>
                <w:bCs w:val="1"/>
                <w:color w:val="auto"/>
                <w:w w:val="96"/>
              </w:rPr>
              <w:t>September 24,</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3"/>
          </w:tcPr>
          <w:p>
            <w:pPr>
              <w:ind w:left="80"/>
              <w:spacing w:after="0" w:line="139" w:lineRule="exact"/>
              <w:rPr>
                <w:sz w:val="20"/>
                <w:szCs w:val="20"/>
                <w:color w:val="auto"/>
              </w:rPr>
            </w:pPr>
            <w:r>
              <w:rPr>
                <w:rFonts w:ascii="Arial" w:cs="Arial" w:eastAsia="Arial" w:hAnsi="Arial"/>
                <w:sz w:val="14"/>
                <w:szCs w:val="14"/>
                <w:b w:val="1"/>
                <w:bCs w:val="1"/>
                <w:color w:val="auto"/>
              </w:rPr>
              <w:t>September 25,</w:t>
            </w:r>
          </w:p>
        </w:tc>
        <w:tc>
          <w:tcPr>
            <w:tcW w:w="600" w:type="dxa"/>
            <w:vAlign w:val="bottom"/>
          </w:tcPr>
          <w:p>
            <w:pPr>
              <w:jc w:val="center"/>
              <w:ind w:left="155"/>
              <w:spacing w:after="0" w:line="139" w:lineRule="exact"/>
              <w:rPr>
                <w:sz w:val="20"/>
                <w:szCs w:val="20"/>
                <w:color w:val="auto"/>
              </w:rPr>
            </w:pPr>
            <w:r>
              <w:rPr>
                <w:rFonts w:ascii="Arial" w:cs="Arial" w:eastAsia="Arial" w:hAnsi="Arial"/>
                <w:sz w:val="14"/>
                <w:szCs w:val="14"/>
                <w:b w:val="1"/>
                <w:bCs w:val="1"/>
                <w:color w:val="auto"/>
                <w:w w:val="96"/>
              </w:rPr>
              <w:t>%</w:t>
            </w:r>
          </w:p>
        </w:tc>
        <w:tc>
          <w:tcPr>
            <w:tcW w:w="240" w:type="dxa"/>
            <w:vAlign w:val="bottom"/>
          </w:tcPr>
          <w:p>
            <w:pPr>
              <w:spacing w:after="0"/>
              <w:rPr>
                <w:sz w:val="12"/>
                <w:szCs w:val="12"/>
                <w:color w:val="auto"/>
              </w:rPr>
            </w:pPr>
          </w:p>
        </w:tc>
      </w:tr>
      <w:tr>
        <w:trPr>
          <w:trHeight w:val="178"/>
        </w:trPr>
        <w:tc>
          <w:tcPr>
            <w:tcW w:w="23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Change</w:t>
            </w: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Change</w:t>
            </w:r>
          </w:p>
        </w:tc>
      </w:tr>
      <w:tr>
        <w:trPr>
          <w:trHeight w:val="216"/>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Retail</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80,237</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56,847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247,410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176,814</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left="115"/>
              <w:spacing w:after="0"/>
              <w:rPr>
                <w:sz w:val="20"/>
                <w:szCs w:val="20"/>
                <w:color w:val="auto"/>
              </w:rPr>
            </w:pPr>
            <w:r>
              <w:rPr>
                <w:rFonts w:ascii="Arial" w:cs="Arial" w:eastAsia="Arial" w:hAnsi="Arial"/>
                <w:sz w:val="18"/>
                <w:szCs w:val="18"/>
                <w:color w:val="auto"/>
                <w:w w:val="91"/>
              </w:rPr>
              <w:t>39.9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340" w:type="dxa"/>
            <w:vAlign w:val="bottom"/>
          </w:tcPr>
          <w:p>
            <w:pPr>
              <w:ind w:left="20"/>
              <w:spacing w:after="0"/>
              <w:rPr>
                <w:sz w:val="20"/>
                <w:szCs w:val="20"/>
                <w:color w:val="auto"/>
              </w:rPr>
            </w:pPr>
            <w:r>
              <w:rPr>
                <w:rFonts w:ascii="Arial" w:cs="Arial" w:eastAsia="Arial" w:hAnsi="Arial"/>
                <w:sz w:val="18"/>
                <w:szCs w:val="18"/>
                <w:color w:val="auto"/>
              </w:rPr>
              <w:t>Industrial</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63,965</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42,066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52.1</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203,388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107,544</w:t>
            </w:r>
          </w:p>
        </w:tc>
        <w:tc>
          <w:tcPr>
            <w:tcW w:w="180" w:type="dxa"/>
            <w:vAlign w:val="bottom"/>
          </w:tcPr>
          <w:p>
            <w:pPr>
              <w:spacing w:after="0"/>
              <w:rPr>
                <w:sz w:val="18"/>
                <w:szCs w:val="18"/>
                <w:color w:val="auto"/>
              </w:rPr>
            </w:pPr>
          </w:p>
        </w:tc>
        <w:tc>
          <w:tcPr>
            <w:tcW w:w="600" w:type="dxa"/>
            <w:vAlign w:val="bottom"/>
          </w:tcPr>
          <w:p>
            <w:pPr>
              <w:jc w:val="center"/>
              <w:ind w:left="115"/>
              <w:spacing w:after="0"/>
              <w:rPr>
                <w:sz w:val="20"/>
                <w:szCs w:val="20"/>
                <w:color w:val="auto"/>
              </w:rPr>
            </w:pPr>
            <w:r>
              <w:rPr>
                <w:rFonts w:ascii="Arial" w:cs="Arial" w:eastAsia="Arial" w:hAnsi="Arial"/>
                <w:sz w:val="18"/>
                <w:szCs w:val="18"/>
                <w:color w:val="auto"/>
                <w:w w:val="91"/>
              </w:rPr>
              <w:t>89.1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33,300</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111,098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71,157</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left="115"/>
              <w:spacing w:after="0"/>
              <w:rPr>
                <w:sz w:val="20"/>
                <w:szCs w:val="20"/>
                <w:color w:val="auto"/>
              </w:rPr>
            </w:pPr>
            <w:r>
              <w:rPr>
                <w:rFonts w:ascii="Arial" w:cs="Arial" w:eastAsia="Arial" w:hAnsi="Arial"/>
                <w:sz w:val="18"/>
                <w:szCs w:val="18"/>
                <w:color w:val="auto"/>
                <w:w w:val="91"/>
              </w:rPr>
              <w:t>56.1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 and Corporate</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1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(37.0)%</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1,875</w:t>
            </w: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1,671</w:t>
            </w:r>
          </w:p>
        </w:tc>
        <w:tc>
          <w:tcPr>
            <w:tcW w:w="18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jc w:val="center"/>
              <w:ind w:left="115"/>
              <w:spacing w:after="0"/>
              <w:rPr>
                <w:sz w:val="20"/>
                <w:szCs w:val="20"/>
                <w:color w:val="auto"/>
              </w:rPr>
            </w:pPr>
            <w:r>
              <w:rPr>
                <w:rFonts w:ascii="Arial" w:cs="Arial" w:eastAsia="Arial" w:hAnsi="Arial"/>
                <w:sz w:val="18"/>
                <w:szCs w:val="18"/>
                <w:color w:val="auto"/>
                <w:w w:val="91"/>
              </w:rPr>
              <w:t>12.2</w:t>
            </w:r>
          </w:p>
        </w:tc>
        <w:tc>
          <w:tcPr>
            <w:tcW w:w="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New Product Sales</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177,983</w:t>
            </w: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128,534</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563,771</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357,186</w:t>
            </w:r>
          </w:p>
        </w:tc>
        <w:tc>
          <w:tcPr>
            <w:tcW w:w="1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center"/>
              <w:ind w:left="115"/>
              <w:spacing w:after="0"/>
              <w:rPr>
                <w:sz w:val="20"/>
                <w:szCs w:val="20"/>
                <w:color w:val="auto"/>
              </w:rPr>
            </w:pPr>
            <w:r>
              <w:rPr>
                <w:rFonts w:ascii="Arial" w:cs="Arial" w:eastAsia="Arial" w:hAnsi="Arial"/>
                <w:sz w:val="18"/>
                <w:szCs w:val="18"/>
                <w:color w:val="auto"/>
                <w:w w:val="91"/>
              </w:rPr>
              <w:t>57.8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03" w:lineRule="exact"/>
        <w:rPr>
          <w:sz w:val="20"/>
          <w:szCs w:val="20"/>
          <w:color w:val="auto"/>
        </w:rPr>
      </w:pPr>
    </w:p>
    <w:p>
      <w:pPr>
        <w:ind w:left="60"/>
        <w:spacing w:after="0"/>
        <w:rPr>
          <w:sz w:val="20"/>
          <w:szCs w:val="20"/>
          <w:color w:val="auto"/>
        </w:rPr>
      </w:pPr>
      <w:r>
        <w:rPr>
          <w:rFonts w:ascii="Arial" w:cs="Arial" w:eastAsia="Arial" w:hAnsi="Arial"/>
          <w:sz w:val="13"/>
          <w:szCs w:val="13"/>
          <w:color w:val="auto"/>
        </w:rPr>
        <w:t>Note: Certain prior year product reclassifications and the change in designation of certain products as "new" resulted in a change in prior year's sales.</w:t>
      </w:r>
    </w:p>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Retail Segment</w:t>
      </w:r>
    </w:p>
    <w:p>
      <w:pPr>
        <w:spacing w:after="0" w:line="229"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Net sales in the third quarter of 2022 increased by 21% compared to the same period of 2021, primarily due to a 15% increase in selling prices, a 2% decrease due to the transfer of certain product sales to the Construction segment this year, an organic unit increase of 5%, and unit growth from acquisitions of 3%. We experienced organic unit growth in our Sunbelt (20%), UFP Edge (17%), Deckorators (8%), and ProWood (8%) business units. These increases were offset by organic unit decreases in our Outdoor Essentials (17%) and Handprint (13%) business units. Capacity expansion contributed to our unit increases in UFP Edge and our Deckorators mineral-based composite decking. Finally, sales to big box customers were up 30%, while sales to independent retailers increased 7%.</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Gross profits increased by $66.6 million, or 615% to $77.5 million for the third quarter of 2022 compared to the same period last year. The increase in gross profit was attributable to the following</w:t>
      </w:r>
      <w:r>
        <w:rPr>
          <w:rFonts w:ascii="Arial" w:cs="Arial" w:eastAsia="Arial" w:hAnsi="Arial"/>
          <w:sz w:val="18"/>
          <w:szCs w:val="18"/>
          <w:b w:val="1"/>
          <w:bCs w:val="1"/>
          <w:color w:val="auto"/>
        </w:rPr>
        <w:t>:</w:t>
      </w:r>
    </w:p>
    <w:p>
      <w:pPr>
        <w:spacing w:after="0" w:line="170" w:lineRule="exact"/>
        <w:rPr>
          <w:sz w:val="20"/>
          <w:szCs w:val="20"/>
          <w:color w:val="auto"/>
        </w:rPr>
      </w:pPr>
    </w:p>
    <w:p>
      <w:pPr>
        <w:jc w:val="both"/>
        <w:ind w:left="720" w:right="79" w:hanging="319"/>
        <w:spacing w:after="0" w:line="286" w:lineRule="auto"/>
        <w:tabs>
          <w:tab w:leader="none" w:pos="7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gross profits of our Sunbelt and ProWood business units increased by a total of $54.4 million, primarily due to a more stable lumber market this year compared to the same period of 2021. The products sold by these units consist primarily of pressure treated lumber sold at a variable price tied to the lumber market.</w:t>
      </w:r>
    </w:p>
    <w:p>
      <w:pPr>
        <w:spacing w:after="0" w:line="165" w:lineRule="exact"/>
        <w:rPr>
          <w:rFonts w:ascii="Arial" w:cs="Arial" w:eastAsia="Arial" w:hAnsi="Arial"/>
          <w:sz w:val="17"/>
          <w:szCs w:val="17"/>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UFP Edge and Deckorators business units contributed $7.8 million to the increase in gross profits.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Acquired operations contributed $2.9 million to the increase in gross profits.</w:t>
      </w:r>
    </w:p>
    <w:p>
      <w:pPr>
        <w:spacing w:after="0" w:line="225"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transfer of certain concrete forming business unit sales to the Construction segment partially offset the increase in gross profit by $2.7 million.</w:t>
      </w:r>
    </w:p>
    <w:p>
      <w:pPr>
        <w:spacing w:after="0" w:line="170"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SG&amp;A increased by approximately $11.5 million, or 31.3%, in the third quarter of 2022 compared to the same period of 2021. SG&amp;A of recently acquired businesses added roughly $1.7 million to overall SG&amp;A. Accrued bonus expense, which varies with our overall profitability and return on investment, increased approximately $5.1 million from the third quarter of 2021 and totaled approximately $8.0 million for the quarter. The remaining increase was primarily due to increases in salaries and wages of $1.9 million, sales incentive compensation of $0.5 million, and travel related expenses of $0.5 million.</w:t>
      </w:r>
    </w:p>
    <w:p>
      <w:pPr>
        <w:spacing w:after="0" w:line="19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Earnings from operations for the Retail reportable segment in the third quarter of 2022 were $28.9 million compared to a loss from operations in 2021 of $26.2 million, as a result of the factors mentioned above.</w:t>
      </w:r>
    </w:p>
    <w:p>
      <w:pPr>
        <w:spacing w:after="0" w:line="170"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Net sales in the first nine months of 2022 increased by 9% compared to the same period of 2021, due to a 7% increase in selling prices and acquisition unit growth of 5%, offset by a 2% decrease due to the transfer of certain sales to the Construction segment, and an organic unit decrease of 1%. We experienced organic unit growth in our UFP Edge (9%), ProWood (1%), and Sunbelt (1%) business units. This increase was offset by organic unit decreases in our Deckorators (5%),Outdoor Essentials (15%), and Handprint (18%) business units. Capacity expansion contributed to our unit increase in UFP Edge. Finally, sales to big box customers increased 11%, while sales to independent retailers increased 3%.</w:t>
      </w:r>
    </w:p>
    <w:p>
      <w:pPr>
        <w:spacing w:after="0" w:line="16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Gross profits increased by $51.3 million, or 22.0% to $285.0 million for the first nine months of 2022 compared to the same period last year. Our increase in gross profit was attributable to the following</w:t>
      </w:r>
      <w:r>
        <w:rPr>
          <w:rFonts w:ascii="Arial" w:cs="Arial" w:eastAsia="Arial" w:hAnsi="Arial"/>
          <w:sz w:val="18"/>
          <w:szCs w:val="18"/>
          <w:b w:val="1"/>
          <w:bCs w:val="1"/>
          <w:color w:val="auto"/>
        </w:rPr>
        <w:t>:</w:t>
      </w:r>
    </w:p>
    <w:p>
      <w:pPr>
        <w:spacing w:after="0" w:line="170" w:lineRule="exact"/>
        <w:rPr>
          <w:sz w:val="20"/>
          <w:szCs w:val="20"/>
          <w:color w:val="auto"/>
        </w:rPr>
      </w:pPr>
    </w:p>
    <w:p>
      <w:pPr>
        <w:ind w:left="720" w:right="79" w:hanging="319"/>
        <w:spacing w:after="0" w:line="277"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gross profits of our Sunbelt and ProWood business units increased by a total of $36.6 million, primarily due to the same factors discussed above.</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Acquired operations contributed $17.3 million to the increase in gross profits.</w:t>
      </w:r>
    </w:p>
    <w:p>
      <w:pPr>
        <w:spacing w:after="0" w:line="225"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transfer of certain concrete forming business unit sales to the Construction segment partially offset the increase in gross profit by $9.4 million.</w:t>
      </w:r>
    </w:p>
    <w:p>
      <w:pPr>
        <w:spacing w:after="0" w:line="170"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SG&amp;A increased by approximately $15.1 million, or 10.5%, in the first nine months of 2022 compared to the same period of 2021. SG&amp;A of recently acquired businesses added $5.8 million to overall SG&amp;A. Accrued bonus expense, which varies with our overall profitability and return on investment, decreased approximately $5.4 million and totaled approximately $32.5 million for the first nine months of 2022. Bonus expense decreased due to the plan modification disclosed above. The remaining increase in SG&amp;A was primarily due to increases in salaries and wages of $3.8 million, advertising of $2.0 million, travel-related expenses of $1.9 million, bad debt expenses of $1.1 million and employee benefits of $1.1 million.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Earnings from operations for the Retail reportable segment increased in the first nine months of 2022 compared to 2021 by $35.4 million, or 39.6%, as a result of the factors mentioned above.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Industrial Segment</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Net sales in the third quarter of 2022 increased 2% compared to the same period of 2021, due to a 1% increase in selling prices and acquisition unit growth of 3%, offset by a 2% decrease in organic unit sales. The components of our change in organic unit sales includes increases associated with $12 million in sales to new customers, $22 million of sales to new locations of existing customers, and $12 million of new product sales. These increases were offset by decreases in unit sales on other accounts.</w:t>
      </w:r>
    </w:p>
    <w:p>
      <w:pPr>
        <w:spacing w:after="0" w:line="188"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Gross profits increased by $17.4 million, or 13.8%, for the third quarter of 2022 compared to the same period last year. Acquisitions contributed $3.7 million to the increase in gross profit. The remaining increase is a result of executing value-based selling initiatives and maintaining pricing discipline as we operate in an environment of elevated demand and capacity constraints, as well as favorable changes in our value-added sales mix. Excluding acquisitions, we estimate that value-added products contributed an $18.6 million increase in gross profit, while commodity-based products experienced a $4.9 million decline in gross profit. Value-added sales increased to 73.8% of total net sales in the third quarter of 2022 compared to 69.2% of total net sales in the third quarter of 2021. The increase in value-added sales and gross profits is due in part to new products which contributed $7.3 million to gross profits this year ($1.5 million from acquisitions).</w:t>
      </w:r>
    </w:p>
    <w:p>
      <w:pPr>
        <w:spacing w:after="0" w:line="16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SG&amp;A increased by approximately $10.8 million, or 19.4%, in the third quarter of 2022 compared to the same period of 2021. Acquired operations since the third quarter of 2021 contributed approximately $2.2 million to our increase in costs. Accrued bonus expense, which varies with our overall profitability and return on investment, increased approximately $1.2 million relative to the third quarter of 2021, and totaled $19.9 million for the quarter. Bonus expense was impacted by the plan modification disclosed above. The remaining increase was primarily due to increases in bad debt expense of $4.9 million and travel related expenses of $0.6 million.</w:t>
      </w:r>
    </w:p>
    <w:p>
      <w:pPr>
        <w:spacing w:after="0" w:line="19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Earnings from operations for the Industrial reportable segment increased in the third quarter of 2022 compared to 2021 by $6.9 million, or 9.8%, due to the factors discussed above.</w:t>
      </w:r>
    </w:p>
    <w:p>
      <w:pPr>
        <w:spacing w:after="0" w:line="170"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Net sales in the first nine months of 2022 increased 15% compared to the same period of 2021, due to a 16% increase in selling prices and acquisition unit growth of 2%, offset by a 3% decrease in organic unit sales. The increase in our selling prices is a result of passing along higher lumber prices and other operating costs, executing value-based selling initiatives</w:t>
      </w:r>
    </w:p>
    <w:p>
      <w:pPr>
        <w:spacing w:after="0" w:line="27"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7"/>
          <w:szCs w:val="17"/>
          <w:color w:val="auto"/>
        </w:rPr>
        <w:t>and maintaining pricing discipline as we operate in an environment of elevated demand and capacity constraints. The components of our change in organic unit sales includes increases associated with $44 million in sales to new customers, $64 million of sales to new locations of existing customers, and $80 million of new product sales ($16.7 million from acquisitions). These increases were offset by decreases in unit sales on other accounts.</w:t>
      </w:r>
    </w:p>
    <w:p>
      <w:pPr>
        <w:spacing w:after="0" w:line="162"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Gross profits increased by $114.3 million, or 33.5%, for the first nine months of 2022 compared to the same period last year. Acquisitions contributed $6.8 million to the increase in gross profit. The remaining increase is a result of the pricing increases discussed above as well as favorable changes in our value-added sales mix. Excluding acquisitions, we estimate that value-added products and commodity-based products contributed $104.7 million and $2.8 million, respectively, to the increase in gross profit. Value-added sales increased to 70.6% of total net sales in the first nine months of 2022 compared to 66.6% of total net sales in the first nine months of 2021. The increase in value-added sales and gross profits is due in part to new products which contributed $33 million to gross profits this year ($4.6 million from acquisitions).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SG&amp;A increased by approximately $50.2 million, or 33.3%, in the first nine months of 2022 compared to the same period of 2021. Acquired operations since the first nine months of 2021 contributed approximately $4.5 million to our increase in costs. Accrued bonus expense, which varies with our overall profitability and return on investment, increased approximately $12.9 million, and totaled $63.3 million for the nine months of 2022. Bonus expense was also impacted by the plan modification disclosed above. The remaining increase was primarily due to increases in bad debt expense of $12.9 million, sales incentive compensation of $6.2 million, travel related expenses of $1.6 million, medical benefits expense of $1.3 million, and salaries and wages of $1.0 million.</w:t>
      </w:r>
    </w:p>
    <w:p>
      <w:pPr>
        <w:spacing w:after="0" w:line="17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Earnings from operations for the Industrial reportable segment increased in the first nine months of 2022 compared to 2021 by $63.6 million, or 33.4%, due to the factors discussed above.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Construction Segment</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Net sales in the third quarter of 2022 increased 8% compared to the same period of 2021, due to organic unit sales growth of 6% and a 2% increase due to the transfer of certain sales from the Retail segment. Organic unit changes within this segment consist of increases of 36% in commercial construction, 36% in concrete forming, 9% in factory-built housing, offset by a 7% decrease in site-built construction.</w:t>
      </w:r>
    </w:p>
    <w:p>
      <w:pPr>
        <w:spacing w:after="0" w:line="187" w:lineRule="exact"/>
        <w:rPr>
          <w:sz w:val="20"/>
          <w:szCs w:val="20"/>
          <w:color w:val="auto"/>
        </w:rPr>
      </w:pPr>
    </w:p>
    <w:p>
      <w:pPr>
        <w:jc w:val="both"/>
        <w:ind w:left="720" w:right="79" w:hanging="319"/>
        <w:spacing w:after="0" w:line="263"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organic increase in commercial is due primarily to an increase in customer demand in its retail business. As of September 24, 2022 and December 25, 2021, we estimate that backlog orders associated with commercial construction approximated $101.2 million and $84.6 million, respectively.</w:t>
      </w:r>
    </w:p>
    <w:p>
      <w:pPr>
        <w:spacing w:after="0" w:line="183" w:lineRule="exact"/>
        <w:rPr>
          <w:rFonts w:ascii="Arial" w:cs="Arial" w:eastAsia="Arial" w:hAnsi="Arial"/>
          <w:sz w:val="18"/>
          <w:szCs w:val="18"/>
          <w:color w:val="auto"/>
        </w:rPr>
      </w:pPr>
    </w:p>
    <w:p>
      <w:pPr>
        <w:jc w:val="both"/>
        <w:ind w:left="720" w:right="79" w:hanging="319"/>
        <w:spacing w:after="0" w:line="259"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organic unit increase in concrete forming is comprised of a 30% increase in our value-added unit sales and a 6% increase in our commodity-based unit sales. The unit increase in value-added sales is due to an increase in manufactured and assembled concrete forms and engineered wood product sales to new customers and existing customers as well as geographic expansion in the northeast.</w:t>
      </w:r>
    </w:p>
    <w:p>
      <w:pPr>
        <w:spacing w:after="0" w:line="186" w:lineRule="exact"/>
        <w:rPr>
          <w:rFonts w:ascii="Arial" w:cs="Arial" w:eastAsia="Arial" w:hAnsi="Arial"/>
          <w:sz w:val="18"/>
          <w:szCs w:val="18"/>
          <w:color w:val="auto"/>
        </w:rPr>
      </w:pPr>
    </w:p>
    <w:p>
      <w:pPr>
        <w:ind w:left="720" w:hanging="31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organic unit increase in factory-built is primarily due to an increase in industry production.</w:t>
      </w:r>
    </w:p>
    <w:p>
      <w:pPr>
        <w:spacing w:after="0" w:line="225" w:lineRule="exact"/>
        <w:rPr>
          <w:rFonts w:ascii="Arial" w:cs="Arial" w:eastAsia="Arial" w:hAnsi="Arial"/>
          <w:sz w:val="18"/>
          <w:szCs w:val="18"/>
          <w:color w:val="auto"/>
        </w:rPr>
      </w:pPr>
    </w:p>
    <w:p>
      <w:pPr>
        <w:jc w:val="both"/>
        <w:ind w:left="720" w:right="79" w:hanging="319"/>
        <w:spacing w:after="0" w:line="259"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Capacity constraints impacted our ability to grow our site-built business unit. Consequently we have been selective in the business we take in order to maximize profitability. As of September 24, 2022 and December 25, 2021, we estimate that backlog orders associated with site-built construction approximated $118.1 million and $113.5 million, respectively.</w:t>
      </w:r>
    </w:p>
    <w:p>
      <w:pPr>
        <w:spacing w:after="0" w:line="187"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Gross profits increased by $45.5 million, or 29.5%, for the third quarter of 2022 compared to the same period of 2021. The increase in our gross profit was comprised of the following factors:</w:t>
      </w:r>
    </w:p>
    <w:p>
      <w:pPr>
        <w:spacing w:after="0" w:line="170" w:lineRule="exact"/>
        <w:rPr>
          <w:sz w:val="20"/>
          <w:szCs w:val="20"/>
          <w:color w:val="auto"/>
        </w:rPr>
      </w:pPr>
    </w:p>
    <w:p>
      <w:pPr>
        <w:ind w:left="720" w:right="79" w:hanging="319"/>
        <w:spacing w:after="0" w:line="308" w:lineRule="auto"/>
        <w:tabs>
          <w:tab w:leader="none" w:pos="7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Gross profits in our site-built construction business unit increased by $39.2 million as a result of being more selective in the business that we take during this period of elevated demand and capacity constraints.</w:t>
      </w:r>
    </w:p>
    <w:p>
      <w:pPr>
        <w:spacing w:after="0" w:line="146" w:lineRule="exact"/>
        <w:rPr>
          <w:rFonts w:ascii="Arial" w:cs="Arial" w:eastAsia="Arial" w:hAnsi="Arial"/>
          <w:sz w:val="17"/>
          <w:szCs w:val="17"/>
          <w:color w:val="auto"/>
        </w:rPr>
      </w:pPr>
    </w:p>
    <w:p>
      <w:pPr>
        <w:ind w:left="720" w:right="79" w:hanging="319"/>
        <w:spacing w:after="0" w:line="277"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Gross profits in our factory-built housing business unit decreased $4.6 million due to the impact of falling market prices on certain variable priced products.</w:t>
      </w:r>
    </w:p>
    <w:p>
      <w:pPr>
        <w:spacing w:after="0" w:line="170" w:lineRule="exact"/>
        <w:rPr>
          <w:rFonts w:ascii="Arial" w:cs="Arial" w:eastAsia="Arial" w:hAnsi="Arial"/>
          <w:sz w:val="18"/>
          <w:szCs w:val="18"/>
          <w:color w:val="auto"/>
        </w:rPr>
      </w:pPr>
    </w:p>
    <w:p>
      <w:pPr>
        <w:ind w:left="720" w:right="79" w:hanging="319"/>
        <w:spacing w:after="0" w:line="308" w:lineRule="auto"/>
        <w:tabs>
          <w:tab w:leader="none" w:pos="7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gross profit of our commercial construction business unit increased $6.4 million as a result of increased unit sales, better productivity and other operational improvements, as well as improved pricing discipline.</w:t>
      </w:r>
    </w:p>
    <w:p>
      <w:pPr>
        <w:spacing w:after="0" w:line="146" w:lineRule="exact"/>
        <w:rPr>
          <w:rFonts w:ascii="Arial" w:cs="Arial" w:eastAsia="Arial" w:hAnsi="Arial"/>
          <w:sz w:val="17"/>
          <w:szCs w:val="17"/>
          <w:color w:val="auto"/>
        </w:rPr>
      </w:pPr>
    </w:p>
    <w:p>
      <w:pPr>
        <w:ind w:left="720" w:right="79" w:hanging="319"/>
        <w:spacing w:after="0" w:line="277"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gross profit of our concrete forming business unit increased by $4.5 million, including $2.7 million as a result of the transfer of sales from the Retail segment.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SG&amp;A increased by approximately $18.8 million, or 26.6%, in the third quarter of 2022 compared to the same period of 2021. Accrued bonus expense, which varies with our overall profitability and return on investment, increased approximately $8.0 million, and totaled $27.5 million for the quarter. Bonus expense was also impacted by previously discussed modifications in our plan. The remaining increase was primarily due to increases in professional fees of $2.6 million, sales incentive compensation of $2.2 million, bad debt expense of $1.3 million, salaries and wages of $1.1 million, and travel related expenses of $0.5 million.</w:t>
      </w:r>
    </w:p>
    <w:p>
      <w:pPr>
        <w:spacing w:after="0" w:line="19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Earnings from operations for the Construction reportable segment increased in the third quarter of 2022 compared to 2021 by $26.2 million, or 31.1%, due to the factors mentioned above.</w:t>
      </w:r>
    </w:p>
    <w:p>
      <w:pPr>
        <w:spacing w:after="0" w:line="170"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Net sales in the first nine months of 2022 increased 25.6% compared to the same period of 2021, due to a 13% increase in selling prices, 3% due to the transfer of certain product sales from the Retail segment, and organic unit sales growth of 10%. Organic unit changes within this segment consisted of increases of 30% in concrete forming, 43% in commercial construction, and 14% in factory-built housing. The organic unit sales of our site-built business unit decreased by 3% due to capacity constraints.</w:t>
      </w:r>
    </w:p>
    <w:p>
      <w:pPr>
        <w:spacing w:after="0" w:line="188"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Gross profits increased by $211.3 million, or 56.0%, for the first nine months of 2022 compared to the same period of 2021. The increase in our gross profit was comprised of the following factors:</w:t>
      </w:r>
    </w:p>
    <w:p>
      <w:pPr>
        <w:spacing w:after="0" w:line="170" w:lineRule="exact"/>
        <w:rPr>
          <w:sz w:val="20"/>
          <w:szCs w:val="20"/>
          <w:color w:val="auto"/>
        </w:rPr>
      </w:pPr>
    </w:p>
    <w:p>
      <w:pPr>
        <w:ind w:left="720" w:right="79" w:hanging="319"/>
        <w:spacing w:after="0" w:line="308" w:lineRule="auto"/>
        <w:tabs>
          <w:tab w:leader="none" w:pos="7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Gross profits in our site-built construction business unit increased by $147.6 million as a result of being more selective in the business that we take during this period of elevated demand and capacity constraints.</w:t>
      </w:r>
    </w:p>
    <w:p>
      <w:pPr>
        <w:spacing w:after="0" w:line="146" w:lineRule="exact"/>
        <w:rPr>
          <w:rFonts w:ascii="Arial" w:cs="Arial" w:eastAsia="Arial" w:hAnsi="Arial"/>
          <w:sz w:val="17"/>
          <w:szCs w:val="17"/>
          <w:color w:val="auto"/>
        </w:rPr>
      </w:pPr>
    </w:p>
    <w:p>
      <w:pPr>
        <w:jc w:val="both"/>
        <w:ind w:left="720" w:right="79" w:hanging="319"/>
        <w:spacing w:after="0" w:line="279" w:lineRule="auto"/>
        <w:tabs>
          <w:tab w:leader="none" w:pos="7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Gross profits in our factory-built housing business unit increased $31.6 million as a result of increased unit sales and leveraging fixed costs. In addition, value-added sales in this business unit increased to 56.5% of total net sales in the first nine months of 2022 compared to 49.4% of total net sales in the first nine months of 2021. The increase in new product sales contributed approximately $2.5 million in gross profits this year.</w:t>
      </w:r>
    </w:p>
    <w:p>
      <w:pPr>
        <w:spacing w:after="0" w:line="171" w:lineRule="exact"/>
        <w:rPr>
          <w:rFonts w:ascii="Arial" w:cs="Arial" w:eastAsia="Arial" w:hAnsi="Arial"/>
          <w:sz w:val="17"/>
          <w:szCs w:val="17"/>
          <w:color w:val="auto"/>
        </w:rPr>
      </w:pPr>
    </w:p>
    <w:p>
      <w:pPr>
        <w:ind w:left="720" w:right="79" w:hanging="319"/>
        <w:spacing w:after="0" w:line="277"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gross profit of our concrete forming business unit increased by $14.6 million, including $9.4 million as a result of the transfer of sales from the Retail segment.</w:t>
      </w:r>
    </w:p>
    <w:p>
      <w:pPr>
        <w:spacing w:after="0" w:line="170" w:lineRule="exact"/>
        <w:rPr>
          <w:rFonts w:ascii="Arial" w:cs="Arial" w:eastAsia="Arial" w:hAnsi="Arial"/>
          <w:sz w:val="18"/>
          <w:szCs w:val="18"/>
          <w:color w:val="auto"/>
        </w:rPr>
      </w:pPr>
    </w:p>
    <w:p>
      <w:pPr>
        <w:ind w:left="720" w:right="79" w:hanging="319"/>
        <w:spacing w:after="0" w:line="308" w:lineRule="auto"/>
        <w:tabs>
          <w:tab w:leader="none" w:pos="7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gross profit of our commercial construction business unit increased $16.2 million as a result of increased unit sales, better productivity and other operational improvements, as well as improved pricing discipline.</w:t>
      </w:r>
    </w:p>
    <w:p>
      <w:pPr>
        <w:spacing w:after="0" w:line="146" w:lineRule="exact"/>
        <w:rPr>
          <w:rFonts w:ascii="Arial" w:cs="Arial" w:eastAsia="Arial" w:hAnsi="Arial"/>
          <w:sz w:val="17"/>
          <w:szCs w:val="17"/>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Acquired businesses contributed $1.2 million.</w:t>
      </w:r>
    </w:p>
    <w:p>
      <w:pPr>
        <w:spacing w:after="0" w:line="22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SG&amp;A increased by approximately $73.3 million, or 37.9%, in the first nine months of 2022 compared to the same period of 2021. Acquired operations since the first nine months of 2021 contributed approximately $1.2 million to the increase in SG&amp;A. Accrued bonus expense, which varies with our overall profitability and return on investment, increased approximately $32.6 million, and totaled $78.8 million for the first nine months of 2022. Bonus expense was also impacted by previously discussed modifications in our plan. The remaining increase was primarily due to increases in sales incentive compensation of $18.0 million, bad debt expense of $4.0 million, salaries and wages of $3.0 million, professional fees of $2.2 million, travel related expenses of $1.9 million, and medical benefits of $1.2 million.</w:t>
      </w:r>
    </w:p>
    <w:p>
      <w:pPr>
        <w:spacing w:after="0" w:line="16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Earnings from operations for the Construction reportable segment increased in the first nine months of 2022 compared to 2021 by $137.7 million, or 74.7%, due to the factors mentioned above.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All Other Segment</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Our All Other reportable segment consists of our International and Ardellis (our insurance captive) segments that are not significant.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Corporate</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corporate segment consists of over (under) allocated costs that are not significant, and in the prior year it also consisted of gains on the sale of certain real estate.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Effective tax rates differ from statutory federal income tax rates, primarily due to provisions for foreign, state and local income taxes and permanent tax differences. Our effective tax rate was 25.4% in the third quarter of 2022 compared to 23.0% in the third quarter of 2021 and was 24.8% in the first nine months of 2022 compared to 24.0% for the same period in 2021. The increase was primarily due to one-time tax credits recorded as discrete items in 2021 that are not available in 2022.</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TRANSACTIONS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no significant off-balance sheet transactions.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table below presents, for the periods indicated, a summary of our cash flow statement (in thousands):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8"/>
        </w:trPr>
        <w:tc>
          <w:tcPr>
            <w:tcW w:w="5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272"/>
              <w:spacing w:after="0"/>
              <w:rPr>
                <w:sz w:val="20"/>
                <w:szCs w:val="20"/>
                <w:color w:val="auto"/>
              </w:rPr>
            </w:pPr>
            <w:r>
              <w:rPr>
                <w:rFonts w:ascii="Arial" w:cs="Arial" w:eastAsia="Arial" w:hAnsi="Arial"/>
                <w:sz w:val="14"/>
                <w:szCs w:val="14"/>
                <w:b w:val="1"/>
                <w:bCs w:val="1"/>
                <w:color w:val="auto"/>
              </w:rPr>
              <w:t>Nine Months Ended</w:t>
            </w:r>
          </w:p>
        </w:tc>
      </w:tr>
      <w:tr>
        <w:trPr>
          <w:trHeight w:val="126"/>
        </w:trPr>
        <w:tc>
          <w:tcPr>
            <w:tcW w:w="57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80" w:type="dxa"/>
            <w:vAlign w:val="bottom"/>
            <w:gridSpan w:val="2"/>
          </w:tcPr>
          <w:p>
            <w:pPr>
              <w:spacing w:after="0" w:line="126" w:lineRule="exact"/>
              <w:rPr>
                <w:sz w:val="20"/>
                <w:szCs w:val="20"/>
                <w:color w:val="auto"/>
              </w:rPr>
            </w:pPr>
            <w:r>
              <w:rPr>
                <w:rFonts w:ascii="Arial" w:cs="Arial" w:eastAsia="Arial" w:hAnsi="Arial"/>
                <w:sz w:val="14"/>
                <w:szCs w:val="14"/>
                <w:b w:val="1"/>
                <w:bCs w:val="1"/>
                <w:color w:val="auto"/>
                <w:w w:val="89"/>
              </w:rPr>
              <w:t>September 24,</w:t>
            </w:r>
          </w:p>
        </w:tc>
        <w:tc>
          <w:tcPr>
            <w:tcW w:w="160" w:type="dxa"/>
            <w:vAlign w:val="bottom"/>
          </w:tcPr>
          <w:p>
            <w:pPr>
              <w:spacing w:after="0"/>
              <w:rPr>
                <w:sz w:val="10"/>
                <w:szCs w:val="10"/>
                <w:color w:val="auto"/>
              </w:rPr>
            </w:pPr>
          </w:p>
        </w:tc>
        <w:tc>
          <w:tcPr>
            <w:tcW w:w="900" w:type="dxa"/>
            <w:vAlign w:val="bottom"/>
            <w:gridSpan w:val="2"/>
          </w:tcPr>
          <w:p>
            <w:pPr>
              <w:spacing w:after="0" w:line="126" w:lineRule="exact"/>
              <w:rPr>
                <w:sz w:val="20"/>
                <w:szCs w:val="20"/>
                <w:color w:val="auto"/>
              </w:rPr>
            </w:pPr>
            <w:r>
              <w:rPr>
                <w:rFonts w:ascii="Arial" w:cs="Arial" w:eastAsia="Arial" w:hAnsi="Arial"/>
                <w:sz w:val="14"/>
                <w:szCs w:val="14"/>
                <w:b w:val="1"/>
                <w:bCs w:val="1"/>
                <w:color w:val="auto"/>
                <w:w w:val="91"/>
              </w:rPr>
              <w:t>September 25,</w:t>
            </w:r>
          </w:p>
        </w:tc>
      </w:tr>
      <w:tr>
        <w:trPr>
          <w:trHeight w:val="178"/>
        </w:trPr>
        <w:tc>
          <w:tcPr>
            <w:tcW w:w="576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2021</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Cash from operating activities</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533,046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281,763</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5"/>
              </w:rPr>
              <w:t>(222,612)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5"/>
              </w:rPr>
              <w:t>(528,257)</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Cash used in financing activities</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(151,654)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(33,593)</w:t>
            </w:r>
          </w:p>
        </w:tc>
      </w:tr>
      <w:tr>
        <w:trPr>
          <w:trHeight w:val="223"/>
        </w:trPr>
        <w:tc>
          <w:tcPr>
            <w:tcW w:w="5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 changes on cash</w:t>
            </w:r>
          </w:p>
        </w:tc>
        <w:tc>
          <w:tcPr>
            <w:tcW w:w="1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all cash and cash equivalents</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158,641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(280,379)</w:t>
            </w:r>
          </w:p>
        </w:tc>
      </w:tr>
      <w:tr>
        <w:trPr>
          <w:trHeight w:val="223"/>
        </w:trPr>
        <w:tc>
          <w:tcPr>
            <w:tcW w:w="5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291,223</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436,608</w:t>
            </w:r>
          </w:p>
        </w:tc>
      </w:tr>
      <w:tr>
        <w:trPr>
          <w:trHeight w:val="216"/>
        </w:trPr>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1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449,864</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156,229</w:t>
            </w:r>
          </w:p>
        </w:tc>
      </w:tr>
      <w:tr>
        <w:trPr>
          <w:trHeight w:val="20"/>
        </w:trPr>
        <w:tc>
          <w:tcPr>
            <w:tcW w:w="5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 general, we fund our growth through a combination of operating cash flows, our revolving credit facility, industrial development bonds (when circumstances permit), and issuance of long-term notes payable at times when interest rates are favorable. We have not issued equity to finance growth except in the case of a large acquisition. We manage our capital structure by attempting to maintain a targeted ratio of debt to equity and debt to earnings before interest, taxes, depreciation and amortization. We believe this is one of many important factors to maintaining a strong credit profile, which in turn helps ensure timely access to capital when needed.</w:t>
      </w:r>
    </w:p>
    <w:p>
      <w:pPr>
        <w:spacing w:after="0" w:line="19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Seasonality has a significant impact on our working capital due to our primary selling season which occurs during the period from March to September. Consequently, our working capital increases during our first and second quarters which typically results in negative or modest cash flows from operations during those periods. Conversely, we typically experience a substantial decrease in working capital once we move beyond our peak selling season which typically results in significant cash flows from operations in our third and fourth quarters.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Due to the seasonality of our business and the effects of the Lumber Market, we believe our cash cycle (days of sales outstanding plus days supply of inventory less days payables outstanding) is a good indicator of our working capital management. As indicated in the table below, our cash cycle decreased to 55 days from 57 days during the third quarter of 2022 compared to the prior year period.</w:t>
      </w:r>
    </w:p>
    <w:p>
      <w:pPr>
        <w:spacing w:after="0" w:line="192" w:lineRule="exact"/>
        <w:rPr>
          <w:sz w:val="20"/>
          <w:szCs w:val="20"/>
          <w:color w:val="auto"/>
        </w:rPr>
      </w:pPr>
    </w:p>
    <w:tbl>
      <w:tblPr>
        <w:tblLayout w:type="fixed"/>
        <w:tblInd w:w="9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120" w:type="dxa"/>
            <w:vAlign w:val="bottom"/>
            <w:gridSpan w:val="4"/>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160" w:type="dxa"/>
            <w:vAlign w:val="bottom"/>
            <w:gridSpan w:val="4"/>
          </w:tcPr>
          <w:p>
            <w:pPr>
              <w:ind w:left="380"/>
              <w:spacing w:after="0"/>
              <w:rPr>
                <w:sz w:val="20"/>
                <w:szCs w:val="20"/>
                <w:color w:val="auto"/>
              </w:rPr>
            </w:pPr>
            <w:r>
              <w:rPr>
                <w:rFonts w:ascii="Arial" w:cs="Arial" w:eastAsia="Arial" w:hAnsi="Arial"/>
                <w:sz w:val="14"/>
                <w:szCs w:val="14"/>
                <w:b w:val="1"/>
                <w:bCs w:val="1"/>
                <w:color w:val="auto"/>
              </w:rPr>
              <w:t>Nine Months Ended</w:t>
            </w:r>
          </w:p>
        </w:tc>
      </w:tr>
      <w:tr>
        <w:trPr>
          <w:trHeight w:val="126"/>
        </w:trPr>
        <w:tc>
          <w:tcPr>
            <w:tcW w:w="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8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4"/>
                <w:szCs w:val="14"/>
                <w:b w:val="1"/>
                <w:bCs w:val="1"/>
                <w:color w:val="auto"/>
                <w:w w:val="87"/>
              </w:rPr>
              <w:t>September 24,</w:t>
            </w:r>
          </w:p>
        </w:tc>
        <w:tc>
          <w:tcPr>
            <w:tcW w:w="1060" w:type="dxa"/>
            <w:vAlign w:val="bottom"/>
            <w:tcBorders>
              <w:top w:val="single" w:sz="8" w:color="auto"/>
            </w:tcBorders>
            <w:gridSpan w:val="2"/>
          </w:tcPr>
          <w:p>
            <w:pPr>
              <w:jc w:val="right"/>
              <w:spacing w:after="0" w:line="126" w:lineRule="exact"/>
              <w:rPr>
                <w:sz w:val="20"/>
                <w:szCs w:val="20"/>
                <w:color w:val="auto"/>
              </w:rPr>
            </w:pPr>
            <w:r>
              <w:rPr>
                <w:rFonts w:ascii="Arial" w:cs="Arial" w:eastAsia="Arial" w:hAnsi="Arial"/>
                <w:sz w:val="14"/>
                <w:szCs w:val="14"/>
                <w:b w:val="1"/>
                <w:bCs w:val="1"/>
                <w:color w:val="auto"/>
              </w:rPr>
              <w:t>September 25,</w:t>
            </w:r>
          </w:p>
        </w:tc>
        <w:tc>
          <w:tcPr>
            <w:tcW w:w="180" w:type="dxa"/>
            <w:vAlign w:val="bottom"/>
          </w:tcPr>
          <w:p>
            <w:pPr>
              <w:spacing w:after="0"/>
              <w:rPr>
                <w:sz w:val="10"/>
                <w:szCs w:val="10"/>
                <w:color w:val="auto"/>
              </w:rPr>
            </w:pPr>
          </w:p>
        </w:tc>
        <w:tc>
          <w:tcPr>
            <w:tcW w:w="1080" w:type="dxa"/>
            <w:vAlign w:val="bottom"/>
            <w:tcBorders>
              <w:top w:val="single" w:sz="8" w:color="auto"/>
            </w:tcBorders>
            <w:gridSpan w:val="2"/>
          </w:tcPr>
          <w:p>
            <w:pPr>
              <w:spacing w:after="0" w:line="126" w:lineRule="exact"/>
              <w:rPr>
                <w:sz w:val="20"/>
                <w:szCs w:val="20"/>
                <w:color w:val="auto"/>
              </w:rPr>
            </w:pPr>
            <w:r>
              <w:rPr>
                <w:rFonts w:ascii="Arial" w:cs="Arial" w:eastAsia="Arial" w:hAnsi="Arial"/>
                <w:sz w:val="14"/>
                <w:szCs w:val="14"/>
                <w:b w:val="1"/>
                <w:bCs w:val="1"/>
                <w:color w:val="auto"/>
              </w:rPr>
              <w:t>September 24,</w:t>
            </w:r>
          </w:p>
        </w:tc>
        <w:tc>
          <w:tcPr>
            <w:tcW w:w="90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4"/>
                <w:szCs w:val="14"/>
                <w:b w:val="1"/>
                <w:bCs w:val="1"/>
                <w:color w:val="auto"/>
                <w:w w:val="89"/>
              </w:rPr>
              <w:t>September 25,</w:t>
            </w:r>
          </w:p>
        </w:tc>
        <w:tc>
          <w:tcPr>
            <w:tcW w:w="180" w:type="dxa"/>
            <w:vAlign w:val="bottom"/>
          </w:tcPr>
          <w:p>
            <w:pPr>
              <w:spacing w:after="0"/>
              <w:rPr>
                <w:sz w:val="10"/>
                <w:szCs w:val="10"/>
                <w:color w:val="auto"/>
              </w:rPr>
            </w:pPr>
          </w:p>
        </w:tc>
      </w:tr>
      <w:tr>
        <w:trPr>
          <w:trHeight w:val="178"/>
        </w:trPr>
        <w:tc>
          <w:tcPr>
            <w:tcW w:w="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340" w:type="dxa"/>
            <w:vAlign w:val="bottom"/>
            <w:gridSpan w:val="2"/>
          </w:tcPr>
          <w:p>
            <w:pPr>
              <w:jc w:val="right"/>
              <w:ind w:right="217"/>
              <w:spacing w:after="0"/>
              <w:rPr>
                <w:sz w:val="20"/>
                <w:szCs w:val="20"/>
                <w:color w:val="auto"/>
              </w:rPr>
            </w:pPr>
            <w:r>
              <w:rPr>
                <w:rFonts w:ascii="Arial" w:cs="Arial" w:eastAsia="Arial" w:hAnsi="Arial"/>
                <w:sz w:val="14"/>
                <w:szCs w:val="14"/>
                <w:b w:val="1"/>
                <w:bCs w:val="1"/>
                <w:color w:val="auto"/>
              </w:rPr>
              <w:t>2022</w:t>
            </w:r>
          </w:p>
        </w:tc>
        <w:tc>
          <w:tcPr>
            <w:tcW w:w="106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5"/>
                <w:szCs w:val="15"/>
                <w:color w:val="auto"/>
              </w:rPr>
            </w:pPr>
          </w:p>
        </w:tc>
        <w:tc>
          <w:tcPr>
            <w:tcW w:w="900" w:type="dxa"/>
            <w:vAlign w:val="bottom"/>
          </w:tcPr>
          <w:p>
            <w:pPr>
              <w:jc w:val="right"/>
              <w:ind w:right="218"/>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5"/>
                <w:szCs w:val="15"/>
                <w:color w:val="auto"/>
              </w:rPr>
            </w:pPr>
          </w:p>
        </w:tc>
        <w:tc>
          <w:tcPr>
            <w:tcW w:w="900" w:type="dxa"/>
            <w:vAlign w:val="bottom"/>
          </w:tcPr>
          <w:p>
            <w:pPr>
              <w:jc w:val="right"/>
              <w:ind w:right="216"/>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2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Days of sales outstanding</w:t>
            </w:r>
          </w:p>
        </w:tc>
        <w:tc>
          <w:tcPr>
            <w:tcW w:w="4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Days supply of inventory</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2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Days payables outstanding</w:t>
            </w:r>
          </w:p>
        </w:tc>
        <w:tc>
          <w:tcPr>
            <w:tcW w:w="4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03"/>
        </w:trPr>
        <w:tc>
          <w:tcPr>
            <w:tcW w:w="2380" w:type="dxa"/>
            <w:vAlign w:val="bottom"/>
            <w:gridSpan w:val="2"/>
          </w:tcPr>
          <w:p>
            <w:pPr>
              <w:spacing w:after="0" w:line="203" w:lineRule="exact"/>
              <w:rPr>
                <w:sz w:val="20"/>
                <w:szCs w:val="20"/>
                <w:color w:val="auto"/>
              </w:rPr>
            </w:pPr>
            <w:r>
              <w:rPr>
                <w:rFonts w:ascii="Arial" w:cs="Arial" w:eastAsia="Arial" w:hAnsi="Arial"/>
                <w:sz w:val="18"/>
                <w:szCs w:val="18"/>
                <w:color w:val="auto"/>
              </w:rPr>
              <w:t>Days in cash cycle</w:t>
            </w:r>
          </w:p>
        </w:tc>
        <w:tc>
          <w:tcPr>
            <w:tcW w:w="460" w:type="dxa"/>
            <w:vAlign w:val="bottom"/>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w:t>
            </w:r>
          </w:p>
        </w:tc>
        <w:tc>
          <w:tcPr>
            <w:tcW w:w="180" w:type="dxa"/>
            <w:vAlign w:val="bottom"/>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57</w:t>
            </w:r>
          </w:p>
        </w:tc>
        <w:tc>
          <w:tcPr>
            <w:tcW w:w="180" w:type="dxa"/>
            <w:vAlign w:val="bottom"/>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w:t>
            </w:r>
          </w:p>
        </w:tc>
        <w:tc>
          <w:tcPr>
            <w:tcW w:w="180" w:type="dxa"/>
            <w:vAlign w:val="bottom"/>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w:t>
            </w:r>
          </w:p>
        </w:tc>
        <w:tc>
          <w:tcPr>
            <w:tcW w:w="1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decrease in our cash cycle in the third quarter of 2022 compared to the same period of 2021 was primarily due to a three day decrease in our days supply of inventory partially offset by a one day decrease in our payables cycle. The decrease in our days supply of inventory in the third quarter was due to more typical seasonal demand trends in the current year which allowed us to improve our inventory turns.</w:t>
      </w:r>
    </w:p>
    <w:p>
      <w:pPr>
        <w:spacing w:after="0" w:line="187"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Our cash flows from operations for the first nine months of 2022 increased to $533 million compared to $282 million of cash from operations during the first nine months of 2021. This improvement in operational cash flows is due to net earnings and non-cash expenses totaling $687 million, compared to $475 million last year, offset by a $154 million increase in net working capital since the end of last year, compared to a $193 million increase in the prior year. This year, customer demand, particularly in our retail segment, followed more typical seasonal trends which allowed us to improve our inventory turns.</w:t>
      </w:r>
    </w:p>
    <w:p>
      <w:pPr>
        <w:spacing w:after="0" w:line="192"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Purchases of property, plant, and equipment and acquisitions (refer to Note F for Business Combinations) comprised most of our cash used in investing activities during the first nine months of 2022 and totaled $113.7 million and $105.2 million, respectively. Net purchases of investments totaled $6.9 million. Total proceeds from the sales of property, plant, and equipment were $2.3 million. Outstanding purchase commitments on existing capital projects totaled approximately $65.4 million on September 24, 2022. Capital spending primarily consists of several projects to expand capacity to manufacture new and value-added products, achieve efficiencies through automation, make improvements to a number of facilities, and increase our transportation capacity (tractors, trailers) in order to meet higher volumes and replace older rolling stock. We intend to fund capital expenditures and purchase commitments through our operating cash flows for the balance of the year. We currently plan to spend approximately $175 million on capital projects for the year subject to significant variability due to extended supplier lead times. Notable areas of capital spending include projects to increase the capacity and efficiency of our plants that produce our Deckorators mineral-based composite and wood-plastic composite decking and our UFP Edge siding, pattern and trim products, expand our capacity to produce machine-built pallets and engineered wood components, and take advantage of automation opportunities.</w:t>
      </w:r>
    </w:p>
    <w:p>
      <w:pPr>
        <w:spacing w:after="0" w:line="174"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Cash flows from financing activities consisted of cash paid for repurchases of common stock of $93.2 million. We repurchased approximately 1.21 million shares of our common stock for $93.2 million for the year at an average share price of $77.06. The total number of remaining shares that may be repurchased under the program is approximately 1.4 million. Dividends paid during the first nine months of 2022 include first quarter dividends of $12.5 million ($0.20 per share) and second and third quarter dividends of $30.9 million ($0.25 per share). On October 19, 2022, the Board approved a quarterly dividend payment of $0.25 per share, payable on December 15, 2022, to shareholders of record on December 1, 2022. Net repayments of debt were approximately $2.3 million and distributions to noncontrolling interests were $12.0 million. We have debt maturities of $38.7 million due in December of this year which we intend to repay through operating cash flows and available cash balances.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On September 24, 2022, we had $6.9 million outstanding on our $550 million revolving credit facility, and we had approximately $536.0 million in remaining availability after considering $7.1 million in outstanding letters of credit. Financial covenants on the unsecured revolving credit facility and unsecured notes include minimum interest tests and a maximum leverage ratio. The agreements also restrict the amount of additional indebtedness we may incur and the amount of assets which may be sold. We were in compliance with all our covenant requirements on September 24, 2022.</w:t>
      </w:r>
    </w:p>
    <w:p>
      <w:pPr>
        <w:spacing w:after="0" w:line="16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At the end of the third quarter of 2022, we have approximately $1.5 billion in total liquidity, consisting of our net cash surplus and remaining availability under our revolving credit facility and a shelf agreement with certain lenders providing up to $500 million in borrowing capacity.</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ENVIRONMENTAL CONSIDERATIONS AND REGULATIONS</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See Notes to Unaudited Consolidated Condensed Financial Statements, Note E, “Commitments, Contingencies, and Guarantees.”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left="60" w:right="79"/>
        <w:spacing w:after="0" w:line="279" w:lineRule="auto"/>
        <w:rPr>
          <w:sz w:val="20"/>
          <w:szCs w:val="20"/>
          <w:color w:val="auto"/>
        </w:rPr>
      </w:pPr>
      <w:r>
        <w:rPr>
          <w:rFonts w:ascii="Arial" w:cs="Arial" w:eastAsia="Arial" w:hAnsi="Arial"/>
          <w:sz w:val="17"/>
          <w:szCs w:val="17"/>
          <w:color w:val="auto"/>
        </w:rPr>
        <w:t>In preparing our consolidated financial statements, we follow accounting principles generally accepted in the United States. These principles require us to make certain estimates and apply judgments that affect our financial position and results of operations. We continually review our accounting policies and financial information disclosures. There have been no material changes in our policies or estimates since December 25, 2021.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FORWARD OUTLOOK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Most recently, our long-term goals have been to:</w:t>
      </w:r>
    </w:p>
    <w:p>
      <w:pPr>
        <w:spacing w:after="0" w:line="117" w:lineRule="exact"/>
        <w:rPr>
          <w:sz w:val="20"/>
          <w:szCs w:val="20"/>
          <w:color w:val="auto"/>
        </w:rPr>
      </w:pPr>
    </w:p>
    <w:p>
      <w:pPr>
        <w:ind w:left="720" w:right="119" w:hanging="319"/>
        <w:spacing w:after="0" w:line="277"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Grow our annual unit sales by 5-7%. We anticipate smaller tuck in acquisitions will continue to contribute toward this goal.</w:t>
      </w:r>
    </w:p>
    <w:p>
      <w:pPr>
        <w:spacing w:after="0" w:line="62" w:lineRule="exact"/>
        <w:rPr>
          <w:rFonts w:ascii="Arial" w:cs="Arial" w:eastAsia="Arial" w:hAnsi="Arial"/>
          <w:sz w:val="18"/>
          <w:szCs w:val="18"/>
          <w:color w:val="auto"/>
        </w:rPr>
      </w:pPr>
    </w:p>
    <w:p>
      <w:pPr>
        <w:ind w:left="720" w:right="199" w:hanging="319"/>
        <w:spacing w:after="0" w:line="277"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Achieve and sustain a 10% EBITDA margin by continuing to enhance our capabilities and grow our portfolio of value-added products.</w:t>
      </w:r>
    </w:p>
    <w:p>
      <w:pPr>
        <w:spacing w:after="0" w:line="62" w:lineRule="exact"/>
        <w:rPr>
          <w:rFonts w:ascii="Arial" w:cs="Arial" w:eastAsia="Arial" w:hAnsi="Arial"/>
          <w:sz w:val="18"/>
          <w:szCs w:val="18"/>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Earn an incremental return on new investment over our cost of capital.</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Maintain a conservative capital structure.</w:t>
      </w:r>
    </w:p>
    <w:p>
      <w:pPr>
        <w:spacing w:after="0" w:line="225" w:lineRule="exact"/>
        <w:rPr>
          <w:sz w:val="20"/>
          <w:szCs w:val="20"/>
          <w:color w:val="auto"/>
        </w:rPr>
      </w:pPr>
    </w:p>
    <w:p>
      <w:pPr>
        <w:jc w:val="both"/>
        <w:ind w:left="60" w:right="219"/>
        <w:spacing w:after="0" w:line="259" w:lineRule="auto"/>
        <w:rPr>
          <w:sz w:val="20"/>
          <w:szCs w:val="20"/>
          <w:color w:val="auto"/>
        </w:rPr>
      </w:pPr>
      <w:r>
        <w:rPr>
          <w:rFonts w:ascii="Arial" w:cs="Arial" w:eastAsia="Arial" w:hAnsi="Arial"/>
          <w:sz w:val="18"/>
          <w:szCs w:val="18"/>
          <w:color w:val="auto"/>
        </w:rPr>
        <w:t>We believe the effective execution of our strategies will allow us to achieve these long-term goals in the future. However, current economic conditions indicate the U.S. economy is either in or headed towards a recession, which will impact our results and vary depending on its severity and duration. The following factors should be considered when evaluating our future results:</w:t>
      </w:r>
    </w:p>
    <w:p>
      <w:pPr>
        <w:spacing w:after="0" w:line="79" w:lineRule="exact"/>
        <w:rPr>
          <w:sz w:val="20"/>
          <w:szCs w:val="20"/>
          <w:color w:val="auto"/>
        </w:rPr>
      </w:pPr>
    </w:p>
    <w:p>
      <w:pPr>
        <w:jc w:val="both"/>
        <w:ind w:left="720" w:right="139" w:hanging="319"/>
        <w:spacing w:after="0" w:line="263"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Retail sales accounted for 38% of our net sales for the first nine months of 2022. When evaluating future demand for the segment, we analyze data such as the same-store sales growth of national home improvement retailers and forecasts of home remodeling activity.</w:t>
      </w:r>
    </w:p>
    <w:p>
      <w:pPr>
        <w:spacing w:after="0" w:line="75" w:lineRule="exact"/>
        <w:rPr>
          <w:rFonts w:ascii="Arial" w:cs="Arial" w:eastAsia="Arial" w:hAnsi="Arial"/>
          <w:sz w:val="18"/>
          <w:szCs w:val="18"/>
          <w:color w:val="auto"/>
        </w:rPr>
      </w:pPr>
    </w:p>
    <w:p>
      <w:pPr>
        <w:ind w:left="720" w:right="499" w:hanging="319"/>
        <w:spacing w:after="0" w:line="263"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Industrial sales accounted for 24% of our net sales for the first nine months of 2022. When evaluating future demand, we consider a number of metrics, including the Purchasing Managers Index (PMI), durable goods manufacturing, and U.S. real GDP.</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Construction sales accounted for 31% of our net sales for the first nine months of 2022.</w:t>
      </w:r>
    </w:p>
    <w:p>
      <w:pPr>
        <w:spacing w:after="0" w:line="117" w:lineRule="exact"/>
        <w:rPr>
          <w:rFonts w:ascii="Arial" w:cs="Arial" w:eastAsia="Arial" w:hAnsi="Arial"/>
          <w:sz w:val="18"/>
          <w:szCs w:val="18"/>
          <w:color w:val="auto"/>
        </w:rPr>
      </w:pPr>
    </w:p>
    <w:p>
      <w:pPr>
        <w:ind w:left="1380" w:right="99" w:hanging="331"/>
        <w:spacing w:after="0" w:line="255" w:lineRule="auto"/>
        <w:tabs>
          <w:tab w:leader="none" w:pos="13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site-built business unit accounted for approximately 14% of our net sales for the first nine months of 2022. Approximately one-third of site-built customers are multifamily builders. More than 75% of our site-built residential housing sales are in areas such as Texas and the Mid-Atlantic, Southeast and Mountain West regions, which have experienced significant population growth through migration from other states and are forecasted to continue to grow in the long term. When evaluating future demand, we analyze data from housing starts in those regions.</w:t>
      </w:r>
    </w:p>
    <w:p>
      <w:pPr>
        <w:spacing w:after="0" w:line="84" w:lineRule="exact"/>
        <w:rPr>
          <w:rFonts w:ascii="Arial" w:cs="Arial" w:eastAsia="Arial" w:hAnsi="Arial"/>
          <w:sz w:val="18"/>
          <w:szCs w:val="18"/>
          <w:color w:val="auto"/>
        </w:rPr>
      </w:pPr>
    </w:p>
    <w:p>
      <w:pPr>
        <w:ind w:left="1380" w:right="99" w:hanging="331"/>
        <w:spacing w:after="0" w:line="257" w:lineRule="auto"/>
        <w:tabs>
          <w:tab w:leader="none" w:pos="13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factory-built business unit accounted for 13% of our net sales for the first nine months of 2022. This business, along with our multifamily business, could benefit from higher interest rates as buyers seek more affordable housing alternatives. As a result of these factors, we believe these customers are better insulated from downturns in the housing market. When evaluating future demand, we analyze data from production of manufactured housing.</w:t>
      </w:r>
    </w:p>
    <w:p>
      <w:pPr>
        <w:spacing w:after="0" w:line="79" w:lineRule="exact"/>
        <w:rPr>
          <w:rFonts w:ascii="Arial" w:cs="Arial" w:eastAsia="Arial" w:hAnsi="Arial"/>
          <w:sz w:val="18"/>
          <w:szCs w:val="18"/>
          <w:color w:val="auto"/>
        </w:rPr>
      </w:pPr>
    </w:p>
    <w:p>
      <w:pPr>
        <w:ind w:left="1380" w:right="139" w:hanging="331"/>
        <w:spacing w:after="0" w:line="263" w:lineRule="auto"/>
        <w:tabs>
          <w:tab w:leader="none" w:pos="13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commercial and concrete forming business units accounted for approximately 6% of our net sales for the first nine months of 2022. When evaluating future demand, we analyze data from non-residential construction spending.</w:t>
      </w:r>
    </w:p>
    <w:p>
      <w:pPr>
        <w:spacing w:after="0" w:line="75" w:lineRule="exact"/>
        <w:rPr>
          <w:rFonts w:ascii="Arial" w:cs="Arial" w:eastAsia="Arial" w:hAnsi="Arial"/>
          <w:sz w:val="18"/>
          <w:szCs w:val="18"/>
          <w:color w:val="auto"/>
        </w:rPr>
      </w:pPr>
    </w:p>
    <w:p>
      <w:pPr>
        <w:ind w:left="720" w:right="119" w:hanging="319"/>
        <w:spacing w:after="0" w:line="255"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a consolidated basis, and based on our 2022 forecasted results of operations and business mix, we believe our decremental operating margin is in a range of 15% to 20% of net sales. In other words, we believe for every dollar decrease in sales, relative to the prior year, our earnings from operations may decline by $0.15 to $0.20. As a point of reference, our peak to trough decremental operating margin during the Great Recession was approximately 13.5% (2006 peak to 2011 trough). We estimate that our decremental margins by segment are as follows:</w:t>
      </w:r>
    </w:p>
    <w:p>
      <w:pPr>
        <w:spacing w:after="0" w:line="84" w:lineRule="exact"/>
        <w:rPr>
          <w:rFonts w:ascii="Arial" w:cs="Arial" w:eastAsia="Arial" w:hAnsi="Arial"/>
          <w:sz w:val="18"/>
          <w:szCs w:val="18"/>
          <w:color w:val="auto"/>
        </w:rPr>
      </w:pPr>
    </w:p>
    <w:p>
      <w:pPr>
        <w:ind w:left="1380" w:hanging="331"/>
        <w:spacing w:after="0"/>
        <w:tabs>
          <w:tab w:leader="none" w:pos="13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Retail is in a range of 5% to 10%</w:t>
      </w:r>
    </w:p>
    <w:p>
      <w:pPr>
        <w:spacing w:after="0" w:line="117" w:lineRule="exact"/>
        <w:rPr>
          <w:rFonts w:ascii="Arial" w:cs="Arial" w:eastAsia="Arial" w:hAnsi="Arial"/>
          <w:sz w:val="18"/>
          <w:szCs w:val="18"/>
          <w:color w:val="auto"/>
        </w:rPr>
      </w:pPr>
    </w:p>
    <w:p>
      <w:pPr>
        <w:ind w:left="1380" w:hanging="331"/>
        <w:spacing w:after="0"/>
        <w:tabs>
          <w:tab w:leader="none" w:pos="13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Industrial is in a range of 20% to 25%</w:t>
      </w:r>
    </w:p>
    <w:p>
      <w:pPr>
        <w:spacing w:after="0" w:line="117" w:lineRule="exact"/>
        <w:rPr>
          <w:rFonts w:ascii="Arial" w:cs="Arial" w:eastAsia="Arial" w:hAnsi="Arial"/>
          <w:sz w:val="18"/>
          <w:szCs w:val="18"/>
          <w:color w:val="auto"/>
        </w:rPr>
      </w:pPr>
    </w:p>
    <w:p>
      <w:pPr>
        <w:ind w:left="1380" w:hanging="331"/>
        <w:spacing w:after="0"/>
        <w:tabs>
          <w:tab w:leader="none" w:pos="13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Construction is in a range of 20% to 25%</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Key factors that may impact the ranges provided above include estimates of:</w:t>
      </w:r>
    </w:p>
    <w:p>
      <w:pPr>
        <w:spacing w:after="0" w:line="117" w:lineRule="exact"/>
        <w:rPr>
          <w:rFonts w:ascii="Arial" w:cs="Arial" w:eastAsia="Arial" w:hAnsi="Arial"/>
          <w:sz w:val="18"/>
          <w:szCs w:val="18"/>
          <w:color w:val="auto"/>
        </w:rPr>
      </w:pPr>
    </w:p>
    <w:p>
      <w:pPr>
        <w:ind w:left="1380" w:hanging="331"/>
        <w:spacing w:after="0"/>
        <w:tabs>
          <w:tab w:leader="none" w:pos="13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Changes in our selling prices</w:t>
      </w:r>
    </w:p>
    <w:p>
      <w:pPr>
        <w:spacing w:after="0" w:line="117" w:lineRule="exact"/>
        <w:rPr>
          <w:rFonts w:ascii="Arial" w:cs="Arial" w:eastAsia="Arial" w:hAnsi="Arial"/>
          <w:sz w:val="18"/>
          <w:szCs w:val="18"/>
          <w:color w:val="auto"/>
        </w:rPr>
      </w:pPr>
    </w:p>
    <w:p>
      <w:pPr>
        <w:ind w:left="1380" w:hanging="331"/>
        <w:spacing w:after="0"/>
        <w:tabs>
          <w:tab w:leader="none" w:pos="13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Changes in our sales mix by segment, business unit, and product</w:t>
      </w:r>
    </w:p>
    <w:p>
      <w:pPr>
        <w:spacing w:after="0" w:line="117" w:lineRule="exact"/>
        <w:rPr>
          <w:rFonts w:ascii="Arial" w:cs="Arial" w:eastAsia="Arial" w:hAnsi="Arial"/>
          <w:sz w:val="18"/>
          <w:szCs w:val="18"/>
          <w:color w:val="auto"/>
        </w:rPr>
      </w:pPr>
    </w:p>
    <w:p>
      <w:pPr>
        <w:ind w:left="1380" w:right="159" w:hanging="331"/>
        <w:spacing w:after="0" w:line="277" w:lineRule="auto"/>
        <w:tabs>
          <w:tab w:leader="none" w:pos="13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impact and level of the Lumber Market and trends in the commodity and other material costs of our products</w:t>
      </w:r>
    </w:p>
    <w:p>
      <w:pPr>
        <w:spacing w:after="0" w:line="62" w:lineRule="exact"/>
        <w:rPr>
          <w:rFonts w:ascii="Arial" w:cs="Arial" w:eastAsia="Arial" w:hAnsi="Arial"/>
          <w:sz w:val="18"/>
          <w:szCs w:val="18"/>
          <w:color w:val="auto"/>
        </w:rPr>
      </w:pPr>
    </w:p>
    <w:p>
      <w:pPr>
        <w:ind w:left="1380" w:hanging="331"/>
        <w:spacing w:after="0"/>
        <w:tabs>
          <w:tab w:leader="none" w:pos="13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Changes in labor rates</w:t>
      </w:r>
    </w:p>
    <w:p>
      <w:pPr>
        <w:spacing w:after="0" w:line="117" w:lineRule="exact"/>
        <w:rPr>
          <w:rFonts w:ascii="Arial" w:cs="Arial" w:eastAsia="Arial" w:hAnsi="Arial"/>
          <w:sz w:val="18"/>
          <w:szCs w:val="18"/>
          <w:color w:val="auto"/>
        </w:rPr>
      </w:pPr>
    </w:p>
    <w:p>
      <w:pPr>
        <w:ind w:left="1380" w:right="799" w:hanging="331"/>
        <w:spacing w:after="0" w:line="277" w:lineRule="auto"/>
        <w:tabs>
          <w:tab w:leader="none" w:pos="13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Our ability to reduce variable manufacturing, freight, selling, general, and administrative costs, particularly certain personnel costs, in line with net sales</w:t>
      </w:r>
    </w:p>
    <w:p>
      <w:pPr>
        <w:spacing w:after="0" w:line="62" w:lineRule="exact"/>
        <w:rPr>
          <w:rFonts w:ascii="Arial" w:cs="Arial" w:eastAsia="Arial" w:hAnsi="Arial"/>
          <w:sz w:val="18"/>
          <w:szCs w:val="18"/>
          <w:color w:val="auto"/>
        </w:rPr>
      </w:pPr>
    </w:p>
    <w:p>
      <w:pPr>
        <w:ind w:left="1380" w:right="499" w:hanging="331"/>
        <w:spacing w:after="0" w:line="277" w:lineRule="auto"/>
        <w:tabs>
          <w:tab w:leader="none" w:pos="13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results of our salaried bonus plan, which is based on pre-bonus profits and achieving minimum levels of pre-bonus return on investment over a required hurdle rate</w:t>
      </w:r>
    </w:p>
    <w:p>
      <w:pPr>
        <w:spacing w:after="0" w:line="62" w:lineRule="exact"/>
        <w:rPr>
          <w:rFonts w:ascii="Arial" w:cs="Arial" w:eastAsia="Arial" w:hAnsi="Arial"/>
          <w:sz w:val="18"/>
          <w:szCs w:val="18"/>
          <w:color w:val="auto"/>
        </w:rPr>
      </w:pPr>
    </w:p>
    <w:p>
      <w:pPr>
        <w:ind w:left="1380" w:hanging="331"/>
        <w:spacing w:after="0"/>
        <w:tabs>
          <w:tab w:leader="none" w:pos="13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Inflation and other changes in costs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Capital Allocation:</w:t>
      </w:r>
    </w:p>
    <w:p>
      <w:pPr>
        <w:spacing w:after="0" w:line="117" w:lineRule="exact"/>
        <w:rPr>
          <w:sz w:val="20"/>
          <w:szCs w:val="20"/>
          <w:color w:val="auto"/>
        </w:rPr>
      </w:pPr>
    </w:p>
    <w:p>
      <w:pPr>
        <w:ind w:left="60" w:right="159"/>
        <w:spacing w:after="0" w:line="311" w:lineRule="auto"/>
        <w:rPr>
          <w:sz w:val="20"/>
          <w:szCs w:val="20"/>
          <w:color w:val="auto"/>
        </w:rPr>
      </w:pPr>
      <w:r>
        <w:rPr>
          <w:rFonts w:ascii="Arial" w:cs="Arial" w:eastAsia="Arial" w:hAnsi="Arial"/>
          <w:sz w:val="16"/>
          <w:szCs w:val="16"/>
          <w:color w:val="auto"/>
        </w:rPr>
        <w:t>We believe the strength of our cash flow generation and conservative capital structure will provide us with sufficient resources to grow our business and also return to shareholders. We plan to continue to pursue a balanced and return driven approach to capital allocation across dividends, share buybacks, capital investments and acquisitions. Specifically:</w:t>
      </w:r>
    </w:p>
    <w:p>
      <w:pPr>
        <w:spacing w:after="0" w:line="41" w:lineRule="exact"/>
        <w:rPr>
          <w:sz w:val="20"/>
          <w:szCs w:val="20"/>
          <w:color w:val="auto"/>
        </w:rPr>
      </w:pPr>
    </w:p>
    <w:p>
      <w:pPr>
        <w:ind w:left="720" w:right="299" w:hanging="319"/>
        <w:spacing w:after="0" w:line="342" w:lineRule="auto"/>
        <w:tabs>
          <w:tab w:leader="none" w:pos="7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board just approved another quarterly dividend of $0.25 per share share, representing an increase of 67% from the prior year. We continue to consider our payout ratios and yield when determining the appropriate rate.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720" w:right="259" w:hanging="319"/>
        <w:spacing w:after="0" w:line="286" w:lineRule="auto"/>
        <w:tabs>
          <w:tab w:leader="none" w:pos="7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For the first nine months of 2022, we repurchased 1.2 million shares of our stock at an average price of $77.06. We have remaining authorization to repurchase up to an additional 1.4 million shares through the balance of the year and will continue to do so at times when the price hits our pre-established target.</w:t>
      </w:r>
    </w:p>
    <w:p>
      <w:pPr>
        <w:spacing w:after="0" w:line="57" w:lineRule="exact"/>
        <w:rPr>
          <w:rFonts w:ascii="Arial" w:cs="Arial" w:eastAsia="Arial" w:hAnsi="Arial"/>
          <w:sz w:val="17"/>
          <w:szCs w:val="17"/>
          <w:color w:val="auto"/>
        </w:rPr>
      </w:pPr>
    </w:p>
    <w:p>
      <w:pPr>
        <w:ind w:left="720" w:right="139" w:hanging="319"/>
        <w:spacing w:after="0" w:line="257"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Capital expenditures in 2022 are likely to be at or below the low end of our targeted capital expenditures range of $175-$225 million, due to the extended lead times required for most equipment and rolling stock. Priority continues to be given to projects that enhance the working environments of our plants, take advantage of automation opportunities, and drive strategies that have strong long-term growth potential of new and value-added products.</w:t>
      </w:r>
    </w:p>
    <w:p>
      <w:pPr>
        <w:spacing w:after="0" w:line="79" w:lineRule="exact"/>
        <w:rPr>
          <w:rFonts w:ascii="Arial" w:cs="Arial" w:eastAsia="Arial" w:hAnsi="Arial"/>
          <w:sz w:val="18"/>
          <w:szCs w:val="18"/>
          <w:color w:val="auto"/>
        </w:rPr>
      </w:pPr>
    </w:p>
    <w:p>
      <w:pPr>
        <w:ind w:left="720" w:right="259" w:hanging="319"/>
        <w:spacing w:after="0" w:line="277"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continue to pursue a healthy pipeline of acquisition opportunities of companies that are a strong strategic fit and enhance our capabilities while providing higher margin, return, and growth potential.</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left="60" w:right="79"/>
        <w:spacing w:after="0" w:line="286" w:lineRule="auto"/>
        <w:rPr>
          <w:sz w:val="20"/>
          <w:szCs w:val="20"/>
          <w:color w:val="auto"/>
        </w:rPr>
      </w:pPr>
      <w:r>
        <w:rPr>
          <w:rFonts w:ascii="Arial" w:cs="Arial" w:eastAsia="Arial" w:hAnsi="Arial"/>
          <w:sz w:val="17"/>
          <w:szCs w:val="17"/>
          <w:color w:val="auto"/>
        </w:rPr>
        <w:t>We are exposed to market risks related to fluctuations in interest rates on our variable rate debt, which consists of a revolving credit facility and industrial development revenue bonds. We do not currently use interest rate swaps, futures contracts or options on futures, or other types of derivative financial instruments to mitigate this risk.</w:t>
      </w:r>
    </w:p>
    <w:p>
      <w:pPr>
        <w:spacing w:after="0" w:line="16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For fixed rate debt, changes in interest rates generally affect the fair market value, but not earnings or cash flows. Conversely, for variable rate debt, changes in interest rates generally do not influence fair market value, but do affect future earnings and cash flows. We do not have an obligation to prepay fixed rate debt prior to maturity, and as a result, interest rate risk and changes in fair market value should not have a significant impact on such debt until we would be required to refinance it.</w:t>
      </w:r>
    </w:p>
    <w:p>
      <w:pPr>
        <w:spacing w:after="0" w:line="18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are subject to fluctuations in the price of lumber. We experience significant fluctuations in the cost of commodity lumber products from primary producers (the “Lumber Market”). A variety of factors over which we have no control, including government regulations, transportation, environmental regulations, weather conditions, economic conditions, and natural disasters, impact the cost of lumber products and our selling prices. While we attempt to minimize our risk from severe price fluctuations, substantial, prolonged trends in lumber prices can affect our sales volume, our gross margins, and our profitability. We anticipate that these fluctuations will continue in the future. (See “Impact of the Lumber Market on Our Operating Results.”)</w:t>
      </w:r>
    </w:p>
    <w:p>
      <w:pPr>
        <w:spacing w:after="0" w:line="195" w:lineRule="exact"/>
        <w:rPr>
          <w:sz w:val="20"/>
          <w:szCs w:val="20"/>
          <w:color w:val="auto"/>
        </w:rPr>
      </w:pPr>
    </w:p>
    <w:p>
      <w:pPr>
        <w:jc w:val="both"/>
        <w:ind w:left="60" w:right="79"/>
        <w:spacing w:after="0" w:line="275" w:lineRule="auto"/>
        <w:rPr>
          <w:sz w:val="20"/>
          <w:szCs w:val="20"/>
          <w:color w:val="auto"/>
        </w:rPr>
      </w:pPr>
      <w:r>
        <w:rPr>
          <w:rFonts w:ascii="Arial" w:cs="Arial" w:eastAsia="Arial" w:hAnsi="Arial"/>
          <w:sz w:val="17"/>
          <w:szCs w:val="17"/>
          <w:color w:val="auto"/>
        </w:rPr>
        <w:t>Our international operations have exposure to foreign currency rate risks, primarily due to fluctuations in their local currency, which is their functional currency, compared to the U.S. Dollar. Additionally, certain of our operations enter into transactions that will be settled in a currency other than the U.S. Dollar. We may enter into forward foreign exchange rate contracts in the future to mitigate foreign currency exchange risk. Historically, our hedge contracts are deemed immaterial to the financial statements, however any material hedge contract in the future will be disclosed.</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4. Controls and Procedures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left="880" w:right="79" w:hanging="317"/>
        <w:spacing w:after="0" w:line="301" w:lineRule="auto"/>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Evaluation of Disclosure Controls and Procedures</w:t>
      </w:r>
      <w:r>
        <w:rPr>
          <w:rFonts w:ascii="Arial" w:cs="Arial" w:eastAsia="Arial" w:hAnsi="Arial"/>
          <w:sz w:val="16"/>
          <w:szCs w:val="16"/>
          <w:color w:val="auto"/>
        </w:rPr>
        <w:t>. With the participation of management, our chief executive officer and chief financial officer, after evaluating the effectiveness of our disclosure controls and procedures (as defined in Exchange Act Rules 13a – 15e and 15d – 15e) as of the quarter ended September 24, 2022 (the “Evaluation Date”), have concluded that, as of such date, our disclosure controls and procedures were effective.</w:t>
      </w:r>
    </w:p>
    <w:p>
      <w:pPr>
        <w:spacing w:after="0" w:line="157" w:lineRule="exact"/>
        <w:rPr>
          <w:rFonts w:ascii="Arial" w:cs="Arial" w:eastAsia="Arial" w:hAnsi="Arial"/>
          <w:sz w:val="16"/>
          <w:szCs w:val="16"/>
          <w:color w:val="auto"/>
        </w:rPr>
      </w:pPr>
    </w:p>
    <w:p>
      <w:pPr>
        <w:jc w:val="both"/>
        <w:ind w:left="880" w:right="79" w:hanging="317"/>
        <w:spacing w:after="0" w:line="263"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Controls</w:t>
      </w:r>
      <w:r>
        <w:rPr>
          <w:rFonts w:ascii="Arial" w:cs="Arial" w:eastAsia="Arial" w:hAnsi="Arial"/>
          <w:sz w:val="18"/>
          <w:szCs w:val="18"/>
          <w:color w:val="auto"/>
        </w:rPr>
        <w:t>. During the quarter ended September 24, 2022, there were no changes in our internal control over financial reporting that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1A. Risk Factors</w:t>
      </w:r>
      <w:r>
        <w:rPr>
          <w:rFonts w:ascii="Arial" w:cs="Arial" w:eastAsia="Arial" w:hAnsi="Arial"/>
          <w:sz w:val="18"/>
          <w:szCs w:val="18"/>
          <w:b w:val="1"/>
          <w:bCs w:val="1"/>
          <w:color w:val="auto"/>
        </w:rPr>
        <w: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r>
        <w:rPr>
          <w:rFonts w:ascii="Arial" w:cs="Arial" w:eastAsia="Arial" w:hAnsi="Arial"/>
          <w:sz w:val="18"/>
          <w:szCs w:val="18"/>
          <w:b w:val="1"/>
          <w:bCs w:val="1"/>
          <w:color w:val="auto"/>
        </w:rPr>
        <w:t>.</w:t>
      </w:r>
    </w:p>
    <w:p>
      <w:pPr>
        <w:spacing w:after="0" w:line="229" w:lineRule="exact"/>
        <w:rPr>
          <w:sz w:val="20"/>
          <w:szCs w:val="20"/>
          <w:color w:val="auto"/>
        </w:rPr>
      </w:pPr>
    </w:p>
    <w:p>
      <w:pPr>
        <w:ind w:left="880" w:hanging="317"/>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880" w:hanging="317"/>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880" w:hanging="317"/>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Issuer purchases of equity securities.</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5940" w:type="dxa"/>
            <w:vAlign w:val="bottom"/>
            <w:gridSpan w:val="3"/>
          </w:tcPr>
          <w:p>
            <w:pPr>
              <w:ind w:left="20"/>
              <w:spacing w:after="0"/>
              <w:rPr>
                <w:sz w:val="20"/>
                <w:szCs w:val="20"/>
                <w:color w:val="auto"/>
              </w:rPr>
            </w:pPr>
            <w:r>
              <w:rPr>
                <w:rFonts w:ascii="Arial" w:cs="Arial" w:eastAsia="Arial" w:hAnsi="Arial"/>
                <w:sz w:val="14"/>
                <w:szCs w:val="14"/>
                <w:b w:val="1"/>
                <w:bCs w:val="1"/>
                <w:color w:val="auto"/>
              </w:rPr>
              <w:t>Fiscal Month</w:t>
            </w:r>
          </w:p>
        </w:tc>
        <w:tc>
          <w:tcPr>
            <w:tcW w:w="720" w:type="dxa"/>
            <w:vAlign w:val="bottom"/>
            <w:gridSpan w:val="2"/>
          </w:tcPr>
          <w:p>
            <w:pPr>
              <w:ind w:left="200"/>
              <w:spacing w:after="0"/>
              <w:rPr>
                <w:sz w:val="20"/>
                <w:szCs w:val="20"/>
                <w:color w:val="auto"/>
              </w:rPr>
            </w:pPr>
            <w:r>
              <w:rPr>
                <w:rFonts w:ascii="Arial" w:cs="Arial" w:eastAsia="Arial" w:hAnsi="Arial"/>
                <w:sz w:val="14"/>
                <w:szCs w:val="14"/>
                <w:b w:val="1"/>
                <w:bCs w:val="1"/>
                <w:color w:val="auto"/>
              </w:rPr>
              <w:t>(a)</w:t>
            </w:r>
          </w:p>
        </w:tc>
        <w:tc>
          <w:tcPr>
            <w:tcW w:w="700" w:type="dxa"/>
            <w:vAlign w:val="bottom"/>
            <w:gridSpan w:val="2"/>
          </w:tcPr>
          <w:p>
            <w:pPr>
              <w:ind w:left="180"/>
              <w:spacing w:after="0"/>
              <w:rPr>
                <w:sz w:val="20"/>
                <w:szCs w:val="20"/>
                <w:color w:val="auto"/>
              </w:rPr>
            </w:pPr>
            <w:r>
              <w:rPr>
                <w:rFonts w:ascii="Arial" w:cs="Arial" w:eastAsia="Arial" w:hAnsi="Arial"/>
                <w:sz w:val="14"/>
                <w:szCs w:val="14"/>
                <w:b w:val="1"/>
                <w:bCs w:val="1"/>
                <w:color w:val="auto"/>
              </w:rPr>
              <w:t>(b)</w:t>
            </w:r>
          </w:p>
        </w:tc>
        <w:tc>
          <w:tcPr>
            <w:tcW w:w="700" w:type="dxa"/>
            <w:vAlign w:val="bottom"/>
            <w:gridSpan w:val="2"/>
          </w:tcPr>
          <w:p>
            <w:pPr>
              <w:ind w:left="200"/>
              <w:spacing w:after="0"/>
              <w:rPr>
                <w:sz w:val="20"/>
                <w:szCs w:val="20"/>
                <w:color w:val="auto"/>
              </w:rPr>
            </w:pPr>
            <w:r>
              <w:rPr>
                <w:rFonts w:ascii="Arial" w:cs="Arial" w:eastAsia="Arial" w:hAnsi="Arial"/>
                <w:sz w:val="14"/>
                <w:szCs w:val="14"/>
                <w:b w:val="1"/>
                <w:bCs w:val="1"/>
                <w:color w:val="auto"/>
              </w:rPr>
              <w:t>(c)</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(d)</w:t>
            </w:r>
          </w:p>
        </w:tc>
      </w:tr>
      <w:tr>
        <w:trPr>
          <w:trHeight w:val="210"/>
        </w:trPr>
        <w:tc>
          <w:tcPr>
            <w:tcW w:w="58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June 26 – July 30, 2022</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1,394,248</w:t>
            </w:r>
          </w:p>
        </w:tc>
      </w:tr>
      <w:tr>
        <w:trPr>
          <w:trHeight w:val="216"/>
        </w:trPr>
        <w:tc>
          <w:tcPr>
            <w:tcW w:w="5940" w:type="dxa"/>
            <w:vAlign w:val="bottom"/>
            <w:gridSpan w:val="3"/>
          </w:tcPr>
          <w:p>
            <w:pPr>
              <w:ind w:left="20"/>
              <w:spacing w:after="0"/>
              <w:rPr>
                <w:sz w:val="20"/>
                <w:szCs w:val="20"/>
                <w:color w:val="auto"/>
              </w:rPr>
            </w:pPr>
            <w:r>
              <w:rPr>
                <w:rFonts w:ascii="Arial" w:cs="Arial" w:eastAsia="Arial" w:hAnsi="Arial"/>
                <w:sz w:val="18"/>
                <w:szCs w:val="18"/>
                <w:color w:val="auto"/>
              </w:rPr>
              <w:t>July 31 – August 27, 2022</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1,394,248</w:t>
            </w:r>
          </w:p>
        </w:tc>
      </w:tr>
      <w:tr>
        <w:trPr>
          <w:trHeight w:val="216"/>
        </w:trPr>
        <w:tc>
          <w:tcPr>
            <w:tcW w:w="59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August 28 – September 24, 2022</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1,394,248</w:t>
            </w:r>
          </w:p>
        </w:tc>
      </w:tr>
      <w:tr>
        <w:trPr>
          <w:trHeight w:val="108"/>
        </w:trPr>
        <w:tc>
          <w:tcPr>
            <w:tcW w:w="2240" w:type="dxa"/>
            <w:vAlign w:val="bottom"/>
            <w:tcBorders>
              <w:bottom w:val="single" w:sz="8" w:color="auto"/>
            </w:tcBorders>
          </w:tcPr>
          <w:p>
            <w:pPr>
              <w:spacing w:after="0"/>
              <w:rPr>
                <w:sz w:val="9"/>
                <w:szCs w:val="9"/>
                <w:color w:val="auto"/>
              </w:rPr>
            </w:pPr>
          </w:p>
        </w:tc>
        <w:tc>
          <w:tcPr>
            <w:tcW w:w="3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r>
    </w:tbl>
    <w:p>
      <w:pPr>
        <w:spacing w:after="0" w:line="80" w:lineRule="exact"/>
        <w:rPr>
          <w:sz w:val="20"/>
          <w:szCs w:val="20"/>
          <w:color w:val="auto"/>
        </w:rPr>
      </w:pPr>
    </w:p>
    <w:p>
      <w:pPr>
        <w:ind w:left="380" w:hanging="330"/>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Total number of shares purchased.</w:t>
      </w:r>
    </w:p>
    <w:p>
      <w:pPr>
        <w:spacing w:after="0" w:line="23" w:lineRule="exact"/>
        <w:rPr>
          <w:rFonts w:ascii="Arial" w:cs="Arial" w:eastAsia="Arial" w:hAnsi="Arial"/>
          <w:sz w:val="18"/>
          <w:szCs w:val="18"/>
          <w:color w:val="auto"/>
        </w:rPr>
      </w:pPr>
    </w:p>
    <w:p>
      <w:pPr>
        <w:ind w:left="380" w:hanging="330"/>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Average price paid per share.</w:t>
      </w:r>
    </w:p>
    <w:p>
      <w:pPr>
        <w:spacing w:after="0" w:line="9" w:lineRule="exact"/>
        <w:rPr>
          <w:rFonts w:ascii="Arial" w:cs="Arial" w:eastAsia="Arial" w:hAnsi="Arial"/>
          <w:sz w:val="18"/>
          <w:szCs w:val="18"/>
          <w:color w:val="auto"/>
        </w:rPr>
      </w:pPr>
    </w:p>
    <w:p>
      <w:pPr>
        <w:ind w:left="380" w:hanging="330"/>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Total number of shares purchased as part of publicly announced plans or programs.</w:t>
      </w:r>
    </w:p>
    <w:p>
      <w:pPr>
        <w:spacing w:after="0" w:line="9" w:lineRule="exact"/>
        <w:rPr>
          <w:rFonts w:ascii="Arial" w:cs="Arial" w:eastAsia="Arial" w:hAnsi="Arial"/>
          <w:sz w:val="18"/>
          <w:szCs w:val="18"/>
          <w:color w:val="auto"/>
        </w:rPr>
      </w:pPr>
    </w:p>
    <w:p>
      <w:pPr>
        <w:ind w:left="380" w:hanging="330"/>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Maximum number of shares that may yet be purchased under the plans or programs.</w:t>
      </w:r>
    </w:p>
    <w:p>
      <w:pPr>
        <w:spacing w:after="0" w:line="211"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On November 14, 2001, the Board of Directors approved a share repurchase program (which succeeded a previous program) allowing us to repurchase up to 2.5 million shares of our common stock. On October 14, 2010, our Board authorized 2 million shares to be repurchased under our share repurchase program. On February 15, 2022, our Board authorized an additional 1.5 million shares to be repurchased under our existing share repurchase program. The total number of remaining shares that may be repurchased under the program is approximately 1.4 million.</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5. Other Information</w:t>
      </w:r>
      <w:r>
        <w:rPr>
          <w:rFonts w:ascii="Arial" w:cs="Arial" w:eastAsia="Arial" w:hAnsi="Arial"/>
          <w:sz w:val="18"/>
          <w:szCs w:val="18"/>
          <w:b w:val="1"/>
          <w:bCs w:val="1"/>
          <w:color w:val="auto"/>
        </w:rPr>
        <w: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6. Exhibits</w:t>
      </w:r>
      <w:r>
        <w:rPr>
          <w:rFonts w:ascii="Arial" w:cs="Arial" w:eastAsia="Arial" w:hAnsi="Arial"/>
          <w:sz w:val="18"/>
          <w:szCs w:val="18"/>
          <w:b w:val="1"/>
          <w:bCs w:val="1"/>
          <w:color w:val="auto"/>
        </w:rPr>
        <w:t>.</w:t>
      </w:r>
    </w:p>
    <w:p>
      <w:pPr>
        <w:spacing w:after="0" w:line="229"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The following exhibits (listed by number corresponding to the Exhibit Table as Item 601 in Regulation S-K) are filed with this report:</w:t>
      </w:r>
    </w:p>
    <w:p>
      <w:pPr>
        <w:spacing w:after="0" w:line="184" w:lineRule="exact"/>
        <w:rPr>
          <w:sz w:val="20"/>
          <w:szCs w:val="20"/>
          <w:color w:val="auto"/>
        </w:rPr>
      </w:pPr>
    </w:p>
    <w:p>
      <w:pPr>
        <w:ind w:left="540" w:hanging="490"/>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225" w:lineRule="exact"/>
        <w:rPr>
          <w:rFonts w:ascii="Arial" w:cs="Arial" w:eastAsia="Arial" w:hAnsi="Arial"/>
          <w:sz w:val="18"/>
          <w:szCs w:val="18"/>
          <w:color w:val="auto"/>
        </w:rPr>
      </w:pPr>
    </w:p>
    <w:p>
      <w:pPr>
        <w:ind w:left="1100" w:right="139" w:hanging="564"/>
        <w:spacing w:after="0" w:line="277" w:lineRule="auto"/>
        <w:tabs>
          <w:tab w:leader="none" w:pos="1100"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0000EE"/>
        </w:rPr>
        <w:t>Certificate of the Chief Executive Officer of UFP Industries, Inc., pursuant to Section 302 of the Sarbanes-Oxley Act of 2002 (18 U.S.C. 1350).</w:t>
      </w:r>
    </w:p>
    <w:p>
      <w:pPr>
        <w:spacing w:after="0" w:line="170" w:lineRule="exact"/>
        <w:rPr>
          <w:rFonts w:ascii="Arial" w:cs="Arial" w:eastAsia="Arial" w:hAnsi="Arial"/>
          <w:sz w:val="18"/>
          <w:szCs w:val="18"/>
          <w:color w:val="auto"/>
        </w:rPr>
      </w:pPr>
    </w:p>
    <w:p>
      <w:pPr>
        <w:ind w:left="1100" w:right="139" w:hanging="564"/>
        <w:spacing w:after="0" w:line="277" w:lineRule="auto"/>
        <w:tabs>
          <w:tab w:leader="none" w:pos="1100"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0000EE"/>
        </w:rPr>
        <w:t>Certificate of the Chief Financial Officer of UFP Industries, Inc., pursuant to Section 302 of the Sarbanes-Oxley Act of 2002 (18 U.S.C. 1350).</w:t>
      </w:r>
    </w:p>
    <w:p>
      <w:pPr>
        <w:spacing w:after="0" w:line="170" w:lineRule="exact"/>
        <w:rPr>
          <w:rFonts w:ascii="Arial" w:cs="Arial" w:eastAsia="Arial" w:hAnsi="Arial"/>
          <w:sz w:val="18"/>
          <w:szCs w:val="18"/>
          <w:color w:val="auto"/>
        </w:rPr>
      </w:pPr>
    </w:p>
    <w:p>
      <w:pPr>
        <w:ind w:left="540" w:hanging="490"/>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ind w:left="1100" w:right="139" w:hanging="564"/>
        <w:spacing w:after="0" w:line="277" w:lineRule="auto"/>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0000EE"/>
        </w:rPr>
        <w:t>Certificate of the Chief Executive Officer of UFP Industries, Inc., pursuant to Section 906 of the Sarbanes-Oxley Act of 2002 (18 U.S.C. 1350).</w:t>
      </w:r>
    </w:p>
    <w:p>
      <w:pPr>
        <w:spacing w:after="0" w:line="170" w:lineRule="exact"/>
        <w:rPr>
          <w:rFonts w:ascii="Arial" w:cs="Arial" w:eastAsia="Arial" w:hAnsi="Arial"/>
          <w:sz w:val="18"/>
          <w:szCs w:val="18"/>
          <w:color w:val="auto"/>
        </w:rPr>
      </w:pPr>
    </w:p>
    <w:p>
      <w:pPr>
        <w:ind w:left="1100" w:right="139" w:hanging="564"/>
        <w:spacing w:after="0" w:line="277" w:lineRule="auto"/>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0000EE"/>
        </w:rPr>
        <w:t>Certificate of the Chief Financial Officer of UFP Industries, Inc., pursuant to Section 906 of the Sarbanes-Oxley Act of 2002 (18 U.S.C. 1350).</w:t>
      </w:r>
    </w:p>
    <w:p>
      <w:pPr>
        <w:spacing w:after="0" w:line="170" w:lineRule="exact"/>
        <w:rPr>
          <w:sz w:val="20"/>
          <w:szCs w:val="20"/>
          <w:color w:val="auto"/>
        </w:rPr>
      </w:pPr>
    </w:p>
    <w:p>
      <w:pPr>
        <w:ind w:left="540" w:right="1859" w:hanging="490"/>
        <w:spacing w:after="0" w:line="500"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Interactive Data File formatted in iXBRL (Inline eXtensible Business Reporting Language). (INS) iXBRL Instance Document.</w:t>
      </w:r>
    </w:p>
    <w:p>
      <w:pPr>
        <w:spacing w:after="0" w:line="1"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(SCH) iXBRL Schema Document.</w:t>
      </w:r>
    </w:p>
    <w:p>
      <w:pPr>
        <w:spacing w:after="0" w:line="225"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(CAL) iXBRL Taxonomy Extension Calculation Linkbase Document.</w:t>
      </w:r>
    </w:p>
    <w:p>
      <w:pPr>
        <w:spacing w:after="0" w:line="225" w:lineRule="exact"/>
        <w:rPr>
          <w:rFonts w:ascii="Arial" w:cs="Arial" w:eastAsia="Arial" w:hAnsi="Arial"/>
          <w:sz w:val="18"/>
          <w:szCs w:val="18"/>
          <w:color w:val="auto"/>
        </w:rPr>
      </w:pPr>
    </w:p>
    <w:p>
      <w:pPr>
        <w:ind w:left="540" w:right="3339"/>
        <w:spacing w:after="0" w:line="563" w:lineRule="auto"/>
        <w:rPr>
          <w:rFonts w:ascii="Arial" w:cs="Arial" w:eastAsia="Arial" w:hAnsi="Arial"/>
          <w:sz w:val="18"/>
          <w:szCs w:val="18"/>
          <w:color w:val="auto"/>
        </w:rPr>
      </w:pPr>
      <w:r>
        <w:rPr>
          <w:rFonts w:ascii="Arial" w:cs="Arial" w:eastAsia="Arial" w:hAnsi="Arial"/>
          <w:sz w:val="16"/>
          <w:szCs w:val="16"/>
          <w:color w:val="auto"/>
        </w:rPr>
        <w:t>(LAB) iXBRL Taxonomy Extension Label Linkbase Document. (PRE) iXBRL Taxonomy Extension Presentation Linkbase Document.</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(DEF) iXBRL Taxonomy Extension Definition Linkbase Document.</w:t>
      </w:r>
    </w:p>
    <w:p>
      <w:pPr>
        <w:spacing w:after="0" w:line="225" w:lineRule="exact"/>
        <w:rPr>
          <w:sz w:val="20"/>
          <w:szCs w:val="20"/>
          <w:color w:val="auto"/>
        </w:rPr>
      </w:pPr>
    </w:p>
    <w:p>
      <w:pPr>
        <w:ind w:left="540" w:hanging="490"/>
        <w:spacing w:after="0"/>
        <w:tabs>
          <w:tab w:leader="none" w:pos="5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Cover Page Interactive Data File (the cover page XBRL tags are embedded in the Inline XBRL document).</w:t>
      </w:r>
    </w:p>
    <w:p>
      <w:pPr>
        <w:spacing w:after="0" w:line="232" w:lineRule="exact"/>
        <w:rPr>
          <w:rFonts w:ascii="Arial" w:cs="Arial" w:eastAsia="Arial" w:hAnsi="Arial"/>
          <w:sz w:val="17"/>
          <w:szCs w:val="17"/>
          <w:color w:val="auto"/>
        </w:rPr>
      </w:pPr>
    </w:p>
    <w:p>
      <w:pPr>
        <w:ind w:left="3920"/>
        <w:spacing w:after="0"/>
        <w:rPr>
          <w:rFonts w:ascii="Arial" w:cs="Arial" w:eastAsia="Arial" w:hAnsi="Arial"/>
          <w:sz w:val="17"/>
          <w:szCs w:val="17"/>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ectPr>
          <w:pgSz w:w="11900" w:h="16838" w:orient="portrait"/>
          <w:cols w:equalWidth="0" w:num="1">
            <w:col w:w="9019"/>
          </w:cols>
          <w:pgMar w:left="1440" w:top="54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0"/>
        <w:spacing w:after="0"/>
        <w:rPr>
          <w:sz w:val="20"/>
          <w:szCs w:val="20"/>
          <w:color w:val="auto"/>
        </w:rPr>
      </w:pPr>
      <w:r>
        <w:rPr>
          <w:rFonts w:ascii="Arial" w:cs="Arial" w:eastAsia="Arial" w:hAnsi="Arial"/>
          <w:sz w:val="16"/>
          <w:szCs w:val="16"/>
          <w:color w:val="auto"/>
        </w:rPr>
        <w:t xml:space="preserve">Date: </w:t>
      </w:r>
      <w:r>
        <w:rPr>
          <w:rFonts w:ascii="Arial" w:cs="Arial" w:eastAsia="Arial" w:hAnsi="Arial"/>
          <w:sz w:val="16"/>
          <w:szCs w:val="16"/>
          <w:u w:val="single" w:color="auto"/>
          <w:color w:val="auto"/>
        </w:rPr>
        <w:t>November 3,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0"/>
        <w:spacing w:after="0"/>
        <w:rPr>
          <w:sz w:val="20"/>
          <w:szCs w:val="20"/>
          <w:color w:val="auto"/>
        </w:rPr>
      </w:pPr>
      <w:r>
        <w:rPr>
          <w:rFonts w:ascii="Arial" w:cs="Arial" w:eastAsia="Arial" w:hAnsi="Arial"/>
          <w:sz w:val="16"/>
          <w:szCs w:val="16"/>
          <w:color w:val="auto"/>
        </w:rPr>
        <w:t xml:space="preserve">Date: </w:t>
      </w:r>
      <w:r>
        <w:rPr>
          <w:rFonts w:ascii="Arial" w:cs="Arial" w:eastAsia="Arial" w:hAnsi="Arial"/>
          <w:sz w:val="16"/>
          <w:szCs w:val="16"/>
          <w:u w:val="single" w:color="auto"/>
          <w:color w:val="auto"/>
        </w:rPr>
        <w:t>November 3, 2022</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2639"/>
        <w:spacing w:after="0"/>
        <w:rPr>
          <w:sz w:val="20"/>
          <w:szCs w:val="20"/>
          <w:color w:val="auto"/>
        </w:rPr>
      </w:pPr>
      <w:r>
        <w:rPr>
          <w:rFonts w:ascii="Arial" w:cs="Arial" w:eastAsia="Arial" w:hAnsi="Arial"/>
          <w:sz w:val="17"/>
          <w:szCs w:val="17"/>
          <w:b w:val="1"/>
          <w:bCs w:val="1"/>
          <w:color w:val="auto"/>
        </w:rPr>
        <w:t>UFP INDUSTRIES, INC.</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14605</wp:posOffset>
            </wp:positionV>
            <wp:extent cx="266573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6573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Matthew J. Missad,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 and Principal Executive Officer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By: /s/ 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14605</wp:posOffset>
            </wp:positionV>
            <wp:extent cx="266573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6573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R. Cole,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ectPr>
          <w:pgSz w:w="11900" w:h="16838" w:orient="portrait"/>
          <w:cols w:equalWidth="0" w:num="2">
            <w:col w:w="3700" w:space="720"/>
            <w:col w:w="4599"/>
          </w:cols>
          <w:pgMar w:left="1440" w:top="544" w:right="1440" w:bottom="1440" w:gutter="0" w:footer="0" w:header="0"/>
          <w:type w:val="continuous"/>
        </w:sect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38" w:name="page39"/>
    <w:bookmarkEnd w:id="38"/>
    <w:p>
      <w:pPr>
        <w:jc w:val="right"/>
        <w:ind w:right="59"/>
        <w:spacing w:after="0"/>
        <w:rPr>
          <w:sz w:val="20"/>
          <w:szCs w:val="20"/>
          <w:color w:val="auto"/>
        </w:rPr>
      </w:pPr>
      <w:r>
        <w:rPr>
          <w:rFonts w:ascii="Arial" w:cs="Arial" w:eastAsia="Arial" w:hAnsi="Arial"/>
          <w:sz w:val="18"/>
          <w:szCs w:val="18"/>
          <w:b w:val="1"/>
          <w:bCs w:val="1"/>
          <w:color w:val="auto"/>
        </w:rPr>
        <w:t>Exhibit 31(a)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Matthew J. Missad, certify that:</w:t>
      </w:r>
    </w:p>
    <w:p>
      <w:pPr>
        <w:spacing w:after="0" w:line="225" w:lineRule="exact"/>
        <w:rPr>
          <w:sz w:val="20"/>
          <w:szCs w:val="20"/>
          <w:color w:val="auto"/>
        </w:rPr>
      </w:pPr>
    </w:p>
    <w:p>
      <w:pPr>
        <w:ind w:left="540" w:hanging="490"/>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report on Form 10-Q of UFP Industries, Inc.;</w:t>
      </w:r>
    </w:p>
    <w:p>
      <w:pPr>
        <w:spacing w:after="0" w:line="225" w:lineRule="exact"/>
        <w:rPr>
          <w:rFonts w:ascii="Arial" w:cs="Arial" w:eastAsia="Arial" w:hAnsi="Arial"/>
          <w:sz w:val="18"/>
          <w:szCs w:val="18"/>
          <w:color w:val="auto"/>
        </w:rPr>
      </w:pPr>
    </w:p>
    <w:p>
      <w:pPr>
        <w:jc w:val="both"/>
        <w:ind w:left="540" w:right="79" w:hanging="490"/>
        <w:spacing w:after="0" w:line="263"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540" w:right="79" w:hanging="490"/>
        <w:spacing w:after="0" w:line="263"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540" w:right="79" w:hanging="490"/>
        <w:spacing w:after="0" w:line="286" w:lineRule="auto"/>
        <w:tabs>
          <w:tab w:leader="none" w:pos="5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jc w:val="both"/>
        <w:ind w:left="860" w:right="79" w:hanging="324"/>
        <w:spacing w:after="0" w:line="259" w:lineRule="auto"/>
        <w:tabs>
          <w:tab w:leader="none" w:pos="8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860" w:right="79" w:hanging="324"/>
        <w:spacing w:after="0" w:line="259" w:lineRule="auto"/>
        <w:tabs>
          <w:tab w:leader="none" w:pos="8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860" w:right="79" w:hanging="324"/>
        <w:spacing w:after="0" w:line="263" w:lineRule="auto"/>
        <w:tabs>
          <w:tab w:leader="none" w:pos="8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860" w:right="79" w:hanging="324"/>
        <w:spacing w:after="0" w:line="259" w:lineRule="auto"/>
        <w:tabs>
          <w:tab w:leader="none" w:pos="8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540" w:right="79" w:hanging="490"/>
        <w:spacing w:after="0" w:line="263"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83" w:lineRule="exact"/>
        <w:rPr>
          <w:rFonts w:ascii="Arial" w:cs="Arial" w:eastAsia="Arial" w:hAnsi="Arial"/>
          <w:sz w:val="18"/>
          <w:szCs w:val="18"/>
          <w:color w:val="auto"/>
        </w:rPr>
      </w:pPr>
    </w:p>
    <w:p>
      <w:pPr>
        <w:jc w:val="both"/>
        <w:ind w:left="860" w:right="79" w:hanging="324"/>
        <w:spacing w:after="0" w:line="263" w:lineRule="auto"/>
        <w:tabs>
          <w:tab w:leader="none" w:pos="8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860" w:right="79" w:hanging="324"/>
        <w:spacing w:after="0" w:line="277" w:lineRule="auto"/>
        <w:tabs>
          <w:tab w:leader="none" w:pos="8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Date: November 3, 2022</w:t>
            </w:r>
          </w:p>
        </w:tc>
        <w:tc>
          <w:tcPr>
            <w:tcW w:w="4440" w:type="dxa"/>
            <w:vAlign w:val="bottom"/>
          </w:tcPr>
          <w:p>
            <w:pPr>
              <w:spacing w:after="0"/>
              <w:rPr>
                <w:sz w:val="20"/>
                <w:szCs w:val="20"/>
                <w:color w:val="auto"/>
              </w:rPr>
            </w:pPr>
            <w:r>
              <w:rPr>
                <w:rFonts w:ascii="Arial" w:cs="Arial" w:eastAsia="Arial" w:hAnsi="Arial"/>
                <w:sz w:val="18"/>
                <w:szCs w:val="18"/>
                <w:color w:val="auto"/>
              </w:rPr>
              <w:t>/s/ Matthew J. Missad</w:t>
            </w:r>
          </w:p>
        </w:tc>
      </w:tr>
      <w:tr>
        <w:trPr>
          <w:trHeight w:val="21"/>
        </w:trPr>
        <w:tc>
          <w:tcPr>
            <w:tcW w:w="46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195"/>
        </w:trPr>
        <w:tc>
          <w:tcPr>
            <w:tcW w:w="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Matthew J. Missad,</w:t>
            </w:r>
          </w:p>
        </w:tc>
      </w:tr>
      <w:tr>
        <w:trPr>
          <w:trHeight w:val="230"/>
        </w:trPr>
        <w:tc>
          <w:tcPr>
            <w:tcW w:w="4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Chief Executive Officer and Principal Executive Officer</w:t>
            </w:r>
          </w:p>
        </w:tc>
      </w:tr>
      <w:tr>
        <w:trPr>
          <w:trHeight w:val="777"/>
        </w:trPr>
        <w:tc>
          <w:tcPr>
            <w:tcW w:w="4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39" w:name="page40"/>
    <w:bookmarkEnd w:id="39"/>
    <w:p>
      <w:pPr>
        <w:jc w:val="right"/>
        <w:ind w:right="59"/>
        <w:spacing w:after="0"/>
        <w:rPr>
          <w:sz w:val="20"/>
          <w:szCs w:val="20"/>
          <w:color w:val="auto"/>
        </w:rPr>
      </w:pPr>
      <w:r>
        <w:rPr>
          <w:rFonts w:ascii="Arial" w:cs="Arial" w:eastAsia="Arial" w:hAnsi="Arial"/>
          <w:sz w:val="18"/>
          <w:szCs w:val="18"/>
          <w:b w:val="1"/>
          <w:bCs w:val="1"/>
          <w:color w:val="auto"/>
        </w:rPr>
        <w:t>Exhibit 31(b)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Michael R. Cole, certify that:</w:t>
      </w:r>
    </w:p>
    <w:p>
      <w:pPr>
        <w:spacing w:after="0" w:line="225" w:lineRule="exact"/>
        <w:rPr>
          <w:sz w:val="20"/>
          <w:szCs w:val="20"/>
          <w:color w:val="auto"/>
        </w:rPr>
      </w:pPr>
    </w:p>
    <w:p>
      <w:pPr>
        <w:ind w:left="540" w:hanging="490"/>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report on Form 10-Q of UFP Industries, Inc.;</w:t>
      </w:r>
    </w:p>
    <w:p>
      <w:pPr>
        <w:spacing w:after="0" w:line="225" w:lineRule="exact"/>
        <w:rPr>
          <w:rFonts w:ascii="Arial" w:cs="Arial" w:eastAsia="Arial" w:hAnsi="Arial"/>
          <w:sz w:val="18"/>
          <w:szCs w:val="18"/>
          <w:color w:val="auto"/>
        </w:rPr>
      </w:pPr>
    </w:p>
    <w:p>
      <w:pPr>
        <w:jc w:val="both"/>
        <w:ind w:left="540" w:right="79" w:hanging="490"/>
        <w:spacing w:after="0" w:line="263"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540" w:right="79" w:hanging="490"/>
        <w:spacing w:after="0" w:line="263"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540" w:right="79" w:hanging="490"/>
        <w:spacing w:after="0" w:line="286" w:lineRule="auto"/>
        <w:tabs>
          <w:tab w:leader="none" w:pos="5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jc w:val="both"/>
        <w:ind w:left="860" w:right="79" w:hanging="324"/>
        <w:spacing w:after="0" w:line="259" w:lineRule="auto"/>
        <w:tabs>
          <w:tab w:leader="none" w:pos="8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860" w:right="79" w:hanging="324"/>
        <w:spacing w:after="0" w:line="259" w:lineRule="auto"/>
        <w:tabs>
          <w:tab w:leader="none" w:pos="8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860" w:right="79" w:hanging="324"/>
        <w:spacing w:after="0" w:line="263" w:lineRule="auto"/>
        <w:tabs>
          <w:tab w:leader="none" w:pos="8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860" w:right="79" w:hanging="324"/>
        <w:spacing w:after="0" w:line="259" w:lineRule="auto"/>
        <w:tabs>
          <w:tab w:leader="none" w:pos="8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540" w:right="79" w:hanging="490"/>
        <w:spacing w:after="0" w:line="263"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83" w:lineRule="exact"/>
        <w:rPr>
          <w:rFonts w:ascii="Arial" w:cs="Arial" w:eastAsia="Arial" w:hAnsi="Arial"/>
          <w:sz w:val="18"/>
          <w:szCs w:val="18"/>
          <w:color w:val="auto"/>
        </w:rPr>
      </w:pPr>
    </w:p>
    <w:p>
      <w:pPr>
        <w:jc w:val="both"/>
        <w:ind w:left="860" w:right="79" w:hanging="324"/>
        <w:spacing w:after="0" w:line="263" w:lineRule="auto"/>
        <w:tabs>
          <w:tab w:leader="none" w:pos="8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860" w:right="79" w:hanging="324"/>
        <w:spacing w:after="0" w:line="277" w:lineRule="auto"/>
        <w:tabs>
          <w:tab w:leader="none" w:pos="8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Date: November 3, 2022</w:t>
            </w:r>
          </w:p>
        </w:tc>
        <w:tc>
          <w:tcPr>
            <w:tcW w:w="4440" w:type="dxa"/>
            <w:vAlign w:val="bottom"/>
          </w:tcPr>
          <w:p>
            <w:pPr>
              <w:spacing w:after="0"/>
              <w:rPr>
                <w:sz w:val="20"/>
                <w:szCs w:val="20"/>
                <w:color w:val="auto"/>
              </w:rPr>
            </w:pPr>
            <w:r>
              <w:rPr>
                <w:rFonts w:ascii="Arial" w:cs="Arial" w:eastAsia="Arial" w:hAnsi="Arial"/>
                <w:sz w:val="18"/>
                <w:szCs w:val="18"/>
                <w:color w:val="auto"/>
              </w:rPr>
              <w:t>/s/ Michael R. Cole</w:t>
            </w:r>
          </w:p>
        </w:tc>
      </w:tr>
      <w:tr>
        <w:trPr>
          <w:trHeight w:val="20"/>
        </w:trPr>
        <w:tc>
          <w:tcPr>
            <w:tcW w:w="46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195"/>
        </w:trPr>
        <w:tc>
          <w:tcPr>
            <w:tcW w:w="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Michael R. Cole</w:t>
            </w:r>
          </w:p>
        </w:tc>
      </w:tr>
      <w:tr>
        <w:trPr>
          <w:trHeight w:val="230"/>
        </w:trPr>
        <w:tc>
          <w:tcPr>
            <w:tcW w:w="4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Chief Financial Officer and Principal Accounting Officer</w:t>
            </w:r>
          </w:p>
        </w:tc>
      </w:tr>
      <w:tr>
        <w:trPr>
          <w:trHeight w:val="776"/>
        </w:trPr>
        <w:tc>
          <w:tcPr>
            <w:tcW w:w="4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40" w:name="page41"/>
    <w:bookmarkEnd w:id="40"/>
    <w:p>
      <w:pPr>
        <w:jc w:val="right"/>
        <w:ind w:right="59"/>
        <w:spacing w:after="0"/>
        <w:rPr>
          <w:sz w:val="20"/>
          <w:szCs w:val="20"/>
          <w:color w:val="auto"/>
        </w:rPr>
      </w:pPr>
      <w:r>
        <w:rPr>
          <w:rFonts w:ascii="Arial" w:cs="Arial" w:eastAsia="Arial" w:hAnsi="Arial"/>
          <w:sz w:val="18"/>
          <w:szCs w:val="18"/>
          <w:b w:val="1"/>
          <w:bCs w:val="1"/>
          <w:color w:val="auto"/>
        </w:rPr>
        <w:t>Exhibit 32(a)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UFP INDUSTRIES, INC.</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225"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I, Matthew J. Missad, Chief Executive Officer of UFP Industries, Inc., certify, to the best of my knowledge and belief, pursuant to Section 906 of the Sarbanes-Oxley Act of 2002 (18 U.S.C. 1350) that:</w:t>
      </w:r>
    </w:p>
    <w:p>
      <w:pPr>
        <w:spacing w:after="0" w:line="170" w:lineRule="exact"/>
        <w:rPr>
          <w:sz w:val="20"/>
          <w:szCs w:val="20"/>
          <w:color w:val="auto"/>
        </w:rPr>
      </w:pPr>
    </w:p>
    <w:p>
      <w:pPr>
        <w:jc w:val="both"/>
        <w:ind w:left="620" w:right="79" w:hanging="570"/>
        <w:spacing w:after="0" w:line="263" w:lineRule="auto"/>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September 24, 2022, which this statement accompanies, fully complies with requirements of Section 13(a) or 15(d) of the Securities Exchange Act of 1934; and</w:t>
      </w:r>
    </w:p>
    <w:p>
      <w:pPr>
        <w:spacing w:after="0" w:line="183" w:lineRule="exact"/>
        <w:rPr>
          <w:rFonts w:ascii="Arial" w:cs="Arial" w:eastAsia="Arial" w:hAnsi="Arial"/>
          <w:sz w:val="18"/>
          <w:szCs w:val="18"/>
          <w:color w:val="auto"/>
        </w:rPr>
      </w:pPr>
    </w:p>
    <w:p>
      <w:pPr>
        <w:jc w:val="both"/>
        <w:ind w:left="620" w:right="79" w:hanging="570"/>
        <w:spacing w:after="0" w:line="263" w:lineRule="auto"/>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on Form 10-Q for the quarterly period ended September 24, 2022, fairly presents, in all material respects, the financial condition and results of operations of UFP Industries, Inc.</w:t>
      </w:r>
    </w:p>
    <w:p>
      <w:pPr>
        <w:spacing w:after="0" w:line="197"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UFP INDUSTRIES, INC.</w:t>
            </w:r>
          </w:p>
        </w:tc>
      </w:tr>
      <w:tr>
        <w:trPr>
          <w:trHeight w:val="392"/>
        </w:trPr>
        <w:tc>
          <w:tcPr>
            <w:tcW w:w="4460" w:type="dxa"/>
            <w:vAlign w:val="bottom"/>
            <w:gridSpan w:val="3"/>
          </w:tcPr>
          <w:p>
            <w:pPr>
              <w:spacing w:after="0"/>
              <w:rPr>
                <w:sz w:val="20"/>
                <w:szCs w:val="20"/>
                <w:color w:val="auto"/>
              </w:rPr>
            </w:pPr>
            <w:r>
              <w:rPr>
                <w:rFonts w:ascii="Arial" w:cs="Arial" w:eastAsia="Arial" w:hAnsi="Arial"/>
                <w:sz w:val="18"/>
                <w:szCs w:val="18"/>
                <w:color w:val="auto"/>
              </w:rPr>
              <w:t>Date: November 3, 2022</w:t>
            </w:r>
          </w:p>
        </w:tc>
        <w:tc>
          <w:tcPr>
            <w:tcW w:w="4440" w:type="dxa"/>
            <w:vAlign w:val="bottom"/>
          </w:tcPr>
          <w:p>
            <w:pPr>
              <w:spacing w:after="0"/>
              <w:rPr>
                <w:sz w:val="20"/>
                <w:szCs w:val="20"/>
                <w:color w:val="auto"/>
              </w:rPr>
            </w:pPr>
            <w:r>
              <w:rPr>
                <w:rFonts w:ascii="Arial" w:cs="Arial" w:eastAsia="Arial" w:hAnsi="Arial"/>
                <w:sz w:val="18"/>
                <w:szCs w:val="18"/>
                <w:color w:val="auto"/>
              </w:rPr>
              <w:t>By:  /s/ Matthew J. Missad</w:t>
            </w:r>
          </w:p>
        </w:tc>
      </w:tr>
      <w:tr>
        <w:trPr>
          <w:trHeight w:val="21"/>
        </w:trPr>
        <w:tc>
          <w:tcPr>
            <w:tcW w:w="44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195"/>
        </w:trPr>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Matthew J. Missad,</w:t>
            </w:r>
          </w:p>
        </w:tc>
      </w:tr>
      <w:tr>
        <w:trPr>
          <w:trHeight w:val="230"/>
        </w:trPr>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Chief Executive Officer and Principal Executive Officer</w:t>
            </w:r>
          </w:p>
        </w:tc>
      </w:tr>
    </w:tbl>
    <w:p>
      <w:pPr>
        <w:spacing w:after="0" w:line="20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UFP Industries, Inc. and will be retained by UFP Industries,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633095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1" w:name="page42"/>
    <w:bookmarkEnd w:id="41"/>
    <w:p>
      <w:pPr>
        <w:jc w:val="right"/>
        <w:ind w:right="59"/>
        <w:spacing w:after="0"/>
        <w:rPr>
          <w:sz w:val="20"/>
          <w:szCs w:val="20"/>
          <w:color w:val="auto"/>
        </w:rPr>
      </w:pPr>
      <w:r>
        <w:rPr>
          <w:rFonts w:ascii="Arial" w:cs="Arial" w:eastAsia="Arial" w:hAnsi="Arial"/>
          <w:sz w:val="18"/>
          <w:szCs w:val="18"/>
          <w:b w:val="1"/>
          <w:bCs w:val="1"/>
          <w:color w:val="auto"/>
        </w:rPr>
        <w:t>Exhibit 32(b)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FINANCIAL OFFICER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UFP INDUSTRIES, INC.</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225"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I, Michael R. Cole, Chief Financial Officer of UFP Industries, Inc., certify, to the best of my knowledge and belief, pursuant to Section 906 of the Sarbanes-Oxley Act of 2002 (18 U.S.C. 1350) that:</w:t>
      </w:r>
    </w:p>
    <w:p>
      <w:pPr>
        <w:spacing w:after="0" w:line="170" w:lineRule="exact"/>
        <w:rPr>
          <w:sz w:val="20"/>
          <w:szCs w:val="20"/>
          <w:color w:val="auto"/>
        </w:rPr>
      </w:pPr>
    </w:p>
    <w:p>
      <w:pPr>
        <w:jc w:val="both"/>
        <w:ind w:left="620" w:right="79" w:hanging="570"/>
        <w:spacing w:after="0" w:line="263" w:lineRule="auto"/>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September 24, 2022, which this statement accompanies, fully complies with requirements of Section 13(a) or 15(d) of the Securities Exchange Act of 1934; and</w:t>
      </w:r>
    </w:p>
    <w:p>
      <w:pPr>
        <w:spacing w:after="0" w:line="183" w:lineRule="exact"/>
        <w:rPr>
          <w:rFonts w:ascii="Arial" w:cs="Arial" w:eastAsia="Arial" w:hAnsi="Arial"/>
          <w:sz w:val="18"/>
          <w:szCs w:val="18"/>
          <w:color w:val="auto"/>
        </w:rPr>
      </w:pPr>
    </w:p>
    <w:p>
      <w:pPr>
        <w:jc w:val="both"/>
        <w:ind w:left="620" w:right="79" w:hanging="570"/>
        <w:spacing w:after="0" w:line="263" w:lineRule="auto"/>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on Form 10-Q for the quarterly period ended September 24, 2022, fairly presents, in all material respects, the financial condition and results of operations of UFP Industries, Inc.</w:t>
      </w:r>
    </w:p>
    <w:p>
      <w:pPr>
        <w:spacing w:after="0" w:line="197"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UFP INDUSTRIES, INC.</w:t>
            </w:r>
          </w:p>
        </w:tc>
      </w:tr>
      <w:tr>
        <w:trPr>
          <w:trHeight w:val="392"/>
        </w:trPr>
        <w:tc>
          <w:tcPr>
            <w:tcW w:w="4460" w:type="dxa"/>
            <w:vAlign w:val="bottom"/>
            <w:gridSpan w:val="3"/>
          </w:tcPr>
          <w:p>
            <w:pPr>
              <w:spacing w:after="0"/>
              <w:rPr>
                <w:sz w:val="20"/>
                <w:szCs w:val="20"/>
                <w:color w:val="auto"/>
              </w:rPr>
            </w:pPr>
            <w:r>
              <w:rPr>
                <w:rFonts w:ascii="Arial" w:cs="Arial" w:eastAsia="Arial" w:hAnsi="Arial"/>
                <w:sz w:val="18"/>
                <w:szCs w:val="18"/>
                <w:color w:val="auto"/>
              </w:rPr>
              <w:t>Date: November 3, 2022</w:t>
            </w:r>
          </w:p>
        </w:tc>
        <w:tc>
          <w:tcPr>
            <w:tcW w:w="4440" w:type="dxa"/>
            <w:vAlign w:val="bottom"/>
          </w:tcPr>
          <w:p>
            <w:pPr>
              <w:spacing w:after="0"/>
              <w:rPr>
                <w:sz w:val="20"/>
                <w:szCs w:val="20"/>
                <w:color w:val="auto"/>
              </w:rPr>
            </w:pPr>
            <w:r>
              <w:rPr>
                <w:rFonts w:ascii="Arial" w:cs="Arial" w:eastAsia="Arial" w:hAnsi="Arial"/>
                <w:sz w:val="18"/>
                <w:szCs w:val="18"/>
                <w:color w:val="auto"/>
              </w:rPr>
              <w:t>By:  /s/ Michael R. Cole</w:t>
            </w:r>
          </w:p>
        </w:tc>
      </w:tr>
      <w:tr>
        <w:trPr>
          <w:trHeight w:val="21"/>
        </w:trPr>
        <w:tc>
          <w:tcPr>
            <w:tcW w:w="44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195"/>
        </w:trPr>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Michael R. Cole,</w:t>
            </w:r>
          </w:p>
        </w:tc>
      </w:tr>
      <w:tr>
        <w:trPr>
          <w:trHeight w:val="230"/>
        </w:trPr>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Chief Financial Officer and Principal Financial Officer</w:t>
            </w:r>
          </w:p>
        </w:tc>
      </w:tr>
    </w:tbl>
    <w:p>
      <w:pPr>
        <w:spacing w:after="0" w:line="20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UFP Industries, Inc. and will be retained by UFP Industries,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633095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upperLetter"/>
      <w:start w:val="1"/>
    </w:lvl>
  </w:abstractNum>
  <w:abstractNum w:abstractNumId="3">
    <w:nsid w:val="2D1D5AE9"/>
    <w:multiLevelType w:val="hybridMultilevel"/>
    <w:lvl w:ilvl="0">
      <w:lvlJc w:val="left"/>
      <w:lvlText w:val="%1."/>
      <w:numFmt w:val="upperLetter"/>
      <w:start w:val="2"/>
    </w:lvl>
  </w:abstractNum>
  <w:abstractNum w:abstractNumId="4">
    <w:nsid w:val="6763845E"/>
    <w:multiLevelType w:val="hybridMultilevel"/>
    <w:lvl w:ilvl="0">
      <w:lvlJc w:val="left"/>
      <w:lvlText w:val="%1."/>
      <w:numFmt w:val="upperLetter"/>
      <w:start w:val="3"/>
    </w:lvl>
  </w:abstractNum>
  <w:abstractNum w:abstractNumId="5">
    <w:nsid w:val="75A2A8D4"/>
    <w:multiLevelType w:val="hybridMultilevel"/>
    <w:lvl w:ilvl="0">
      <w:lvlJc w:val="left"/>
      <w:lvlText w:val="%1."/>
      <w:numFmt w:val="upperLetter"/>
      <w:start w:val="4"/>
    </w:lvl>
  </w:abstractNum>
  <w:abstractNum w:abstractNumId="6">
    <w:nsid w:val="8EDBDAB"/>
    <w:multiLevelType w:val="hybridMultilevel"/>
    <w:lvl w:ilvl="0">
      <w:lvlJc w:val="left"/>
      <w:lvlText w:val="%1."/>
      <w:numFmt w:val="upperLetter"/>
      <w:start w:val="5"/>
    </w:lvl>
  </w:abstractNum>
  <w:abstractNum w:abstractNumId="7">
    <w:nsid w:val="79838CB2"/>
    <w:multiLevelType w:val="hybridMultilevel"/>
    <w:lvl w:ilvl="0">
      <w:lvlJc w:val="left"/>
      <w:lvlText w:val="%1."/>
      <w:numFmt w:val="upperLetter"/>
      <w:start w:val="6"/>
    </w:lvl>
  </w:abstractNum>
  <w:abstractNum w:abstractNumId="8">
    <w:nsid w:val="4353D0CD"/>
    <w:multiLevelType w:val="hybridMultilevel"/>
    <w:lvl w:ilvl="0">
      <w:lvlJc w:val="left"/>
      <w:lvlText w:val="%1."/>
      <w:numFmt w:val="upperLetter"/>
      <w:start w:val="7"/>
    </w:lvl>
  </w:abstractNum>
  <w:abstractNum w:abstractNumId="9">
    <w:nsid w:val="B03E0C6"/>
    <w:multiLevelType w:val="hybridMultilevel"/>
    <w:lvl w:ilvl="0">
      <w:lvlJc w:val="left"/>
      <w:lvlText w:val="%1."/>
      <w:numFmt w:val="upperLetter"/>
      <w:start w:val="8"/>
    </w:lvl>
  </w:abstractNum>
  <w:abstractNum w:abstractNumId="10">
    <w:nsid w:val="189A769B"/>
    <w:multiLevelType w:val="hybridMultilevel"/>
    <w:lvl w:ilvl="0">
      <w:lvlJc w:val="left"/>
      <w:lvlText w:val="%1."/>
      <w:numFmt w:val="upperLetter"/>
      <w:start w:val="9"/>
    </w:lvl>
  </w:abstractNum>
  <w:abstractNum w:abstractNumId="11">
    <w:nsid w:val="54E49EB4"/>
    <w:multiLevelType w:val="hybridMultilevel"/>
    <w:lvl w:ilvl="0">
      <w:lvlJc w:val="left"/>
      <w:lvlText w:val="%1."/>
      <w:numFmt w:val="upperLetter"/>
      <w:start w:val="10"/>
    </w:lvl>
  </w:abstractNum>
  <w:abstractNum w:abstractNumId="12">
    <w:nsid w:val="71F32454"/>
    <w:multiLevelType w:val="hybridMultilevel"/>
    <w:lvl w:ilvl="0">
      <w:lvlJc w:val="left"/>
      <w:lvlText w:val="%1."/>
      <w:numFmt w:val="upperLetter"/>
      <w:start w:val="1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lvl w:ilvl="1">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lvl w:ilvl="1">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1)"/>
      <w:numFmt w:val="lowerLetter"/>
      <w:start w:val="1"/>
    </w:lvl>
  </w:abstractNum>
  <w:abstractNum w:abstractNumId="32">
    <w:nsid w:val="7724C67E"/>
    <w:multiLevelType w:val="hybridMultilevel"/>
    <w:lvl w:ilvl="0">
      <w:lvlJc w:val="left"/>
      <w:lvlText w:val="(%1)"/>
      <w:numFmt w:val="lowerLetter"/>
      <w:start w:val="1"/>
    </w:lvl>
  </w:abstractNum>
  <w:abstractNum w:abstractNumId="33">
    <w:nsid w:val="5C482A97"/>
    <w:multiLevelType w:val="hybridMultilevel"/>
    <w:lvl w:ilvl="0">
      <w:lvlJc w:val="left"/>
      <w:lvlText w:val="(%1)"/>
      <w:numFmt w:val="lowerLetter"/>
      <w:start w:val="1"/>
    </w:lvl>
  </w:abstractNum>
  <w:abstractNum w:abstractNumId="34">
    <w:nsid w:val="2463B9EA"/>
    <w:multiLevelType w:val="hybridMultilevel"/>
    <w:lvl w:ilvl="0">
      <w:lvlJc w:val="left"/>
      <w:lvlText w:val="%1"/>
      <w:numFmt w:val="decimal"/>
      <w:start w:val="31"/>
    </w:lvl>
    <w:lvl w:ilvl="1">
      <w:lvlJc w:val="left"/>
      <w:lvlText w:val="(%2)"/>
      <w:numFmt w:val="lowerLetter"/>
      <w:start w:val="1"/>
    </w:lvl>
  </w:abstractNum>
  <w:abstractNum w:abstractNumId="35">
    <w:nsid w:val="5E884ADC"/>
    <w:multiLevelType w:val="hybridMultilevel"/>
    <w:lvl w:ilvl="0">
      <w:lvlJc w:val="left"/>
      <w:lvlText w:val="(%1)"/>
      <w:numFmt w:val="lowerLetter"/>
      <w:start w:val="1"/>
    </w:lvl>
  </w:abstractNum>
  <w:abstractNum w:abstractNumId="36">
    <w:nsid w:val="51EAD36B"/>
    <w:multiLevelType w:val="hybridMultilevel"/>
    <w:lvl w:ilvl="0">
      <w:lvlJc w:val="left"/>
      <w:lvlText w:val="%1"/>
      <w:numFmt w:val="decimal"/>
      <w:start w:val="101"/>
    </w:lvl>
  </w:abstractNum>
  <w:abstractNum w:abstractNumId="37">
    <w:nsid w:val="2D517796"/>
    <w:multiLevelType w:val="hybridMultilevel"/>
    <w:lvl w:ilvl="0">
      <w:lvlJc w:val="left"/>
      <w:lvlText w:val="%1"/>
      <w:numFmt w:val="decimal"/>
      <w:start w:val="104"/>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2022-11-03T16:01:23Z</dcterms:created>
  <dcterms:modified xsi:type="dcterms:W3CDTF">2022-11-03T16:01:23Z</dcterms:modified>
</cp:coreProperties>
</file>