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661225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99" w:lineRule="exact"/>
        <w:rPr>
          <w:sz w:val="24"/>
          <w:szCs w:val="24"/>
          <w:color w:val="auto"/>
        </w:rPr>
      </w:pPr>
    </w:p>
    <w:p>
      <w:pPr>
        <w:ind w:left="3600" w:right="1440" w:hanging="3589"/>
        <w:spacing w:after="0" w:line="501" w:lineRule="auto"/>
        <w:tabs>
          <w:tab w:leader="none" w:pos="31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2018</w:t>
      </w:r>
    </w:p>
    <w:p>
      <w:pPr>
        <w:ind w:left="50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39" w:lineRule="exact"/>
        <w:rPr>
          <w:sz w:val="24"/>
          <w:szCs w:val="24"/>
          <w:color w:val="auto"/>
        </w:rPr>
      </w:pPr>
    </w:p>
    <w:p>
      <w:pPr>
        <w:ind w:left="3960" w:right="1420" w:hanging="3949"/>
        <w:spacing w:after="0" w:line="311" w:lineRule="exact"/>
        <w:tabs>
          <w:tab w:leader="none" w:pos="3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22684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40" w:type="dxa"/>
        <w:tblCellMar>
          <w:top w:w="0" w:type="dxa"/>
          <w:left w:w="0" w:type="dxa"/>
          <w:bottom w:w="0" w:type="dxa"/>
          <w:right w:w="0" w:type="dxa"/>
        </w:tblCellMar>
      </w:tblPr>
      <w:tr>
        <w:trPr>
          <w:trHeight w:val="237"/>
        </w:trPr>
        <w:tc>
          <w:tcPr>
            <w:tcW w:w="5300" w:type="dxa"/>
            <w:vAlign w:val="bottom"/>
            <w:gridSpan w:val="3"/>
          </w:tcPr>
          <w:p>
            <w:pPr>
              <w:jc w:val="center"/>
              <w:ind w:right="1200"/>
              <w:spacing w:after="0"/>
              <w:rPr>
                <w:sz w:val="20"/>
                <w:szCs w:val="20"/>
                <w:color w:val="auto"/>
              </w:rPr>
            </w:pPr>
            <w:r>
              <w:rPr>
                <w:rFonts w:ascii="Arial" w:cs="Arial" w:eastAsia="Arial" w:hAnsi="Arial"/>
                <w:sz w:val="18"/>
                <w:szCs w:val="18"/>
                <w:color w:val="auto"/>
                <w:w w:val="97"/>
              </w:rPr>
              <w:t>Michigan</w:t>
            </w:r>
          </w:p>
        </w:tc>
        <w:tc>
          <w:tcPr>
            <w:tcW w:w="4080" w:type="dxa"/>
            <w:vAlign w:val="bottom"/>
          </w:tcPr>
          <w:p>
            <w:pPr>
              <w:jc w:val="center"/>
              <w:ind w:right="70"/>
              <w:spacing w:after="0" w:line="207" w:lineRule="exact"/>
              <w:rPr>
                <w:sz w:val="20"/>
                <w:szCs w:val="20"/>
                <w:color w:val="auto"/>
              </w:rPr>
            </w:pPr>
            <w:r>
              <w:rPr>
                <w:rFonts w:ascii="Arial" w:cs="Arial" w:eastAsia="Arial" w:hAnsi="Arial"/>
                <w:sz w:val="18"/>
                <w:szCs w:val="18"/>
                <w:color w:val="auto"/>
                <w:w w:val="91"/>
              </w:rPr>
              <w:t>38</w:t>
            </w:r>
            <w:r>
              <w:rPr>
                <w:rFonts w:ascii="MS PGothic" w:cs="MS PGothic" w:eastAsia="MS PGothic" w:hAnsi="MS PGothic"/>
                <w:sz w:val="18"/>
                <w:szCs w:val="18"/>
                <w:color w:val="auto"/>
                <w:w w:val="91"/>
              </w:rPr>
              <w:t>‑</w:t>
            </w:r>
            <w:r>
              <w:rPr>
                <w:rFonts w:ascii="Arial" w:cs="Arial" w:eastAsia="Arial" w:hAnsi="Arial"/>
                <w:sz w:val="18"/>
                <w:szCs w:val="18"/>
                <w:color w:val="auto"/>
                <w:w w:val="91"/>
              </w:rPr>
              <w:t>1465835</w:t>
            </w:r>
          </w:p>
        </w:tc>
      </w:tr>
      <w:tr>
        <w:trPr>
          <w:trHeight w:val="202"/>
        </w:trPr>
        <w:tc>
          <w:tcPr>
            <w:tcW w:w="420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organization)</w:t>
            </w:r>
          </w:p>
        </w:tc>
        <w:tc>
          <w:tcPr>
            <w:tcW w:w="4080" w:type="dxa"/>
            <w:vAlign w:val="bottom"/>
          </w:tcPr>
          <w:p>
            <w:pPr>
              <w:spacing w:after="0"/>
              <w:rPr>
                <w:sz w:val="20"/>
                <w:szCs w:val="20"/>
                <w:color w:val="auto"/>
              </w:rPr>
            </w:pPr>
          </w:p>
        </w:tc>
      </w:tr>
      <w:tr>
        <w:trPr>
          <w:trHeight w:val="439"/>
        </w:trPr>
        <w:tc>
          <w:tcPr>
            <w:tcW w:w="53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2801 East Beltline NE, Grand Rapids, Michigan</w:t>
            </w:r>
          </w:p>
        </w:tc>
        <w:tc>
          <w:tcPr>
            <w:tcW w:w="4080" w:type="dxa"/>
            <w:vAlign w:val="bottom"/>
          </w:tcPr>
          <w:p>
            <w:pPr>
              <w:jc w:val="right"/>
              <w:ind w:right="1810"/>
              <w:spacing w:after="0"/>
              <w:rPr>
                <w:sz w:val="20"/>
                <w:szCs w:val="20"/>
                <w:color w:val="auto"/>
              </w:rPr>
            </w:pPr>
            <w:r>
              <w:rPr>
                <w:rFonts w:ascii="Arial" w:cs="Arial" w:eastAsia="Arial" w:hAnsi="Arial"/>
                <w:sz w:val="18"/>
                <w:szCs w:val="18"/>
                <w:color w:val="auto"/>
              </w:rPr>
              <w:t>49525</w:t>
            </w:r>
          </w:p>
        </w:tc>
      </w:tr>
      <w:tr>
        <w:trPr>
          <w:trHeight w:val="230"/>
        </w:trPr>
        <w:tc>
          <w:tcPr>
            <w:tcW w:w="42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4"/>
              </w:rPr>
              <w:t>(Zip Code)</w:t>
            </w:r>
          </w:p>
        </w:tc>
      </w:tr>
      <w:tr>
        <w:trPr>
          <w:trHeight w:val="350"/>
        </w:trPr>
        <w:tc>
          <w:tcPr>
            <w:tcW w:w="5300" w:type="dxa"/>
            <w:vAlign w:val="bottom"/>
            <w:gridSpan w:val="3"/>
          </w:tcPr>
          <w:p>
            <w:pPr>
              <w:ind w:left="440"/>
              <w:spacing w:after="0" w:line="207" w:lineRule="exact"/>
              <w:rPr>
                <w:sz w:val="20"/>
                <w:szCs w:val="20"/>
                <w:color w:val="auto"/>
              </w:rPr>
            </w:pPr>
            <w:r>
              <w:rPr>
                <w:rFonts w:ascii="Arial" w:cs="Arial" w:eastAsia="Arial" w:hAnsi="Arial"/>
                <w:sz w:val="18"/>
                <w:szCs w:val="18"/>
                <w:color w:val="auto"/>
                <w:w w:val="89"/>
              </w:rPr>
              <w:t>Registrant’s telephone number, including area code (616) 364</w:t>
            </w:r>
            <w:r>
              <w:rPr>
                <w:rFonts w:ascii="MS PGothic" w:cs="MS PGothic" w:eastAsia="MS PGothic" w:hAnsi="MS PGothic"/>
                <w:sz w:val="18"/>
                <w:szCs w:val="18"/>
                <w:color w:val="auto"/>
                <w:w w:val="89"/>
              </w:rPr>
              <w:t>‑</w:t>
            </w:r>
            <w:r>
              <w:rPr>
                <w:rFonts w:ascii="Arial" w:cs="Arial" w:eastAsia="Arial" w:hAnsi="Arial"/>
                <w:sz w:val="18"/>
                <w:szCs w:val="18"/>
                <w:color w:val="auto"/>
                <w:w w:val="89"/>
              </w:rPr>
              <w:t>6161</w:t>
            </w:r>
          </w:p>
        </w:tc>
        <w:tc>
          <w:tcPr>
            <w:tcW w:w="4080" w:type="dxa"/>
            <w:vAlign w:val="bottom"/>
          </w:tcPr>
          <w:p>
            <w:pPr>
              <w:spacing w:after="0"/>
              <w:rPr>
                <w:sz w:val="24"/>
                <w:szCs w:val="24"/>
                <w:color w:val="auto"/>
              </w:rPr>
            </w:pPr>
          </w:p>
        </w:tc>
      </w:tr>
      <w:tr>
        <w:trPr>
          <w:trHeight w:val="20"/>
        </w:trPr>
        <w:tc>
          <w:tcPr>
            <w:tcW w:w="42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1797050</wp:posOffset>
            </wp:positionH>
            <wp:positionV relativeFrom="paragraph">
              <wp:posOffset>14605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jc w:val="both"/>
        <w:ind w:left="2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spacing w:after="0" w:line="221" w:lineRule="exact"/>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0420"/>
          </w:cols>
          <w:pgMar w:left="740" w:top="233" w:right="739" w:bottom="1440" w:gutter="0" w:footer="0" w:header="0"/>
        </w:sectPr>
      </w:pPr>
    </w:p>
    <w:p>
      <w:pPr>
        <w:spacing w:after="0" w:line="75"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both"/>
        <w:ind w:right="84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4" w:lineRule="exact"/>
        <w:rPr>
          <w:sz w:val="24"/>
          <w:szCs w:val="24"/>
          <w:color w:val="auto"/>
        </w:rPr>
      </w:pPr>
    </w:p>
    <w:p>
      <w:pPr>
        <w:sectPr>
          <w:pgSz w:w="11900" w:h="16838" w:orient="portrait"/>
          <w:cols w:equalWidth="0" w:num="4">
            <w:col w:w="2500" w:space="720"/>
            <w:col w:w="1460" w:space="320"/>
            <w:col w:w="1820" w:space="500"/>
            <w:col w:w="3100"/>
          </w:cols>
          <w:pgMar w:left="740" w:top="233" w:right="739" w:bottom="1440" w:gutter="0" w:footer="0" w:header="0"/>
          <w:type w:val="continuous"/>
        </w:sect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Indicate by checkmark whether the registrant is a shell company (as defined by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0" w:type="dxa"/>
            <w:vAlign w:val="bottom"/>
            <w:gridSpan w:val="2"/>
          </w:tcPr>
          <w:p>
            <w:pPr>
              <w:jc w:val="center"/>
              <w:ind w:right="1100"/>
              <w:spacing w:after="0"/>
              <w:rPr>
                <w:sz w:val="20"/>
                <w:szCs w:val="20"/>
                <w:color w:val="auto"/>
              </w:rPr>
            </w:pPr>
            <w:r>
              <w:rPr>
                <w:rFonts w:ascii="Arial" w:cs="Arial" w:eastAsia="Arial" w:hAnsi="Arial"/>
                <w:sz w:val="18"/>
                <w:szCs w:val="18"/>
                <w:color w:val="auto"/>
                <w:w w:val="84"/>
              </w:rPr>
              <w:t>Class</w:t>
            </w: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Outstanding as of June 30, 2018</w:t>
            </w:r>
          </w:p>
        </w:tc>
        <w:tc>
          <w:tcPr>
            <w:tcW w:w="500" w:type="dxa"/>
            <w:vAlign w:val="bottom"/>
          </w:tcPr>
          <w:p>
            <w:pPr>
              <w:spacing w:after="0"/>
              <w:rPr>
                <w:sz w:val="20"/>
                <w:szCs w:val="20"/>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1020" w:type="dxa"/>
            <w:vAlign w:val="bottom"/>
          </w:tcPr>
          <w:p>
            <w:pPr>
              <w:spacing w:after="0"/>
              <w:rPr>
                <w:sz w:val="20"/>
                <w:szCs w:val="20"/>
                <w:color w:val="auto"/>
              </w:rPr>
            </w:pPr>
          </w:p>
        </w:tc>
        <w:tc>
          <w:tcPr>
            <w:tcW w:w="4180" w:type="dxa"/>
            <w:vAlign w:val="bottom"/>
            <w:tcBorders>
              <w:top w:val="single" w:sz="8" w:color="auto"/>
            </w:tcBorders>
          </w:tcPr>
          <w:p>
            <w:pPr>
              <w:jc w:val="right"/>
              <w:ind w:right="1630"/>
              <w:spacing w:after="0"/>
              <w:rPr>
                <w:sz w:val="20"/>
                <w:szCs w:val="20"/>
                <w:color w:val="auto"/>
              </w:rPr>
            </w:pPr>
            <w:r>
              <w:rPr>
                <w:rFonts w:ascii="Arial" w:cs="Arial" w:eastAsia="Arial" w:hAnsi="Arial"/>
                <w:sz w:val="18"/>
                <w:szCs w:val="18"/>
                <w:color w:val="auto"/>
              </w:rPr>
              <w:t>61,632,401</w:t>
            </w:r>
          </w:p>
        </w:tc>
        <w:tc>
          <w:tcPr>
            <w:tcW w:w="500" w:type="dxa"/>
            <w:vAlign w:val="bottom"/>
          </w:tcPr>
          <w:p>
            <w:pPr>
              <w:spacing w:after="0"/>
              <w:rPr>
                <w:sz w:val="20"/>
                <w:szCs w:val="20"/>
                <w:color w:val="auto"/>
              </w:rPr>
            </w:pPr>
          </w:p>
        </w:tc>
      </w:tr>
      <w:tr>
        <w:trPr>
          <w:trHeight w:val="107"/>
        </w:trPr>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r>
      <w:tr>
        <w:trPr>
          <w:trHeight w:val="58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8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20" w:type="dxa"/>
            <w:vAlign w:val="bottom"/>
            <w:gridSpan w:val="11"/>
          </w:tcPr>
          <w:p>
            <w:pPr>
              <w:jc w:val="center"/>
              <w:ind w:right="1800"/>
              <w:spacing w:after="0"/>
              <w:rPr>
                <w:sz w:val="20"/>
                <w:szCs w:val="20"/>
                <w:color w:val="auto"/>
              </w:rPr>
            </w:pPr>
            <w:r>
              <w:rPr>
                <w:rFonts w:ascii="Arial" w:cs="Arial" w:eastAsia="Arial" w:hAnsi="Arial"/>
                <w:sz w:val="18"/>
                <w:szCs w:val="18"/>
                <w:b w:val="1"/>
                <w:bCs w:val="1"/>
                <w:color w:val="auto"/>
                <w:w w:val="99"/>
              </w:rPr>
              <w:t>UNIVERSAL FOREST PRODUCTS,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668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0" w:type="dxa"/>
            <w:vAlign w:val="bottom"/>
            <w:gridSpan w:val="5"/>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4"/>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Condensed Balance Sheets at June 30, 2018, December 30, 2017 and July 1,</w:t>
              </w:r>
            </w:hyperlink>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2017</w:t>
              </w:r>
            </w:hyperlink>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194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700" w:type="dxa"/>
            <w:vAlign w:val="bottom"/>
            <w:tcBorders>
              <w:top w:val="single" w:sz="8" w:color="0000EE"/>
              <w:bottom w:val="single" w:sz="8" w:color="CCEEFF"/>
            </w:tcBorders>
            <w:shd w:val="clear" w:color="auto" w:fill="CCEEFF"/>
          </w:tcPr>
          <w:p>
            <w:pPr>
              <w:spacing w:after="0"/>
              <w:rPr>
                <w:sz w:val="18"/>
                <w:szCs w:val="18"/>
                <w:color w:val="auto"/>
              </w:rPr>
            </w:pPr>
          </w:p>
        </w:tc>
        <w:tc>
          <w:tcPr>
            <w:tcW w:w="96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Condensed Statements of Earnings and Comprehensive Income for the</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and Six Months Ended June 30, 2018 and July 1,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Condensed Statements of Shareholders’ Equity for the Three Months Ended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Six Months Ended June 30, 2018 and July 1,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Condensed Statements of Cash Flows for the Six Months Ended June 30,</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2018 and July 1,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Condensed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December 30,</w:t>
            </w:r>
          </w:p>
        </w:tc>
        <w:tc>
          <w:tcPr>
            <w:tcW w:w="180" w:type="dxa"/>
            <w:vAlign w:val="bottom"/>
          </w:tcPr>
          <w:p>
            <w:pPr>
              <w:spacing w:after="0"/>
              <w:rPr>
                <w:sz w:val="16"/>
                <w:szCs w:val="16"/>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11"/>
        </w:trPr>
        <w:tc>
          <w:tcPr>
            <w:tcW w:w="4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16,758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489,145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327,751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398,529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272,765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234,354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218,356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259,109</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225,954</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220,079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4"/>
                <w:szCs w:val="14"/>
                <w:color w:val="auto"/>
              </w:rPr>
              <w:t>531,874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460,308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4"/>
                <w:szCs w:val="14"/>
                <w:color w:val="auto"/>
              </w:rPr>
              <w:t>438,435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30,464</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28,115</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21,970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1,112,631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863,487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894,865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2,235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7,081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7,368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219,595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212,644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7,384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7,415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791,348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763,101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735,474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(450,650)</w:t>
            </w:r>
          </w:p>
        </w:tc>
        <w:tc>
          <w:tcPr>
            <w:tcW w:w="80" w:type="dxa"/>
            <w:vAlign w:val="bottom"/>
          </w:tcPr>
          <w:p>
            <w:pPr>
              <w:spacing w:after="0"/>
              <w:rPr>
                <w:sz w:val="13"/>
                <w:szCs w:val="13"/>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(434,472)</w:t>
            </w:r>
          </w:p>
        </w:tc>
        <w:tc>
          <w:tcPr>
            <w:tcW w:w="180" w:type="dxa"/>
            <w:vAlign w:val="bottom"/>
          </w:tcPr>
          <w:p>
            <w:pPr>
              <w:spacing w:after="0"/>
              <w:rPr>
                <w:sz w:val="13"/>
                <w:szCs w:val="13"/>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(419,518)</w:t>
            </w:r>
          </w:p>
        </w:tc>
        <w:tc>
          <w:tcPr>
            <w:tcW w:w="0" w:type="dxa"/>
            <w:vAlign w:val="bottom"/>
          </w:tcPr>
          <w:p>
            <w:pPr>
              <w:spacing w:after="0"/>
              <w:rPr>
                <w:sz w:val="1"/>
                <w:szCs w:val="1"/>
                <w:color w:val="auto"/>
              </w:rPr>
            </w:pPr>
          </w:p>
        </w:tc>
      </w:tr>
      <w:tr>
        <w:trPr>
          <w:trHeight w:val="169"/>
        </w:trPr>
        <w:tc>
          <w:tcPr>
            <w:tcW w:w="4980" w:type="dxa"/>
            <w:vAlign w:val="bottom"/>
            <w:tcBorders>
              <w:top w:val="single" w:sz="8" w:color="CCEEFF"/>
              <w:bottom w:val="single" w:sz="8" w:color="CCEEFF"/>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340,698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328,629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315,956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Borders>
              <w:bottom w:val="single" w:sz="8" w:color="CCEEFF"/>
            </w:tcBorders>
          </w:tcPr>
          <w:p>
            <w:pPr>
              <w:spacing w:after="0" w:line="163" w:lineRule="exact"/>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1,736,619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1,464,677</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1,482,039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33,608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197,408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140,106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160,250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88,771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97,556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50,038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38,404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48,063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1,329</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4"/>
                <w:szCs w:val="14"/>
                <w:color w:val="auto"/>
              </w:rPr>
              <w:t>370,367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303,246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4"/>
                <w:szCs w:val="14"/>
                <w:color w:val="auto"/>
              </w:rPr>
              <w:t>311,607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276,274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144,674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13,856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14,079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20,360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28,399</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28,655</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28,959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440"/>
              <w:spacing w:after="0" w:line="176" w:lineRule="exact"/>
              <w:rPr>
                <w:sz w:val="20"/>
                <w:szCs w:val="20"/>
                <w:color w:val="auto"/>
              </w:rPr>
            </w:pPr>
            <w:r>
              <w:rPr>
                <w:rFonts w:ascii="Arial" w:cs="Arial" w:eastAsia="Arial" w:hAnsi="Arial"/>
                <w:sz w:val="16"/>
                <w:szCs w:val="16"/>
                <w:color w:val="auto"/>
              </w:rPr>
              <w:t>TOTAL LIABILITIES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688,896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490,654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565,678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none</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80" w:type="dxa"/>
            <w:vAlign w:val="bottom"/>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tcPr>
          <w:p>
            <w:pPr>
              <w:ind w:left="320"/>
              <w:spacing w:after="0"/>
              <w:rPr>
                <w:sz w:val="20"/>
                <w:szCs w:val="20"/>
                <w:color w:val="auto"/>
              </w:rPr>
            </w:pPr>
            <w:r>
              <w:rPr>
                <w:rFonts w:ascii="Arial" w:cs="Arial" w:eastAsia="Arial" w:hAnsi="Arial"/>
                <w:sz w:val="14"/>
                <w:szCs w:val="14"/>
                <w:color w:val="auto"/>
              </w:rPr>
              <w:t>outstanding, 61,632,401, 61,191,888 and 61,265,325</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61,632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61,192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61,266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174,749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161,928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158,248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800,237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736,212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684,808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(4,077)</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(2,590)</w:t>
            </w:r>
          </w:p>
        </w:tc>
        <w:tc>
          <w:tcPr>
            <w:tcW w:w="0" w:type="dxa"/>
            <w:vAlign w:val="bottom"/>
          </w:tcPr>
          <w:p>
            <w:pPr>
              <w:spacing w:after="0"/>
              <w:rPr>
                <w:sz w:val="1"/>
                <w:szCs w:val="1"/>
                <w:color w:val="auto"/>
              </w:rPr>
            </w:pPr>
          </w:p>
        </w:tc>
      </w:tr>
      <w:tr>
        <w:trPr>
          <w:trHeight w:val="136"/>
        </w:trPr>
        <w:tc>
          <w:tcPr>
            <w:tcW w:w="4980" w:type="dxa"/>
            <w:vAlign w:val="bottom"/>
            <w:tcBorders>
              <w:top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1,032,541</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959,476</w:t>
            </w:r>
          </w:p>
        </w:tc>
        <w:tc>
          <w:tcPr>
            <w:tcW w:w="2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901,732</w:t>
            </w: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15,182</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14,547</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14,629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1,047,723</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974,023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916,361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1,736,619</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1,464,677</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1,482,039</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5" w:lineRule="auto"/>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224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52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2"/>
              </w:rPr>
              <w:t>June 30,</w:t>
            </w:r>
          </w:p>
        </w:tc>
        <w:tc>
          <w:tcPr>
            <w:tcW w:w="9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1"/>
              </w:rPr>
              <w:t>July 1,</w:t>
            </w:r>
          </w:p>
        </w:tc>
        <w:tc>
          <w:tcPr>
            <w:tcW w:w="16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2"/>
              </w:rPr>
              <w:t>June 30,</w:t>
            </w:r>
          </w:p>
        </w:tc>
        <w:tc>
          <w:tcPr>
            <w:tcW w:w="9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575437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4340" w:type="dxa"/>
            <w:vAlign w:val="bottom"/>
          </w:tcPr>
          <w:p>
            <w:pPr>
              <w:spacing w:after="0"/>
              <w:rPr>
                <w:sz w:val="20"/>
                <w:szCs w:val="20"/>
                <w:color w:val="auto"/>
              </w:rPr>
            </w:pPr>
            <w:r>
              <w:rPr>
                <w:rFonts w:ascii="Arial" w:cs="Arial" w:eastAsia="Arial" w:hAnsi="Arial"/>
                <w:sz w:val="16"/>
                <w:szCs w:val="16"/>
                <w:color w:val="auto"/>
              </w:rPr>
              <w:t>NET SALES</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$ 1,294,440</w:t>
            </w:r>
          </w:p>
        </w:tc>
        <w:tc>
          <w:tcPr>
            <w:tcW w:w="8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$ 1,072,375</w:t>
            </w: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90"/>
              </w:rPr>
              <w:t>$ 2,288,297</w:t>
            </w: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92"/>
              </w:rPr>
              <w:t>$ 1,918,505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6"/>
                <w:szCs w:val="16"/>
                <w:color w:val="auto"/>
              </w:rPr>
              <w:t>COST OF GOODS SOLD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1,128,751</w:t>
            </w:r>
          </w:p>
        </w:tc>
        <w:tc>
          <w:tcPr>
            <w:tcW w:w="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924,135</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1,991,719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1,649,526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165,689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148,240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296,578</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268,979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104,595</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94,605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197,800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181,587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LOSS (GAIN) ON DISPOSITION OF ASSETS AND</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6"/>
                <w:szCs w:val="16"/>
                <w:color w:val="auto"/>
              </w:rPr>
            </w:pPr>
          </w:p>
        </w:tc>
        <w:tc>
          <w:tcPr>
            <w:tcW w:w="12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(6,057)</w:t>
            </w: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11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60,617</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53,899</w:t>
            </w: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104,835</w:t>
            </w: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87,720</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INTEREST AND INVESTMENT INCOME</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(181)</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(329)</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(898)</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2,067</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1,490</w:t>
            </w:r>
          </w:p>
        </w:tc>
        <w:tc>
          <w:tcPr>
            <w:tcW w:w="1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3,127</w:t>
            </w:r>
          </w:p>
        </w:tc>
        <w:tc>
          <w:tcPr>
            <w:tcW w:w="18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2,906</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6"/>
                <w:szCs w:val="16"/>
                <w:color w:val="auto"/>
              </w:rPr>
              <w:t>INCOME TAXES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13,420</w:t>
            </w: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17,835</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22,994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78,714</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60"/>
          </w:cols>
          <w:pgMar w:left="1420" w:top="125" w:right="1419" w:bottom="1440" w:gutter="0" w:footer="0" w:header="0"/>
        </w:sectPr>
      </w:pPr>
    </w:p>
    <w:p>
      <w:pPr>
        <w:ind w:right="780"/>
        <w:spacing w:after="0" w:line="260" w:lineRule="auto"/>
        <w:rPr>
          <w:sz w:val="20"/>
          <w:szCs w:val="20"/>
          <w:color w:val="auto"/>
        </w:rPr>
      </w:pPr>
      <w:r>
        <w:rPr>
          <w:rFonts w:ascii="Arial" w:cs="Arial" w:eastAsia="Arial" w:hAnsi="Arial"/>
          <w:sz w:val="16"/>
          <w:szCs w:val="16"/>
          <w:color w:val="auto"/>
        </w:rPr>
        <w:t>LESS NET EARNINGS ATTRIBUTABLE TO NONCONTROLLING INTEREST</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20"/>
        <w:spacing w:after="0"/>
        <w:tabs>
          <w:tab w:leader="none" w:pos="1680" w:val="left"/>
          <w:tab w:leader="none" w:pos="2640" w:val="left"/>
          <w:tab w:leader="none" w:pos="3800" w:val="left"/>
        </w:tabs>
        <w:rPr>
          <w:sz w:val="20"/>
          <w:szCs w:val="20"/>
          <w:color w:val="auto"/>
        </w:rPr>
      </w:pPr>
      <w:r>
        <w:rPr>
          <w:rFonts w:ascii="Arial" w:cs="Arial" w:eastAsia="Arial" w:hAnsi="Arial"/>
          <w:sz w:val="18"/>
          <w:szCs w:val="18"/>
          <w:color w:val="auto"/>
        </w:rPr>
        <w:t>(1,086)</w:t>
      </w:r>
      <w:r>
        <w:rPr>
          <w:sz w:val="20"/>
          <w:szCs w:val="20"/>
          <w:color w:val="auto"/>
        </w:rPr>
        <w:tab/>
      </w: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(1,836)</w:t>
      </w:r>
      <w:r>
        <w:rPr>
          <w:sz w:val="20"/>
          <w:szCs w:val="20"/>
          <w:color w:val="auto"/>
        </w:rPr>
        <w:tab/>
      </w:r>
      <w:r>
        <w:rPr>
          <w:rFonts w:ascii="Arial" w:cs="Arial" w:eastAsia="Arial" w:hAnsi="Arial"/>
          <w:sz w:val="16"/>
          <w:szCs w:val="16"/>
          <w:color w:val="auto"/>
        </w:rPr>
        <w:t>(1,505)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14605</wp:posOffset>
            </wp:positionV>
            <wp:extent cx="575437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6065"/>
                    </a:xfrm>
                    <a:prstGeom prst="rect">
                      <a:avLst/>
                    </a:prstGeom>
                    <a:noFill/>
                  </pic:spPr>
                </pic:pic>
              </a:graphicData>
            </a:graphic>
          </wp:anchor>
        </w:drawing>
      </w:r>
    </w:p>
    <w:p>
      <w:pPr>
        <w:spacing w:after="0" w:line="178" w:lineRule="exact"/>
        <w:rPr>
          <w:sz w:val="20"/>
          <w:szCs w:val="20"/>
          <w:color w:val="auto"/>
        </w:rPr>
      </w:pPr>
    </w:p>
    <w:p>
      <w:pPr>
        <w:spacing w:after="0"/>
        <w:tabs>
          <w:tab w:leader="none" w:pos="380" w:val="left"/>
          <w:tab w:leader="none" w:pos="1120" w:val="left"/>
          <w:tab w:leader="none" w:pos="1500" w:val="left"/>
          <w:tab w:leader="none" w:pos="2220" w:val="left"/>
          <w:tab w:leader="none" w:pos="2620" w:val="left"/>
          <w:tab w:leader="none" w:pos="3360" w:val="left"/>
          <w:tab w:leader="none" w:pos="37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44,044</w:t>
        <w:tab/>
        <w:t>$</w:t>
      </w:r>
      <w:r>
        <w:rPr>
          <w:sz w:val="20"/>
          <w:szCs w:val="20"/>
          <w:color w:val="auto"/>
        </w:rPr>
        <w:tab/>
      </w:r>
      <w:r>
        <w:rPr>
          <w:rFonts w:ascii="Arial" w:cs="Arial" w:eastAsia="Arial" w:hAnsi="Arial"/>
          <w:sz w:val="18"/>
          <w:szCs w:val="18"/>
          <w:u w:val="single" w:color="auto"/>
          <w:color w:val="auto"/>
        </w:rPr>
        <w:t>33,642</w:t>
        <w:tab/>
        <w:t>$</w:t>
      </w:r>
      <w:r>
        <w:rPr>
          <w:sz w:val="20"/>
          <w:szCs w:val="20"/>
          <w:color w:val="auto"/>
        </w:rPr>
        <w:tab/>
      </w:r>
      <w:r>
        <w:rPr>
          <w:rFonts w:ascii="Arial" w:cs="Arial" w:eastAsia="Arial" w:hAnsi="Arial"/>
          <w:sz w:val="18"/>
          <w:szCs w:val="18"/>
          <w:u w:val="single" w:color="auto"/>
          <w:color w:val="auto"/>
        </w:rPr>
        <w:t>76,878</w:t>
        <w:tab/>
        <w:t>$</w:t>
      </w:r>
      <w:r>
        <w:rPr>
          <w:sz w:val="20"/>
          <w:szCs w:val="20"/>
          <w:color w:val="auto"/>
        </w:rPr>
        <w:tab/>
      </w:r>
      <w:r>
        <w:rPr>
          <w:rFonts w:ascii="Arial" w:cs="Arial" w:eastAsia="Arial" w:hAnsi="Arial"/>
          <w:sz w:val="16"/>
          <w:szCs w:val="16"/>
          <w:u w:val="single" w:color="auto"/>
          <w:color w:val="auto"/>
        </w:rPr>
        <w:t>54,704</w:t>
      </w:r>
    </w:p>
    <w:p>
      <w:pPr>
        <w:spacing w:after="0" w:line="266" w:lineRule="exact"/>
        <w:rPr>
          <w:sz w:val="20"/>
          <w:szCs w:val="20"/>
          <w:color w:val="auto"/>
        </w:rPr>
      </w:pPr>
    </w:p>
    <w:p>
      <w:pPr>
        <w:sectPr>
          <w:pgSz w:w="11900" w:h="16838" w:orient="portrait"/>
          <w:cols w:equalWidth="0" w:num="2">
            <w:col w:w="3860" w:space="660"/>
            <w:col w:w="454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6"/>
                <w:szCs w:val="16"/>
                <w:color w:val="auto"/>
              </w:rPr>
              <w:t>OTHER COMPREHENSIVE GAIN (LOSS)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(4,344)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4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16"/>
                <w:szCs w:val="16"/>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(1,713)</w:t>
            </w:r>
          </w:p>
        </w:tc>
        <w:tc>
          <w:tcPr>
            <w:tcW w:w="2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06"/>
        </w:trPr>
        <w:tc>
          <w:tcPr>
            <w:tcW w:w="42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2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w:t>
            </w:r>
          </w:p>
        </w:tc>
        <w:tc>
          <w:tcPr>
            <w:tcW w:w="280" w:type="dxa"/>
            <w:vAlign w:val="bottom"/>
            <w:tcBorders>
              <w:top w:val="single" w:sz="8" w:color="CCEEFF"/>
            </w:tcBorders>
            <w:vMerge w:val="restart"/>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41,106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34,501</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72,657</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57,744</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CONTROLLING INTEREST</w:t>
            </w: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7"/>
          </w:tcPr>
          <w:p>
            <w:pPr>
              <w:spacing w:after="0"/>
              <w:rPr>
                <w:sz w:val="20"/>
                <w:szCs w:val="20"/>
                <w:color w:val="auto"/>
              </w:rPr>
            </w:pPr>
            <w:r>
              <w:rPr>
                <w:rFonts w:ascii="Arial" w:cs="Arial" w:eastAsia="Arial" w:hAnsi="Arial"/>
                <w:sz w:val="11"/>
                <w:szCs w:val="11"/>
                <w:b w:val="1"/>
                <w:bCs w:val="1"/>
                <w:color w:val="auto"/>
                <w:w w:val="90"/>
              </w:rPr>
              <w:t>Controlling Interest Shareholders’ Equity</w:t>
            </w: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08"/>
        </w:trPr>
        <w:tc>
          <w:tcPr>
            <w:tcW w:w="3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2"/>
        </w:trPr>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3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Common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0"/>
                <w:szCs w:val="10"/>
                <w:color w:val="auto"/>
              </w:rPr>
            </w:pPr>
          </w:p>
        </w:tc>
        <w:tc>
          <w:tcPr>
            <w:tcW w:w="78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98"/>
              </w:rPr>
              <w:t>Retained</w:t>
            </w:r>
          </w:p>
        </w:tc>
        <w:tc>
          <w:tcPr>
            <w:tcW w:w="9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9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2"/>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Earnings</w:t>
            </w:r>
          </w:p>
        </w:tc>
        <w:tc>
          <w:tcPr>
            <w:tcW w:w="160" w:type="dxa"/>
            <w:vAlign w:val="bottom"/>
          </w:tcPr>
          <w:p>
            <w:pPr>
              <w:spacing w:after="0"/>
              <w:rPr>
                <w:sz w:val="12"/>
                <w:szCs w:val="12"/>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337"/>
              <w:spacing w:after="0"/>
              <w:rPr>
                <w:sz w:val="20"/>
                <w:szCs w:val="20"/>
                <w:color w:val="auto"/>
              </w:rPr>
            </w:pPr>
            <w:r>
              <w:rPr>
                <w:rFonts w:ascii="Arial" w:cs="Arial" w:eastAsia="Arial" w:hAnsi="Arial"/>
                <w:sz w:val="11"/>
                <w:szCs w:val="11"/>
                <w:b w:val="1"/>
                <w:bCs w:val="1"/>
                <w:color w:val="auto"/>
              </w:rPr>
              <w:t>Total</w:t>
            </w:r>
          </w:p>
        </w:tc>
      </w:tr>
      <w:tr>
        <w:trPr>
          <w:trHeight w:val="135"/>
        </w:trPr>
        <w:tc>
          <w:tcPr>
            <w:tcW w:w="34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31, 2016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61,026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144,649</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649,135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(5,630)</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11,286</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860,466</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54,704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1,505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56,209</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2,817</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4,199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223</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(1,953)</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(1,953)</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Additional purchases of noncontrolling 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2,409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2,409</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 $0.150 per share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(9,208)</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(9,208)</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Issuance of 12,699 shares under employee stock plans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319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332</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426,435 shares under stock grant programs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6,784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7,210</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w w:val="92"/>
              </w:rPr>
              <w:t>Issuance of 132,624 shares under deferred compensation plans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332,640 shares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(9,823)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(9,934)</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Tax benefits from non-qualified stock options exercised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Expense associated with share-based compensation arrangements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w:t>
            </w:r>
          </w:p>
        </w:tc>
      </w:tr>
      <w:tr>
        <w:trPr>
          <w:trHeight w:val="142"/>
        </w:trPr>
        <w:tc>
          <w:tcPr>
            <w:tcW w:w="34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5,126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5,126</w:t>
            </w:r>
          </w:p>
        </w:tc>
      </w:tr>
      <w:tr>
        <w:trPr>
          <w:trHeight w:val="155"/>
        </w:trPr>
        <w:tc>
          <w:tcPr>
            <w:tcW w:w="34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July 1, 2017</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61,266</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158,248</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684,808</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(2,590)</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14,629</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916,361</w:t>
            </w: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30, 2017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61,192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161,928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736,212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14,547</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974,023</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76,878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78,714</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(3,669)</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(123)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(3,792)</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(552)</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(552)</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(1,078)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(1,078)</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 $0.180 per share</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(11,090)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(11,090)</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Issuance of 16,917 shares under employee stock plans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483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346,777 shares under stock grant programs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5,337</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w w:val="92"/>
              </w:rPr>
              <w:t>Issuance of 132,603 shares under deferred compensation plans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55,784 shares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(1,763)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(1,819)</w:t>
            </w: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w w:val="87"/>
              </w:rPr>
              <w:t>Expense associated with share-based compensation arrangements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1,817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1,817</w:t>
            </w:r>
          </w:p>
        </w:tc>
      </w:tr>
      <w:tr>
        <w:trPr>
          <w:trHeight w:val="155"/>
        </w:trPr>
        <w:tc>
          <w:tcPr>
            <w:tcW w:w="34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5,663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5,663</w:t>
            </w:r>
          </w:p>
        </w:tc>
      </w:tr>
      <w:tr>
        <w:trPr>
          <w:trHeight w:val="129"/>
        </w:trPr>
        <w:tc>
          <w:tcPr>
            <w:tcW w:w="342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June 30, 2018</w:t>
            </w: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61,632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174,749</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line="122" w:lineRule="exact"/>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800,237</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(4,077)</w:t>
            </w:r>
          </w:p>
        </w:tc>
        <w:tc>
          <w:tcPr>
            <w:tcW w:w="16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15,182</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1,047,723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6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w w:val="99"/>
              </w:rPr>
              <w:t>June 30,</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88"/>
              <w:spacing w:after="0" w:line="126" w:lineRule="exact"/>
              <w:rPr>
                <w:sz w:val="20"/>
                <w:szCs w:val="20"/>
                <w:color w:val="auto"/>
              </w:rPr>
            </w:pPr>
            <w:r>
              <w:rPr>
                <w:rFonts w:ascii="Arial" w:cs="Arial" w:eastAsia="Arial" w:hAnsi="Arial"/>
                <w:sz w:val="14"/>
                <w:szCs w:val="14"/>
                <w:b w:val="1"/>
                <w:bCs w:val="1"/>
                <w:color w:val="auto"/>
              </w:rPr>
              <w:t>July 1,</w:t>
            </w:r>
          </w:p>
        </w:tc>
        <w:tc>
          <w:tcPr>
            <w:tcW w:w="360" w:type="dxa"/>
            <w:vAlign w:val="bottom"/>
          </w:tcPr>
          <w:p>
            <w:pPr>
              <w:spacing w:after="0"/>
              <w:rPr>
                <w:sz w:val="10"/>
                <w:szCs w:val="10"/>
                <w:color w:val="auto"/>
              </w:rPr>
            </w:pPr>
          </w:p>
        </w:tc>
      </w:tr>
      <w:tr>
        <w:trPr>
          <w:trHeight w:val="178"/>
        </w:trPr>
        <w:tc>
          <w:tcPr>
            <w:tcW w:w="6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5"/>
                <w:szCs w:val="15"/>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78,714</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56,209</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Depreciation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26,144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23,248</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2,377</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1,381</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 (credits)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Equity in earnings of investee</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w:t>
            </w: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gain on disposition of 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(6,057)</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(328)</w:t>
            </w: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Changes in: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(155,666)</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(101,239)</w:t>
            </w:r>
          </w:p>
        </w:tc>
      </w:tr>
      <w:tr>
        <w:trPr>
          <w:trHeight w:val="149"/>
        </w:trPr>
        <w:tc>
          <w:tcPr>
            <w:tcW w:w="612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(61,828)</w:t>
            </w:r>
          </w:p>
        </w:tc>
        <w:tc>
          <w:tcPr>
            <w:tcW w:w="18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(26,979)</w:t>
            </w: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cash overdraft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62,665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38,146</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Accrued liabilities and other</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15,895</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22,067</w:t>
            </w:r>
          </w:p>
        </w:tc>
        <w:tc>
          <w:tcPr>
            <w:tcW w:w="360" w:type="dxa"/>
            <w:vAlign w:val="bottom"/>
            <w:tcBorders>
              <w:bottom w:val="single" w:sz="8" w:color="CCEEFF"/>
            </w:tcBorders>
          </w:tcPr>
          <w:p>
            <w:pPr>
              <w:spacing w:after="0"/>
              <w:rPr>
                <w:sz w:val="13"/>
                <w:szCs w:val="13"/>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USED IN OPERATING ACTIVITIES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(36,072)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15,211</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(54,313)</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(34,549)</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36,724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net of cash received</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(37,960)</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(59,658)</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(9,348)</w:t>
            </w:r>
          </w:p>
        </w:tc>
        <w:tc>
          <w:tcPr>
            <w:tcW w:w="18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(15,118)</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7,247</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(1,352)</w:t>
            </w:r>
          </w:p>
        </w:tc>
        <w:tc>
          <w:tcPr>
            <w:tcW w:w="18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1,152</w:t>
            </w:r>
          </w:p>
        </w:tc>
        <w:tc>
          <w:tcPr>
            <w:tcW w:w="360" w:type="dxa"/>
            <w:vAlign w:val="bottom"/>
          </w:tcPr>
          <w:p>
            <w:pPr>
              <w:spacing w:after="0"/>
              <w:rPr>
                <w:sz w:val="13"/>
                <w:szCs w:val="13"/>
                <w:color w:val="auto"/>
              </w:rPr>
            </w:pP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FROM (USED IN) INVESTING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(63,069)</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(99,887)</w:t>
            </w:r>
          </w:p>
        </w:tc>
        <w:tc>
          <w:tcPr>
            <w:tcW w:w="360" w:type="dxa"/>
            <w:vAlign w:val="bottom"/>
            <w:tcBorders>
              <w:top w:val="single" w:sz="8" w:color="CCEEFF"/>
            </w:tcBorders>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488,853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444,601</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(431,657)</w:t>
            </w:r>
          </w:p>
        </w:tc>
        <w:tc>
          <w:tcPr>
            <w:tcW w:w="18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(349,311)</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of debt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Repayment of debt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(5,437)</w:t>
            </w:r>
          </w:p>
        </w:tc>
        <w:tc>
          <w:tcPr>
            <w:tcW w:w="1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long-term debt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(11,090)</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(9,207)</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(1,078)</w:t>
            </w:r>
          </w:p>
        </w:tc>
        <w:tc>
          <w:tcPr>
            <w:tcW w:w="18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(1,953)</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(1,819)</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(9,934)</w:t>
            </w:r>
          </w:p>
        </w:tc>
      </w:tr>
      <w:tr>
        <w:trPr>
          <w:trHeight w:val="156"/>
        </w:trPr>
        <w:tc>
          <w:tcPr>
            <w:tcW w:w="61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w:t>
            </w:r>
          </w:p>
        </w:tc>
        <w:tc>
          <w:tcPr>
            <w:tcW w:w="180" w:type="dxa"/>
            <w:vAlign w:val="bottom"/>
          </w:tcPr>
          <w:p>
            <w:pPr>
              <w:spacing w:after="0"/>
              <w:rPr>
                <w:sz w:val="13"/>
                <w:szCs w:val="13"/>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w:t>
            </w: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FROM FINANCING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114,840</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74,521</w:t>
            </w:r>
          </w:p>
        </w:tc>
        <w:tc>
          <w:tcPr>
            <w:tcW w:w="360" w:type="dxa"/>
            <w:vAlign w:val="bottom"/>
            <w:tcBorders>
              <w:top w:val="single" w:sz="8" w:color="CCEEFF"/>
            </w:tcBorders>
            <w:shd w:val="clear" w:color="auto" w:fill="CCEEFF"/>
          </w:tcPr>
          <w:p>
            <w:pPr>
              <w:spacing w:after="0"/>
              <w:rPr>
                <w:sz w:val="12"/>
                <w:szCs w:val="12"/>
                <w:color w:val="auto"/>
              </w:rPr>
            </w:pPr>
          </w:p>
        </w:tc>
      </w:tr>
      <w:tr>
        <w:trPr>
          <w:trHeight w:val="156"/>
        </w:trPr>
        <w:tc>
          <w:tcPr>
            <w:tcW w:w="612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w:t>
            </w:r>
          </w:p>
        </w:tc>
        <w:tc>
          <w:tcPr>
            <w:tcW w:w="18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360" w:type="dxa"/>
            <w:vAlign w:val="bottom"/>
          </w:tcPr>
          <w:p>
            <w:pPr>
              <w:spacing w:after="0"/>
              <w:rPr>
                <w:sz w:val="13"/>
                <w:szCs w:val="13"/>
                <w:color w:val="auto"/>
              </w:rPr>
            </w:pPr>
          </w:p>
        </w:tc>
      </w:tr>
      <w:tr>
        <w:trPr>
          <w:trHeight w:val="149"/>
        </w:trPr>
        <w:tc>
          <w:tcPr>
            <w:tcW w:w="61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15,443</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(8,959)</w:t>
            </w:r>
          </w:p>
        </w:tc>
        <w:tc>
          <w:tcPr>
            <w:tcW w:w="360" w:type="dxa"/>
            <w:vAlign w:val="bottom"/>
            <w:tcBorders>
              <w:top w:val="single" w:sz="8" w:color="CCEEFF"/>
            </w:tcBorders>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34,489</w:t>
            </w:r>
          </w:p>
        </w:tc>
        <w:tc>
          <w:tcPr>
            <w:tcW w:w="360" w:type="dxa"/>
            <w:vAlign w:val="bottom"/>
            <w:tcBorders>
              <w:bottom w:val="single" w:sz="8" w:color="CCEEFF"/>
            </w:tcBorders>
          </w:tcPr>
          <w:p>
            <w:pPr>
              <w:spacing w:after="0"/>
              <w:rPr>
                <w:sz w:val="13"/>
                <w:szCs w:val="13"/>
                <w:color w:val="auto"/>
              </w:rPr>
            </w:pPr>
          </w:p>
        </w:tc>
      </w:tr>
      <w:tr>
        <w:trPr>
          <w:trHeight w:val="156"/>
        </w:trPr>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44,259</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25,530</w:t>
            </w:r>
          </w:p>
        </w:tc>
        <w:tc>
          <w:tcPr>
            <w:tcW w:w="360" w:type="dxa"/>
            <w:vAlign w:val="bottom"/>
            <w:tcBorders>
              <w:bottom w:val="single" w:sz="8" w:color="CCEEFF"/>
            </w:tcBorders>
            <w:shd w:val="clear" w:color="auto" w:fill="CCEEFF"/>
          </w:tcPr>
          <w:p>
            <w:pPr>
              <w:spacing w:after="0"/>
              <w:rPr>
                <w:sz w:val="13"/>
                <w:szCs w:val="13"/>
                <w:color w:val="auto"/>
              </w:rPr>
            </w:pPr>
          </w:p>
        </w:tc>
      </w:tr>
      <w:tr>
        <w:trPr>
          <w:trHeight w:val="81"/>
        </w:trPr>
        <w:tc>
          <w:tcPr>
            <w:tcW w:w="6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28,339</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34,091</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34,489</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27,501</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24,625</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16,758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44,259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25,530</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paid</w:t>
            </w:r>
          </w:p>
        </w:tc>
        <w:tc>
          <w:tcPr>
            <w:tcW w:w="6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Income taxes paid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18,745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15,895</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4"/>
                <w:szCs w:val="14"/>
                <w:color w:val="auto"/>
              </w:rPr>
              <w:t>Common stock issued under deferred compensation plans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4,779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4,231</w:t>
            </w:r>
          </w:p>
        </w:tc>
        <w:tc>
          <w:tcPr>
            <w:tcW w:w="360" w:type="dxa"/>
            <w:vAlign w:val="bottom"/>
          </w:tcPr>
          <w:p>
            <w:pPr>
              <w:spacing w:after="0"/>
              <w:rPr>
                <w:sz w:val="15"/>
                <w:szCs w:val="15"/>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7"/>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480" w:right="19"/>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78" w:lineRule="exact"/>
        <w:rPr>
          <w:rFonts w:ascii="Arial" w:cs="Arial" w:eastAsia="Arial" w:hAnsi="Arial"/>
          <w:sz w:val="18"/>
          <w:szCs w:val="18"/>
          <w:b w:val="1"/>
          <w:bCs w:val="1"/>
          <w:color w:val="auto"/>
        </w:rPr>
      </w:pPr>
    </w:p>
    <w:p>
      <w:pPr>
        <w:ind w:left="480" w:right="59"/>
        <w:spacing w:after="0" w:line="219" w:lineRule="exact"/>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30, 2017.</w:t>
      </w:r>
    </w:p>
    <w:p>
      <w:pPr>
        <w:spacing w:after="0" w:line="205" w:lineRule="exact"/>
        <w:rPr>
          <w:rFonts w:ascii="Arial" w:cs="Arial" w:eastAsia="Arial" w:hAnsi="Arial"/>
          <w:sz w:val="18"/>
          <w:szCs w:val="18"/>
          <w:b w:val="1"/>
          <w:bCs w:val="1"/>
          <w:color w:val="auto"/>
        </w:rPr>
      </w:pPr>
    </w:p>
    <w:p>
      <w:pPr>
        <w:ind w:left="480" w:right="2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July 1, 2017 balances in the accompanying unaudited consolidated condensed balance sheets.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hanging="477"/>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July 1, 2017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Quoted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Prices with</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Quoted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Prices with</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Prices 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Prices with</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Prices in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Observable</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Unobservable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Active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Observable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Inputs</w:t>
            </w:r>
          </w:p>
        </w:tc>
        <w:tc>
          <w:tcPr>
            <w:tcW w:w="10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Inputs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Markets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Inputs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(Level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Pr>
          <w:p>
            <w:pPr>
              <w:spacing w:after="0"/>
              <w:rPr>
                <w:sz w:val="19"/>
                <w:szCs w:val="19"/>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(Level 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20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5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Money</w:t>
            </w:r>
          </w:p>
        </w:tc>
        <w:tc>
          <w:tcPr>
            <w:tcW w:w="620" w:type="dxa"/>
            <w:vAlign w:val="bottom"/>
            <w:tcBorders>
              <w:top w:val="single" w:sz="8" w:color="CCEEFF"/>
            </w:tcBorders>
            <w:shd w:val="clear" w:color="auto" w:fill="CCEEFF"/>
          </w:tcPr>
          <w:p>
            <w:pPr>
              <w:jc w:val="right"/>
              <w:ind w:right="19"/>
              <w:spacing w:after="0" w:line="179" w:lineRule="exact"/>
              <w:rPr>
                <w:sz w:val="20"/>
                <w:szCs w:val="20"/>
                <w:color w:val="auto"/>
              </w:rPr>
            </w:pPr>
            <w:r>
              <w:rPr>
                <w:rFonts w:ascii="Arial" w:cs="Arial" w:eastAsia="Arial" w:hAnsi="Arial"/>
                <w:sz w:val="16"/>
                <w:szCs w:val="16"/>
                <w:color w:val="auto"/>
              </w:rPr>
              <w:t>market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funds</w:t>
            </w:r>
          </w:p>
        </w:tc>
        <w:tc>
          <w:tcPr>
            <w:tcW w:w="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193"/>
        </w:trPr>
        <w:tc>
          <w:tcPr>
            <w:tcW w:w="520" w:type="dxa"/>
            <w:vAlign w:val="bottom"/>
          </w:tcPr>
          <w:p>
            <w:pPr>
              <w:spacing w:after="0"/>
              <w:rPr>
                <w:sz w:val="20"/>
                <w:szCs w:val="20"/>
                <w:color w:val="auto"/>
              </w:rPr>
            </w:pPr>
            <w:r>
              <w:rPr>
                <w:rFonts w:ascii="Arial" w:cs="Arial" w:eastAsia="Arial" w:hAnsi="Arial"/>
                <w:sz w:val="16"/>
                <w:szCs w:val="16"/>
                <w:color w:val="auto"/>
              </w:rPr>
              <w:t>Fixed</w:t>
            </w:r>
          </w:p>
        </w:tc>
        <w:tc>
          <w:tcPr>
            <w:tcW w:w="620" w:type="dxa"/>
            <w:vAlign w:val="bottom"/>
          </w:tcPr>
          <w:p>
            <w:pPr>
              <w:jc w:val="right"/>
              <w:spacing w:after="0"/>
              <w:rPr>
                <w:sz w:val="20"/>
                <w:szCs w:val="20"/>
                <w:color w:val="auto"/>
              </w:rPr>
            </w:pPr>
            <w:r>
              <w:rPr>
                <w:rFonts w:ascii="Arial" w:cs="Arial" w:eastAsia="Arial" w:hAnsi="Arial"/>
                <w:sz w:val="16"/>
                <w:szCs w:val="16"/>
                <w:color w:val="auto"/>
              </w:rPr>
              <w:t>income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6"/>
                <w:szCs w:val="16"/>
                <w:color w:val="auto"/>
              </w:rPr>
              <w:t>funds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7,946</w:t>
            </w: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9,822</w:t>
            </w:r>
          </w:p>
        </w:tc>
        <w:tc>
          <w:tcPr>
            <w:tcW w:w="0" w:type="dxa"/>
            <w:vAlign w:val="bottom"/>
          </w:tcPr>
          <w:p>
            <w:pPr>
              <w:spacing w:after="0"/>
              <w:rPr>
                <w:sz w:val="1"/>
                <w:szCs w:val="1"/>
                <w:color w:val="auto"/>
              </w:rPr>
            </w:pPr>
          </w:p>
        </w:tc>
      </w:tr>
      <w:tr>
        <w:trPr>
          <w:trHeight w:val="203"/>
        </w:trPr>
        <w:tc>
          <w:tcPr>
            <w:tcW w:w="1140" w:type="dxa"/>
            <w:vAlign w:val="bottom"/>
            <w:gridSpan w:val="2"/>
          </w:tcPr>
          <w:p>
            <w:pPr>
              <w:spacing w:after="0"/>
              <w:rPr>
                <w:sz w:val="20"/>
                <w:szCs w:val="20"/>
                <w:color w:val="auto"/>
              </w:rPr>
            </w:pPr>
            <w:r>
              <w:rPr>
                <w:rFonts w:ascii="Arial" w:cs="Arial" w:eastAsia="Arial" w:hAnsi="Arial"/>
                <w:sz w:val="16"/>
                <w:szCs w:val="16"/>
                <w:color w:val="auto"/>
              </w:rPr>
              <w:t>Hedge funds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Mutual funds: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ind w:left="120"/>
              <w:spacing w:after="0"/>
              <w:rPr>
                <w:sz w:val="20"/>
                <w:szCs w:val="20"/>
                <w:color w:val="auto"/>
              </w:rPr>
            </w:pPr>
            <w:r>
              <w:rPr>
                <w:rFonts w:ascii="Arial" w:cs="Arial" w:eastAsia="Arial" w:hAnsi="Arial"/>
                <w:sz w:val="16"/>
                <w:szCs w:val="16"/>
                <w:color w:val="auto"/>
              </w:rPr>
              <w:t>stock funds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funds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1140" w:type="dxa"/>
            <w:vAlign w:val="bottom"/>
            <w:gridSpan w:val="2"/>
          </w:tcPr>
          <w:p>
            <w:pPr>
              <w:ind w:left="120"/>
              <w:spacing w:after="0"/>
              <w:rPr>
                <w:sz w:val="20"/>
                <w:szCs w:val="20"/>
                <w:color w:val="auto"/>
              </w:rPr>
            </w:pPr>
            <w:r>
              <w:rPr>
                <w:rFonts w:ascii="Arial" w:cs="Arial" w:eastAsia="Arial" w:hAnsi="Arial"/>
                <w:sz w:val="16"/>
                <w:szCs w:val="16"/>
                <w:color w:val="auto"/>
              </w:rPr>
              <w:t>Target funds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Bond funds</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66"/>
        </w:trPr>
        <w:tc>
          <w:tcPr>
            <w:tcW w:w="520" w:type="dxa"/>
            <w:vAlign w:val="bottom"/>
          </w:tcPr>
          <w:p>
            <w:pPr>
              <w:spacing w:after="0" w:line="166" w:lineRule="exact"/>
              <w:rPr>
                <w:sz w:val="20"/>
                <w:szCs w:val="20"/>
                <w:color w:val="auto"/>
              </w:rPr>
            </w:pPr>
            <w:r>
              <w:rPr>
                <w:rFonts w:ascii="Arial" w:cs="Arial" w:eastAsia="Arial" w:hAnsi="Arial"/>
                <w:sz w:val="16"/>
                <w:szCs w:val="16"/>
                <w:color w:val="auto"/>
              </w:rPr>
              <w:t>Total</w:t>
            </w:r>
          </w:p>
        </w:tc>
        <w:tc>
          <w:tcPr>
            <w:tcW w:w="620" w:type="dxa"/>
            <w:vAlign w:val="bottom"/>
          </w:tcPr>
          <w:p>
            <w:pPr>
              <w:jc w:val="right"/>
              <w:spacing w:after="0" w:line="166" w:lineRule="exact"/>
              <w:rPr>
                <w:sz w:val="20"/>
                <w:szCs w:val="20"/>
                <w:color w:val="auto"/>
              </w:rPr>
            </w:pPr>
            <w:r>
              <w:rPr>
                <w:rFonts w:ascii="Arial" w:cs="Arial" w:eastAsia="Arial" w:hAnsi="Arial"/>
                <w:sz w:val="16"/>
                <w:szCs w:val="16"/>
                <w:color w:val="auto"/>
              </w:rPr>
              <w:t>mutual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5,338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5,338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874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20"/>
                <w:szCs w:val="20"/>
                <w:color w:val="auto"/>
              </w:rPr>
            </w:pPr>
            <w:r>
              <w:rPr>
                <w:rFonts w:ascii="Arial" w:cs="Arial" w:eastAsia="Arial" w:hAnsi="Arial"/>
                <w:sz w:val="16"/>
                <w:szCs w:val="16"/>
                <w:color w:val="auto"/>
              </w:rPr>
              <w:t>funds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16,165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12,255</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19,597</w:t>
            </w:r>
          </w:p>
        </w:tc>
        <w:tc>
          <w:tcPr>
            <w:tcW w:w="0" w:type="dxa"/>
            <w:vAlign w:val="bottom"/>
          </w:tcPr>
          <w:p>
            <w:pPr>
              <w:spacing w:after="0"/>
              <w:rPr>
                <w:sz w:val="1"/>
                <w:szCs w:val="1"/>
                <w:color w:val="auto"/>
              </w:rPr>
            </w:pPr>
          </w:p>
        </w:tc>
      </w:tr>
      <w:tr>
        <w:trPr>
          <w:trHeight w:val="193"/>
        </w:trPr>
        <w:tc>
          <w:tcPr>
            <w:tcW w:w="1140" w:type="dxa"/>
            <w:vAlign w:val="bottom"/>
            <w:gridSpan w:val="2"/>
          </w:tcPr>
          <w:p>
            <w:pPr>
              <w:ind w:left="120"/>
              <w:spacing w:after="0"/>
              <w:rPr>
                <w:sz w:val="20"/>
                <w:szCs w:val="20"/>
                <w:color w:val="auto"/>
              </w:rPr>
            </w:pPr>
            <w:r>
              <w:rPr>
                <w:rFonts w:ascii="Arial" w:cs="Arial" w:eastAsia="Arial" w:hAnsi="Arial"/>
                <w:sz w:val="16"/>
                <w:szCs w:val="16"/>
                <w:color w:val="auto"/>
              </w:rPr>
              <w:t>Assets at fair</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16,165</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9,481</w:t>
            </w:r>
          </w:p>
        </w:tc>
        <w:tc>
          <w:tcPr>
            <w:tcW w:w="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1,689</w:t>
            </w:r>
          </w:p>
        </w:tc>
        <w:tc>
          <w:tcPr>
            <w:tcW w:w="360" w:type="dxa"/>
            <w:vAlign w:val="bottom"/>
            <w:gridSpan w:val="2"/>
            <w:vMerge w:val="restart"/>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27,335</w:t>
            </w:r>
          </w:p>
        </w:tc>
        <w:tc>
          <w:tcPr>
            <w:tcW w:w="1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12,255</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7,342</w:t>
            </w:r>
          </w:p>
        </w:tc>
        <w:tc>
          <w:tcPr>
            <w:tcW w:w="160" w:type="dxa"/>
            <w:vAlign w:val="bottom"/>
          </w:tcPr>
          <w:p>
            <w:pPr>
              <w:spacing w:after="0"/>
              <w:rPr>
                <w:sz w:val="16"/>
                <w:szCs w:val="16"/>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19,597</w:t>
            </w:r>
          </w:p>
        </w:tc>
        <w:tc>
          <w:tcPr>
            <w:tcW w:w="0" w:type="dxa"/>
            <w:vAlign w:val="bottom"/>
          </w:tcPr>
          <w:p>
            <w:pPr>
              <w:spacing w:after="0"/>
              <w:rPr>
                <w:sz w:val="1"/>
                <w:szCs w:val="1"/>
                <w:color w:val="auto"/>
              </w:rPr>
            </w:pPr>
          </w:p>
        </w:tc>
      </w:tr>
      <w:tr>
        <w:trPr>
          <w:trHeight w:val="199"/>
        </w:trPr>
        <w:tc>
          <w:tcPr>
            <w:tcW w:w="520" w:type="dxa"/>
            <w:vAlign w:val="bottom"/>
          </w:tcPr>
          <w:p>
            <w:pPr>
              <w:ind w:left="120"/>
              <w:spacing w:after="0"/>
              <w:rPr>
                <w:sz w:val="20"/>
                <w:szCs w:val="20"/>
                <w:color w:val="auto"/>
              </w:rPr>
            </w:pPr>
            <w:r>
              <w:rPr>
                <w:rFonts w:ascii="Arial" w:cs="Arial" w:eastAsia="Arial" w:hAnsi="Arial"/>
                <w:sz w:val="16"/>
                <w:szCs w:val="16"/>
                <w:color w:val="auto"/>
                <w:w w:val="99"/>
              </w:rPr>
              <w:t>value</w:t>
            </w:r>
          </w:p>
        </w:tc>
        <w:tc>
          <w:tcPr>
            <w:tcW w:w="62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right="80"/>
        <w:spacing w:after="0" w:line="276"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“Restricted Cash”, and “Restricted Investments”. We have elected not to apply the fair value option under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to any of our financial instruments except for those expressly required by U.S. GAAP.</w:t>
      </w:r>
    </w:p>
    <w:p>
      <w:pPr>
        <w:spacing w:after="0" w:line="173" w:lineRule="exact"/>
        <w:rPr>
          <w:sz w:val="20"/>
          <w:szCs w:val="20"/>
          <w:color w:val="auto"/>
        </w:rPr>
      </w:pPr>
    </w:p>
    <w:p>
      <w:pPr>
        <w:ind w:left="480" w:right="180"/>
        <w:spacing w:after="0" w:line="277" w:lineRule="auto"/>
        <w:rPr>
          <w:sz w:val="20"/>
          <w:szCs w:val="20"/>
          <w:color w:val="auto"/>
        </w:rPr>
      </w:pPr>
      <w:r>
        <w:rPr>
          <w:rFonts w:ascii="Arial" w:cs="Arial" w:eastAsia="Arial" w:hAnsi="Arial"/>
          <w:sz w:val="18"/>
          <w:szCs w:val="18"/>
          <w:color w:val="auto"/>
        </w:rPr>
        <w:t>During the second quarter of 2018, we purchased a private real estate income trust which will be valued as a Level 3 asset. We did not maintain any Level 3 assets or liabilities at July 1, 2017.</w:t>
      </w:r>
    </w:p>
    <w:p>
      <w:pPr>
        <w:spacing w:after="0" w:line="170" w:lineRule="exact"/>
        <w:rPr>
          <w:sz w:val="20"/>
          <w:szCs w:val="20"/>
          <w:color w:val="auto"/>
        </w:rPr>
      </w:pPr>
    </w:p>
    <w:p>
      <w:pPr>
        <w:ind w:left="480" w:right="120"/>
        <w:spacing w:after="0" w:line="276" w:lineRule="auto"/>
        <w:rPr>
          <w:sz w:val="20"/>
          <w:szCs w:val="20"/>
          <w:color w:val="auto"/>
        </w:rPr>
      </w:pPr>
      <w:r>
        <w:rPr>
          <w:rFonts w:ascii="Arial" w:cs="Arial" w:eastAsia="Arial" w:hAnsi="Arial"/>
          <w:sz w:val="17"/>
          <w:szCs w:val="17"/>
          <w:color w:val="auto"/>
        </w:rPr>
        <w:t>In 2017, our wholly-owned captive, Ardellis Insurance Ltd. (“Ardellis”) transferred $4.1 million in fixed income securities from its Investment Account and purchased an additional $3.8 million in fixed income securities which are held in a newly formed collateral trust account in line with regulatory requirements in the State of Michigan to allow Ardellis to act as an admitted carrier in the State. These funds are intended to safeguard the insureds of the Michigan Branch of Ardellis. The funds are classified as “Restricted Investments”.</w:t>
      </w:r>
    </w:p>
    <w:p>
      <w:pPr>
        <w:spacing w:after="0" w:line="173" w:lineRule="exact"/>
        <w:rPr>
          <w:sz w:val="20"/>
          <w:szCs w:val="20"/>
          <w:color w:val="auto"/>
        </w:rPr>
      </w:pPr>
    </w:p>
    <w:p>
      <w:pPr>
        <w:ind w:left="480" w:right="180"/>
        <w:spacing w:after="0" w:line="264"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$24.8 million as of June 30, 2018, consisting of domestic and international stocks, hedge funds, and fixed income bonds.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480"/>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4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1"/>
              </w:rPr>
              <w:t>June 30,2018</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8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8"/>
        </w:trPr>
        <w:tc>
          <w:tcPr>
            <w:tcW w:w="4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Hedge Funds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80"/>
        <w:spacing w:after="0" w:line="255" w:lineRule="auto"/>
        <w:rPr>
          <w:sz w:val="20"/>
          <w:szCs w:val="20"/>
          <w:color w:val="auto"/>
        </w:rPr>
      </w:pPr>
      <w:r>
        <w:rPr>
          <w:rFonts w:ascii="Arial" w:cs="Arial" w:eastAsia="Arial" w:hAnsi="Arial"/>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hedge funds consist of the private real estate income trust which is valued as a Level 3 asset. The net pre-tax effected unrealized gain was $0.5 million. Carrying amounts above are recorded in the investments and restricted investments line items within the balance sheet as of June 30, 2018. During the first six months of 2018, Ardellis’ investments reported a net realized gain of $514 thousand, which was recorded in interest income on the statement of earnings.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hanging="497"/>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4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 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78" w:lineRule="exact"/>
        <w:rPr>
          <w:rFonts w:ascii="Arial" w:cs="Arial" w:eastAsia="Arial" w:hAnsi="Arial"/>
          <w:sz w:val="18"/>
          <w:szCs w:val="18"/>
          <w:b w:val="1"/>
          <w:bCs w:val="1"/>
          <w:color w:val="auto"/>
        </w:rPr>
      </w:pPr>
    </w:p>
    <w:p>
      <w:pPr>
        <w:jc w:val="both"/>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181" w:lineRule="exact"/>
        <w:rPr>
          <w:rFonts w:ascii="Arial" w:cs="Arial" w:eastAsia="Arial" w:hAnsi="Arial"/>
          <w:sz w:val="18"/>
          <w:szCs w:val="18"/>
          <w:b w:val="1"/>
          <w:bCs w:val="1"/>
          <w:color w:val="auto"/>
        </w:rPr>
      </w:pPr>
    </w:p>
    <w:p>
      <w:pPr>
        <w:ind w:left="480" w:right="8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Within the three markets (retail, industrial, and construction) that the Company operates, there are a variety of written and oral contracts that are utilized to generate revenue from the sale of wood, wood composite and other</w:t>
      </w:r>
    </w:p>
    <w:p>
      <w:pPr>
        <w:ind w:left="480" w:right="1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8" w:lineRule="exact"/>
        <w:rPr>
          <w:rFonts w:ascii="Arial" w:cs="Arial" w:eastAsia="Arial" w:hAnsi="Arial"/>
          <w:sz w:val="18"/>
          <w:szCs w:val="18"/>
          <w:b w:val="1"/>
          <w:bCs w:val="1"/>
          <w:color w:val="auto"/>
        </w:rPr>
      </w:pPr>
    </w:p>
    <w:p>
      <w:pPr>
        <w:ind w:left="48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Certain customer products that we provide require installation by the Company or a 3</w:t>
      </w:r>
      <w:r>
        <w:rPr>
          <w:rFonts w:ascii="Arial" w:cs="Arial" w:eastAsia="Arial" w:hAnsi="Arial"/>
          <w:sz w:val="8"/>
          <w:szCs w:val="8"/>
          <w:color w:val="auto"/>
        </w:rPr>
        <w:t>rd</w:t>
      </w:r>
      <w:r>
        <w:rPr>
          <w:rFonts w:ascii="Arial" w:cs="Arial" w:eastAsia="Arial" w:hAnsi="Arial"/>
          <w:sz w:val="18"/>
          <w:szCs w:val="18"/>
          <w:color w:val="auto"/>
        </w:rPr>
        <w:t xml:space="preserve"> party. Installation revenue is recognized upon completion, which is typically 2-3 days after receipt. If it is determined to utilize a 3</w:t>
      </w:r>
      <w:r>
        <w:rPr>
          <w:rFonts w:ascii="Arial" w:cs="Arial" w:eastAsia="Arial" w:hAnsi="Arial"/>
          <w:sz w:val="8"/>
          <w:szCs w:val="8"/>
          <w:color w:val="auto"/>
        </w:rPr>
        <w:t>rd</w:t>
      </w:r>
      <w:r>
        <w:rPr>
          <w:rFonts w:ascii="Arial" w:cs="Arial" w:eastAsia="Arial" w:hAnsi="Arial"/>
          <w:sz w:val="18"/>
          <w:szCs w:val="18"/>
          <w:color w:val="auto"/>
        </w:rPr>
        <w:t xml:space="preserve"> party for installation, the party will act as an agent to the Company until completion of the installation. Installation revenue represents an immaterial share of the Company’s total sales.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60"/>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the volume returns and refunds are estimated on a historical and expected basis which is a reduction of revenue recognized.</w:t>
      </w:r>
    </w:p>
    <w:p>
      <w:pPr>
        <w:spacing w:after="0" w:line="193" w:lineRule="exact"/>
        <w:rPr>
          <w:sz w:val="20"/>
          <w:szCs w:val="20"/>
          <w:color w:val="auto"/>
        </w:rPr>
      </w:pPr>
    </w:p>
    <w:p>
      <w:pPr>
        <w:ind w:left="480" w:right="40"/>
        <w:spacing w:after="0" w:line="289" w:lineRule="auto"/>
        <w:rPr>
          <w:sz w:val="20"/>
          <w:szCs w:val="20"/>
          <w:color w:val="auto"/>
        </w:rPr>
      </w:pPr>
      <w:r>
        <w:rPr>
          <w:rFonts w:ascii="Arial" w:cs="Arial" w:eastAsia="Arial" w:hAnsi="Arial"/>
          <w:sz w:val="16"/>
          <w:szCs w:val="16"/>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67"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our gross revenues disaggregated by revenue source: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5"/>
                <w:szCs w:val="15"/>
                <w:color w:val="auto"/>
              </w:rPr>
            </w:pPr>
          </w:p>
        </w:tc>
      </w:tr>
      <w:tr>
        <w:trPr>
          <w:trHeight w:val="218"/>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July 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0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July 1,</w:t>
            </w:r>
          </w:p>
        </w:tc>
        <w:tc>
          <w:tcPr>
            <w:tcW w:w="680" w:type="dxa"/>
            <w:vAlign w:val="bottom"/>
          </w:tcPr>
          <w:p>
            <w:pPr>
              <w:spacing w:after="0"/>
              <w:rPr>
                <w:sz w:val="18"/>
                <w:szCs w:val="18"/>
                <w:color w:val="auto"/>
              </w:rPr>
            </w:pPr>
          </w:p>
        </w:tc>
      </w:tr>
      <w:tr>
        <w:trPr>
          <w:trHeight w:val="208"/>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03"/>
        </w:trPr>
        <w:tc>
          <w:tcPr>
            <w:tcW w:w="2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FOB Shipping Point Revenue</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1,281,557</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1,058,777</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21.04%</w:t>
            </w: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w w:val="95"/>
              </w:rPr>
              <w:t>$  2,263,248</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1,885,652</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20.02%</w:t>
            </w: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color w:val="auto"/>
                <w:w w:val="97"/>
              </w:rPr>
              <w:t>Construction Contract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33,418</w:t>
            </w:r>
          </w:p>
        </w:tc>
        <w:tc>
          <w:tcPr>
            <w:tcW w:w="1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16.14%</w:t>
            </w: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68,787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65,400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2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Sales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1,320,368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2,332,035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1,951,052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19.53%</w:t>
            </w:r>
          </w:p>
        </w:tc>
      </w:tr>
    </w:tbl>
    <w:p>
      <w:pPr>
        <w:spacing w:after="0" w:line="200" w:lineRule="exact"/>
        <w:rPr>
          <w:sz w:val="20"/>
          <w:szCs w:val="20"/>
          <w:color w:val="auto"/>
        </w:rPr>
      </w:pPr>
    </w:p>
    <w:p>
      <w:pPr>
        <w:spacing w:after="0" w:line="218" w:lineRule="exact"/>
        <w:rPr>
          <w:sz w:val="20"/>
          <w:szCs w:val="20"/>
          <w:color w:val="auto"/>
        </w:rPr>
      </w:pPr>
    </w:p>
    <w:p>
      <w:pPr>
        <w:jc w:val="both"/>
        <w:ind w:left="480" w:right="80"/>
        <w:spacing w:after="0" w:line="264" w:lineRule="auto"/>
        <w:rPr>
          <w:sz w:val="20"/>
          <w:szCs w:val="20"/>
          <w:color w:val="auto"/>
        </w:rPr>
      </w:pPr>
      <w:r>
        <w:rPr>
          <w:rFonts w:ascii="Arial" w:cs="Arial" w:eastAsia="Arial" w:hAnsi="Arial"/>
          <w:sz w:val="18"/>
          <w:szCs w:val="18"/>
          <w:color w:val="auto"/>
        </w:rPr>
        <w:t>In the first six months of 2018, the North and West segments comprise the construction contract revenue above, $47.3 million and $21.5 million, respectively. Construction contract revenue is primarily made up of site-built and framing customers.</w:t>
      </w:r>
    </w:p>
    <w:p>
      <w:pPr>
        <w:spacing w:after="0" w:line="181" w:lineRule="exact"/>
        <w:rPr>
          <w:sz w:val="20"/>
          <w:szCs w:val="20"/>
          <w:color w:val="auto"/>
        </w:rPr>
      </w:pPr>
    </w:p>
    <w:p>
      <w:pPr>
        <w:ind w:left="480" w:right="460"/>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1,</w:t>
            </w:r>
          </w:p>
        </w:tc>
      </w:tr>
      <w:tr>
        <w:trPr>
          <w:trHeight w:val="178"/>
        </w:trPr>
        <w:tc>
          <w:tcPr>
            <w:tcW w:w="366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00" w:type="dxa"/>
            <w:vAlign w:val="bottom"/>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Pr>
          <w:p>
            <w:pPr>
              <w:spacing w:after="0"/>
              <w:rPr>
                <w:sz w:val="20"/>
                <w:szCs w:val="20"/>
                <w:color w:val="auto"/>
              </w:rPr>
            </w:pPr>
          </w:p>
        </w:tc>
      </w:tr>
      <w:tr>
        <w:trPr>
          <w:trHeight w:val="864"/>
        </w:trPr>
        <w:tc>
          <w:tcPr>
            <w:tcW w:w="3660" w:type="dxa"/>
            <w:vAlign w:val="bottom"/>
          </w:tcPr>
          <w:p>
            <w:pPr>
              <w:spacing w:after="0"/>
              <w:rPr>
                <w:sz w:val="24"/>
                <w:szCs w:val="24"/>
                <w:color w:val="auto"/>
              </w:rPr>
            </w:pPr>
          </w:p>
        </w:tc>
        <w:tc>
          <w:tcPr>
            <w:tcW w:w="2320" w:type="dxa"/>
            <w:vAlign w:val="bottom"/>
          </w:tcPr>
          <w:p>
            <w:pPr>
              <w:jc w:val="right"/>
              <w:ind w:right="12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9"/>
        </w:trPr>
        <w:tc>
          <w:tcPr>
            <w:tcW w:w="36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ind w:left="500" w:hanging="497"/>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26"/>
        </w:trPr>
        <w:tc>
          <w:tcPr>
            <w:tcW w:w="5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3"/>
              <w:spacing w:after="0" w:line="126" w:lineRule="exact"/>
              <w:rPr>
                <w:sz w:val="20"/>
                <w:szCs w:val="20"/>
                <w:color w:val="auto"/>
              </w:rPr>
            </w:pPr>
            <w:r>
              <w:rPr>
                <w:rFonts w:ascii="Arial" w:cs="Arial" w:eastAsia="Arial" w:hAnsi="Arial"/>
                <w:sz w:val="14"/>
                <w:szCs w:val="14"/>
                <w:b w:val="1"/>
                <w:bCs w:val="1"/>
                <w:color w:val="auto"/>
              </w:rPr>
              <w:t>July 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40"/>
              <w:spacing w:after="0" w:line="126"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3"/>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44,044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33,642</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76,878</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54,704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Adjustment for earnings allocated to non-vested restricted common</w:t>
            </w:r>
          </w:p>
        </w:tc>
        <w:tc>
          <w:tcPr>
            <w:tcW w:w="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43,026</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32,979</w:t>
            </w:r>
          </w:p>
        </w:tc>
        <w:tc>
          <w:tcPr>
            <w:tcW w:w="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75,150</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53,710</w:t>
            </w:r>
          </w:p>
        </w:tc>
        <w:tc>
          <w:tcPr>
            <w:tcW w:w="1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60,464</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60,417</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60,381</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60,363</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restricted common stock</w:t>
            </w: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diluted EPS</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60,549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60,510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60,474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 options were excluded from the computation of diluted EPS for the quarters ended June 30, 2018, or July 1, 2017.</w:t>
      </w:r>
    </w:p>
    <w:p>
      <w:pPr>
        <w:spacing w:after="0" w:line="248" w:lineRule="exact"/>
        <w:rPr>
          <w:sz w:val="20"/>
          <w:szCs w:val="20"/>
          <w:color w:val="auto"/>
        </w:rPr>
      </w:pPr>
    </w:p>
    <w:p>
      <w:pPr>
        <w:ind w:left="480" w:right="20" w:firstLine="648"/>
        <w:spacing w:after="0" w:line="279" w:lineRule="auto"/>
        <w:rPr>
          <w:sz w:val="20"/>
          <w:szCs w:val="20"/>
          <w:color w:val="auto"/>
        </w:rPr>
      </w:pPr>
      <w:r>
        <w:rPr>
          <w:rFonts w:ascii="Arial" w:cs="Arial" w:eastAsia="Arial" w:hAnsi="Arial"/>
          <w:sz w:val="17"/>
          <w:szCs w:val="17"/>
          <w:color w:val="auto"/>
        </w:rPr>
        <w:t>On October 17, 2017, our Board of Directors declared a three-for-one stock split effected in the form of a stock dividend. The record date of the stock split was on October 31, 2017, and the eventual stock distribution to shareholders occurred on November 14, 2017. As a result of the stock split, all historical per share data and number of shares outstanding presented in future financial statements are retroactively adjusted.</w:t>
      </w:r>
    </w:p>
    <w:p>
      <w:pPr>
        <w:spacing w:after="0" w:line="167" w:lineRule="exact"/>
        <w:rPr>
          <w:sz w:val="20"/>
          <w:szCs w:val="20"/>
          <w:color w:val="auto"/>
        </w:rPr>
      </w:pPr>
    </w:p>
    <w:p>
      <w:pPr>
        <w:ind w:left="480" w:hanging="477"/>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rFonts w:ascii="Arial" w:cs="Arial" w:eastAsia="Arial" w:hAnsi="Arial"/>
          <w:sz w:val="18"/>
          <w:szCs w:val="18"/>
          <w:b w:val="1"/>
          <w:bCs w:val="1"/>
          <w:color w:val="auto"/>
        </w:rPr>
      </w:pPr>
    </w:p>
    <w:p>
      <w:pPr>
        <w:ind w:left="48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rFonts w:ascii="Arial" w:cs="Arial" w:eastAsia="Arial" w:hAnsi="Arial"/>
          <w:sz w:val="18"/>
          <w:szCs w:val="18"/>
          <w:b w:val="1"/>
          <w:bCs w:val="1"/>
          <w:color w:val="auto"/>
        </w:rPr>
      </w:pPr>
    </w:p>
    <w:p>
      <w:pPr>
        <w:ind w:left="48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78" w:lineRule="exact"/>
        <w:rPr>
          <w:rFonts w:ascii="Arial" w:cs="Arial" w:eastAsia="Arial" w:hAnsi="Arial"/>
          <w:sz w:val="18"/>
          <w:szCs w:val="18"/>
          <w:b w:val="1"/>
          <w:bCs w:val="1"/>
          <w:color w:val="auto"/>
        </w:rPr>
      </w:pPr>
    </w:p>
    <w:p>
      <w:pPr>
        <w:ind w:left="48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 consolidated basis, we have reserved approximately $2.5 million and $3.6 million on June 30, 2018, and July 1, 2017, respectively, representing the estimated costs to complete future remediation efforts. These amounts have not been reduced by an insurance receivable.</w:t>
      </w:r>
    </w:p>
    <w:p>
      <w:pPr>
        <w:spacing w:after="0" w:line="181" w:lineRule="exact"/>
        <w:rPr>
          <w:rFonts w:ascii="Arial" w:cs="Arial" w:eastAsia="Arial" w:hAnsi="Arial"/>
          <w:sz w:val="18"/>
          <w:szCs w:val="18"/>
          <w:b w:val="1"/>
          <w:bCs w:val="1"/>
          <w:color w:val="auto"/>
        </w:rPr>
      </w:pPr>
    </w:p>
    <w:p>
      <w:pPr>
        <w:ind w:left="48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180"/>
        <w:spacing w:after="0" w:line="297" w:lineRule="auto"/>
        <w:rPr>
          <w:sz w:val="20"/>
          <w:szCs w:val="20"/>
          <w:color w:val="auto"/>
        </w:rPr>
      </w:pPr>
      <w:r>
        <w:rPr>
          <w:rFonts w:ascii="Arial" w:cs="Arial" w:eastAsia="Arial" w:hAnsi="Arial"/>
          <w:sz w:val="16"/>
          <w:szCs w:val="16"/>
          <w:color w:val="auto"/>
        </w:rPr>
        <w:t>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$0.2 million. As a result, this amount is recorded in other long-term liabilities on June 30, 2018.</w:t>
      </w:r>
    </w:p>
    <w:p>
      <w:pPr>
        <w:spacing w:after="0" w:line="158" w:lineRule="exact"/>
        <w:rPr>
          <w:sz w:val="20"/>
          <w:szCs w:val="20"/>
          <w:color w:val="auto"/>
        </w:rPr>
      </w:pPr>
    </w:p>
    <w:p>
      <w:pPr>
        <w:ind w:left="480" w:right="20"/>
        <w:spacing w:after="0" w:line="284" w:lineRule="auto"/>
        <w:rPr>
          <w:sz w:val="20"/>
          <w:szCs w:val="20"/>
          <w:color w:val="auto"/>
        </w:rPr>
      </w:pPr>
      <w:r>
        <w:rPr>
          <w:rFonts w:ascii="Arial" w:cs="Arial" w:eastAsia="Arial" w:hAnsi="Arial"/>
          <w:sz w:val="16"/>
          <w:szCs w:val="16"/>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2014, two Company employees were terminated for violating the Company’s Code of Business Conduct and Ethics. In</w:t>
      </w:r>
    </w:p>
    <w:p>
      <w:pPr>
        <w:spacing w:after="0" w:line="1"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Based upon prior communications with the US Attorney’s Office, we do not believe that the resolution of this matter will have a material adverse impact on our financial condition or the results of our operations.</w:t>
      </w:r>
    </w:p>
    <w:p>
      <w:pPr>
        <w:spacing w:after="0" w:line="194" w:lineRule="exact"/>
        <w:rPr>
          <w:sz w:val="20"/>
          <w:szCs w:val="20"/>
          <w:color w:val="auto"/>
        </w:rPr>
      </w:pPr>
    </w:p>
    <w:p>
      <w:pPr>
        <w:ind w:left="480" w:right="460"/>
        <w:spacing w:after="0" w:line="286" w:lineRule="auto"/>
        <w:rPr>
          <w:sz w:val="20"/>
          <w:szCs w:val="20"/>
          <w:color w:val="auto"/>
        </w:rPr>
      </w:pPr>
      <w:r>
        <w:rPr>
          <w:rFonts w:ascii="Arial" w:cs="Arial" w:eastAsia="Arial" w:hAnsi="Arial"/>
          <w:sz w:val="17"/>
          <w:szCs w:val="17"/>
          <w:color w:val="auto"/>
        </w:rPr>
        <w:t>In addition, on June 30, 2018,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6" w:lineRule="exact"/>
        <w:rPr>
          <w:sz w:val="20"/>
          <w:szCs w:val="20"/>
          <w:color w:val="auto"/>
        </w:rPr>
      </w:pPr>
    </w:p>
    <w:p>
      <w:pPr>
        <w:ind w:left="480" w:right="80"/>
        <w:spacing w:after="0" w:line="277" w:lineRule="auto"/>
        <w:rPr>
          <w:sz w:val="20"/>
          <w:szCs w:val="20"/>
          <w:color w:val="auto"/>
        </w:rPr>
      </w:pPr>
      <w:r>
        <w:rPr>
          <w:rFonts w:ascii="Arial" w:cs="Arial" w:eastAsia="Arial" w:hAnsi="Arial"/>
          <w:sz w:val="18"/>
          <w:szCs w:val="18"/>
          <w:color w:val="auto"/>
        </w:rPr>
        <w:t>On June 30, 2018, we had outstanding purchase commitments on commenced capital projects of approximately $23.4 million.</w:t>
      </w:r>
    </w:p>
    <w:p>
      <w:pPr>
        <w:spacing w:after="0" w:line="170" w:lineRule="exact"/>
        <w:rPr>
          <w:sz w:val="20"/>
          <w:szCs w:val="20"/>
          <w:color w:val="auto"/>
        </w:rPr>
      </w:pPr>
    </w:p>
    <w:p>
      <w:pPr>
        <w:ind w:left="480" w:right="40"/>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ind w:left="480" w:right="80"/>
        <w:spacing w:after="0" w:line="255"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June 30, 2018, we had approximately $15.8 million outstanding payment and performance bonds for open projects. We had approximately $1.7 million in payment and performance bonds outstanding for completed projects which are still under warranty.</w:t>
      </w:r>
    </w:p>
    <w:p>
      <w:pPr>
        <w:spacing w:after="0" w:line="189" w:lineRule="exact"/>
        <w:rPr>
          <w:sz w:val="20"/>
          <w:szCs w:val="20"/>
          <w:color w:val="auto"/>
        </w:rPr>
      </w:pPr>
    </w:p>
    <w:p>
      <w:pPr>
        <w:ind w:left="480" w:right="300"/>
        <w:spacing w:after="0" w:line="277" w:lineRule="auto"/>
        <w:rPr>
          <w:sz w:val="20"/>
          <w:szCs w:val="20"/>
          <w:color w:val="auto"/>
        </w:rPr>
      </w:pPr>
      <w:r>
        <w:rPr>
          <w:rFonts w:ascii="Arial" w:cs="Arial" w:eastAsia="Arial" w:hAnsi="Arial"/>
          <w:sz w:val="18"/>
          <w:szCs w:val="18"/>
          <w:color w:val="auto"/>
        </w:rPr>
        <w:t>On June 30, 2018, we had outstanding letters of credit totaling $30.4 million, primarily related to certain insurance contracts and industrial development revenue bonds described further below.</w:t>
      </w:r>
    </w:p>
    <w:p>
      <w:pPr>
        <w:spacing w:after="0" w:line="170" w:lineRule="exact"/>
        <w:rPr>
          <w:sz w:val="20"/>
          <w:szCs w:val="20"/>
          <w:color w:val="auto"/>
        </w:rPr>
      </w:pPr>
    </w:p>
    <w:p>
      <w:pPr>
        <w:jc w:val="both"/>
        <w:ind w:left="500" w:right="120"/>
        <w:spacing w:after="0" w:line="30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$20.6 million for these types of insurance arrangements. We have reserves recorded on our balance sheet, in accrued liabilities, that reflect our expected future liabilities under these insurance arrangements.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100"/>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ind w:left="480" w:right="280"/>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ind w:left="480" w:right="260"/>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2018 which would require us to recognize a liability on our balance sheet.</w:t>
      </w:r>
    </w:p>
    <w:p>
      <w:pPr>
        <w:spacing w:after="0" w:line="166" w:lineRule="exact"/>
        <w:rPr>
          <w:sz w:val="20"/>
          <w:szCs w:val="20"/>
          <w:color w:val="auto"/>
        </w:rPr>
      </w:pPr>
    </w:p>
    <w:p>
      <w:pPr>
        <w:ind w:left="460" w:hanging="457"/>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480" w:right="440"/>
        <w:spacing w:after="0" w:line="277" w:lineRule="auto"/>
        <w:rPr>
          <w:sz w:val="20"/>
          <w:szCs w:val="20"/>
          <w:color w:val="auto"/>
        </w:rPr>
      </w:pPr>
      <w:r>
        <w:rPr>
          <w:rFonts w:ascii="Arial" w:cs="Arial" w:eastAsia="Arial" w:hAnsi="Arial"/>
          <w:sz w:val="18"/>
          <w:szCs w:val="18"/>
          <w:color w:val="auto"/>
        </w:rPr>
        <w:t>We completed the following acquisitions in six months ended 2018 and 2017 which were accounted for using the purchase method in thousands unless otherwise noted: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8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Net</w:t>
            </w: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2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Tangible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Operating</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20" w:type="dxa"/>
            <w:vAlign w:val="bottom"/>
            <w:tcBorders>
              <w:right w:val="single" w:sz="8" w:color="auto"/>
            </w:tcBorders>
            <w:shd w:val="clear" w:color="auto" w:fill="CCEBFF"/>
          </w:tcPr>
          <w:p>
            <w:pPr>
              <w:spacing w:after="0"/>
              <w:rPr>
                <w:sz w:val="16"/>
                <w:szCs w:val="16"/>
                <w:color w:val="auto"/>
              </w:rPr>
            </w:pPr>
          </w:p>
        </w:tc>
        <w:tc>
          <w:tcPr>
            <w:tcW w:w="18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$23,893</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June 1, 2018</w:t>
            </w:r>
          </w:p>
        </w:tc>
        <w:tc>
          <w:tcPr>
            <w:tcW w:w="18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7,123</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16,770</w:t>
            </w:r>
          </w:p>
        </w:tc>
        <w:tc>
          <w:tcPr>
            <w:tcW w:w="7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5"/>
              </w:rPr>
              <w:t>South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North American Container Corporation</w:t>
            </w:r>
          </w:p>
        </w:tc>
        <w:tc>
          <w:tcPr>
            <w:tcW w:w="1520" w:type="dxa"/>
            <w:vAlign w:val="bottom"/>
            <w:tcBorders>
              <w:bottom w:val="single" w:sz="8" w:color="auto"/>
              <w:right w:val="single" w:sz="8" w:color="auto"/>
            </w:tcBorders>
            <w:shd w:val="clear" w:color="auto" w:fill="CCEBFF"/>
          </w:tcPr>
          <w:p>
            <w:pPr>
              <w:spacing w:after="0"/>
              <w:rPr>
                <w:sz w:val="18"/>
                <w:szCs w:val="18"/>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40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9"/>
              </w:rPr>
              <w:t>A manufacturer of structural packaging products, including steel, corrugated and hardwood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rPr>
              <w:t>("NACC")</w:t>
            </w: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9"/>
              </w:rPr>
              <w:t>packaging. NACC had annual sales of approximately $71 million. The acquisition of NACC</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allowed us to expand our presence in this region, expand our product offering, and serve</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46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customers more cost effectively.</w:t>
            </w:r>
          </w:p>
        </w:tc>
        <w:tc>
          <w:tcPr>
            <w:tcW w:w="10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$3,890</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April 9,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2,235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Fontana Wood Products ("Fontana")</w:t>
            </w:r>
          </w:p>
        </w:tc>
        <w:tc>
          <w:tcPr>
            <w:tcW w:w="15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A manufacturer and distributor lumber and trusses in the Southern California region. Fontana had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annual sales of approximately $12 million. The acquisition of Fontana allows us to expand our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manufactured housing business and creates operating leverage by consolidating with another</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regional operation.</w:t>
            </w: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20" w:type="dxa"/>
            <w:vAlign w:val="bottom"/>
            <w:tcBorders>
              <w:right w:val="single" w:sz="8" w:color="auto"/>
            </w:tcBorders>
            <w:shd w:val="clear" w:color="auto" w:fill="CCEBFF"/>
          </w:tcPr>
          <w:p>
            <w:pPr>
              <w:spacing w:after="0"/>
              <w:rPr>
                <w:sz w:val="16"/>
                <w:szCs w:val="16"/>
                <w:color w:val="auto"/>
              </w:rPr>
            </w:pPr>
          </w:p>
        </w:tc>
        <w:tc>
          <w:tcPr>
            <w:tcW w:w="18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$1,404</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7"/>
              </w:rPr>
              <w:t>April 3, 2018</w:t>
            </w:r>
          </w:p>
        </w:tc>
        <w:tc>
          <w:tcPr>
            <w:tcW w:w="18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Arial" w:cs="Arial" w:eastAsia="Arial" w:hAnsi="Arial"/>
                <w:sz w:val="16"/>
                <w:szCs w:val="16"/>
                <w:color w:val="auto"/>
              </w:rPr>
              <w:t>1,344</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60</w:t>
            </w:r>
          </w:p>
        </w:tc>
        <w:tc>
          <w:tcPr>
            <w:tcW w:w="7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6"/>
              </w:rPr>
              <w:t>All Other</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Expert Packaging ("Expert")</w:t>
            </w:r>
          </w:p>
        </w:tc>
        <w:tc>
          <w:tcPr>
            <w:tcW w:w="1520" w:type="dxa"/>
            <w:vAlign w:val="bottom"/>
            <w:tcBorders>
              <w:bottom w:val="single" w:sz="8" w:color="auto"/>
              <w:right w:val="single" w:sz="8" w:color="auto"/>
            </w:tcBorders>
            <w:shd w:val="clear" w:color="auto" w:fill="CCEBFF"/>
          </w:tcPr>
          <w:p>
            <w:pPr>
              <w:spacing w:after="0"/>
              <w:rPr>
                <w:sz w:val="18"/>
                <w:szCs w:val="18"/>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 manufacturer and distributor of total packaging solutions in timber, crates, pallets,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skids. Expert had annual sales of approximately $3.6 million. The acquisition of Expert allows</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566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Arial" w:cs="Arial" w:eastAsia="Arial" w:hAnsi="Arial"/>
                <w:sz w:val="16"/>
                <w:szCs w:val="16"/>
                <w:color w:val="auto"/>
                <w:w w:val="91"/>
              </w:rPr>
              <w:t>us to make progress on our goal of becoming a global provider of packaging solutions.</w:t>
            </w: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$2,942</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January 23,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850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2,092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6"/>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Spinner Wood Products, LLC</w:t>
            </w:r>
          </w:p>
        </w:tc>
        <w:tc>
          <w:tcPr>
            <w:tcW w:w="15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680" w:type="dxa"/>
            <w:vAlign w:val="bottom"/>
            <w:tcBorders>
              <w:left w:val="single" w:sz="8" w:color="auto"/>
              <w:right w:val="single" w:sz="8" w:color="auto"/>
            </w:tcBorders>
            <w:vMerge w:val="continue"/>
          </w:tcPr>
          <w:p>
            <w:pPr>
              <w:spacing w:after="0"/>
              <w:rPr>
                <w:sz w:val="15"/>
                <w:szCs w:val="15"/>
                <w:color w:val="auto"/>
              </w:rPr>
            </w:pPr>
          </w:p>
        </w:tc>
        <w:tc>
          <w:tcPr>
            <w:tcW w:w="6400" w:type="dxa"/>
            <w:vAlign w:val="bottom"/>
            <w:tcBorders>
              <w:right w:val="single" w:sz="8" w:color="auto"/>
            </w:tcBorders>
            <w:gridSpan w:val="7"/>
          </w:tcPr>
          <w:p>
            <w:pPr>
              <w:spacing w:after="0" w:line="179" w:lineRule="exact"/>
              <w:rPr>
                <w:sz w:val="20"/>
                <w:szCs w:val="20"/>
                <w:color w:val="auto"/>
              </w:rPr>
            </w:pPr>
            <w:r>
              <w:rPr>
                <w:rFonts w:ascii="Arial" w:cs="Arial" w:eastAsia="Arial" w:hAnsi="Arial"/>
                <w:sz w:val="16"/>
                <w:szCs w:val="16"/>
                <w:color w:val="auto"/>
                <w:w w:val="94"/>
              </w:rPr>
              <w:t>A manufacturer and distributor of agricultural bin and various industrial packaging. Spinner had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("Spinner")</w:t>
            </w: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annual sales of approximately $8 million. The acquisition of Spinner allows us to expand our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industrial packaging product offering and creates operating leverage by consolidating with other</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regional operations.</w:t>
            </w: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8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Net</w:t>
            </w: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2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Tangible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Operating</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$5,845</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15, 2018</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North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Great Northern Lumber, LLC</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9"/>
              </w:rPr>
              <w:t>A manufacturer of industrial products as well as serving the concrete forming market in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Chicago area. Great Northern Lumber had annual sales of approximately $25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2"/>
              </w:rPr>
              <w:t>acquisition of Great Northern Lumber enables us to expand our concrete forming product offering</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rPr>
              <w:t>and regional coverage.</w:t>
            </w:r>
          </w:p>
        </w:tc>
        <w:tc>
          <w:tcPr>
            <w:tcW w:w="182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$931</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October 16,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All Other</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Silverwater Box</w:t>
            </w:r>
          </w:p>
        </w:tc>
        <w:tc>
          <w:tcPr>
            <w:tcW w:w="15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A manufacturer and distributor of total packaging solutions in timber, plastic, steel, fiberglass,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cardboard. Silverwater Box had annual sales of approximately $2.8 million. The acquisition of</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Silverwater Box allows us to make progress on our goal of becoming a global provider of</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packaging solutions.</w:t>
            </w: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$5,042</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May 26, 2017</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South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Go Boy Pallets, LLC ("Go Boy")</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A manufacturer and distributor of industrial pallets and packaging in Georgia and North</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Carolina. Go Boy had annual sales of approximately $8 million. The acquisition of Go Boy</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400" w:type="dxa"/>
            <w:vAlign w:val="bottom"/>
            <w:tcBorders>
              <w:bottom w:val="single" w:sz="8" w:color="auto"/>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2"/>
              </w:rPr>
              <w:t>enabled us to expand our industrial packaging product offering and lumber sourcing in this region.</w:t>
            </w: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$31,818</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March 6,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7,653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24,165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5"/>
              </w:rPr>
              <w:t>South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Robbins Manufacturing Co. ("Robbins")</w:t>
            </w:r>
          </w:p>
        </w:tc>
        <w:tc>
          <w:tcPr>
            <w:tcW w:w="15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vMerge w:val="continue"/>
          </w:tcPr>
          <w:p>
            <w:pPr>
              <w:spacing w:after="0"/>
              <w:rPr>
                <w:sz w:val="16"/>
                <w:szCs w:val="16"/>
                <w:color w:val="auto"/>
              </w:rPr>
            </w:pPr>
          </w:p>
        </w:tc>
        <w:tc>
          <w:tcPr>
            <w:tcW w:w="5660" w:type="dxa"/>
            <w:vAlign w:val="bottom"/>
            <w:gridSpan w:val="6"/>
          </w:tcPr>
          <w:p>
            <w:pPr>
              <w:spacing w:after="0"/>
              <w:rPr>
                <w:sz w:val="20"/>
                <w:szCs w:val="20"/>
                <w:color w:val="auto"/>
              </w:rPr>
            </w:pPr>
            <w:r>
              <w:rPr>
                <w:rFonts w:ascii="Arial" w:cs="Arial" w:eastAsia="Arial" w:hAnsi="Arial"/>
                <w:sz w:val="16"/>
                <w:szCs w:val="16"/>
                <w:color w:val="auto"/>
                <w:w w:val="93"/>
              </w:rPr>
              <w:t>A manufacturer of treated wood products with facilities in Florida, Georgia, and North</w:t>
            </w: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Carolina. Robbins had annual sales of approximately $86 million. The acquisition of Robbins</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640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6"/>
                <w:szCs w:val="16"/>
                <w:color w:val="auto"/>
                <w:w w:val="97"/>
              </w:rPr>
              <w:t>allowed us to expand our presence in this region and serve customers more cost effectively.</w:t>
            </w:r>
          </w:p>
        </w:tc>
        <w:tc>
          <w:tcPr>
            <w:tcW w:w="0" w:type="dxa"/>
            <w:vAlign w:val="bottom"/>
          </w:tcPr>
          <w:p>
            <w:pPr>
              <w:spacing w:after="0"/>
              <w:rPr>
                <w:sz w:val="1"/>
                <w:szCs w:val="1"/>
                <w:color w:val="auto"/>
              </w:rPr>
            </w:pPr>
          </w:p>
        </w:tc>
      </w:tr>
      <w:tr>
        <w:trPr>
          <w:trHeight w:val="193"/>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$22,789</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March 6, 2017</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14,341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North</w:t>
            </w:r>
          </w:p>
        </w:tc>
        <w:tc>
          <w:tcPr>
            <w:tcW w:w="0" w:type="dxa"/>
            <w:vAlign w:val="bottom"/>
          </w:tcPr>
          <w:p>
            <w:pPr>
              <w:spacing w:after="0"/>
              <w:rPr>
                <w:sz w:val="1"/>
                <w:szCs w:val="1"/>
                <w:color w:val="auto"/>
              </w:rPr>
            </w:pPr>
          </w:p>
        </w:tc>
      </w:tr>
      <w:tr>
        <w:trPr>
          <w:trHeight w:val="209"/>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Quality Hardwood Sales, LLC</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8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6400" w:type="dxa"/>
            <w:vAlign w:val="bottom"/>
            <w:tcBorders>
              <w:right w:val="single" w:sz="8" w:color="auto"/>
            </w:tcBorders>
            <w:gridSpan w:val="7"/>
            <w:shd w:val="clear" w:color="auto" w:fill="CCEEFF"/>
          </w:tcPr>
          <w:p>
            <w:pPr>
              <w:spacing w:after="0" w:line="176" w:lineRule="exact"/>
              <w:rPr>
                <w:sz w:val="20"/>
                <w:szCs w:val="20"/>
                <w:color w:val="auto"/>
              </w:rPr>
            </w:pPr>
            <w:r>
              <w:rPr>
                <w:rFonts w:ascii="Arial" w:cs="Arial" w:eastAsia="Arial" w:hAnsi="Arial"/>
                <w:sz w:val="16"/>
                <w:szCs w:val="16"/>
                <w:color w:val="auto"/>
                <w:w w:val="96"/>
              </w:rPr>
              <w:t>A manufacturer and supplier of hardwood products, including components of cabinets used in</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("Quality")</w:t>
            </w: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7"/>
              </w:rPr>
              <w:t>homes and recreational vehicles. Quality had annual sales of approximately $30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8"/>
              </w:rPr>
              <w:t>acquisition of Quality enabled us to expand our product offering to include hardwood-based</w:t>
            </w:r>
          </w:p>
        </w:tc>
        <w:tc>
          <w:tcPr>
            <w:tcW w:w="0" w:type="dxa"/>
            <w:vAlign w:val="bottom"/>
          </w:tcPr>
          <w:p>
            <w:pPr>
              <w:spacing w:after="0"/>
              <w:rPr>
                <w:sz w:val="1"/>
                <w:szCs w:val="1"/>
                <w:color w:val="auto"/>
              </w:rPr>
            </w:pPr>
          </w:p>
        </w:tc>
      </w:tr>
      <w:tr>
        <w:trPr>
          <w:trHeight w:val="219"/>
        </w:trPr>
        <w:tc>
          <w:tcPr>
            <w:tcW w:w="26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products.</w:t>
            </w:r>
          </w:p>
        </w:tc>
        <w:tc>
          <w:tcPr>
            <w:tcW w:w="182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540" w:firstLine="648"/>
        <w:spacing w:after="0" w:line="259"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2018, excluding the NACC aquisition. In aggregate, acquisitions completed since the end of June 2017 contributed approximately $14.2 million in revenue and $0.7 million in operating profit during the second quarter of 2018.</w:t>
      </w:r>
    </w:p>
    <w:p>
      <w:pPr>
        <w:spacing w:after="0" w:line="183" w:lineRule="exact"/>
        <w:rPr>
          <w:sz w:val="20"/>
          <w:szCs w:val="20"/>
          <w:color w:val="auto"/>
        </w:rPr>
      </w:pPr>
    </w:p>
    <w:p>
      <w:pPr>
        <w:ind w:left="500" w:hanging="497"/>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48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rFonts w:ascii="Arial" w:cs="Arial" w:eastAsia="Arial" w:hAnsi="Arial"/>
          <w:sz w:val="18"/>
          <w:szCs w:val="18"/>
          <w:b w:val="1"/>
          <w:bCs w:val="1"/>
          <w:color w:val="auto"/>
        </w:rPr>
      </w:pPr>
    </w:p>
    <w:p>
      <w:pPr>
        <w:ind w:left="480" w:right="1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 (a) the Company’s Alternative Materials Division, which offers a portfolio of non-wood products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and distributes those products nation-wide (b) 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87" w:lineRule="exact"/>
        <w:rPr>
          <w:sz w:val="20"/>
          <w:szCs w:val="20"/>
          <w:color w:val="auto"/>
        </w:rPr>
      </w:pPr>
    </w:p>
    <w:p>
      <w:pPr>
        <w:ind w:left="480" w:right="100"/>
        <w:spacing w:after="0" w:line="264" w:lineRule="auto"/>
        <w:rPr>
          <w:sz w:val="20"/>
          <w:szCs w:val="20"/>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81"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Our Alternative Materials, International and idX division have been included in the “All Other” column of the table below. The “Corporate” column includes unallocated administrative costs and certain incentive compensation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2"/>
          </w:tcPr>
          <w:p>
            <w:pPr>
              <w:jc w:val="center"/>
              <w:spacing w:after="0"/>
              <w:rPr>
                <w:sz w:val="20"/>
                <w:szCs w:val="20"/>
                <w:color w:val="auto"/>
              </w:rPr>
            </w:pPr>
            <w:r>
              <w:rPr>
                <w:rFonts w:ascii="Arial" w:cs="Arial" w:eastAsia="Arial" w:hAnsi="Arial"/>
                <w:sz w:val="14"/>
                <w:szCs w:val="14"/>
                <w:b w:val="1"/>
                <w:bCs w:val="1"/>
                <w:color w:val="auto"/>
                <w:w w:val="93"/>
              </w:rPr>
              <w:t>Three Months Ended June 30, 2018</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156"/>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48"/>
              <w:spacing w:after="0" w:line="149" w:lineRule="exact"/>
              <w:rPr>
                <w:sz w:val="20"/>
                <w:szCs w:val="20"/>
                <w:color w:val="auto"/>
              </w:rPr>
            </w:pPr>
            <w:r>
              <w:rPr>
                <w:rFonts w:ascii="Arial" w:cs="Arial" w:eastAsia="Arial" w:hAnsi="Arial"/>
                <w:sz w:val="14"/>
                <w:szCs w:val="14"/>
                <w:b w:val="1"/>
                <w:bCs w:val="1"/>
                <w:color w:val="auto"/>
              </w:rPr>
              <w:t>South</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West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6"/>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390,821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291,320</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$ 456,825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$ 155,474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1,294,440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18,558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14,464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61,957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115,654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29,698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(8,124)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60,617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601"/>
        </w:trPr>
        <w:tc>
          <w:tcPr>
            <w:tcW w:w="3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0"/>
          </w:tcPr>
          <w:p>
            <w:pPr>
              <w:jc w:val="center"/>
              <w:ind w:right="82"/>
              <w:spacing w:after="0"/>
              <w:rPr>
                <w:sz w:val="20"/>
                <w:szCs w:val="20"/>
                <w:color w:val="auto"/>
              </w:rPr>
            </w:pPr>
            <w:r>
              <w:rPr>
                <w:rFonts w:ascii="Arial" w:cs="Arial" w:eastAsia="Arial" w:hAnsi="Arial"/>
                <w:sz w:val="14"/>
                <w:szCs w:val="14"/>
                <w:b w:val="1"/>
                <w:bCs w:val="1"/>
                <w:color w:val="auto"/>
                <w:w w:val="94"/>
              </w:rPr>
              <w:t>Three Months Ended July 1, 2017</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6"/>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rPr>
              <w:t>South</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West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6"/>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319,554</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221,583</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$ 390,868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2"/>
              </w:rPr>
              <w:t>$ 140,370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1,072,375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22,249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49,197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107,614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85"/>
        </w:trPr>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9"/>
          </w:tcPr>
          <w:p>
            <w:pPr>
              <w:jc w:val="center"/>
              <w:ind w:right="82"/>
              <w:spacing w:after="0"/>
              <w:rPr>
                <w:sz w:val="20"/>
                <w:szCs w:val="20"/>
                <w:color w:val="auto"/>
              </w:rPr>
            </w:pPr>
            <w:r>
              <w:rPr>
                <w:rFonts w:ascii="Arial" w:cs="Arial" w:eastAsia="Arial" w:hAnsi="Arial"/>
                <w:sz w:val="14"/>
                <w:szCs w:val="14"/>
                <w:b w:val="1"/>
                <w:bCs w:val="1"/>
                <w:color w:val="auto"/>
                <w:w w:val="92"/>
              </w:rPr>
              <w:t>Six Months Ended June 30, 2018</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6"/>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right"/>
              <w:ind w:right="228"/>
              <w:spacing w:after="0" w:line="149" w:lineRule="exact"/>
              <w:rPr>
                <w:sz w:val="20"/>
                <w:szCs w:val="20"/>
                <w:color w:val="auto"/>
              </w:rPr>
            </w:pPr>
            <w:r>
              <w:rPr>
                <w:rFonts w:ascii="Arial" w:cs="Arial" w:eastAsia="Arial" w:hAnsi="Arial"/>
                <w:sz w:val="14"/>
                <w:szCs w:val="14"/>
                <w:b w:val="1"/>
                <w:bCs w:val="1"/>
                <w:color w:val="auto"/>
              </w:rPr>
              <w:t>South</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West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661,007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$ 533,340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3"/>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  819,293</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$ 274,657</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1"/>
              </w:rPr>
              <w:t>$  2,288,297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39,323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30,063</w:t>
            </w:r>
          </w:p>
        </w:tc>
        <w:tc>
          <w:tcPr>
            <w:tcW w:w="40" w:type="dxa"/>
            <w:vAlign w:val="bottom"/>
          </w:tcPr>
          <w:p>
            <w:pPr>
              <w:spacing w:after="0"/>
              <w:rPr>
                <w:sz w:val="18"/>
                <w:szCs w:val="18"/>
                <w:color w:val="auto"/>
              </w:rPr>
            </w:pPr>
          </w:p>
        </w:tc>
        <w:tc>
          <w:tcPr>
            <w:tcW w:w="920" w:type="dxa"/>
            <w:vAlign w:val="bottom"/>
            <w:gridSpan w:val="7"/>
          </w:tcPr>
          <w:p>
            <w:pPr>
              <w:jc w:val="right"/>
              <w:ind w:right="40"/>
              <w:spacing w:after="0"/>
              <w:rPr>
                <w:sz w:val="20"/>
                <w:szCs w:val="20"/>
                <w:color w:val="auto"/>
              </w:rPr>
            </w:pPr>
            <w:r>
              <w:rPr>
                <w:rFonts w:ascii="Arial" w:cs="Arial" w:eastAsia="Arial" w:hAnsi="Arial"/>
                <w:sz w:val="18"/>
                <w:szCs w:val="18"/>
                <w:color w:val="auto"/>
              </w:rPr>
              <w:t>124,677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224,646</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50,780</w:t>
            </w:r>
          </w:p>
        </w:tc>
        <w:tc>
          <w:tcPr>
            <w:tcW w:w="4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5"/>
              </w:rPr>
              <w:t>(10,128)</w:t>
            </w:r>
          </w:p>
        </w:tc>
        <w:tc>
          <w:tcPr>
            <w:tcW w:w="10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104,835</w:t>
            </w:r>
          </w:p>
        </w:tc>
      </w:tr>
      <w:tr>
        <w:trPr>
          <w:trHeight w:val="385"/>
        </w:trPr>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8"/>
          </w:tcPr>
          <w:p>
            <w:pPr>
              <w:jc w:val="right"/>
              <w:ind w:right="122"/>
              <w:spacing w:after="0"/>
              <w:rPr>
                <w:sz w:val="20"/>
                <w:szCs w:val="20"/>
                <w:color w:val="auto"/>
              </w:rPr>
            </w:pPr>
            <w:r>
              <w:rPr>
                <w:rFonts w:ascii="Arial" w:cs="Arial" w:eastAsia="Arial" w:hAnsi="Arial"/>
                <w:sz w:val="14"/>
                <w:szCs w:val="14"/>
                <w:b w:val="1"/>
                <w:bCs w:val="1"/>
                <w:color w:val="auto"/>
                <w:w w:val="96"/>
              </w:rPr>
              <w:t>Six Months Ended July 1, 2017</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6"/>
        </w:trPr>
        <w:tc>
          <w:tcPr>
            <w:tcW w:w="30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North</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4"/>
          </w:tcPr>
          <w:p>
            <w:pPr>
              <w:jc w:val="right"/>
              <w:ind w:right="108"/>
              <w:spacing w:after="0" w:line="149" w:lineRule="exact"/>
              <w:rPr>
                <w:sz w:val="20"/>
                <w:szCs w:val="20"/>
                <w:color w:val="auto"/>
              </w:rPr>
            </w:pPr>
            <w:r>
              <w:rPr>
                <w:rFonts w:ascii="Arial" w:cs="Arial" w:eastAsia="Arial" w:hAnsi="Arial"/>
                <w:sz w:val="14"/>
                <w:szCs w:val="14"/>
                <w:b w:val="1"/>
                <w:bCs w:val="1"/>
                <w:color w:val="auto"/>
              </w:rPr>
              <w:t>South</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West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00" w:type="dxa"/>
            <w:vAlign w:val="bottom"/>
            <w:gridSpan w:val="3"/>
            <w:shd w:val="clear" w:color="auto" w:fill="CCEEFF"/>
          </w:tcPr>
          <w:p>
            <w:pPr>
              <w:spacing w:after="0"/>
              <w:rPr>
                <w:sz w:val="18"/>
                <w:szCs w:val="18"/>
                <w:color w:val="auto"/>
              </w:rPr>
            </w:pP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3"/>
              </w:rPr>
              <w:t>$  547,475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  410,326</w:t>
            </w:r>
          </w:p>
        </w:tc>
        <w:tc>
          <w:tcPr>
            <w:tcW w:w="6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$ 710,030</w:t>
            </w:r>
          </w:p>
        </w:tc>
        <w:tc>
          <w:tcPr>
            <w:tcW w:w="4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$ 250,674</w:t>
            </w:r>
          </w:p>
        </w:tc>
        <w:tc>
          <w:tcPr>
            <w:tcW w:w="80" w:type="dxa"/>
            <w:vAlign w:val="bottom"/>
            <w:gridSpan w:val="3"/>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$ 1,918,505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32,962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36,656</w:t>
            </w: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44,082</w:t>
            </w:r>
          </w:p>
        </w:tc>
        <w:tc>
          <w:tcPr>
            <w:tcW w:w="920" w:type="dxa"/>
            <w:vAlign w:val="bottom"/>
            <w:gridSpan w:val="7"/>
          </w:tcPr>
          <w:p>
            <w:pPr>
              <w:jc w:val="right"/>
              <w:spacing w:after="0"/>
              <w:rPr>
                <w:sz w:val="20"/>
                <w:szCs w:val="20"/>
                <w:color w:val="auto"/>
              </w:rPr>
            </w:pPr>
            <w:r>
              <w:rPr>
                <w:rFonts w:ascii="Arial" w:cs="Arial" w:eastAsia="Arial" w:hAnsi="Arial"/>
                <w:sz w:val="18"/>
                <w:szCs w:val="18"/>
                <w:color w:val="auto"/>
              </w:rPr>
              <w:t>68,127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181,827</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26,224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20,918</w:t>
            </w:r>
          </w:p>
        </w:tc>
        <w:tc>
          <w:tcPr>
            <w:tcW w:w="102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9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(8,834)</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87,720</w:t>
            </w:r>
          </w:p>
        </w:tc>
      </w:tr>
    </w:tbl>
    <w:p>
      <w:pPr>
        <w:spacing w:after="0" w:line="225" w:lineRule="exact"/>
        <w:rPr>
          <w:sz w:val="20"/>
          <w:szCs w:val="20"/>
          <w:color w:val="auto"/>
        </w:rPr>
      </w:pPr>
    </w:p>
    <w:p>
      <w:pPr>
        <w:ind w:left="500" w:hanging="497"/>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22.9% in the second quarter of 2018 compared to 34.0% for same period in 2017. Our effective tax rate was 22.6% in the first six months of 2018 compared to 33.7% for the same period in 2017. This decrease was due primarily to changes resulting from the Tax Act, which reduced the U.S. federal corporate income tax rate from 35 percent to 21 percent effective January 1, 2018, along with eliminating the domestic manufacturing deduction. Pursuant to SAB 118, the accounting for the Tax Act was incomplete at December 30, 2017 and is still incomplete as of June 30, 2018. As noted at year-end, however, we were able to reasonably estimate certain effects and, therefore, recorded provisional adjustments associated with the deemed repatriation transition tax, a provisional decrease for certain of our Deferred Tax Assets (DTAs) and Deferred Tax Liabilities (DTLs) related to the reduced corporate tax rate, and a provisional benefit related to our intent to fully expense all qualifying expenditures under the new cost recovery rules.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have not made any additional measurement-period adjustments related to these items during the quarter. However, we are continuing to gather additional information to complete our accounting for these items and expect to complete our accounting within the prescribed measurement period.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noted at year-end, we were not yet able to reasonably estimate the effects for Global Intangible Low-Taxed Income (GILTI). Therefore, no provisional adjustment was recorded.</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Because of the complexity of the new GILTI tax rules, we are continuing to evaluate this provision of the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related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a number of different aspects or our estimated future results of global operations, we are not yet able to reasonably estimate the long-term effects of this provision of the Act. Therefore, we have not recorded any potential deferred tax effects related to GILTI in our financial statements and have not made a policy decision regarding whether to record deferred taxes on GILTI or use the period cost method. We have however, included an estimate of the estimated 2018 current GILTI impact in our Annual Effective Tax Rate (AETR) for 2018. We expect to complete our accounting within the prescribed measurement period.</w:t>
      </w:r>
    </w:p>
    <w:p>
      <w:pPr>
        <w:spacing w:after="0" w:line="184" w:lineRule="exact"/>
        <w:rPr>
          <w:sz w:val="20"/>
          <w:szCs w:val="20"/>
          <w:color w:val="auto"/>
        </w:rPr>
      </w:pPr>
    </w:p>
    <w:p>
      <w:pPr>
        <w:ind w:left="440" w:hanging="437"/>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SALE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completed a sale of a property in Medley, Florida, during the first quarter of 2018. The sale price for the property was approximately $36 million and created a $7 million pre-tax gain. The transaction is part of a strategy to create efficiencies and advantages not possible with the current facility by optimizing the capacity of its other three Florida operations, including two it acquired from Robbins Manufacturing in 2017, and adding a state-of-the-art facility in South Florida. The Company will lease back the Medley, Florida, facility for two years as it executes its long-term plan for Florida and the Southeast region. Since only a minor portion of the property sold was leased back the entire gain is included in income.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Universal Forest Products, Inc. is a holding company with subsidiaries throughout North America, Europe, Asia, and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construction. The Company is headquartered in Grand Rapids, Mich. For more information about Universal Forest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or its affiliated operations, go to www.ufpi.com.</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second quarter of 2018 were impacted by the following:</w:t>
      </w:r>
    </w:p>
    <w:p>
      <w:pPr>
        <w:spacing w:after="0" w:line="225" w:lineRule="exact"/>
        <w:rPr>
          <w:sz w:val="20"/>
          <w:szCs w:val="20"/>
          <w:color w:val="auto"/>
        </w:rPr>
      </w:pPr>
    </w:p>
    <w:p>
      <w:pPr>
        <w:ind w:left="820" w:right="240" w:hanging="331"/>
        <w:spacing w:after="0" w:line="30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gross sales increased by 21% compared to the second quarter of 2017, which was comprised of an 8% increase in unit sales and a 13% increase in selling prices primarily due to the commodity lumber market (see Historical Lumber Prices below). Organic growth contributed 7% of our unit sales increase, while acquisitions contributed 1%. We experienced favorable organic growth to each of the markets we serve.</w:t>
      </w:r>
    </w:p>
    <w:p>
      <w:pPr>
        <w:spacing w:after="0" w:line="154" w:lineRule="exact"/>
        <w:rPr>
          <w:rFonts w:ascii="Arial" w:cs="Arial" w:eastAsia="Arial" w:hAnsi="Arial"/>
          <w:sz w:val="16"/>
          <w:szCs w:val="16"/>
          <w:color w:val="auto"/>
        </w:rPr>
      </w:pPr>
    </w:p>
    <w:p>
      <w:pPr>
        <w:ind w:left="820" w:hanging="331"/>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profits increased by 12.5% compared to the second quarter of 2017, which compares favorably with our 8% increase in unit sales. The improvement in our profit per unit was primarily due to rising lumber prices for most of the quarter which favorably impacted the gross profit of products we sell with variable selling prices. Conversely, lumber prices fell for most of the second quarter of 2017.</w:t>
      </w:r>
    </w:p>
    <w:p>
      <w:pPr>
        <w:spacing w:after="0" w:line="186" w:lineRule="exact"/>
        <w:rPr>
          <w:rFonts w:ascii="Arial" w:cs="Arial" w:eastAsia="Arial" w:hAnsi="Arial"/>
          <w:sz w:val="18"/>
          <w:szCs w:val="18"/>
          <w:color w:val="auto"/>
        </w:rPr>
      </w:pPr>
    </w:p>
    <w:p>
      <w:pPr>
        <w:ind w:left="820" w:hanging="331"/>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 was approximately 23% due to the change in tax law. We currently anticipate an overall rate of 23.5% for the year.</w:t>
      </w:r>
    </w:p>
    <w:p>
      <w:pPr>
        <w:spacing w:after="0" w:line="170" w:lineRule="exact"/>
        <w:rPr>
          <w:rFonts w:ascii="Arial" w:cs="Arial" w:eastAsia="Arial" w:hAnsi="Arial"/>
          <w:sz w:val="18"/>
          <w:szCs w:val="18"/>
          <w:color w:val="auto"/>
        </w:rPr>
      </w:pPr>
    </w:p>
    <w:p>
      <w:pPr>
        <w:ind w:left="820" w:right="240" w:hanging="331"/>
        <w:spacing w:after="0" w:line="31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flow used in operating activities was $36 million due to peak lumber prices and seasonal working capital requirements totaling approximately $139 million since year end. We currently anticipate that this seasonal investment and the amount outstanding on the revolving credit facility will be reduced accordingly by October.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experience significant fluctuations in the cost of commodity lumber products from primary producers (“Lumber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Random Lengths Composite</w:t>
      </w:r>
    </w:p>
    <w:p>
      <w:pPr>
        <w:jc w:val="center"/>
        <w:ind w:left="678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February</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April</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June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Second quarter average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4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6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comprised approximately 45% and 46% of total lumber purchases through the first six months of 2018 and 2017, respectively.</w:t>
      </w:r>
    </w:p>
    <w:p>
      <w:pPr>
        <w:spacing w:after="0" w:line="186"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Random Lengths SYP</w:t>
      </w:r>
    </w:p>
    <w:p>
      <w:pPr>
        <w:jc w:val="center"/>
        <w:ind w:left="680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February</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April</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June</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Second quarter average</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2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2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4380" w:type="dxa"/>
            <w:vAlign w:val="bottom"/>
          </w:tcPr>
          <w:p>
            <w:pPr>
              <w:jc w:val="right"/>
              <w:spacing w:after="0"/>
              <w:rPr>
                <w:sz w:val="20"/>
                <w:szCs w:val="20"/>
                <w:color w:val="auto"/>
              </w:rPr>
            </w:pPr>
            <w:r>
              <w:rPr>
                <w:rFonts w:ascii="Arial" w:cs="Arial" w:eastAsia="Arial" w:hAnsi="Arial"/>
                <w:sz w:val="18"/>
                <w:szCs w:val="18"/>
                <w:color w:val="auto"/>
              </w:rPr>
              <w:t>17.5</w:t>
            </w:r>
          </w:p>
        </w:tc>
        <w:tc>
          <w:tcPr>
            <w:tcW w:w="122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r>
      <w:tr>
        <w:trPr>
          <w:trHeight w:val="850"/>
        </w:trPr>
        <w:tc>
          <w:tcPr>
            <w:tcW w:w="3460" w:type="dxa"/>
            <w:vAlign w:val="bottom"/>
          </w:tcPr>
          <w:p>
            <w:pPr>
              <w:spacing w:after="0"/>
              <w:rPr>
                <w:sz w:val="24"/>
                <w:szCs w:val="24"/>
                <w:color w:val="auto"/>
              </w:rPr>
            </w:pPr>
          </w:p>
        </w:tc>
        <w:tc>
          <w:tcPr>
            <w:tcW w:w="4380" w:type="dxa"/>
            <w:vAlign w:val="bottom"/>
          </w:tcPr>
          <w:p>
            <w:pPr>
              <w:jc w:val="right"/>
              <w:ind w:right="3130"/>
              <w:spacing w:after="0"/>
              <w:rPr>
                <w:sz w:val="20"/>
                <w:szCs w:val="20"/>
                <w:color w:val="auto"/>
              </w:rPr>
            </w:pPr>
            <w:r>
              <w:rPr>
                <w:rFonts w:ascii="Arial" w:cs="Arial" w:eastAsia="Arial" w:hAnsi="Arial"/>
                <w:sz w:val="18"/>
                <w:szCs w:val="18"/>
                <w:color w:val="auto"/>
              </w:rPr>
              <w:t>18</w:t>
            </w:r>
          </w:p>
        </w:tc>
        <w:tc>
          <w:tcPr>
            <w:tcW w:w="122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52.8% and 49.3% of our sales in the first six months of 2018 and 2017, respectively.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ind w:left="820" w:hanging="331"/>
        <w:spacing w:after="0" w:line="271"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 We believe our sales of these products are at their highest relative level in our third and fourth quarter.</w:t>
      </w:r>
    </w:p>
    <w:p>
      <w:pPr>
        <w:spacing w:after="0" w:line="178" w:lineRule="exact"/>
        <w:rPr>
          <w:rFonts w:ascii="Arial" w:cs="Arial" w:eastAsia="Arial" w:hAnsi="Arial"/>
          <w:sz w:val="17"/>
          <w:szCs w:val="17"/>
          <w:color w:val="auto"/>
        </w:rPr>
      </w:pPr>
    </w:p>
    <w:p>
      <w:pPr>
        <w:ind w:left="820" w:right="20" w:hanging="331"/>
        <w:spacing w:after="0" w:line="255"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Products with selling prices indexed to the reported Lumber Market with a fixed dollar “adder” to cover conversion costs and profits.</w:t>
      </w:r>
      <w:r>
        <w:rPr>
          <w:rFonts w:ascii="Arial" w:cs="Arial" w:eastAsia="Arial" w:hAnsi="Arial"/>
          <w:sz w:val="18"/>
          <w:szCs w:val="18"/>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treated lumber sold to the retail market.</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ind w:left="820" w:right="40" w:hanging="331"/>
        <w:spacing w:after="0" w:line="218" w:lineRule="exact"/>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19%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section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with the United States Securities and Exchange Commission.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820" w:right="20" w:hanging="331"/>
        <w:spacing w:after="0" w:line="342"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Period 1</w:t>
            </w: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completed five business acquisitions during the first six months of 2018 and four during all of 2017. The annual historical sales attributable to acquisitions completed in the first six months 2018 and all of 2017 were approximately $120 million and $127 million, respectively. These business combinations were not significant to our quarterly or year-to-date operating results individually or in aggregate and thus pro forma results for 2018 or 2017 are not presented.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r>
      <w:tr>
        <w:trPr>
          <w:trHeight w:val="126"/>
        </w:trPr>
        <w:tc>
          <w:tcPr>
            <w:tcW w:w="562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0"/>
                <w:szCs w:val="10"/>
                <w:color w:val="auto"/>
              </w:rPr>
            </w:pPr>
          </w:p>
        </w:tc>
        <w:tc>
          <w:tcPr>
            <w:tcW w:w="640" w:type="dxa"/>
            <w:vAlign w:val="bottom"/>
          </w:tcPr>
          <w:p>
            <w:pPr>
              <w:jc w:val="right"/>
              <w:ind w:right="33"/>
              <w:spacing w:after="0" w:line="126"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0"/>
                <w:szCs w:val="10"/>
                <w:color w:val="auto"/>
              </w:rPr>
            </w:pPr>
          </w:p>
        </w:tc>
        <w:tc>
          <w:tcPr>
            <w:tcW w:w="620" w:type="dxa"/>
            <w:vAlign w:val="bottom"/>
          </w:tcPr>
          <w:p>
            <w:pPr>
              <w:jc w:val="right"/>
              <w:ind w:right="13"/>
              <w:spacing w:after="0" w:line="126"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0"/>
                <w:szCs w:val="10"/>
                <w:color w:val="auto"/>
              </w:rPr>
            </w:pPr>
          </w:p>
        </w:tc>
      </w:tr>
      <w:tr>
        <w:trPr>
          <w:trHeight w:val="178"/>
        </w:trPr>
        <w:tc>
          <w:tcPr>
            <w:tcW w:w="56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tcPr>
          <w:p>
            <w:pPr>
              <w:spacing w:after="0"/>
              <w:rPr>
                <w:sz w:val="19"/>
                <w:szCs w:val="19"/>
                <w:color w:val="auto"/>
              </w:rPr>
            </w:pPr>
          </w:p>
        </w:tc>
      </w:tr>
      <w:tr>
        <w:trPr>
          <w:trHeight w:val="23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(gain) on disposition and impairment of assets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5620" w:type="dxa"/>
            <w:vAlign w:val="bottom"/>
          </w:tcPr>
          <w:p>
            <w:pPr>
              <w:spacing w:after="0" w:line="203" w:lineRule="exact"/>
              <w:rPr>
                <w:sz w:val="20"/>
                <w:szCs w:val="20"/>
                <w:color w:val="auto"/>
              </w:rPr>
            </w:pPr>
            <w:r>
              <w:rPr>
                <w:rFonts w:ascii="Arial" w:cs="Arial" w:eastAsia="Arial" w:hAnsi="Arial"/>
                <w:sz w:val="18"/>
                <w:szCs w:val="18"/>
                <w:color w:val="auto"/>
              </w:rPr>
              <w:t>Earnings from operations</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5.0</w:t>
            </w:r>
          </w:p>
        </w:tc>
        <w:tc>
          <w:tcPr>
            <w:tcW w:w="2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r>
      <w:tr>
        <w:trPr>
          <w:trHeight w:val="23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5620" w:type="dxa"/>
            <w:vAlign w:val="bottom"/>
          </w:tcPr>
          <w:p>
            <w:pPr>
              <w:spacing w:after="0" w:line="203" w:lineRule="exact"/>
              <w:rPr>
                <w:sz w:val="20"/>
                <w:szCs w:val="20"/>
                <w:color w:val="auto"/>
              </w:rPr>
            </w:pPr>
            <w:r>
              <w:rPr>
                <w:rFonts w:ascii="Arial" w:cs="Arial" w:eastAsia="Arial" w:hAnsi="Arial"/>
                <w:sz w:val="18"/>
                <w:szCs w:val="18"/>
                <w:color w:val="auto"/>
              </w:rPr>
              <w:t>Earnings before income taxes</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4.9</w:t>
            </w:r>
          </w:p>
        </w:tc>
        <w:tc>
          <w:tcPr>
            <w:tcW w:w="2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7"/>
                <w:szCs w:val="17"/>
                <w:color w:val="auto"/>
              </w:rPr>
            </w:pPr>
          </w:p>
        </w:tc>
      </w:tr>
      <w:tr>
        <w:trPr>
          <w:trHeight w:val="23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5620" w:type="dxa"/>
            <w:vAlign w:val="bottom"/>
          </w:tcPr>
          <w:p>
            <w:pPr>
              <w:spacing w:after="0" w:line="203" w:lineRule="exact"/>
              <w:rPr>
                <w:sz w:val="20"/>
                <w:szCs w:val="20"/>
                <w:color w:val="auto"/>
              </w:rPr>
            </w:pPr>
            <w:r>
              <w:rPr>
                <w:rFonts w:ascii="Arial" w:cs="Arial" w:eastAsia="Arial" w:hAnsi="Arial"/>
                <w:sz w:val="18"/>
                <w:szCs w:val="18"/>
                <w:color w:val="auto"/>
              </w:rPr>
              <w:t>Net earnings</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r>
      <w:tr>
        <w:trPr>
          <w:trHeight w:val="23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0"/>
        </w:trPr>
        <w:tc>
          <w:tcPr>
            <w:tcW w:w="5620" w:type="dxa"/>
            <w:vAlign w:val="bottom"/>
          </w:tcPr>
          <w:p>
            <w:pPr>
              <w:spacing w:after="0" w:line="203" w:lineRule="exact"/>
              <w:rPr>
                <w:sz w:val="20"/>
                <w:szCs w:val="20"/>
                <w:color w:val="auto"/>
              </w:rPr>
            </w:pPr>
            <w:r>
              <w:rPr>
                <w:rFonts w:ascii="Arial" w:cs="Arial" w:eastAsia="Arial" w:hAnsi="Arial"/>
                <w:sz w:val="18"/>
                <w:szCs w:val="18"/>
                <w:color w:val="auto"/>
              </w:rPr>
              <w:t>Net earnings attributable to controlling interest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8" w:lineRule="exact"/>
        <w:rPr>
          <w:sz w:val="20"/>
          <w:szCs w:val="20"/>
          <w:color w:val="auto"/>
        </w:rPr>
      </w:pPr>
    </w:p>
    <w:p>
      <w:pPr>
        <w:ind w:left="820" w:right="140" w:hanging="331"/>
        <w:spacing w:after="0" w:line="25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and non-wood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88" w:lineRule="exact"/>
        <w:rPr>
          <w:rFonts w:ascii="Arial" w:cs="Arial" w:eastAsia="Arial" w:hAnsi="Arial"/>
          <w:sz w:val="18"/>
          <w:szCs w:val="18"/>
          <w:color w:val="auto"/>
        </w:rPr>
      </w:pPr>
    </w:p>
    <w:p>
      <w:pPr>
        <w:ind w:left="820" w:hanging="33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ind w:left="820" w:right="40" w:hanging="331"/>
        <w:spacing w:after="0" w:line="273"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78" w:lineRule="exact"/>
        <w:rPr>
          <w:rFonts w:ascii="Arial" w:cs="Arial" w:eastAsia="Arial" w:hAnsi="Arial"/>
          <w:sz w:val="17"/>
          <w:szCs w:val="17"/>
          <w:color w:val="auto"/>
        </w:rPr>
      </w:pPr>
    </w:p>
    <w:p>
      <w:pPr>
        <w:ind w:left="820" w:hanging="33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new products and expanding our product offering for existing customers. New product sales were</w:t>
      </w:r>
    </w:p>
    <w:p>
      <w:pPr>
        <w:spacing w:after="0" w:line="34" w:lineRule="exact"/>
        <w:rPr>
          <w:rFonts w:ascii="Arial" w:cs="Arial" w:eastAsia="Arial" w:hAnsi="Arial"/>
          <w:sz w:val="17"/>
          <w:szCs w:val="17"/>
          <w:color w:val="auto"/>
        </w:rPr>
      </w:pPr>
    </w:p>
    <w:p>
      <w:pPr>
        <w:ind w:left="820" w:right="40"/>
        <w:spacing w:after="0" w:line="290" w:lineRule="auto"/>
        <w:rPr>
          <w:rFonts w:ascii="Arial" w:cs="Arial" w:eastAsia="Arial" w:hAnsi="Arial"/>
          <w:sz w:val="17"/>
          <w:szCs w:val="17"/>
          <w:color w:val="auto"/>
        </w:rPr>
      </w:pPr>
      <w:r>
        <w:rPr>
          <w:rFonts w:ascii="Arial" w:cs="Arial" w:eastAsia="Arial" w:hAnsi="Arial"/>
          <w:sz w:val="17"/>
          <w:szCs w:val="17"/>
          <w:color w:val="auto"/>
        </w:rPr>
        <w:t>$153.1 million in the second quarter of 2018 compared to $122.8 million during the second quarter of 2017. New products sales year-to-date for 2018 and 2017 were $262.2 million and $211.1 million, respectively.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center"/>
              <w:ind w:right="54"/>
              <w:spacing w:after="0"/>
              <w:rPr>
                <w:sz w:val="20"/>
                <w:szCs w:val="20"/>
                <w:color w:val="auto"/>
              </w:rPr>
            </w:pPr>
            <w:r>
              <w:rPr>
                <w:rFonts w:ascii="Arial" w:cs="Arial" w:eastAsia="Arial" w:hAnsi="Arial"/>
                <w:sz w:val="14"/>
                <w:szCs w:val="14"/>
                <w:b w:val="1"/>
                <w:bCs w:val="1"/>
                <w:color w:val="auto"/>
                <w:w w:val="94"/>
              </w:rPr>
              <w:t>New Product Sales by Market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right="74"/>
              <w:spacing w:after="0"/>
              <w:rPr>
                <w:sz w:val="20"/>
                <w:szCs w:val="20"/>
                <w:color w:val="auto"/>
              </w:rPr>
            </w:pPr>
            <w:r>
              <w:rPr>
                <w:rFonts w:ascii="Arial" w:cs="Arial" w:eastAsia="Arial" w:hAnsi="Arial"/>
                <w:sz w:val="14"/>
                <w:szCs w:val="14"/>
                <w:b w:val="1"/>
                <w:bCs w:val="1"/>
                <w:color w:val="auto"/>
                <w:w w:val="93"/>
              </w:rPr>
              <w:t>New Product Sales by Market</w:t>
            </w:r>
          </w:p>
        </w:tc>
        <w:tc>
          <w:tcPr>
            <w:tcW w:w="0" w:type="dxa"/>
            <w:vAlign w:val="bottom"/>
          </w:tcPr>
          <w:p>
            <w:pPr>
              <w:spacing w:after="0"/>
              <w:rPr>
                <w:sz w:val="1"/>
                <w:szCs w:val="1"/>
                <w:color w:val="auto"/>
              </w:rPr>
            </w:pPr>
          </w:p>
        </w:tc>
      </w:tr>
      <w:tr>
        <w:trPr>
          <w:trHeight w:val="156"/>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138"/>
              <w:spacing w:after="0" w:line="126"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300"/>
              <w:spacing w:after="0" w:line="126" w:lineRule="exact"/>
              <w:rPr>
                <w:sz w:val="20"/>
                <w:szCs w:val="20"/>
                <w:color w:val="auto"/>
              </w:rPr>
            </w:pPr>
            <w:r>
              <w:rPr>
                <w:rFonts w:ascii="Arial" w:cs="Arial" w:eastAsia="Arial" w:hAnsi="Arial"/>
                <w:sz w:val="14"/>
                <w:szCs w:val="14"/>
                <w:b w:val="1"/>
                <w:bCs w:val="1"/>
                <w:color w:val="auto"/>
              </w:rPr>
              <w:t>July 1,</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158"/>
              <w:spacing w:after="0" w:line="126"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July 1,</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95,409</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77,227</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153,514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126,275</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36,127</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29,048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67,135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53,705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21,533</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153,069</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122,831</w:t>
            </w: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262,158</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211,144</w:t>
            </w: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26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9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3"/>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2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80" w:type="dxa"/>
            <w:vAlign w:val="bottom"/>
            <w:tcBorders>
              <w:top w:val="single" w:sz="8" w:color="auto"/>
            </w:tcBorders>
            <w:gridSpan w:val="2"/>
          </w:tcPr>
          <w:p>
            <w:pPr>
              <w:ind w:left="180"/>
              <w:spacing w:after="0" w:line="126" w:lineRule="exact"/>
              <w:rPr>
                <w:sz w:val="20"/>
                <w:szCs w:val="20"/>
                <w:color w:val="auto"/>
              </w:rPr>
            </w:pPr>
            <w:r>
              <w:rPr>
                <w:rFonts w:ascii="Arial" w:cs="Arial" w:eastAsia="Arial" w:hAnsi="Arial"/>
                <w:sz w:val="14"/>
                <w:szCs w:val="14"/>
                <w:b w:val="1"/>
                <w:bCs w:val="1"/>
                <w:color w:val="auto"/>
              </w:rPr>
              <w:t>June 30,</w:t>
            </w:r>
          </w:p>
        </w:tc>
        <w:tc>
          <w:tcPr>
            <w:tcW w:w="840" w:type="dxa"/>
            <w:vAlign w:val="bottom"/>
            <w:tcBorders>
              <w:top w:val="single" w:sz="8" w:color="auto"/>
            </w:tcBorders>
          </w:tcPr>
          <w:p>
            <w:pPr>
              <w:ind w:left="220"/>
              <w:spacing w:after="0" w:line="126"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0"/>
                <w:szCs w:val="10"/>
                <w:color w:val="auto"/>
              </w:rPr>
            </w:pPr>
          </w:p>
        </w:tc>
        <w:tc>
          <w:tcPr>
            <w:tcW w:w="980" w:type="dxa"/>
            <w:vAlign w:val="bottom"/>
            <w:tcBorders>
              <w:top w:val="single" w:sz="8" w:color="auto"/>
            </w:tcBorders>
            <w:gridSpan w:val="2"/>
          </w:tcPr>
          <w:p>
            <w:pPr>
              <w:ind w:left="180"/>
              <w:spacing w:after="0" w:line="126" w:lineRule="exact"/>
              <w:rPr>
                <w:sz w:val="20"/>
                <w:szCs w:val="20"/>
                <w:color w:val="auto"/>
              </w:rPr>
            </w:pPr>
            <w:r>
              <w:rPr>
                <w:rFonts w:ascii="Arial" w:cs="Arial" w:eastAsia="Arial" w:hAnsi="Arial"/>
                <w:sz w:val="14"/>
                <w:szCs w:val="14"/>
                <w:b w:val="1"/>
                <w:bCs w:val="1"/>
                <w:color w:val="auto"/>
              </w:rPr>
              <w:t>June 30,</w:t>
            </w:r>
          </w:p>
        </w:tc>
        <w:tc>
          <w:tcPr>
            <w:tcW w:w="780" w:type="dxa"/>
            <w:vAlign w:val="bottom"/>
            <w:tcBorders>
              <w:top w:val="single" w:sz="8" w:color="auto"/>
            </w:tcBorders>
          </w:tcPr>
          <w:p>
            <w:pPr>
              <w:ind w:left="180"/>
              <w:spacing w:after="0" w:line="126" w:lineRule="exact"/>
              <w:rPr>
                <w:sz w:val="20"/>
                <w:szCs w:val="20"/>
                <w:color w:val="auto"/>
              </w:rPr>
            </w:pPr>
            <w:r>
              <w:rPr>
                <w:rFonts w:ascii="Arial" w:cs="Arial" w:eastAsia="Arial" w:hAnsi="Arial"/>
                <w:sz w:val="14"/>
                <w:szCs w:val="14"/>
                <w:b w:val="1"/>
                <w:bCs w:val="1"/>
                <w:color w:val="auto"/>
              </w:rPr>
              <w:t>July 1,</w:t>
            </w:r>
          </w:p>
        </w:tc>
      </w:tr>
      <w:tr>
        <w:trPr>
          <w:trHeight w:val="178"/>
        </w:trPr>
        <w:tc>
          <w:tcPr>
            <w:tcW w:w="2900" w:type="dxa"/>
            <w:vAlign w:val="bottom"/>
          </w:tcPr>
          <w:p>
            <w:pPr>
              <w:spacing w:after="0"/>
              <w:rPr>
                <w:sz w:val="15"/>
                <w:szCs w:val="15"/>
                <w:color w:val="auto"/>
              </w:rPr>
            </w:pPr>
          </w:p>
        </w:tc>
        <w:tc>
          <w:tcPr>
            <w:tcW w:w="33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2017</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Value-Added</w:t>
            </w:r>
          </w:p>
        </w:tc>
        <w:tc>
          <w:tcPr>
            <w:tcW w:w="2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60.1 %</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62.0 %</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60.8 %</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62.3 %</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Commodity-Based</w:t>
            </w:r>
          </w:p>
        </w:tc>
        <w:tc>
          <w:tcPr>
            <w:tcW w:w="3320" w:type="dxa"/>
            <w:vAlign w:val="bottom"/>
            <w:gridSpan w:val="2"/>
          </w:tcPr>
          <w:p>
            <w:pPr>
              <w:jc w:val="right"/>
              <w:ind w:right="22"/>
              <w:spacing w:after="0"/>
              <w:rPr>
                <w:sz w:val="20"/>
                <w:szCs w:val="20"/>
                <w:color w:val="auto"/>
              </w:rPr>
            </w:pPr>
            <w:r>
              <w:rPr>
                <w:rFonts w:ascii="Arial" w:cs="Arial" w:eastAsia="Arial" w:hAnsi="Arial"/>
                <w:sz w:val="18"/>
                <w:szCs w:val="18"/>
                <w:color w:val="auto"/>
              </w:rPr>
              <w:t>39.9 %</w:t>
            </w:r>
          </w:p>
        </w:tc>
        <w:tc>
          <w:tcPr>
            <w:tcW w:w="120" w:type="dxa"/>
            <w:vAlign w:val="bottom"/>
          </w:tcPr>
          <w:p>
            <w:pPr>
              <w:spacing w:after="0"/>
              <w:rPr>
                <w:sz w:val="20"/>
                <w:szCs w:val="20"/>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38.0 %</w:t>
            </w:r>
          </w:p>
        </w:tc>
        <w:tc>
          <w:tcPr>
            <w:tcW w:w="12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20"/>
                <w:szCs w:val="20"/>
                <w:color w:val="auto"/>
              </w:rPr>
            </w:pPr>
          </w:p>
        </w:tc>
        <w:tc>
          <w:tcPr>
            <w:tcW w:w="780" w:type="dxa"/>
            <w:vAlign w:val="bottom"/>
          </w:tcPr>
          <w:p>
            <w:pPr>
              <w:ind w:left="240"/>
              <w:spacing w:after="0"/>
              <w:rPr>
                <w:sz w:val="20"/>
                <w:szCs w:val="20"/>
                <w:color w:val="auto"/>
              </w:rPr>
            </w:pPr>
            <w:r>
              <w:rPr>
                <w:rFonts w:ascii="Arial" w:cs="Arial" w:eastAsia="Arial" w:hAnsi="Arial"/>
                <w:sz w:val="18"/>
                <w:szCs w:val="18"/>
                <w:color w:val="auto"/>
                <w:w w:val="92"/>
              </w:rPr>
              <w:t>37.7 %</w:t>
            </w:r>
          </w:p>
        </w:tc>
      </w:tr>
      <w:tr>
        <w:trPr>
          <w:trHeight w:val="850"/>
        </w:trPr>
        <w:tc>
          <w:tcPr>
            <w:tcW w:w="2900" w:type="dxa"/>
            <w:vAlign w:val="bottom"/>
          </w:tcPr>
          <w:p>
            <w:pPr>
              <w:spacing w:after="0"/>
              <w:rPr>
                <w:sz w:val="24"/>
                <w:szCs w:val="24"/>
                <w:color w:val="auto"/>
              </w:rPr>
            </w:pPr>
          </w:p>
        </w:tc>
        <w:tc>
          <w:tcPr>
            <w:tcW w:w="2460" w:type="dxa"/>
            <w:vAlign w:val="bottom"/>
          </w:tcPr>
          <w:p>
            <w:pPr>
              <w:jc w:val="right"/>
              <w:ind w:right="656"/>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9"/>
        </w:trPr>
        <w:tc>
          <w:tcPr>
            <w:tcW w:w="29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34"/>
              <w:spacing w:after="0" w:line="12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1"/>
              </w:rPr>
              <w:t>July 1,</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14"/>
              <w:spacing w:after="0" w:line="12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1"/>
              </w:rPr>
              <w:t>July 1,</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545,492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458,267</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19.0</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916,453</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770,619</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404,090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340,463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737,056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621,062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370,786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293,465</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678,526</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559,371</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89"/>
              </w:rPr>
              <w:t>1,320,368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1,092,195</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20.9</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2,332,035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1,951,052</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19.5</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(32,547)</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1,294,440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1,072,375</w:t>
            </w:r>
          </w:p>
        </w:tc>
        <w:tc>
          <w:tcPr>
            <w:tcW w:w="200" w:type="dxa"/>
            <w:vAlign w:val="bottom"/>
          </w:tcPr>
          <w:p>
            <w:pPr>
              <w:spacing w:after="0"/>
              <w:rPr>
                <w:sz w:val="18"/>
                <w:szCs w:val="18"/>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20.7</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2,288,297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1,918,505</w:t>
            </w:r>
          </w:p>
        </w:tc>
        <w:tc>
          <w:tcPr>
            <w:tcW w:w="200" w:type="dxa"/>
            <w:vAlign w:val="bottom"/>
          </w:tcPr>
          <w:p>
            <w:pPr>
              <w:spacing w:after="0"/>
              <w:rPr>
                <w:sz w:val="18"/>
                <w:szCs w:val="18"/>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19.3</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sales in the second quarter of 2018 increased 21% compared to the same period of 2017, due to an 8% increase in unit sales and a 13% increase in selling prices primarily due to the Lumber Market. Acquired operations contributed 1% to our unit sales growth, and our organic unit sales growth was 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sales in the first six months of 2018 increased 20% compared to the same period of 2017, due to an 8% increase in unit sales and a 12% increase in selling prices primarily due to the Lumber Market. Acquired operations contributed 3% to our unit sales growth, and our organic unit sales growth was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sales to the retail market increased 19% in the second quarter of 2018 compared to the same period of 2017, due to a 6% increase in unit sales and a 13% increase in selling prices. Within this market, sales to our big box customers increased almost 16%, and sales to other independent retailers increased almost 25%. Our organic unit growth was 6% for the quarter primarily due to increased sales to our independent retail customers, as demand improved following inclement weather in the first quarter.</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Gross sales to the retail market increased almost 19% in the first six months of 2018 compared to the same period of 2017, due to an 8% increase in unit sales and a 11% increase in selling prices. Within this market, sales to our big box customers increased over 15%, while sales to other independent retailers increased over 24%. Businesses we acquired contributed 3% to our growth in unit sales, primarily to independent retail customers, while organic unit sales growth increased 5% in the first six months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Gross sales to the industrial market increased almost 19% in the second quarter of 2018 compared to the same period of 2017, resulting from an 8% increase in unit sales and an 11% increase in selling prices. Businesses we acquired contributed 3% to our growth in unit sales. Our organic growth in unit sales of 5% was due to adding over 400 new customers, 122 new locations of existing customers, and $7 million of new sales growth as our efforts to improve market share continue to gain traction.</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Gross sales to the industrial market increased almost 19% in the first six months of 2018 compared to the same period of 2017, resulting from a 9% increase in unit sales and a 10% increase in selling prices. Businesses we acquired contributed 4% to our growth in unit sales. Our organic growth in unit sales of 5% was primarily due to the same factors discussed above.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sales to the construction market increased over 26% in the second quarter of 2018 compared to 2017. The increase was due to a 10% increase in unit sales and a 16% increase in our selling prices. Our increase in unit sales was driven by a 9% increase to manufactured housing customers, a 10% increase to residential construction customers, and a 13% increase to commercial construction customers. Acquired businesses contributed 1% to our growth in unit sales to the overall construction market and 4% to the commercial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comparison (and based upon various industry publications):</w:t>
      </w:r>
    </w:p>
    <w:p>
      <w:pPr>
        <w:spacing w:after="0" w:line="225" w:lineRule="exact"/>
        <w:rPr>
          <w:sz w:val="20"/>
          <w:szCs w:val="20"/>
          <w:color w:val="auto"/>
        </w:rPr>
      </w:pPr>
    </w:p>
    <w:p>
      <w:pPr>
        <w:ind w:left="820" w:right="240" w:hanging="331"/>
        <w:spacing w:after="0" w:line="25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of HUD-code manufactured homes in April and May 2018, the most recent period reported, was up 6.5% compared to the same period of 2017.</w:t>
      </w:r>
    </w:p>
    <w:p>
      <w:pPr>
        <w:spacing w:after="0" w:line="1" w:lineRule="exact"/>
        <w:rPr>
          <w:rFonts w:ascii="Arial" w:cs="Arial" w:eastAsia="Arial" w:hAnsi="Arial"/>
          <w:sz w:val="18"/>
          <w:szCs w:val="18"/>
          <w:color w:val="auto"/>
        </w:rPr>
      </w:pPr>
    </w:p>
    <w:p>
      <w:pPr>
        <w:ind w:left="820" w:right="460" w:hanging="331"/>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Non-residential construction activity in April and May increased approximately 6.0% compared to the same period of 2017.</w:t>
      </w:r>
    </w:p>
    <w:p>
      <w:pPr>
        <w:ind w:left="820" w:right="280" w:hanging="331"/>
        <w:spacing w:after="0" w:line="261"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housing starts increased approximately 13.4% in the period from March through May 2018 (our sales trail housing starts by about a month) compared to the same period of 2017.</w:t>
      </w:r>
    </w:p>
    <w:p>
      <w:pPr>
        <w:spacing w:after="0" w:line="18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Gross sales to the construction market increased over 21% in the first six months of 2018 compared to 2017. The increase was due to an 8% increase in unit sales and a 13% increase in our selling prices. Our increase in unit sales was driven by a 9% increase to manufactured housing customers, a 10% increase to concrete forming and commercial construction customers, and a 6% increase to residential construction customers due to the same factors discussed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Our gross margin decreased to 12.8% from 13.8% comparing the second quarter of 2018 to the same period of 2017 due to the higher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(See “Impact of the Lumber Market on Our Operating Results”). More importantly, our 11.8% increase in gross profit dollars compares favorably to our 8% increase in unit sales during the same period. Acquired operations contributed $1.9 million of gross profit in the second quarter of 2018. Excluding acquisitions, our gross profits increased by $15.6 million, or 10.5%, over the same period last year due to the following:</w:t>
      </w:r>
    </w:p>
    <w:p>
      <w:pPr>
        <w:spacing w:after="0" w:line="173" w:lineRule="exact"/>
        <w:rPr>
          <w:sz w:val="20"/>
          <w:szCs w:val="20"/>
          <w:color w:val="auto"/>
        </w:rPr>
      </w:pPr>
    </w:p>
    <w:p>
      <w:pPr>
        <w:ind w:left="820" w:hanging="331"/>
        <w:spacing w:after="0" w:line="256"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on sales to the retail market increased by approximately $8 million, primarily due to the favorable impact of the rising lumber market on products we sell with variable selling prices as well as new product sales growth.</w:t>
      </w:r>
    </w:p>
    <w:p>
      <w:pPr>
        <w:ind w:left="820" w:right="140" w:hanging="331"/>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$4 million, due to a combination of growth and more effectively passing on lumber cost increases in our selling prices.</w:t>
      </w:r>
    </w:p>
    <w:p>
      <w:pPr>
        <w:ind w:left="820" w:right="480" w:hanging="331"/>
        <w:spacing w:after="0" w:line="26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approximately $4 million, primarily due to organic growth.</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Our gross margin decreased to 13.0% from 14.0% comparing the first six months of 2018 to the same period of 2017 due to the higher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(See “Impact of the Lumber Market on Our Operating Results”). Our 10.3% increase in gross profit dollars compares favorably to our 8% increase in unit sales during the same period. Acquired operations contributed $5.4 million of gross profit in the first six months of 2018. Excluding acquisitions, our gross profits increased by $22.2 million, or 8.3%, over the same period last year due to the following:</w:t>
      </w:r>
    </w:p>
    <w:p>
      <w:pPr>
        <w:spacing w:after="0" w:line="173" w:lineRule="exact"/>
        <w:rPr>
          <w:sz w:val="20"/>
          <w:szCs w:val="20"/>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retail market increased by approximately $8.5 million.</w:t>
      </w:r>
    </w:p>
    <w:p>
      <w:pPr>
        <w:spacing w:after="0" w:line="23" w:lineRule="exact"/>
        <w:rPr>
          <w:rFonts w:ascii="Arial" w:cs="Arial" w:eastAsia="Arial" w:hAnsi="Arial"/>
          <w:sz w:val="18"/>
          <w:szCs w:val="18"/>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$8.9 million.</w:t>
      </w:r>
    </w:p>
    <w:p>
      <w:pPr>
        <w:spacing w:after="0" w:line="9" w:lineRule="exact"/>
        <w:rPr>
          <w:rFonts w:ascii="Arial" w:cs="Arial" w:eastAsia="Arial" w:hAnsi="Arial"/>
          <w:sz w:val="18"/>
          <w:szCs w:val="18"/>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over $6.4 million.</w:t>
      </w:r>
    </w:p>
    <w:p>
      <w:pPr>
        <w:spacing w:after="0" w:line="9" w:lineRule="exact"/>
        <w:rPr>
          <w:rFonts w:ascii="Arial" w:cs="Arial" w:eastAsia="Arial" w:hAnsi="Arial"/>
          <w:sz w:val="18"/>
          <w:szCs w:val="18"/>
          <w:color w:val="auto"/>
        </w:rPr>
      </w:pPr>
    </w:p>
    <w:p>
      <w:pPr>
        <w:ind w:left="820" w:hanging="33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on sales to each of our markets improved due to the same factors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Selling, general and administrative (“SG&amp;A”) expenses increased by approximately $10.0 million, or 10.6%, in the second quarter of 2018 compared to the same period of 2017, while we reported an 8% increase in unit sales. Accrued bonus expense, which varies with our overall profitability and return on investment, totaled $14.5 million in the second quarter of 2018 compared to $12.1 million in 2017. Acquired operations contributed approximately $1.0 million to our year over year increase. The remaining increase was primarily due to an increase in base wages and benefits ($2.7 million), sales incentive expenses ($2.5 million), idX’s lease termination ($1.5 million), and employee benefits including healthcare ($1.5 million), which were offset by decreases in other areas.</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Selling, general and administrative (“SG&amp;A”) expenses increased by approximately $16.2 million, or 8.9%, in the first six months of 2018 compared to the same period of 2017, while we reported an 8% increase in unit sales. Accrued bonus expense, which varies with our overall profitability and return on investment, totaled $23.6 million in the first six months of 2018 compared to $20.2 million in 2017. Acquired operations contributed approximately $3.2 million to our year over year increase. The remaining increase was primarily due to an increase in base wages and benefits ($5.8 million), sales incentive expenses ($4.3 million), employee benefits ($1.9 million), and idX’s lease termination ($1.5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Net interest costs were higher in the second quarter of 2018 compared to the same period of 2017 primarily due to an increase in working capital resulting from growth and peak lumber prices as well as increases in short-term borrowing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22.9% in the second quarter of 2018 compared to 34.0% for same period in 2017. Our effective tax rate was 22.6% in the first six months of 2018 compared to 33.7% for the same period in 2017. This decrease was due to changes resulting from the Tax Act, which reduced the U.S. federal corporate income tax rate from 35 percent to 21 percent effective January 1, 2018, along with eliminating the domestic manufacturing deduction. We currently anticipate an overall tax rate of 23.5% for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Earnings from Operations</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56"/>
        </w:trPr>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ind w:left="20"/>
              <w:spacing w:after="0" w:line="149"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126"/>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114"/>
              <w:spacing w:after="0" w:line="126"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0"/>
                <w:szCs w:val="10"/>
                <w:color w:val="auto"/>
              </w:rPr>
            </w:pPr>
          </w:p>
        </w:tc>
        <w:tc>
          <w:tcPr>
            <w:tcW w:w="900" w:type="dxa"/>
            <w:vAlign w:val="bottom"/>
          </w:tcPr>
          <w:p>
            <w:pPr>
              <w:jc w:val="right"/>
              <w:ind w:right="159"/>
              <w:spacing w:after="0" w:line="126" w:lineRule="exact"/>
              <w:rPr>
                <w:sz w:val="20"/>
                <w:szCs w:val="20"/>
                <w:color w:val="auto"/>
              </w:rPr>
            </w:pPr>
            <w:r>
              <w:rPr>
                <w:rFonts w:ascii="Arial" w:cs="Arial" w:eastAsia="Arial" w:hAnsi="Arial"/>
                <w:sz w:val="14"/>
                <w:szCs w:val="14"/>
                <w:b w:val="1"/>
                <w:bCs w:val="1"/>
                <w:color w:val="auto"/>
              </w:rPr>
              <w:t>July 1,</w:t>
            </w:r>
          </w:p>
        </w:tc>
        <w:tc>
          <w:tcPr>
            <w:tcW w:w="960" w:type="dxa"/>
            <w:vAlign w:val="bottom"/>
            <w:gridSpan w:val="2"/>
          </w:tcPr>
          <w:p>
            <w:pPr>
              <w:jc w:val="right"/>
              <w:ind w:right="294"/>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54"/>
              <w:spacing w:after="0" w:line="126"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6"/>
              <w:spacing w:after="0" w:line="126"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7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4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r>
      <w:tr>
        <w:trPr>
          <w:trHeight w:val="178"/>
        </w:trPr>
        <w:tc>
          <w:tcPr>
            <w:tcW w:w="1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r>
      <w:tr>
        <w:trPr>
          <w:trHeight w:val="216"/>
        </w:trPr>
        <w:tc>
          <w:tcPr>
            <w:tcW w:w="1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390,821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319,554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71,267</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291,320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221,583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69,737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390,868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155,474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140,370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15,104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(25.5)%</w:t>
            </w:r>
          </w:p>
        </w:tc>
      </w:tr>
      <w:tr>
        <w:trPr>
          <w:trHeight w:val="23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163.9 %</w:t>
            </w:r>
          </w:p>
        </w:tc>
      </w:tr>
      <w:tr>
        <w:trPr>
          <w:trHeight w:val="210"/>
        </w:trPr>
        <w:tc>
          <w:tcPr>
            <w:tcW w:w="1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1,294,440</w:t>
            </w: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1,072,375</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$ 222,065</w:t>
            </w: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20.7 %</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60,617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53,899</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6,718</w:t>
            </w: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Earnings from Operations</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56"/>
        </w:trPr>
        <w:tc>
          <w:tcPr>
            <w:tcW w:w="1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Six Months Ended</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126"/>
        </w:trPr>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June 30,</w:t>
            </w:r>
          </w:p>
        </w:tc>
        <w:tc>
          <w:tcPr>
            <w:tcW w:w="900" w:type="dxa"/>
            <w:vAlign w:val="bottom"/>
          </w:tcPr>
          <w:p>
            <w:pPr>
              <w:jc w:val="right"/>
              <w:ind w:right="157"/>
              <w:spacing w:after="0" w:line="126" w:lineRule="exact"/>
              <w:rPr>
                <w:sz w:val="20"/>
                <w:szCs w:val="20"/>
                <w:color w:val="auto"/>
              </w:rPr>
            </w:pPr>
            <w:r>
              <w:rPr>
                <w:rFonts w:ascii="Arial" w:cs="Arial" w:eastAsia="Arial" w:hAnsi="Arial"/>
                <w:sz w:val="14"/>
                <w:szCs w:val="14"/>
                <w:b w:val="1"/>
                <w:bCs w:val="1"/>
                <w:color w:val="auto"/>
              </w:rPr>
              <w:t>July 1,</w:t>
            </w:r>
          </w:p>
        </w:tc>
        <w:tc>
          <w:tcPr>
            <w:tcW w:w="960" w:type="dxa"/>
            <w:vAlign w:val="bottom"/>
            <w:gridSpan w:val="2"/>
          </w:tcPr>
          <w:p>
            <w:pPr>
              <w:jc w:val="right"/>
              <w:ind w:right="274"/>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ind w:left="160"/>
              <w:spacing w:after="0" w:line="12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360"/>
              <w:spacing w:after="0" w:line="126"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0"/>
                <w:szCs w:val="10"/>
                <w:color w:val="auto"/>
              </w:rPr>
            </w:pPr>
          </w:p>
        </w:tc>
        <w:tc>
          <w:tcPr>
            <w:tcW w:w="680" w:type="dxa"/>
            <w:vAlign w:val="bottom"/>
          </w:tcPr>
          <w:p>
            <w:pPr>
              <w:jc w:val="right"/>
              <w:ind w:right="27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440" w:type="dxa"/>
            <w:vAlign w:val="bottom"/>
          </w:tcPr>
          <w:p>
            <w:pPr>
              <w:jc w:val="right"/>
              <w:ind w:right="54"/>
              <w:spacing w:after="0" w:line="126"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0"/>
                <w:szCs w:val="10"/>
                <w:color w:val="auto"/>
              </w:rPr>
            </w:pPr>
          </w:p>
        </w:tc>
      </w:tr>
      <w:tr>
        <w:trPr>
          <w:trHeight w:val="178"/>
        </w:trPr>
        <w:tc>
          <w:tcPr>
            <w:tcW w:w="1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r>
      <w:tr>
        <w:trPr>
          <w:trHeight w:val="216"/>
        </w:trPr>
        <w:tc>
          <w:tcPr>
            <w:tcW w:w="1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661,007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547,475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$ 113,532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28,517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533,340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410,326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123,014</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13,529</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819,293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109,263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274,657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250,674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23,983</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(5,185)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(81.0)%</w:t>
            </w:r>
          </w:p>
        </w:tc>
      </w:tr>
      <w:tr>
        <w:trPr>
          <w:trHeight w:val="23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(8,834)</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(14.6)%</w:t>
            </w:r>
          </w:p>
        </w:tc>
      </w:tr>
      <w:tr>
        <w:trPr>
          <w:trHeight w:val="210"/>
        </w:trPr>
        <w:tc>
          <w:tcPr>
            <w:tcW w:w="1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w w:val="89"/>
              </w:rPr>
              <w:t>2,288,297</w:t>
            </w: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1,918,505</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$ 369,792</w:t>
            </w: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19.3 %</w:t>
            </w: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$ 104,835</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87,720</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17,115</w:t>
            </w: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19.5 %</w:t>
            </w:r>
          </w:p>
        </w:tc>
      </w:tr>
      <w:tr>
        <w:trPr>
          <w:trHeight w:val="108"/>
        </w:trPr>
        <w:tc>
          <w:tcPr>
            <w:tcW w:w="1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89"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Corporate primarily represents over (under) allocated administrative costs and accrued bonus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420" w:type="dxa"/>
            <w:vAlign w:val="bottom"/>
            <w:tcBorders>
              <w:bottom w:val="single" w:sz="8" w:color="auto"/>
            </w:tcBorders>
            <w:gridSpan w:val="5"/>
          </w:tcPr>
          <w:p>
            <w:pPr>
              <w:jc w:val="center"/>
              <w:ind w:left="117"/>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tcBorders>
              <w:bottom w:val="single" w:sz="8" w:color="auto"/>
            </w:tcBorders>
            <w:gridSpan w:val="6"/>
          </w:tcPr>
          <w:p>
            <w:pPr>
              <w:jc w:val="center"/>
              <w:ind w:left="97"/>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bottom w:val="single" w:sz="8" w:color="auto"/>
            </w:tcBorders>
            <w:gridSpan w:val="5"/>
          </w:tcPr>
          <w:p>
            <w:pPr>
              <w:jc w:val="center"/>
              <w:ind w:left="117"/>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Borders>
              <w:bottom w:val="single" w:sz="8" w:color="auto"/>
            </w:tcBorders>
            <w:gridSpan w:val="5"/>
          </w:tcPr>
          <w:p>
            <w:pPr>
              <w:jc w:val="center"/>
              <w:ind w:left="617"/>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680" w:type="dxa"/>
            <w:vAlign w:val="bottom"/>
            <w:vMerge w:val="continue"/>
          </w:tcPr>
          <w:p>
            <w:pPr>
              <w:spacing w:after="0"/>
              <w:rPr>
                <w:sz w:val="10"/>
                <w:szCs w:val="10"/>
                <w:color w:val="auto"/>
              </w:rPr>
            </w:pPr>
          </w:p>
        </w:tc>
        <w:tc>
          <w:tcPr>
            <w:tcW w:w="96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ind w:left="220"/>
              <w:spacing w:after="0" w:line="126" w:lineRule="exact"/>
              <w:rPr>
                <w:sz w:val="20"/>
                <w:szCs w:val="20"/>
                <w:color w:val="auto"/>
              </w:rPr>
            </w:pPr>
            <w:r>
              <w:rPr>
                <w:rFonts w:ascii="Arial" w:cs="Arial" w:eastAsia="Arial" w:hAnsi="Arial"/>
                <w:sz w:val="14"/>
                <w:szCs w:val="14"/>
                <w:b w:val="1"/>
                <w:bCs w:val="1"/>
                <w:color w:val="auto"/>
              </w:rPr>
              <w:t>July 1,</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 Change</w:t>
            </w:r>
          </w:p>
        </w:tc>
        <w:tc>
          <w:tcPr>
            <w:tcW w:w="960" w:type="dxa"/>
            <w:vAlign w:val="bottom"/>
            <w:gridSpan w:val="2"/>
          </w:tcPr>
          <w:p>
            <w:pPr>
              <w:ind w:left="160"/>
              <w:spacing w:after="0" w:line="126"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0"/>
                <w:szCs w:val="10"/>
                <w:color w:val="auto"/>
              </w:rPr>
            </w:pPr>
          </w:p>
        </w:tc>
        <w:tc>
          <w:tcPr>
            <w:tcW w:w="940" w:type="dxa"/>
            <w:vAlign w:val="bottom"/>
            <w:gridSpan w:val="2"/>
          </w:tcPr>
          <w:p>
            <w:pPr>
              <w:ind w:left="180"/>
              <w:spacing w:after="0" w:line="126" w:lineRule="exact"/>
              <w:rPr>
                <w:sz w:val="20"/>
                <w:szCs w:val="20"/>
                <w:color w:val="auto"/>
              </w:rPr>
            </w:pPr>
            <w:r>
              <w:rPr>
                <w:rFonts w:ascii="Arial" w:cs="Arial" w:eastAsia="Arial" w:hAnsi="Arial"/>
                <w:sz w:val="14"/>
                <w:szCs w:val="14"/>
                <w:b w:val="1"/>
                <w:bCs w:val="1"/>
                <w:color w:val="auto"/>
              </w:rPr>
              <w:t>July 1,</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20"/>
                <w:szCs w:val="20"/>
                <w:color w:val="auto"/>
              </w:rPr>
            </w:pPr>
            <w:r>
              <w:rPr>
                <w:rFonts w:ascii="Arial" w:cs="Arial" w:eastAsia="Arial" w:hAnsi="Arial"/>
                <w:sz w:val="14"/>
                <w:szCs w:val="14"/>
                <w:b w:val="1"/>
                <w:bCs w:val="1"/>
                <w:color w:val="auto"/>
              </w:rPr>
              <w:t>Market Classification</w:t>
            </w: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82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$ 191,391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$ 161,640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$ 287,200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$ 249,085</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Industrial</w:t>
            </w:r>
          </w:p>
        </w:tc>
        <w:tc>
          <w:tcPr>
            <w:tcW w:w="820" w:type="dxa"/>
            <w:vAlign w:val="bottom"/>
          </w:tcPr>
          <w:p>
            <w:pPr>
              <w:jc w:val="right"/>
              <w:spacing w:after="0"/>
              <w:rPr>
                <w:sz w:val="20"/>
                <w:szCs w:val="20"/>
                <w:color w:val="auto"/>
              </w:rPr>
            </w:pPr>
            <w:r>
              <w:rPr>
                <w:rFonts w:ascii="Arial" w:cs="Arial" w:eastAsia="Arial" w:hAnsi="Arial"/>
                <w:sz w:val="18"/>
                <w:szCs w:val="18"/>
                <w:color w:val="auto"/>
              </w:rPr>
              <w:t>55,822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42,048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107,442</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74,537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152,615</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280,064</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235,581</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Gross Sales</w:t>
            </w: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399,828</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327,079</w:t>
            </w:r>
          </w:p>
        </w:tc>
        <w:tc>
          <w:tcPr>
            <w:tcW w:w="1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22.2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674,706</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559,203</w:t>
            </w: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(11,728)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Net Sales</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$ 390,821</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$ 319,554</w:t>
            </w: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22.3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$ 661,007</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$ 547,475</w:t>
            </w: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sales attributable to the North reportable segment increased in the second quarter of 2018 compared to 2017 as a result of increased sales to each of our markets, primarily due to the same factors previously discussed. Acquired operations contributed $6.2 million to our industrial sales increase.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Earnings from operations for the North reportable segment increased in the second quarter of 2018 by $3.6 million, or 22.0%, due to an increase in gross profit of $4.5 million, offset by a $0.9 million increase in SG&amp;A expenses compared to last year due to the same factors previously discussed. Acquired operations contributed $0.5 million to our operating profits in the second quarter.</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sales attributable to the North reportable segment increased in the first six months of 2018 compared to 2017 as a result of increased sales to each of our markets, primarily due to the same factors previously discussed. Acquired operations contributed $20.1 million to our industrial sales increase in the first six months of 2018.</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Earnings from operations for the North reportable segment increased in the first six months of 2018 by $2.3 million, or 8.7%, due to an increase in gross profit of $4.3 million offset by a $1.7 million increase in SG&amp;A expenses compared to last year. Acquired operations contributed $1.1 million to our operating profits in the first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40" w:type="dxa"/>
            <w:vAlign w:val="bottom"/>
            <w:tcBorders>
              <w:bottom w:val="single" w:sz="8" w:color="auto"/>
            </w:tcBorders>
            <w:gridSpan w:val="5"/>
          </w:tcPr>
          <w:p>
            <w:pPr>
              <w:jc w:val="center"/>
              <w:ind w:left="199"/>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Borders>
              <w:bottom w:val="single" w:sz="8" w:color="auto"/>
            </w:tcBorders>
            <w:gridSpan w:val="7"/>
          </w:tcPr>
          <w:p>
            <w:pPr>
              <w:jc w:val="center"/>
              <w:ind w:left="119"/>
              <w:spacing w:after="0" w:line="149" w:lineRule="exact"/>
              <w:rPr>
                <w:sz w:val="20"/>
                <w:szCs w:val="20"/>
                <w:color w:val="auto"/>
              </w:rPr>
            </w:pPr>
            <w:r>
              <w:rPr>
                <w:rFonts w:ascii="Arial" w:cs="Arial" w:eastAsia="Arial" w:hAnsi="Arial"/>
                <w:sz w:val="14"/>
                <w:szCs w:val="14"/>
                <w:b w:val="1"/>
                <w:bCs w:val="1"/>
                <w:color w:val="auto"/>
                <w:w w:val="93"/>
              </w:rPr>
              <w:t>South Segment by Market</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3"/>
                <w:szCs w:val="13"/>
                <w:color w:val="auto"/>
              </w:rPr>
            </w:pPr>
          </w:p>
        </w:tc>
        <w:tc>
          <w:tcPr>
            <w:tcW w:w="2340" w:type="dxa"/>
            <w:vAlign w:val="bottom"/>
            <w:tcBorders>
              <w:bottom w:val="single" w:sz="8" w:color="auto"/>
            </w:tcBorders>
            <w:gridSpan w:val="5"/>
          </w:tcPr>
          <w:p>
            <w:pPr>
              <w:jc w:val="center"/>
              <w:ind w:left="199"/>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Borders>
              <w:bottom w:val="single" w:sz="8" w:color="auto"/>
            </w:tcBorders>
            <w:gridSpan w:val="6"/>
          </w:tcPr>
          <w:p>
            <w:pPr>
              <w:jc w:val="center"/>
              <w:ind w:left="599"/>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3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ind w:right="59"/>
              <w:spacing w:after="0" w:line="12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6"/>
              </w:rPr>
              <w:t>July 1,</w:t>
            </w: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0"/>
                <w:szCs w:val="10"/>
                <w:color w:val="auto"/>
              </w:rPr>
            </w:pPr>
          </w:p>
        </w:tc>
        <w:tc>
          <w:tcPr>
            <w:tcW w:w="90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0"/>
                <w:szCs w:val="10"/>
                <w:color w:val="auto"/>
              </w:rPr>
            </w:pPr>
          </w:p>
        </w:tc>
        <w:tc>
          <w:tcPr>
            <w:tcW w:w="900" w:type="dxa"/>
            <w:vAlign w:val="bottom"/>
            <w:gridSpan w:val="3"/>
          </w:tcPr>
          <w:p>
            <w:pPr>
              <w:jc w:val="center"/>
              <w:ind w:right="180"/>
              <w:spacing w:after="0" w:line="126" w:lineRule="exact"/>
              <w:rPr>
                <w:sz w:val="20"/>
                <w:szCs w:val="20"/>
                <w:color w:val="auto"/>
              </w:rPr>
            </w:pPr>
            <w:r>
              <w:rPr>
                <w:rFonts w:ascii="Arial" w:cs="Arial" w:eastAsia="Arial" w:hAnsi="Arial"/>
                <w:sz w:val="14"/>
                <w:szCs w:val="14"/>
                <w:b w:val="1"/>
                <w:bCs w:val="1"/>
                <w:color w:val="auto"/>
                <w:w w:val="91"/>
              </w:rPr>
              <w:t>July 1,</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20"/>
                <w:szCs w:val="20"/>
                <w:color w:val="auto"/>
              </w:rPr>
            </w:pPr>
            <w:r>
              <w:rPr>
                <w:rFonts w:ascii="Arial" w:cs="Arial" w:eastAsia="Arial" w:hAnsi="Arial"/>
                <w:sz w:val="14"/>
                <w:szCs w:val="14"/>
                <w:b w:val="1"/>
                <w:bCs w:val="1"/>
                <w:color w:val="auto"/>
              </w:rPr>
              <w:t>Market Classification</w:t>
            </w:r>
          </w:p>
        </w:tc>
        <w:tc>
          <w:tcPr>
            <w:tcW w:w="13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90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$ 130,930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$106,294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$246,128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$190,554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29.2</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Industrial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103,384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72,678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184,392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135,388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113,942</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93,592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Gross Sales</w:t>
            </w:r>
          </w:p>
        </w:tc>
        <w:tc>
          <w:tcPr>
            <w:tcW w:w="5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297,186</w:t>
            </w: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226,708</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31.1</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544,462</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419,534</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29.8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Net Sales</w:t>
            </w:r>
          </w:p>
        </w:tc>
        <w:tc>
          <w:tcPr>
            <w:tcW w:w="50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$ 291,320</w:t>
            </w: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221,583</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31.5</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533,340</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410,326</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sales attributable to the South reportable segment increased in the second quarter of 2018 compared to 2017 due to increased sales to all markets, primarily due to the same factors previously discussed. Acquired operations contributed $7.3 million to our growth in sales to the industrial market.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Earnings from operations for the South reportable segment increased in the second quarter of 2018 by $4.7 million, or 45.7%, due to an increase in gross profit dollars of $7.2 million, offset by an increase in SG&amp;A expenses of $2.5 million compared to the same period of 2017, due to the same factors previously discussed. Acquired operations contributed $0.1 million to operating profits in the second quarter.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attributable to the South reportable segment increased in the first six months of 2018 compared to 2017 due to increased sales to all markets, primarily due to the same factors previously discussed. Acquired operations contributed $41.7 million to our growth in sales primarily to the retail market.</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Earnings from operations for the South reportable segment increased in the first six months of 2018 by $13.5 million, or 64.7%, compared to the same period in 2017. Excluding the impact of our Medley plant sale, earnings from operations increased during the first six months of 2018 by $6.4 million due to an increase in gross profit dollars of $11.1 million, offset by an increase in SG&amp;A expenses of $4.7 million compared to the same period of 2017. Acquired operations contributed $3.1 million to gross profits, $2.0 million to SG&amp;A, and $1.1 million to operating profits in the first six months of the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Net Sales</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00" w:type="dxa"/>
            <w:vAlign w:val="bottom"/>
            <w:tcBorders>
              <w:bottom w:val="single" w:sz="8" w:color="auto"/>
            </w:tcBorders>
            <w:gridSpan w:val="6"/>
          </w:tcPr>
          <w:p>
            <w:pPr>
              <w:jc w:val="center"/>
              <w:ind w:left="180"/>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Borders>
              <w:bottom w:val="single" w:sz="8" w:color="auto"/>
            </w:tcBorders>
            <w:gridSpan w:val="6"/>
          </w:tcPr>
          <w:p>
            <w:pPr>
              <w:jc w:val="center"/>
              <w:ind w:left="220"/>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c>
          <w:tcPr>
            <w:tcW w:w="2300" w:type="dxa"/>
            <w:vAlign w:val="bottom"/>
            <w:tcBorders>
              <w:bottom w:val="single" w:sz="8" w:color="auto"/>
            </w:tcBorders>
            <w:gridSpan w:val="6"/>
          </w:tcPr>
          <w:p>
            <w:pPr>
              <w:jc w:val="center"/>
              <w:ind w:left="2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tcBorders>
              <w:bottom w:val="single" w:sz="8" w:color="auto"/>
            </w:tcBorders>
            <w:gridSpan w:val="5"/>
          </w:tcPr>
          <w:p>
            <w:pPr>
              <w:jc w:val="center"/>
              <w:ind w:left="64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0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0"/>
                <w:szCs w:val="10"/>
                <w:color w:val="auto"/>
              </w:rPr>
            </w:pPr>
          </w:p>
        </w:tc>
        <w:tc>
          <w:tcPr>
            <w:tcW w:w="90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July 1,</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jc w:val="center"/>
              <w:ind w:right="180"/>
              <w:spacing w:after="0" w:line="126" w:lineRule="exact"/>
              <w:rPr>
                <w:sz w:val="20"/>
                <w:szCs w:val="20"/>
                <w:color w:val="auto"/>
              </w:rPr>
            </w:pPr>
            <w:r>
              <w:rPr>
                <w:rFonts w:ascii="Arial" w:cs="Arial" w:eastAsia="Arial" w:hAnsi="Arial"/>
                <w:sz w:val="14"/>
                <w:szCs w:val="14"/>
                <w:b w:val="1"/>
                <w:bCs w:val="1"/>
                <w:color w:val="auto"/>
                <w:w w:val="96"/>
              </w:rPr>
              <w:t>July 1,</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$156,228</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$132,583</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2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$267,252</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$231,594</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152,591</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141,273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280,180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257,542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154,959</w:t>
            </w: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122,251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284,129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229,995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1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463,778</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396,107</w:t>
            </w:r>
          </w:p>
        </w:tc>
        <w:tc>
          <w:tcPr>
            <w:tcW w:w="1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831,561</w:t>
            </w: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719,131</w:t>
            </w: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15.6</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(6,953)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18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456,825</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390,868</w:t>
            </w: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819,293</w:t>
            </w: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710,030</w:t>
            </w: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15.4</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Net sales attributable to the West reportable segment increased in the second quarter of 2018 compared to 2017 due to increases in sales to all markets primarily due to factors previously discussed.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Earnings from operations for the West reportable segment increased in the second quarter of 2018 by $5.0 million, or 20.2%, compared to the same period in 2017 due to a $8.2 million increase in gross profit, offset by a $3.2 million increase in SG&amp;A expenses due to the same factors previously discussed.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sales attributable to the West reportable segment increased in the first six months of 2018 compared to 2017 due to increases in sales to all markets primarily due to factors previously discussed.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Earnings from operations for the West reportable segment increased in the first six months of 2018 by $7.8 million, or 18.1%, compared to the same period in 2017 due to a $12.3 million increase in gross profit, offset by a $4.5 million increase in SG&amp;A expenses due to the same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jc w:val="center"/>
              <w:ind w:left="17"/>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tcBorders>
              <w:bottom w:val="single" w:sz="8" w:color="auto"/>
            </w:tcBorders>
            <w:gridSpan w:val="8"/>
          </w:tcPr>
          <w:p>
            <w:pPr>
              <w:jc w:val="center"/>
              <w:ind w:left="97"/>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jc w:val="center"/>
              <w:ind w:left="17"/>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Borders>
              <w:bottom w:val="single" w:sz="8" w:color="auto"/>
            </w:tcBorders>
            <w:gridSpan w:val="7"/>
          </w:tcPr>
          <w:p>
            <w:pPr>
              <w:jc w:val="center"/>
              <w:ind w:left="597"/>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00"/>
              <w:spacing w:after="0" w:line="126"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20"/>
              <w:spacing w:after="0" w:line="126" w:lineRule="exact"/>
              <w:rPr>
                <w:sz w:val="20"/>
                <w:szCs w:val="20"/>
                <w:color w:val="auto"/>
              </w:rPr>
            </w:pPr>
            <w:r>
              <w:rPr>
                <w:rFonts w:ascii="Arial" w:cs="Arial" w:eastAsia="Arial" w:hAnsi="Arial"/>
                <w:sz w:val="14"/>
                <w:szCs w:val="14"/>
                <w:b w:val="1"/>
                <w:bCs w:val="1"/>
                <w:color w:val="auto"/>
              </w:rPr>
              <w:t>July 1,</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ind w:left="80"/>
              <w:spacing w:after="0" w:line="126" w:lineRule="exact"/>
              <w:rPr>
                <w:sz w:val="20"/>
                <w:szCs w:val="20"/>
                <w:color w:val="auto"/>
              </w:rPr>
            </w:pPr>
            <w:r>
              <w:rPr>
                <w:rFonts w:ascii="Arial" w:cs="Arial" w:eastAsia="Arial" w:hAnsi="Arial"/>
                <w:sz w:val="14"/>
                <w:szCs w:val="14"/>
                <w:b w:val="1"/>
                <w:bCs w:val="1"/>
                <w:color w:val="auto"/>
              </w:rPr>
              <w:t>July 1,</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66,943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57,750</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$ 115,874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99,386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84,464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153,595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385.7 %</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93.1 %</w:t>
            </w: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89"/>
              </w:rPr>
              <w:t>159,576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w w:val="86"/>
              </w:rPr>
              <w:t>142,284</w:t>
            </w:r>
          </w:p>
        </w:tc>
        <w:tc>
          <w:tcPr>
            <w:tcW w:w="1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12.2</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281,306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89"/>
              </w:rPr>
              <w:t>253,183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11.1</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 &amp; Other</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(2,509)</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155,474</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140,370</w:t>
            </w: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274,657</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250,674</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Net sales attributable to All Other reportable segments increased in the second quarter of 2018 compared to 2017 due to increases in sales to the retail and industrial markets. Our increase in sales to the retail market was primarily due to a $10.2 million and $3.3 million increase in sales within our International and Alternative Products segments, respectively.</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Earnings from operations for All Other reportable segments decreased during the second quarter of 2018 by $1.5 million primarily due to the idX segment.</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Net sales attributable to All Other reportable segments increased in the first six months of 2018 compared to 2017 due to increases in sales to the retail and industrial markets. Our increase in sales to the retail market was primarily due to a $21.1 million and $3.9 million increase in sales within our International and Alternative Products segments, respectively.</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from operations for All Other reportable segments decreased during the first six months of 2018 by $5.2 million due to the idX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70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June 30,</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74"/>
              <w:spacing w:after="0" w:line="126"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0"/>
                <w:szCs w:val="10"/>
                <w:color w:val="auto"/>
              </w:rPr>
            </w:pPr>
          </w:p>
        </w:tc>
      </w:tr>
      <w:tr>
        <w:trPr>
          <w:trHeight w:val="178"/>
        </w:trPr>
        <w:tc>
          <w:tcPr>
            <w:tcW w:w="7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from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2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(63,069)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(99,887)</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74,521</w:t>
            </w:r>
          </w:p>
        </w:tc>
        <w:tc>
          <w:tcPr>
            <w:tcW w:w="20" w:type="dxa"/>
            <w:vAlign w:val="bottom"/>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19"/>
                <w:szCs w:val="19"/>
                <w:color w:val="auto"/>
              </w:rPr>
            </w:pP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20" w:type="dxa"/>
            <w:vAlign w:val="bottom"/>
          </w:tcPr>
          <w:p>
            <w:pPr>
              <w:spacing w:after="0"/>
              <w:rPr>
                <w:sz w:val="18"/>
                <w:szCs w:val="18"/>
                <w:color w:val="auto"/>
              </w:rPr>
            </w:pPr>
          </w:p>
        </w:tc>
      </w:tr>
      <w:tr>
        <w:trPr>
          <w:trHeight w:val="223"/>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34,489</w:t>
            </w:r>
          </w:p>
        </w:tc>
        <w:tc>
          <w:tcPr>
            <w:tcW w:w="20" w:type="dxa"/>
            <w:vAlign w:val="bottom"/>
          </w:tcPr>
          <w:p>
            <w:pPr>
              <w:spacing w:after="0"/>
              <w:rPr>
                <w:sz w:val="19"/>
                <w:szCs w:val="19"/>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25,530</w:t>
            </w: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decreased to 49 days from 50 days during the second quarter of 2018 compared to the prior periods.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14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14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7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June 30,</w:t>
            </w:r>
          </w:p>
        </w:tc>
        <w:tc>
          <w:tcPr>
            <w:tcW w:w="5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0"/>
                <w:szCs w:val="10"/>
                <w:color w:val="auto"/>
              </w:rPr>
            </w:pPr>
          </w:p>
        </w:tc>
        <w:tc>
          <w:tcPr>
            <w:tcW w:w="7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June 30,</w:t>
            </w:r>
          </w:p>
        </w:tc>
        <w:tc>
          <w:tcPr>
            <w:tcW w:w="5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July 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line="203" w:lineRule="exact"/>
              <w:rPr>
                <w:sz w:val="20"/>
                <w:szCs w:val="20"/>
                <w:color w:val="auto"/>
              </w:rPr>
            </w:pPr>
            <w:r>
              <w:rPr>
                <w:rFonts w:ascii="Arial" w:cs="Arial" w:eastAsia="Arial" w:hAnsi="Arial"/>
                <w:sz w:val="18"/>
                <w:szCs w:val="18"/>
                <w:color w:val="auto"/>
              </w:rPr>
              <w:t>Days in cash cycle</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first six months of 2018, our cash used in operating activities was $36.1 million, which was comprised of net earnings of $78.7 million and $24.1 million of non-cash expenses, offset by a $138.9 million seasonal increase in working capital since the end of December 2017. Comparatively in the first six months of 2017, our cash provided by operating activities was $15.2 million, which was comprised of net earnings of $56.2 million, and $27.0 million of non-cash expenses, offset by a $68.0 million seasonal increase in working capital since the end of December 2016.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increase in working capital compared to the same period last year was primarily due to growth in our business and higher lumber prices.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Acquisitions and purchases of property, plant, and equipment comprised most of our cash used in investing activities during the first six months of 2018 and totaled $38.0 million and $54.3 million, respectively. Proceeds from the sale of our Medley, FL, plant provided approximately $36 million in net cash proceeds. Outstanding purchase commitments on existing capital projects totaled approximately $23.4 million on June 30, 2018. We currently plan to spend up to $100 million for the year on capital expenditures. We intend to fund capital expenditures and purchase commitments through our operating cash flows for the balance of the year. Comparatively, capital expenditures were $34.5 million during the first six months of 2017. The increase in our capital expenditures in 2018 is primarily due to the additional requirements of recently acquired operations and certain real estate purchases as we continue to grow our business and utilize the proceeds for the sale of our Medley plant to achieve a favorable tax treatment. The sale and purchase of investments totaling $9.3 million and $3.2 million, respectively, are due to investment activity in our captive insurance subsidiary.</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Cash flows from financing activities primarily consisted of net borrowings under our revolving credit facility of approximately $57.2 million and $75 million in Senior Notes issued under our shelf facility. Additionally, we paid a semi-annual dividend totaling $11.1 million or $0.18 per share.</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2018, we had $116.2 million outstanding on our $295 million revolving credit facility. The outstanding revolving credit facility also includes letters of credit totaling approximately $9.8 million on June 30, 2018; as a result, we have approximately $168.9 million in remaining availability on our revolver after considering letters of credit. Additionally, we have $150 million in availability under an amended “shelf agreement” for long term debt with a current lender after considering the second quarter issuance of long-term Senior Notes.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30, 2018.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2017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820" w:right="120" w:hanging="331"/>
        <w:spacing w:after="0" w:line="30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June 30, 2018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ind w:left="820" w:right="240" w:hanging="331"/>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June 30, 2018, there were no changes in our internal control over financial reporting that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500" w:right="260"/>
        <w:spacing w:after="0" w:line="288" w:lineRule="auto"/>
        <w:rPr>
          <w:sz w:val="20"/>
          <w:szCs w:val="20"/>
          <w:color w:val="auto"/>
        </w:rPr>
      </w:pPr>
      <w:r>
        <w:rPr>
          <w:rFonts w:ascii="Arial" w:cs="Arial" w:eastAsia="Arial" w:hAnsi="Arial"/>
          <w:sz w:val="16"/>
          <w:szCs w:val="16"/>
          <w:b w:val="1"/>
          <w:bCs w:val="1"/>
          <w:i w:val="1"/>
          <w:iCs w:val="1"/>
          <w:color w:val="auto"/>
        </w:rPr>
        <w:t xml:space="preserve">We may be impacted by new tariffs and duties on U.S. imports and foreign export sales. </w:t>
      </w:r>
      <w:r>
        <w:rPr>
          <w:rFonts w:ascii="Arial" w:cs="Arial" w:eastAsia="Arial" w:hAnsi="Arial"/>
          <w:sz w:val="16"/>
          <w:szCs w:val="16"/>
          <w:color w:val="auto"/>
        </w:rPr>
        <w:t>Instability of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free trade agreements may lead to raw material and finished goods price volatility. An increase in foreign tariffs on U.S. goods could curtail our export sales to other countries which was approximately $110.8 million in 2017.</w:t>
      </w:r>
    </w:p>
    <w:p>
      <w:pPr>
        <w:ind w:left="500" w:right="120"/>
        <w:spacing w:after="0" w:line="271" w:lineRule="auto"/>
        <w:rPr>
          <w:sz w:val="20"/>
          <w:szCs w:val="20"/>
          <w:color w:val="auto"/>
        </w:rPr>
      </w:pPr>
      <w:r>
        <w:rPr>
          <w:rFonts w:ascii="Arial" w:cs="Arial" w:eastAsia="Arial" w:hAnsi="Arial"/>
          <w:sz w:val="17"/>
          <w:szCs w:val="17"/>
          <w:color w:val="auto"/>
        </w:rPr>
        <w:t>Increased tariffs and duties on U.S. imports will increase pricing by adding duty cost, where the duty is sustainable in light of overall unit price, or otherwise constrain supply by eliminating historical production sources by country or commodity type with unsustainable duties. UFP’s consolidated U.S. imports were approximately $132.6 million in 2017. In addition, there is a risk that U.S. tariffs on imports and countering tariffs on U.S. exports could trigger broader international trade conflicts that could adversely impact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Fiscal Month</w:t>
            </w:r>
          </w:p>
        </w:tc>
        <w:tc>
          <w:tcPr>
            <w:tcW w:w="4620" w:type="dxa"/>
            <w:vAlign w:val="bottom"/>
            <w:gridSpan w:val="2"/>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6"/>
                <w:szCs w:val="16"/>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w:t>
            </w: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w:t>
            </w:r>
          </w:p>
        </w:tc>
      </w:tr>
      <w:tr>
        <w:trPr>
          <w:trHeight w:val="203"/>
        </w:trPr>
        <w:tc>
          <w:tcPr>
            <w:tcW w:w="54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April 1 - May 5, 2018</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23,172</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$ 32.38</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2,672,039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7"/>
              </w:rPr>
              <w:t>May 6</w:t>
            </w:r>
          </w:p>
        </w:tc>
        <w:tc>
          <w:tcPr>
            <w:tcW w:w="4940" w:type="dxa"/>
            <w:vAlign w:val="bottom"/>
            <w:gridSpan w:val="3"/>
          </w:tcPr>
          <w:p>
            <w:pPr>
              <w:ind w:left="20"/>
              <w:spacing w:after="0"/>
              <w:rPr>
                <w:sz w:val="20"/>
                <w:szCs w:val="20"/>
                <w:color w:val="auto"/>
              </w:rPr>
            </w:pPr>
            <w:r>
              <w:rPr>
                <w:rFonts w:ascii="Arial" w:cs="Arial" w:eastAsia="Arial" w:hAnsi="Arial"/>
                <w:sz w:val="18"/>
                <w:szCs w:val="18"/>
                <w:color w:val="auto"/>
              </w:rPr>
              <w:t>- June 2, 2018</w:t>
            </w:r>
          </w:p>
        </w:tc>
        <w:tc>
          <w:tcPr>
            <w:tcW w:w="760" w:type="dxa"/>
            <w:vAlign w:val="bottom"/>
          </w:tcPr>
          <w:p>
            <w:pPr>
              <w:jc w:val="right"/>
              <w:spacing w:after="0"/>
              <w:rPr>
                <w:sz w:val="20"/>
                <w:szCs w:val="20"/>
                <w:color w:val="auto"/>
              </w:rPr>
            </w:pPr>
            <w:r>
              <w:rPr>
                <w:rFonts w:ascii="Arial" w:cs="Arial" w:eastAsia="Arial" w:hAnsi="Arial"/>
                <w:sz w:val="18"/>
                <w:szCs w:val="18"/>
                <w:color w:val="auto"/>
              </w:rPr>
              <w:t>6,800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$ 32.33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2,665,239</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8"/>
              </w:rPr>
              <w:t>June 3</w:t>
            </w:r>
          </w:p>
        </w:tc>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June 30, 2018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2,665,239</w:t>
            </w:r>
          </w:p>
        </w:tc>
      </w:tr>
      <w:tr>
        <w:trPr>
          <w:trHeight w:val="108"/>
        </w:trPr>
        <w:tc>
          <w:tcPr>
            <w:tcW w:w="5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remaining shares that may be repurchased under the program is approximately 2.7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00" w:right="1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20" w:hanging="51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Certificate of the Chief Executive Officer of Universal Forest Products, Inc., pursuant to Section 302 of the</w:t>
        </w:r>
      </w:hyperlink>
      <w:r>
        <w:rPr>
          <w:rFonts w:ascii="Arial" w:cs="Arial" w:eastAsia="Arial" w:hAnsi="Arial"/>
          <w:sz w:val="18"/>
          <w:szCs w:val="18"/>
          <w:u w:val="single" w:color="auto"/>
          <w:color w:val="0000EE"/>
        </w:rPr>
        <w:t xml:space="preserve"> </w:t>
      </w:r>
      <w:hyperlink w:anchor="page34">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Certificate of the Chief Financial Officer of Universal Forest Products, Inc., pursuant to Section 302 of the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520" w:hanging="51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Certificate of the Chief Executive Officer of Universal Forest Products, Inc., pursuant to Section 906 of the</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100" w:right="39" w:hanging="584"/>
        <w:spacing w:after="0" w:line="277" w:lineRule="auto"/>
        <w:tabs>
          <w:tab w:leader="none" w:pos="1100" w:val="left"/>
        </w:tabs>
        <w:numPr>
          <w:ilvl w:val="1"/>
          <w:numId w:val="23"/>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Certificate of the Chief Financial Officer of Universal Forest Products, Inc., pursuant to Section 906 of the</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color w:val="auto"/>
        </w:rPr>
      </w:pPr>
    </w:p>
    <w:p>
      <w:pPr>
        <w:spacing w:after="0"/>
        <w:tabs>
          <w:tab w:leader="none" w:pos="500" w:val="left"/>
        </w:tabs>
        <w:rPr>
          <w:sz w:val="20"/>
          <w:szCs w:val="20"/>
          <w:color w:val="auto"/>
        </w:rPr>
      </w:pPr>
      <w:r>
        <w:rPr>
          <w:rFonts w:ascii="Arial" w:cs="Arial" w:eastAsia="Arial" w:hAnsi="Arial"/>
          <w:sz w:val="18"/>
          <w:szCs w:val="18"/>
          <w:color w:val="auto"/>
        </w:rPr>
        <w:t>101</w:t>
        <w:tab/>
        <w:t>Interactive Data File.</w:t>
      </w:r>
    </w:p>
    <w:p>
      <w:pPr>
        <w:spacing w:after="0" w:line="225" w:lineRule="exact"/>
        <w:rPr>
          <w:rFonts w:ascii="Arial" w:cs="Arial" w:eastAsia="Arial" w:hAnsi="Arial"/>
          <w:sz w:val="18"/>
          <w:szCs w:val="18"/>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(INS)</w:t>
      </w:r>
      <w:r>
        <w:rPr>
          <w:sz w:val="20"/>
          <w:szCs w:val="20"/>
          <w:color w:val="auto"/>
        </w:rPr>
        <w:tab/>
      </w:r>
      <w:r>
        <w:rPr>
          <w:rFonts w:ascii="Arial" w:cs="Arial" w:eastAsia="Arial" w:hAnsi="Arial"/>
          <w:sz w:val="16"/>
          <w:szCs w:val="16"/>
          <w:color w:val="auto"/>
        </w:rPr>
        <w:t>XBRL Instance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(SCH) XBRL Schema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(CAL) XBRL Taxonomy Extension Calculation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(LAB) XBRL Taxonomy Extension Label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(PRE)  XBRL Taxonomy Extension Presentation Linkbase Document.</w:t>
      </w:r>
    </w:p>
    <w:p>
      <w:pPr>
        <w:spacing w:after="0" w:line="225" w:lineRule="exact"/>
        <w:rPr>
          <w:rFonts w:ascii="Arial" w:cs="Arial" w:eastAsia="Arial" w:hAnsi="Arial"/>
          <w:sz w:val="18"/>
          <w:szCs w:val="18"/>
          <w:color w:val="auto"/>
        </w:rPr>
      </w:pPr>
    </w:p>
    <w:p>
      <w:pPr>
        <w:ind w:left="52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408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1, 2018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20" w:space="720"/>
            <w:col w:w="4599"/>
          </w:cols>
          <w:pgMar w:left="1420" w:top="125" w:right="1440" w:bottom="1440" w:gutter="0" w:footer="0" w:header="0"/>
          <w:type w:val="continuous"/>
        </w:sect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August 1, 2018</w:t>
            </w:r>
          </w:p>
        </w:tc>
        <w:tc>
          <w:tcPr>
            <w:tcW w:w="452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453"/>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August 1, 2018</w:t>
            </w:r>
          </w:p>
        </w:tc>
        <w:tc>
          <w:tcPr>
            <w:tcW w:w="452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453"/>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30, 2018,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557"/>
        <w:spacing w:after="0" w:line="224" w:lineRule="exact"/>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30, 2018, fairly presents, in all material respects, the financial condition and results of operations of Universal Forest Products,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August 1, 2018</w:t>
            </w:r>
          </w:p>
        </w:tc>
        <w:tc>
          <w:tcPr>
            <w:tcW w:w="452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ind w:left="806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30, 2018,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557"/>
        <w:spacing w:after="0" w:line="224" w:lineRule="exact"/>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30, 2018, fairly presents, in all material respects, the financial condition and results of operations of Universal Forest Products,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August 1, 2018</w:t>
            </w:r>
          </w:p>
        </w:tc>
        <w:tc>
          <w:tcPr>
            <w:tcW w:w="452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2"/>
    </w:lvl>
  </w:abstractNum>
  <w:abstractNum w:abstractNumId="4">
    <w:nsid w:val="6B68079A"/>
    <w:multiLevelType w:val="hybridMultilevel"/>
    <w:lvl w:ilvl="0">
      <w:lvlJc w:val="left"/>
      <w:lvlText w:val="%1."/>
      <w:numFmt w:val="upperLetter"/>
      <w:start w:val="3"/>
    </w:lvl>
  </w:abstractNum>
  <w:abstractNum w:abstractNumId="5">
    <w:nsid w:val="4E6AFB66"/>
    <w:multiLevelType w:val="hybridMultilevel"/>
    <w:lvl w:ilvl="0">
      <w:lvlJc w:val="left"/>
      <w:lvlText w:val="%1."/>
      <w:numFmt w:val="upperLetter"/>
      <w:start w:val="4"/>
    </w:lvl>
  </w:abstractNum>
  <w:abstractNum w:abstractNumId="6">
    <w:nsid w:val="25E45D32"/>
    <w:multiLevelType w:val="hybridMultilevel"/>
    <w:lvl w:ilvl="0">
      <w:lvlJc w:val="left"/>
      <w:lvlText w:val="%1."/>
      <w:numFmt w:val="upperLetter"/>
      <w:start w:val="5"/>
    </w:lvl>
  </w:abstractNum>
  <w:abstractNum w:abstractNumId="7">
    <w:nsid w:val="519B500D"/>
    <w:multiLevelType w:val="hybridMultilevel"/>
    <w:lvl w:ilvl="0">
      <w:lvlJc w:val="left"/>
      <w:lvlText w:val="%1."/>
      <w:numFmt w:val="upperLetter"/>
      <w:start w:val="6"/>
    </w:lvl>
  </w:abstractNum>
  <w:abstractNum w:abstractNumId="8">
    <w:nsid w:val="431BD7B7"/>
    <w:multiLevelType w:val="hybridMultilevel"/>
    <w:lvl w:ilvl="0">
      <w:lvlJc w:val="left"/>
      <w:lvlText w:val="%1."/>
      <w:numFmt w:val="upperLetter"/>
      <w:start w:val="7"/>
    </w:lvl>
  </w:abstractNum>
  <w:abstractNum w:abstractNumId="9">
    <w:nsid w:val="3F2DBA31"/>
    <w:multiLevelType w:val="hybridMultilevel"/>
    <w:lvl w:ilvl="0">
      <w:lvlJc w:val="left"/>
      <w:lvlText w:val="%1."/>
      <w:numFmt w:val="upperLetter"/>
      <w:start w:val="8"/>
    </w:lvl>
  </w:abstractNum>
  <w:abstractNum w:abstractNumId="10">
    <w:nsid w:val="7C83E458"/>
    <w:multiLevelType w:val="hybridMultilevel"/>
    <w:lvl w:ilvl="0">
      <w:lvlJc w:val="left"/>
      <w:lvlText w:val="%1."/>
      <w:numFmt w:val="upperLetter"/>
      <w:start w:val="9"/>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3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2019-12-28T20:47:29Z</dcterms:created>
  <dcterms:modified xsi:type="dcterms:W3CDTF">2019-12-28T20:47:29Z</dcterms:modified>
</cp:coreProperties>
</file>