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ind w:left="36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-237490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4"/>
        </w:trPr>
        <w:tc>
          <w:tcPr>
            <w:tcW w:w="6340" w:type="dxa"/>
            <w:vAlign w:val="bottom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6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6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5290820</wp:posOffset>
            </wp:positionH>
            <wp:positionV relativeFrom="paragraph">
              <wp:posOffset>-632460</wp:posOffset>
            </wp:positionV>
            <wp:extent cx="58420" cy="645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4008120</wp:posOffset>
            </wp:positionH>
            <wp:positionV relativeFrom="paragraph">
              <wp:posOffset>-632460</wp:posOffset>
            </wp:positionV>
            <wp:extent cx="58420" cy="6457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-1609725</wp:posOffset>
            </wp:positionH>
            <wp:positionV relativeFrom="paragraph">
              <wp:posOffset>24765</wp:posOffset>
            </wp:positionV>
            <wp:extent cx="6992620" cy="47828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620" cy="478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40"/>
            <w:col w:w="8560"/>
          </w:cols>
          <w:pgMar w:left="460" w:top="216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MISSAD MATTHEW J</w:t>
        </w:r>
      </w:hyperlink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2801 EAST BELTLINE, N.E.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UFP INDUSTRIES INC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UFPI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37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08/31/2022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-4" w:right="600" w:firstLine="4"/>
        <w:spacing w:after="0" w:line="261" w:lineRule="auto"/>
        <w:tabs>
          <w:tab w:leader="none" w:pos="14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19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9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75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Chief Executive Officer</w:t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4" w:space="720"/>
            <w:col w:w="3336"/>
          </w:cols>
          <w:pgMar w:left="460" w:top="216" w:right="359" w:bottom="1440" w:gutter="0" w:footer="0" w:header="0"/>
          <w:type w:val="continuous"/>
        </w:sectPr>
      </w:pPr>
    </w:p>
    <w:p>
      <w:pPr>
        <w:spacing w:after="0" w:line="13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60" w:type="dxa"/>
            <w:vAlign w:val="bottom"/>
            <w:gridSpan w:val="8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660" w:type="dxa"/>
            <w:vAlign w:val="bottom"/>
            <w:gridSpan w:val="10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GRAND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6"/>
              </w:rPr>
              <w:t>MI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49525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RAPIDS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Person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780" w:type="dxa"/>
            <w:vAlign w:val="bottom"/>
            <w:gridSpan w:val="2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 - Non-Derivative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3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7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3"/>
          </w:tcPr>
          <w:p>
            <w:pPr>
              <w:ind w:left="7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1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40" w:type="dxa"/>
            <w:vAlign w:val="bottom"/>
            <w:gridSpan w:val="1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9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9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Phantom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ind w:left="20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08/31/2022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0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12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18</w:t>
            </w: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14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79.39</w:t>
            </w: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20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247,285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7006590</wp:posOffset>
            </wp:positionH>
            <wp:positionV relativeFrom="paragraph">
              <wp:posOffset>-2113915</wp:posOffset>
            </wp:positionV>
            <wp:extent cx="29210" cy="21189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211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1 for 1</w:t>
      </w:r>
    </w:p>
    <w:p>
      <w:pPr>
        <w:spacing w:after="0" w:line="45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40" w:right="740" w:firstLine="3"/>
        <w:spacing w:after="0" w:line="260" w:lineRule="auto"/>
        <w:tabs>
          <w:tab w:leader="none" w:pos="17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 phantom stock units were accrued under the Company's Deferred Compensation Plan and are payable in shares of the Company's common stock until the reporting person's death, disabiity or retirement.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17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8"/>
              </w:rPr>
              <w:t>Katherine L. Karel; Attorney-</w:t>
            </w: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8"/>
              </w:rPr>
              <w:t>09/01/2022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120" w:type="dxa"/>
            <w:vAlign w:val="bottom"/>
            <w:gridSpan w:val="3"/>
            <w:vMerge w:val="restart"/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in-Fact for Matthew J. Missad</w:t>
            </w: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jc w:val="both"/>
        <w:ind w:left="40" w:right="3520" w:firstLine="3"/>
        <w:spacing w:after="0" w:line="313" w:lineRule="auto"/>
        <w:tabs>
          <w:tab w:leader="none" w:pos="178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6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186284" TargetMode="External"/><Relationship Id="rId13" Type="http://schemas.openxmlformats.org/officeDocument/2006/relationships/hyperlink" Target="http://www.sec.gov/cgi-bin/browse-edgar?action=getcompany&amp;CIK=0000912767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2022-09-01T16:02:25Z</dcterms:created>
  <dcterms:modified xsi:type="dcterms:W3CDTF">2022-09-01T16:02:25Z</dcterms:modified>
</cp:coreProperties>
</file>