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-235585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-631825</wp:posOffset>
            </wp:positionV>
            <wp:extent cx="58420" cy="6451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3996690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6992620" cy="58191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819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COLE MICHAEL R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03/01/2023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600" w:hanging="5"/>
        <w:spacing w:after="0" w:line="261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9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344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85.59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183,368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28,953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401k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25,054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2"/>
          </w:tcPr>
          <w:p>
            <w:pPr>
              <w:jc w:val="center"/>
              <w:ind w:lef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467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03/01/2023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03/01/2023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30,193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-2111375</wp:posOffset>
            </wp:positionV>
            <wp:extent cx="29210" cy="21164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6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1-for-1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distribution of deferred stock units, each of which was the equivalent of one share of Common Stock of the Company.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Katherine L. Karel,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-635</wp:posOffset>
            </wp:positionV>
            <wp:extent cx="12795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Michael R. Cole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-14605</wp:posOffset>
            </wp:positionV>
            <wp:extent cx="11906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03/03/2023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5715</wp:posOffset>
            </wp:positionH>
            <wp:positionV relativeFrom="paragraph">
              <wp:posOffset>-8255</wp:posOffset>
            </wp:positionV>
            <wp:extent cx="4895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00" w:space="180"/>
            <w:col w:w="230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8627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2023-03-03T17:47:16Z</dcterms:created>
  <dcterms:modified xsi:type="dcterms:W3CDTF">2023-03-03T17:47:16Z</dcterms:modified>
</cp:coreProperties>
</file>