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13, 2011</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Universal Forest Products,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306" w:right="259" w:bottom="1440" w:gutter="0" w:footer="0" w:header="0"/>
        </w:sectPr>
      </w:pPr>
    </w:p>
    <w:p>
      <w:pPr>
        <w:spacing w:after="0" w:line="232"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Michigan</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0-22684</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38-1465835</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60" w:space="720"/>
            <w:col w:w="3100"/>
          </w:cols>
          <w:pgMar w:left="240" w:top="306" w:right="259" w:bottom="1440" w:gutter="0" w:footer="0" w:header="0"/>
          <w:type w:val="continuous"/>
        </w:sectPr>
      </w:pPr>
    </w:p>
    <w:p>
      <w:pPr>
        <w:spacing w:after="0" w:line="45" w:lineRule="exact"/>
        <w:rPr>
          <w:sz w:val="24"/>
          <w:szCs w:val="24"/>
          <w:color w:val="auto"/>
        </w:rPr>
      </w:pPr>
    </w:p>
    <w:p>
      <w:pPr>
        <w:ind w:left="2000"/>
        <w:spacing w:after="0"/>
        <w:rPr>
          <w:sz w:val="20"/>
          <w:szCs w:val="20"/>
          <w:color w:val="auto"/>
        </w:rPr>
      </w:pPr>
      <w:r>
        <w:rPr>
          <w:rFonts w:ascii="Arial" w:cs="Arial" w:eastAsia="Arial" w:hAnsi="Arial"/>
          <w:sz w:val="16"/>
          <w:szCs w:val="16"/>
          <w:b w:val="1"/>
          <w:bCs w:val="1"/>
          <w:color w:val="auto"/>
        </w:rPr>
        <w:t>2801 East Beltline, NE</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49525</w:t>
      </w:r>
    </w:p>
    <w:p>
      <w:pPr>
        <w:spacing w:after="0" w:line="50" w:lineRule="exact"/>
        <w:rPr>
          <w:sz w:val="24"/>
          <w:szCs w:val="24"/>
          <w:color w:val="auto"/>
        </w:rPr>
      </w:pPr>
    </w:p>
    <w:p>
      <w:pPr>
        <w:sectPr>
          <w:pgSz w:w="11900" w:h="16838" w:orient="portrait"/>
          <w:cols w:equalWidth="0" w:num="2">
            <w:col w:w="7620" w:space="720"/>
            <w:col w:w="3060"/>
          </w:cols>
          <w:pgMar w:left="240" w:top="306" w:right="259" w:bottom="1440" w:gutter="0" w:footer="0" w:header="0"/>
          <w:type w:val="continuous"/>
        </w:sectPr>
      </w:pPr>
    </w:p>
    <w:p>
      <w:pPr>
        <w:ind w:left="1900"/>
        <w:spacing w:after="0"/>
        <w:rPr>
          <w:sz w:val="20"/>
          <w:szCs w:val="20"/>
          <w:color w:val="auto"/>
        </w:rPr>
      </w:pPr>
      <w:r>
        <w:rPr>
          <w:rFonts w:ascii="Arial" w:cs="Arial" w:eastAsia="Arial" w:hAnsi="Arial"/>
          <w:sz w:val="16"/>
          <w:szCs w:val="16"/>
          <w:b w:val="1"/>
          <w:bCs w:val="1"/>
          <w:color w:val="auto"/>
        </w:rPr>
        <w:t>Grand Rapids, Michigan</w:t>
      </w:r>
    </w:p>
    <w:p>
      <w:pPr>
        <w:sectPr>
          <w:pgSz w:w="11900" w:h="16838" w:orient="portrait"/>
          <w:cols w:equalWidth="0" w:num="1">
            <w:col w:w="11400"/>
          </w:cols>
          <w:pgMar w:left="240" w:top="306" w:right="259" w:bottom="1440" w:gutter="0" w:footer="0" w:header="0"/>
          <w:type w:val="continuous"/>
        </w:sectPr>
      </w:pPr>
    </w:p>
    <w:p>
      <w:pPr>
        <w:spacing w:after="0" w:line="32"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220"/>
          </w:cols>
          <w:pgMar w:left="240" w:top="306" w:right="259" w:bottom="1440" w:gutter="0" w:footer="0" w:header="0"/>
          <w:type w:val="continuous"/>
        </w:sectPr>
      </w:pP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On April 13, 2011, the Registrant issued a press release announcing its financial results for the quarter ended March 26, 2011. A copy of the Registrant’s press release is attached as Exhibit 99(a) to this Current Report.</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Pro Forma Financial Information, and Exhibits</w:t>
      </w:r>
    </w:p>
    <w:p>
      <w:pPr>
        <w:spacing w:after="0" w:line="256" w:lineRule="exact"/>
        <w:rPr>
          <w:sz w:val="20"/>
          <w:szCs w:val="20"/>
          <w:color w:val="auto"/>
        </w:rPr>
      </w:pPr>
    </w:p>
    <w:p>
      <w:pPr>
        <w:ind w:left="2000" w:hanging="695"/>
        <w:spacing w:after="0"/>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April 13, 2011.</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UNIVERSAL FOREST PRODUCTS, INC.</w:t>
      </w:r>
    </w:p>
    <w:p>
      <w:pPr>
        <w:spacing w:after="0" w:line="2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April 13,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R. Cole, Chief Financial Officer and Treasurer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Number</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Document</w:t>
            </w:r>
          </w:p>
        </w:tc>
        <w:tc>
          <w:tcPr>
            <w:tcW w:w="1800" w:type="dxa"/>
            <w:vAlign w:val="bottom"/>
          </w:tcPr>
          <w:p>
            <w:pPr>
              <w:spacing w:after="0"/>
              <w:rPr>
                <w:sz w:val="17"/>
                <w:szCs w:val="17"/>
                <w:color w:val="auto"/>
              </w:rPr>
            </w:pPr>
          </w:p>
        </w:tc>
      </w:tr>
      <w:tr>
        <w:trPr>
          <w:trHeight w:val="412"/>
        </w:trPr>
        <w:tc>
          <w:tcPr>
            <w:tcW w:w="1440" w:type="dxa"/>
            <w:vAlign w:val="bottom"/>
            <w:gridSpan w:val="3"/>
          </w:tcPr>
          <w:p>
            <w:pPr>
              <w:spacing w:after="0"/>
              <w:rPr>
                <w:sz w:val="20"/>
                <w:szCs w:val="20"/>
                <w:color w:val="auto"/>
              </w:rPr>
            </w:pPr>
            <w:r>
              <w:rPr>
                <w:rFonts w:ascii="Arial" w:cs="Arial" w:eastAsia="Arial" w:hAnsi="Arial"/>
                <w:sz w:val="18"/>
                <w:szCs w:val="18"/>
                <w:color w:val="0000EE"/>
              </w:rPr>
              <w:t>99(a)</w:t>
            </w:r>
          </w:p>
        </w:tc>
        <w:tc>
          <w:tcPr>
            <w:tcW w:w="2840" w:type="dxa"/>
            <w:vAlign w:val="bottom"/>
            <w:gridSpan w:val="3"/>
          </w:tcPr>
          <w:p>
            <w:pPr>
              <w:ind w:left="280"/>
              <w:spacing w:after="0"/>
              <w:rPr>
                <w:sz w:val="20"/>
                <w:szCs w:val="20"/>
                <w:color w:val="auto"/>
              </w:rPr>
            </w:pPr>
            <w:r>
              <w:rPr>
                <w:rFonts w:ascii="Arial" w:cs="Arial" w:eastAsia="Arial" w:hAnsi="Arial"/>
                <w:sz w:val="18"/>
                <w:szCs w:val="18"/>
                <w:color w:val="auto"/>
                <w:w w:val="88"/>
              </w:rPr>
              <w:t>Press Release dated April 13, 2011.</w:t>
            </w:r>
          </w:p>
        </w:tc>
      </w:tr>
      <w:tr>
        <w:trPr>
          <w:trHeight w:val="20"/>
        </w:trPr>
        <w:tc>
          <w:tcPr>
            <w:tcW w:w="3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5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99(a)</w:t>
      </w: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Lynn Afendoulis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WEDNESDAY, APRIL 13, 2011</w:t>
      </w:r>
    </w:p>
    <w:p>
      <w:pPr>
        <w:spacing w:after="0" w:line="2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UFPI Q1 sales decline slightly; profits down</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—Performance impacted by external factors—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—Company optimistic about year and conditions for strengthened sales, profitability—</w:t>
      </w:r>
    </w:p>
    <w:p>
      <w:pPr>
        <w:spacing w:after="0" w:line="238"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GRAND RAPIDS, Mich., April 13, 2011 – Universal Forest Products, Inc. (Nasdaq: UFPI) today announced first-quarter 2011 net sales of $387.2 million, compared with net sales of $393.0 million for the same period of 2010, a decrease of 1.5 percent. For the quarter, the Company reported a net loss of $3.7 million or ($0.19) per diluted share, compared to net earnings of $1.0 million or $0.05 per diluted share for the first quarter of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attributed the decline in its sales and profitability to the following factors:</w:t>
      </w:r>
    </w:p>
    <w:p>
      <w:pPr>
        <w:spacing w:after="0" w:line="23" w:lineRule="exact"/>
        <w:rPr>
          <w:sz w:val="20"/>
          <w:szCs w:val="20"/>
          <w:color w:val="auto"/>
        </w:rPr>
      </w:pPr>
    </w:p>
    <w:p>
      <w:pPr>
        <w:ind w:left="720" w:right="360" w:hanging="334"/>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dramatic run in lumber prices in early 2010, which boosted margins in the first quarter of last year. Conversely, lumber prices have been stable and flat thus far in 2011.</w:t>
      </w:r>
    </w:p>
    <w:p>
      <w:pPr>
        <w:ind w:left="720" w:right="640" w:hanging="334"/>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Major winter storms in January and February that crippled production in many parts of the country. Thirty-five Universal operations lost 219 production days to weather during the quarter, including 10 that were closed for at least 10 days.</w:t>
      </w:r>
    </w:p>
    <w:p>
      <w:pPr>
        <w:ind w:left="720" w:right="400" w:hanging="334"/>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sales to site-built and manufactured housing customers in 2011. Sales in 2010 were stronger primarily due to federal incentives that served to boost home buying in the first quarter of last year.</w:t>
      </w:r>
    </w:p>
    <w:p>
      <w:pPr>
        <w:ind w:left="720" w:right="180" w:hanging="334"/>
        <w:spacing w:after="0" w:line="255"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sales to DIY/retail customers in 2011. In 2010, certain customers built inventories early in the year. Customers have not stocked stores in the same manner this year, resulting in a decline in 2011 first-quarter sales. However, the Company is cautiously optimistic that consumer demand will be favorable in 2011, which would result in improved sales in future quarters.</w:t>
      </w:r>
    </w:p>
    <w:p>
      <w:pPr>
        <w:spacing w:after="0" w:line="217" w:lineRule="exact"/>
        <w:rPr>
          <w:sz w:val="20"/>
          <w:szCs w:val="20"/>
          <w:color w:val="auto"/>
        </w:rPr>
      </w:pPr>
    </w:p>
    <w:p>
      <w:pPr>
        <w:ind w:left="10740"/>
        <w:spacing w:after="0"/>
        <w:rPr>
          <w:sz w:val="20"/>
          <w:szCs w:val="20"/>
          <w:color w:val="auto"/>
        </w:rPr>
      </w:pPr>
      <w:r>
        <w:rPr>
          <w:rFonts w:ascii="Arial" w:cs="Arial" w:eastAsia="Arial" w:hAnsi="Arial"/>
          <w:sz w:val="17"/>
          <w:szCs w:val="17"/>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00"/>
          </w:cols>
          <w:pgMar w:left="240" w:top="283" w:right="1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3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not satisfied with our results this quarter, but we know that our business was affected by challenging external factors and we have reason for optimism for the balance of the year,” said CEO Michael B. Glenn. “We expect a more stable market this year and have improved performance expectations, particularly in the back half of the year.”</w:t>
      </w:r>
    </w:p>
    <w:p>
      <w:pPr>
        <w:spacing w:after="0" w:line="20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also are encouraged by the continued strength in our sales to the industrial market,” Glenn said. “We’re seeing significant growth with existing customers, who are producing more or turning to Universal for more of their industrial needs, and we’re adding new industrial customers. Industrial is now our No. 2 market and we see nothing but continued growth opportunities on the horizon.”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market, Universal posted the following gross sales results for the first quarter of 2011:</w:t>
      </w:r>
    </w:p>
    <w:p>
      <w:pPr>
        <w:spacing w:after="0" w:line="24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Do-It-Yourself/retail: $150.0 million, a decrease of 8.8 percent from the same period of 2010. </w:t>
      </w:r>
      <w:r>
        <w:rPr>
          <w:rFonts w:ascii="Arial" w:cs="Arial" w:eastAsia="Arial" w:hAnsi="Arial"/>
          <w:sz w:val="18"/>
          <w:szCs w:val="18"/>
          <w:color w:val="auto"/>
        </w:rPr>
        <w:t>Universal believes this market will benefit from pent-up</w:t>
      </w:r>
      <w:r>
        <w:rPr>
          <w:rFonts w:ascii="Arial" w:cs="Arial" w:eastAsia="Arial" w:hAnsi="Arial"/>
          <w:sz w:val="18"/>
          <w:szCs w:val="18"/>
          <w:b w:val="1"/>
          <w:bCs w:val="1"/>
          <w:color w:val="auto"/>
        </w:rPr>
        <w:t xml:space="preserve"> </w:t>
      </w:r>
      <w:r>
        <w:rPr>
          <w:rFonts w:ascii="Arial" w:cs="Arial" w:eastAsia="Arial" w:hAnsi="Arial"/>
          <w:sz w:val="18"/>
          <w:szCs w:val="18"/>
          <w:color w:val="auto"/>
        </w:rPr>
        <w:t>demand and a slowly improving economy in the coming years. The Company expects to add new customers, especially in the independent retailer arena, and to add new products to its portfolio. The Company’s development of a new wood-alternative product that holds opportunity in the DIY and other markets continues to show great promise.</w:t>
      </w:r>
    </w:p>
    <w:p>
      <w:pPr>
        <w:spacing w:after="0" w:line="20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Industrial packaging/components: $143.9 million, an increase of 14.2 percent over 2010. </w:t>
      </w:r>
      <w:r>
        <w:rPr>
          <w:rFonts w:ascii="Arial" w:cs="Arial" w:eastAsia="Arial" w:hAnsi="Arial"/>
          <w:sz w:val="18"/>
          <w:szCs w:val="18"/>
          <w:color w:val="auto"/>
        </w:rPr>
        <w:t>The Company added share in this market during the quarter,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it added new customers and saw growth with existing customers; in fact, two new customers grew quickly to become among the top 25 in sales in this market. Through its continued focus on this business and slowly improving industrial output nationwide, the Company anticipates continued growth and success in the industrial market.</w:t>
      </w:r>
    </w:p>
    <w:p>
      <w:pPr>
        <w:spacing w:after="0" w:line="207"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Site-built construction: $54.0 million, a decrease of 11.3 percent from the same period of 2010. </w:t>
      </w:r>
      <w:r>
        <w:rPr>
          <w:rFonts w:ascii="Arial" w:cs="Arial" w:eastAsia="Arial" w:hAnsi="Arial"/>
          <w:sz w:val="17"/>
          <w:szCs w:val="17"/>
          <w:color w:val="auto"/>
        </w:rPr>
        <w:t>The Company expects to see improved sales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second half of 2011 and is focused on multifamily, commercial and government projects, where it sees the most opportunity. Year-to-date housing starts were down 9.2 percent through February 2011 from the same period of 2010, including a decrease of 22.4 percent in single-family starts during the period. Year-to-date multifamily starts increased 60.6 percent in February 2011 over 2010, underscoring the validity of the company’s strategies.</w:t>
      </w:r>
    </w:p>
    <w:p>
      <w:pPr>
        <w:spacing w:after="0" w:line="19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Manufactured housing: $46.3 million, a decrease of 4.2 percent from 2010. </w:t>
      </w:r>
      <w:r>
        <w:rPr>
          <w:rFonts w:ascii="Arial" w:cs="Arial" w:eastAsia="Arial" w:hAnsi="Arial"/>
          <w:sz w:val="18"/>
          <w:szCs w:val="18"/>
          <w:color w:val="auto"/>
        </w:rPr>
        <w:t>The Company’s performance is in spite of a 14 percent decline in HUD-code</w:t>
      </w:r>
      <w:r>
        <w:rPr>
          <w:rFonts w:ascii="Arial" w:cs="Arial" w:eastAsia="Arial" w:hAnsi="Arial"/>
          <w:sz w:val="18"/>
          <w:szCs w:val="18"/>
          <w:b w:val="1"/>
          <w:bCs w:val="1"/>
          <w:color w:val="auto"/>
        </w:rPr>
        <w:t xml:space="preserve"> </w:t>
      </w:r>
      <w:r>
        <w:rPr>
          <w:rFonts w:ascii="Arial" w:cs="Arial" w:eastAsia="Arial" w:hAnsi="Arial"/>
          <w:sz w:val="18"/>
          <w:szCs w:val="18"/>
          <w:color w:val="auto"/>
        </w:rPr>
        <w:t>shipments for the year to date through February 2011, the latest statistics available. Modular home shipment data are not yet available, but it is believed that this portion of the market also declined for the quarter. The Company attributes its performance in part to new products offered through its expanded distribution business.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3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We expect more favorable year-over-year comparisons in the second half of the year, but our goal is to grow sales and profits, despite market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Glenn said. “We are committed to adding new products to our sales efforts and we are devoting considerable resources to keep this commitment. We believe new products will enable us to improve our position as a favored vendor to our customers.”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The Company believes continued challenging economic conditions and uncertainties in the housing market limit its ability to provide meaningful guidance for ranges of likely financial performance; therefore, the Company will not resume the practice of providing guidance in the foreseeable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Universal Forest Products will conduct a conference call to discuss information included in this news release and related matters at 8:30 a.m. ET on Thurs., April 14, 2011. The call will be hosted by CEO Michael B. Glenn and CFO Michael Cole, and will be available for analysts and institutional investors domestically at 866-270-6057 or internationally at 617-213-8891. Use conference pass code 66173991. The conference call will be available simultaneously and in its entirety to all interested investors and news media through a webcast at </w:t>
      </w:r>
      <w:r>
        <w:rPr>
          <w:rFonts w:ascii="Arial" w:cs="Arial" w:eastAsia="Arial" w:hAnsi="Arial"/>
          <w:sz w:val="17"/>
          <w:szCs w:val="17"/>
          <w:u w:val="single" w:color="auto"/>
          <w:color w:val="auto"/>
        </w:rPr>
        <w:t>http://www.ufpi.com</w:t>
      </w:r>
      <w:r>
        <w:rPr>
          <w:rFonts w:ascii="Arial" w:cs="Arial" w:eastAsia="Arial" w:hAnsi="Arial"/>
          <w:sz w:val="17"/>
          <w:szCs w:val="17"/>
          <w:color w:val="auto"/>
        </w:rPr>
        <w:t>. A replay of the call will be available through May 14, 2011, domestically at 888-286-8010 or internationally at 617-801-6888. Use replay pass code 12854418.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Universal Forest Products, Inc. is a holding company that provides capital, management and administrative resources to subsidiaries that design, manufacture and market wood and wood-alternative products for DIY/retail home centers and other retailers, structural lumber products for the manufactured housing industry, engineered wood components for the site-built construction market, and specialty wood packaging and components for various industries. The Company's consumer products subsidiary offers a large portfolio of outdoor living products, including wood composite decking, decorative balusters, post caps and plastic lattice. Its lawn and garden group offers an array of products, such as trellises and arches, to retailers nationwide. Universal’s subsidiaries also provide framing services for the site-built market and forming products for concrete construction. Founded in 1955, Universal Forest Products is headquartered in Grand Rapids, Mich., with operations throughout North America. For more about Universal Forest Products, go to www.ufpi.com.</w:t>
      </w:r>
    </w:p>
    <w:p>
      <w:pPr>
        <w:spacing w:after="0" w:line="1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Please be aware that: Any statements included in this press release that are not historical facts are forward-looking statements within the meaning of Section 21E of the Securities Exchange Act of 1934, as amended. Such forward-looking statements are based on the beliefs of the Company's management as well as on assumptions made by, and information currently available to, the Company at the time such statements were made.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adverse lumber market trends, competitive activity, negative economic trends, government regulations and weather. Certain of these risk factors and additional information are included in the Company's reports on Form 10-K and 10-Q on file with the Securities and Exchange Commission.</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07"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2011/2010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8"/>
                <w:szCs w:val="18"/>
                <w:b w:val="1"/>
                <w:bCs w:val="1"/>
                <w:color w:val="auto"/>
              </w:rPr>
              <w:t>Quarter Period</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3"/>
              </w:rPr>
              <w:t>Year to Date</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gridSpan w:val="4"/>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387,233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392,958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387,233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392,958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345,819</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341,324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345,819</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341,324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41,414</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51,634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41,414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51,634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2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SELLING, GENERAL AND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ADMINISTRATIVE EXPENSES</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46,488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48,489</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46,488</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48,489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2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LOSS ON DISPOSITION OF ASSETS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AND OTHER IMPAIRMENT AND EXIT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CHARGES</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EARNINGS (LOSS) FROM OPERATIONS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(5,081)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NET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635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2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EARNINGS (LOSS) BEFORE INCOME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TAXES</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(5,716)</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 TAXES (BENEFIT)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(2,287)</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EARNINGS (LOSS)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(3,429)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2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LESS NET EARNINGS ATTRIBUTABLE TO</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NONCONTROLLING INTEREST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NET EARNINGS (LOSS) ATTRIBUTABLE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gridSpan w:val="3"/>
          </w:tcPr>
          <w:p>
            <w:pPr>
              <w:ind w:left="160"/>
              <w:spacing w:after="0"/>
              <w:rPr>
                <w:sz w:val="20"/>
                <w:szCs w:val="20"/>
                <w:color w:val="auto"/>
              </w:rPr>
            </w:pPr>
            <w:r>
              <w:rPr>
                <w:rFonts w:ascii="Arial" w:cs="Arial" w:eastAsia="Arial" w:hAnsi="Arial"/>
                <w:sz w:val="18"/>
                <w:szCs w:val="18"/>
                <w:b w:val="1"/>
                <w:bCs w:val="1"/>
                <w:color w:val="auto"/>
              </w:rPr>
              <w:t>TO CONTROLLING INTEREST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(3,670)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987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(3,670)</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987</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EARNINGS (LOSS) PER SHARE - 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(0.19)</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EARNINGS (LOSS) PER SHARE -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(0.19)</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WEIGHTED AVERAGE SHARES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ind w:left="160"/>
              <w:spacing w:after="0"/>
              <w:rPr>
                <w:sz w:val="20"/>
                <w:szCs w:val="20"/>
                <w:color w:val="auto"/>
              </w:rPr>
            </w:pPr>
            <w:r>
              <w:rPr>
                <w:rFonts w:ascii="Arial" w:cs="Arial" w:eastAsia="Arial" w:hAnsi="Arial"/>
                <w:sz w:val="18"/>
                <w:szCs w:val="18"/>
                <w:b w:val="1"/>
                <w:bCs w:val="1"/>
                <w:color w:val="auto"/>
              </w:rPr>
              <w:t>OUTSTANDING FOR BASIC EARNINGS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gridSpan w:val="3"/>
          </w:tcPr>
          <w:p>
            <w:pPr>
              <w:ind w:left="160"/>
              <w:spacing w:after="0"/>
              <w:rPr>
                <w:sz w:val="20"/>
                <w:szCs w:val="20"/>
                <w:color w:val="auto"/>
              </w:rPr>
            </w:pPr>
            <w:r>
              <w:rPr>
                <w:rFonts w:ascii="Arial" w:cs="Arial" w:eastAsia="Arial" w:hAnsi="Arial"/>
                <w:sz w:val="18"/>
                <w:szCs w:val="18"/>
                <w:b w:val="1"/>
                <w:bCs w:val="1"/>
                <w:color w:val="auto"/>
              </w:rPr>
              <w:t>(LOSS)</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19,306</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19,258</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19,306</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19,258</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WEIGHTED AVERAGE SHARES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ind w:left="160"/>
              <w:spacing w:after="0"/>
              <w:rPr>
                <w:sz w:val="20"/>
                <w:szCs w:val="20"/>
                <w:color w:val="auto"/>
              </w:rPr>
            </w:pPr>
            <w:r>
              <w:rPr>
                <w:rFonts w:ascii="Arial" w:cs="Arial" w:eastAsia="Arial" w:hAnsi="Arial"/>
                <w:sz w:val="18"/>
                <w:szCs w:val="18"/>
                <w:b w:val="1"/>
                <w:bCs w:val="1"/>
                <w:color w:val="auto"/>
              </w:rPr>
              <w:t>OUTSTANDING FOR DILUTED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gridSpan w:val="3"/>
          </w:tcPr>
          <w:p>
            <w:pPr>
              <w:ind w:left="160"/>
              <w:spacing w:after="0"/>
              <w:rPr>
                <w:sz w:val="20"/>
                <w:szCs w:val="20"/>
                <w:color w:val="auto"/>
              </w:rPr>
            </w:pPr>
            <w:r>
              <w:rPr>
                <w:rFonts w:ascii="Arial" w:cs="Arial" w:eastAsia="Arial" w:hAnsi="Arial"/>
                <w:sz w:val="18"/>
                <w:szCs w:val="18"/>
                <w:b w:val="1"/>
                <w:bCs w:val="1"/>
                <w:color w:val="auto"/>
              </w:rPr>
              <w:t>EARNINGS (LOSS)</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19,306</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19,517</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19,306</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19,517</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3740" w:type="dxa"/>
            <w:vAlign w:val="bottom"/>
            <w:gridSpan w:val="4"/>
          </w:tcPr>
          <w:p>
            <w:pPr>
              <w:spacing w:after="0"/>
              <w:rPr>
                <w:sz w:val="20"/>
                <w:szCs w:val="20"/>
                <w:color w:val="auto"/>
              </w:rPr>
            </w:pPr>
            <w:r>
              <w:rPr>
                <w:rFonts w:ascii="Arial" w:cs="Arial" w:eastAsia="Arial" w:hAnsi="Arial"/>
                <w:sz w:val="18"/>
                <w:szCs w:val="18"/>
                <w:b w:val="1"/>
                <w:bCs w:val="1"/>
                <w:color w:val="auto"/>
              </w:rPr>
              <w:t>SUPPLEMENTAL SALES DATA</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Quarter Period</w:t>
            </w: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Year to Date</w:t>
            </w:r>
          </w:p>
        </w:tc>
        <w:tc>
          <w:tcPr>
            <w:tcW w:w="5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4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Market Classification</w:t>
            </w:r>
          </w:p>
        </w:tc>
        <w:tc>
          <w:tcPr>
            <w:tcW w:w="200" w:type="dxa"/>
            <w:vAlign w:val="bottom"/>
          </w:tcPr>
          <w:p>
            <w:pPr>
              <w:spacing w:after="0"/>
              <w:rPr>
                <w:sz w:val="15"/>
                <w:szCs w:val="15"/>
                <w:color w:val="auto"/>
              </w:rPr>
            </w:pPr>
          </w:p>
        </w:tc>
        <w:tc>
          <w:tcPr>
            <w:tcW w:w="720" w:type="dxa"/>
            <w:vAlign w:val="bottom"/>
          </w:tcPr>
          <w:p>
            <w:pPr>
              <w:jc w:val="right"/>
              <w:ind w:right="190"/>
              <w:spacing w:after="0" w:line="176" w:lineRule="exact"/>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5"/>
                <w:szCs w:val="15"/>
                <w:color w:val="auto"/>
              </w:rPr>
            </w:pPr>
          </w:p>
        </w:tc>
        <w:tc>
          <w:tcPr>
            <w:tcW w:w="560" w:type="dxa"/>
            <w:vAlign w:val="bottom"/>
          </w:tcPr>
          <w:p>
            <w:pPr>
              <w:jc w:val="right"/>
              <w:ind w:right="90"/>
              <w:spacing w:after="0" w:line="176"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90"/>
              <w:spacing w:after="0" w:line="176" w:lineRule="exact"/>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5"/>
                <w:szCs w:val="15"/>
                <w:color w:val="auto"/>
              </w:rPr>
            </w:pPr>
          </w:p>
        </w:tc>
        <w:tc>
          <w:tcPr>
            <w:tcW w:w="540" w:type="dxa"/>
            <w:vAlign w:val="bottom"/>
          </w:tcPr>
          <w:p>
            <w:pPr>
              <w:jc w:val="right"/>
              <w:ind w:right="90"/>
              <w:spacing w:after="0" w:line="17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90"/>
              <w:spacing w:after="0" w:line="176" w:lineRule="exact"/>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5"/>
                <w:szCs w:val="15"/>
                <w:color w:val="auto"/>
              </w:rPr>
            </w:pPr>
          </w:p>
        </w:tc>
        <w:tc>
          <w:tcPr>
            <w:tcW w:w="560" w:type="dxa"/>
            <w:vAlign w:val="bottom"/>
          </w:tcPr>
          <w:p>
            <w:pPr>
              <w:jc w:val="right"/>
              <w:ind w:right="110"/>
              <w:spacing w:after="0" w:line="17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70"/>
              <w:spacing w:after="0" w:line="176" w:lineRule="exact"/>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5"/>
                <w:szCs w:val="15"/>
                <w:color w:val="auto"/>
              </w:rPr>
            </w:pPr>
          </w:p>
        </w:tc>
        <w:tc>
          <w:tcPr>
            <w:tcW w:w="560" w:type="dxa"/>
            <w:vAlign w:val="bottom"/>
          </w:tcPr>
          <w:p>
            <w:pPr>
              <w:jc w:val="right"/>
              <w:ind w:right="90"/>
              <w:spacing w:after="0" w:line="176"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Do-It-Yourself/Retail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164,407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150,004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164,407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Site-Built Construction</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53,991</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60,889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53,991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60,889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Industrial</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143,901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125,988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143,901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125,988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Manufactured Housing</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46,325</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48,362</w:t>
            </w: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46,325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48,362</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Gross Sales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394,221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399,646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394,221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399,646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Sales Allowances</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(6,988)</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(6,688)</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(6,988)</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(6,688)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387,233</w:t>
            </w: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392,958</w:t>
            </w: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387,233</w:t>
            </w: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392,958</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1660" w:type="dxa"/>
            <w:vAlign w:val="bottom"/>
            <w:tcBorders>
              <w:top w:val="single" w:sz="8" w:color="CCEEFF"/>
              <w:bottom w:val="single" w:sz="8" w:color="808080"/>
            </w:tcBorders>
          </w:tcPr>
          <w:p>
            <w:pPr>
              <w:spacing w:after="0"/>
              <w:rPr>
                <w:sz w:val="24"/>
                <w:szCs w:val="24"/>
                <w:color w:val="auto"/>
              </w:rPr>
            </w:pPr>
          </w:p>
        </w:tc>
        <w:tc>
          <w:tcPr>
            <w:tcW w:w="940" w:type="dxa"/>
            <w:vAlign w:val="bottom"/>
            <w:tcBorders>
              <w:top w:val="single" w:sz="8" w:color="CCEEFF"/>
              <w:bottom w:val="single" w:sz="8" w:color="808080"/>
            </w:tcBorders>
          </w:tcPr>
          <w:p>
            <w:pPr>
              <w:spacing w:after="0"/>
              <w:rPr>
                <w:sz w:val="24"/>
                <w:szCs w:val="24"/>
                <w:color w:val="auto"/>
              </w:rPr>
            </w:pPr>
          </w:p>
        </w:tc>
        <w:tc>
          <w:tcPr>
            <w:tcW w:w="112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720" w:type="dxa"/>
            <w:vAlign w:val="bottom"/>
            <w:tcBorders>
              <w:top w:val="single" w:sz="8" w:color="auto"/>
              <w:bottom w:val="single" w:sz="8" w:color="808080"/>
            </w:tcBorders>
          </w:tcPr>
          <w:p>
            <w:pPr>
              <w:spacing w:after="0"/>
              <w:rPr>
                <w:sz w:val="24"/>
                <w:szCs w:val="24"/>
                <w:color w:val="auto"/>
              </w:rPr>
            </w:pPr>
          </w:p>
        </w:tc>
        <w:tc>
          <w:tcPr>
            <w:tcW w:w="200" w:type="dxa"/>
            <w:vAlign w:val="bottom"/>
            <w:tcBorders>
              <w:top w:val="single" w:sz="8" w:color="CCEEFF"/>
              <w:bottom w:val="single" w:sz="8" w:color="808080"/>
            </w:tcBorders>
          </w:tcPr>
          <w:p>
            <w:pPr>
              <w:spacing w:after="0"/>
              <w:rPr>
                <w:sz w:val="24"/>
                <w:szCs w:val="24"/>
                <w:color w:val="auto"/>
              </w:rPr>
            </w:pPr>
          </w:p>
        </w:tc>
        <w:tc>
          <w:tcPr>
            <w:tcW w:w="56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7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540" w:type="dxa"/>
            <w:vAlign w:val="bottom"/>
            <w:tcBorders>
              <w:top w:val="single" w:sz="8" w:color="CCEEFF"/>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6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7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56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CCEEFF"/>
              <w:bottom w:val="single" w:sz="8" w:color="808080"/>
            </w:tcBorders>
          </w:tcPr>
          <w:p>
            <w:pPr>
              <w:spacing w:after="0"/>
              <w:rPr>
                <w:sz w:val="24"/>
                <w:szCs w:val="24"/>
                <w:color w:val="auto"/>
              </w:rPr>
            </w:pPr>
          </w:p>
        </w:tc>
        <w:tc>
          <w:tcPr>
            <w:tcW w:w="2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7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56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532"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2011/2010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7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20"/>
                <w:szCs w:val="20"/>
                <w:color w:val="auto"/>
              </w:rPr>
            </w:pPr>
          </w:p>
        </w:tc>
        <w:tc>
          <w:tcPr>
            <w:tcW w:w="3240" w:type="dxa"/>
            <w:vAlign w:val="bottom"/>
            <w:gridSpan w:val="2"/>
          </w:tcPr>
          <w:p>
            <w:pPr>
              <w:ind w:left="6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gridSpan w:val="2"/>
          </w:tcPr>
          <w:p>
            <w:pPr>
              <w:ind w:left="6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66,612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182,841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187,625</w:t>
            </w:r>
          </w:p>
        </w:tc>
        <w:tc>
          <w:tcPr>
            <w:tcW w:w="6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49,427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243,639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207,786</w:t>
            </w:r>
          </w:p>
        </w:tc>
        <w:tc>
          <w:tcPr>
            <w:tcW w:w="6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debt and capital leases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74,647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21,718</w:t>
            </w:r>
          </w:p>
        </w:tc>
        <w:tc>
          <w:tcPr>
            <w:tcW w:w="6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456,042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417,129</w:t>
            </w:r>
          </w:p>
        </w:tc>
        <w:tc>
          <w:tcPr>
            <w:tcW w:w="3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4,311</w:t>
            </w:r>
          </w:p>
        </w:tc>
        <w:tc>
          <w:tcPr>
            <w:tcW w:w="3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LONG-TERM DEBT AND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INTANGIBLE ASSETS,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171,534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171,926</w:t>
            </w:r>
          </w:p>
        </w:tc>
        <w:tc>
          <w:tcPr>
            <w:tcW w:w="6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b w:val="1"/>
                <w:bCs w:val="1"/>
                <w:color w:val="auto"/>
              </w:rPr>
              <w:t>CAPITAL LEASE OBLIGATIONS,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less current portion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AND EQUIPMENT,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216,802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227,269</w:t>
            </w:r>
          </w:p>
        </w:tc>
        <w:tc>
          <w:tcPr>
            <w:tcW w:w="324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33,916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579,898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856,076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820,635</w:t>
            </w:r>
          </w:p>
        </w:tc>
        <w:tc>
          <w:tcPr>
            <w:tcW w:w="3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856,076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820,635</w:t>
            </w: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2720" w:type="dxa"/>
            <w:vAlign w:val="bottom"/>
            <w:tcBorders>
              <w:top w:val="single" w:sz="8" w:color="CCEEFF"/>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60" w:type="dxa"/>
            <w:vAlign w:val="bottom"/>
            <w:tcBorders>
              <w:top w:val="single" w:sz="8" w:color="CCEEFF"/>
              <w:bottom w:val="single" w:sz="8" w:color="808080"/>
            </w:tcBorders>
          </w:tcPr>
          <w:p>
            <w:pPr>
              <w:spacing w:after="0"/>
              <w:rPr>
                <w:sz w:val="24"/>
                <w:szCs w:val="24"/>
                <w:color w:val="auto"/>
              </w:rPr>
            </w:pPr>
          </w:p>
        </w:tc>
        <w:tc>
          <w:tcPr>
            <w:tcW w:w="60" w:type="dxa"/>
            <w:vAlign w:val="bottom"/>
            <w:tcBorders>
              <w:top w:val="single" w:sz="8" w:color="CCEEFF"/>
              <w:bottom w:val="single" w:sz="8" w:color="808080"/>
            </w:tcBorders>
          </w:tcPr>
          <w:p>
            <w:pPr>
              <w:spacing w:after="0"/>
              <w:rPr>
                <w:sz w:val="24"/>
                <w:szCs w:val="24"/>
                <w:color w:val="auto"/>
              </w:rPr>
            </w:pPr>
          </w:p>
        </w:tc>
        <w:tc>
          <w:tcPr>
            <w:tcW w:w="318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2011/2010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80" w:type="dxa"/>
            <w:vAlign w:val="bottom"/>
            <w:tcBorders>
              <w:top w:val="single" w:sz="8" w:color="auto"/>
              <w:bottom w:val="single" w:sz="8" w:color="auto"/>
            </w:tcBorders>
          </w:tcPr>
          <w:p>
            <w:pPr>
              <w:ind w:left="378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attributable to controlling interest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w w:val="95"/>
              </w:rPr>
              <w:t>Adjustments to reconcile net earnings (loss) attributable to controlling interest to net cash from operating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 associated with share-based compensation arrangements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Excess tax benefits from share-based compensation arrangements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 associated with stock grant plans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Deferred income tax credit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 attributable to noncontrolling interest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Net gain on sale or impairment of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(55,869)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 and other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(109,438)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Acquisitions, net of cash received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Collections of notes receivable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under revolving credit facilities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of additional noncontrolling interest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Distributions to noncontrolling interest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from noncontrolling interest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0"/>
        </w:trPr>
        <w:tc>
          <w:tcPr>
            <w:tcW w:w="20" w:type="dxa"/>
            <w:vAlign w:val="bottom"/>
          </w:tcPr>
          <w:p>
            <w:pPr>
              <w:spacing w:after="0"/>
              <w:rPr>
                <w:sz w:val="24"/>
                <w:szCs w:val="24"/>
                <w:color w:val="auto"/>
              </w:rPr>
            </w:pPr>
          </w:p>
        </w:tc>
        <w:tc>
          <w:tcPr>
            <w:tcW w:w="86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1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2019-12-10T12:25:48Z</dcterms:created>
  <dcterms:modified xsi:type="dcterms:W3CDTF">2019-12-10T12:25:48Z</dcterms:modified>
</cp:coreProperties>
</file>