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SD</w:t>
      </w:r>
    </w:p>
    <w:p>
      <w:pPr>
        <w:jc w:val="center"/>
        <w:ind w:right="19"/>
        <w:spacing w:after="0"/>
        <w:rPr>
          <w:sz w:val="20"/>
          <w:szCs w:val="20"/>
          <w:color w:val="auto"/>
        </w:rPr>
      </w:pPr>
      <w:r>
        <w:rPr>
          <w:rFonts w:ascii="Arial" w:cs="Arial" w:eastAsia="Arial" w:hAnsi="Arial"/>
          <w:sz w:val="29"/>
          <w:szCs w:val="29"/>
          <w:b w:val="1"/>
          <w:bCs w:val="1"/>
          <w:color w:val="auto"/>
        </w:rPr>
        <w:t>Specialized Disclosure Report</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UFP INDUSTRIES, INC.</w:t>
      </w: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313"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37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4"/>
              </w:rPr>
              <w:t>Michigan</w:t>
            </w:r>
          </w:p>
        </w:tc>
        <w:tc>
          <w:tcPr>
            <w:tcW w:w="22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b w:val="1"/>
                <w:bCs w:val="1"/>
                <w:color w:val="auto"/>
                <w:w w:val="89"/>
              </w:rPr>
              <w:t>00-22684</w:t>
            </w:r>
          </w:p>
        </w:tc>
        <w:tc>
          <w:tcPr>
            <w:tcW w:w="26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38-1465835</w:t>
            </w:r>
          </w:p>
        </w:tc>
        <w:tc>
          <w:tcPr>
            <w:tcW w:w="0" w:type="dxa"/>
            <w:vAlign w:val="bottom"/>
          </w:tcPr>
          <w:p>
            <w:pPr>
              <w:spacing w:after="0"/>
              <w:rPr>
                <w:sz w:val="1"/>
                <w:szCs w:val="1"/>
                <w:color w:val="auto"/>
              </w:rPr>
            </w:pPr>
          </w:p>
        </w:tc>
      </w:tr>
      <w:tr>
        <w:trPr>
          <w:trHeight w:val="142"/>
        </w:trPr>
        <w:tc>
          <w:tcPr>
            <w:tcW w:w="3700" w:type="dxa"/>
            <w:vAlign w:val="bottom"/>
          </w:tcPr>
          <w:p>
            <w:pPr>
              <w:jc w:val="center"/>
              <w:ind w:right="172"/>
              <w:spacing w:after="0" w:line="142" w:lineRule="exact"/>
              <w:rPr>
                <w:sz w:val="20"/>
                <w:szCs w:val="20"/>
                <w:color w:val="auto"/>
              </w:rPr>
            </w:pPr>
            <w:r>
              <w:rPr>
                <w:rFonts w:ascii="Arial" w:cs="Arial" w:eastAsia="Arial" w:hAnsi="Arial"/>
                <w:sz w:val="16"/>
                <w:szCs w:val="16"/>
                <w:color w:val="auto"/>
              </w:rPr>
              <w:t>(State or Other Jurisdiction</w:t>
            </w:r>
          </w:p>
        </w:tc>
        <w:tc>
          <w:tcPr>
            <w:tcW w:w="2260" w:type="dxa"/>
            <w:vAlign w:val="bottom"/>
          </w:tcPr>
          <w:p>
            <w:pPr>
              <w:jc w:val="center"/>
              <w:ind w:right="14"/>
              <w:spacing w:after="0" w:line="142" w:lineRule="exact"/>
              <w:rPr>
                <w:sz w:val="20"/>
                <w:szCs w:val="20"/>
                <w:color w:val="auto"/>
              </w:rPr>
            </w:pPr>
            <w:r>
              <w:rPr>
                <w:rFonts w:ascii="Arial" w:cs="Arial" w:eastAsia="Arial" w:hAnsi="Arial"/>
                <w:sz w:val="16"/>
                <w:szCs w:val="16"/>
                <w:color w:val="auto"/>
              </w:rPr>
              <w:t>(Commission</w:t>
            </w:r>
          </w:p>
        </w:tc>
        <w:tc>
          <w:tcPr>
            <w:tcW w:w="2620" w:type="dxa"/>
            <w:vAlign w:val="bottom"/>
          </w:tcPr>
          <w:p>
            <w:pPr>
              <w:jc w:val="center"/>
              <w:ind w:left="32"/>
              <w:spacing w:after="0" w:line="14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30"/>
        </w:trPr>
        <w:tc>
          <w:tcPr>
            <w:tcW w:w="3700" w:type="dxa"/>
            <w:vAlign w:val="bottom"/>
          </w:tcPr>
          <w:p>
            <w:pPr>
              <w:jc w:val="center"/>
              <w:ind w:right="172"/>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34"/>
              <w:spacing w:after="0"/>
              <w:rPr>
                <w:sz w:val="20"/>
                <w:szCs w:val="20"/>
                <w:color w:val="auto"/>
              </w:rPr>
            </w:pPr>
            <w:r>
              <w:rPr>
                <w:rFonts w:ascii="Arial" w:cs="Arial" w:eastAsia="Arial" w:hAnsi="Arial"/>
                <w:sz w:val="18"/>
                <w:szCs w:val="18"/>
                <w:color w:val="auto"/>
                <w:w w:val="94"/>
              </w:rPr>
              <w:t>File Number)</w:t>
            </w:r>
          </w:p>
        </w:tc>
        <w:tc>
          <w:tcPr>
            <w:tcW w:w="2620" w:type="dxa"/>
            <w:vAlign w:val="bottom"/>
          </w:tcPr>
          <w:p>
            <w:pPr>
              <w:jc w:val="center"/>
              <w:ind w:left="32"/>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96"/>
        </w:trPr>
        <w:tc>
          <w:tcPr>
            <w:tcW w:w="370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2801 East Beltline, N.E.</w:t>
            </w:r>
          </w:p>
        </w:tc>
        <w:tc>
          <w:tcPr>
            <w:tcW w:w="2260" w:type="dxa"/>
            <w:vAlign w:val="bottom"/>
          </w:tcPr>
          <w:p>
            <w:pPr>
              <w:spacing w:after="0"/>
              <w:rPr>
                <w:sz w:val="24"/>
                <w:szCs w:val="24"/>
                <w:color w:val="auto"/>
              </w:rPr>
            </w:pPr>
          </w:p>
        </w:tc>
        <w:tc>
          <w:tcPr>
            <w:tcW w:w="2620" w:type="dxa"/>
            <w:vAlign w:val="bottom"/>
            <w:vMerge w:val="restart"/>
          </w:tcPr>
          <w:p>
            <w:pPr>
              <w:jc w:val="right"/>
              <w:ind w:right="932"/>
              <w:spacing w:after="0"/>
              <w:rPr>
                <w:sz w:val="20"/>
                <w:szCs w:val="20"/>
                <w:color w:val="auto"/>
              </w:rPr>
            </w:pPr>
            <w:r>
              <w:rPr>
                <w:rFonts w:ascii="Arial" w:cs="Arial" w:eastAsia="Arial" w:hAnsi="Arial"/>
                <w:sz w:val="18"/>
                <w:szCs w:val="18"/>
                <w:b w:val="1"/>
                <w:bCs w:val="1"/>
                <w:color w:val="auto"/>
              </w:rPr>
              <w:t>49525</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jc w:val="center"/>
              <w:ind w:right="172"/>
              <w:spacing w:after="0" w:line="202" w:lineRule="exact"/>
              <w:rPr>
                <w:sz w:val="20"/>
                <w:szCs w:val="20"/>
                <w:color w:val="auto"/>
              </w:rPr>
            </w:pPr>
            <w:r>
              <w:rPr>
                <w:rFonts w:ascii="Arial" w:cs="Arial" w:eastAsia="Arial" w:hAnsi="Arial"/>
                <w:sz w:val="18"/>
                <w:szCs w:val="18"/>
                <w:b w:val="1"/>
                <w:bCs w:val="1"/>
                <w:color w:val="auto"/>
                <w:w w:val="93"/>
              </w:rPr>
              <w:t>Grand Rapids, Michigan</w:t>
            </w:r>
          </w:p>
        </w:tc>
        <w:tc>
          <w:tcPr>
            <w:tcW w:w="2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00" w:type="dxa"/>
            <w:vAlign w:val="bottom"/>
          </w:tcPr>
          <w:p>
            <w:pPr>
              <w:jc w:val="center"/>
              <w:ind w:right="152"/>
              <w:spacing w:after="0"/>
              <w:rPr>
                <w:sz w:val="20"/>
                <w:szCs w:val="20"/>
                <w:color w:val="auto"/>
              </w:rPr>
            </w:pPr>
            <w:r>
              <w:rPr>
                <w:rFonts w:ascii="Arial" w:cs="Arial" w:eastAsia="Arial" w:hAnsi="Arial"/>
                <w:sz w:val="18"/>
                <w:szCs w:val="18"/>
                <w:color w:val="auto"/>
                <w:w w:val="92"/>
              </w:rPr>
              <w:t>(Address of principal executive office)</w:t>
            </w:r>
          </w:p>
        </w:tc>
        <w:tc>
          <w:tcPr>
            <w:tcW w:w="2260" w:type="dxa"/>
            <w:vAlign w:val="bottom"/>
          </w:tcPr>
          <w:p>
            <w:pPr>
              <w:spacing w:after="0"/>
              <w:rPr>
                <w:sz w:val="19"/>
                <w:szCs w:val="19"/>
                <w:color w:val="auto"/>
              </w:rPr>
            </w:pPr>
          </w:p>
        </w:tc>
        <w:tc>
          <w:tcPr>
            <w:tcW w:w="2620" w:type="dxa"/>
            <w:vAlign w:val="bottom"/>
          </w:tcPr>
          <w:p>
            <w:pPr>
              <w:jc w:val="center"/>
              <w:ind w:left="52"/>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A. Tutas</w:t>
      </w:r>
    </w:p>
    <w:p>
      <w:pPr>
        <w:jc w:val="center"/>
        <w:ind w:right="19"/>
        <w:spacing w:after="0" w:line="200" w:lineRule="auto"/>
        <w:rPr>
          <w:sz w:val="20"/>
          <w:szCs w:val="20"/>
          <w:color w:val="auto"/>
        </w:rPr>
      </w:pPr>
      <w:r>
        <w:rPr>
          <w:rFonts w:ascii="Arial" w:cs="Arial" w:eastAsia="Arial" w:hAnsi="Arial"/>
          <w:sz w:val="18"/>
          <w:szCs w:val="18"/>
          <w:b w:val="1"/>
          <w:bCs w:val="1"/>
          <w:color w:val="auto"/>
        </w:rPr>
        <w:t>Vice President, General Counsel, and Secretary</w:t>
      </w:r>
    </w:p>
    <w:p>
      <w:pPr>
        <w:jc w:val="center"/>
        <w:ind w:right="19"/>
        <w:spacing w:after="0" w:line="214" w:lineRule="auto"/>
        <w:rPr>
          <w:sz w:val="20"/>
          <w:szCs w:val="20"/>
          <w:color w:val="auto"/>
        </w:rPr>
      </w:pPr>
      <w:r>
        <w:rPr>
          <w:rFonts w:ascii="Arial" w:cs="Arial" w:eastAsia="Arial" w:hAnsi="Arial"/>
          <w:sz w:val="20"/>
          <w:szCs w:val="20"/>
          <w:b w:val="1"/>
          <w:bCs w:val="1"/>
          <w:color w:val="auto"/>
        </w:rPr>
        <w:t>(616) 364-6161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333" w:lineRule="exact"/>
        <w:rPr>
          <w:sz w:val="24"/>
          <w:szCs w:val="24"/>
          <w:color w:val="auto"/>
        </w:rPr>
      </w:pPr>
    </w:p>
    <w:p>
      <w:pPr>
        <w:ind w:left="200" w:right="599"/>
        <w:spacing w:after="0" w:line="26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322" w:lineRule="exact"/>
        <w:rPr>
          <w:sz w:val="24"/>
          <w:szCs w:val="24"/>
          <w:color w:val="auto"/>
        </w:rPr>
      </w:pPr>
    </w:p>
    <w:p>
      <w:pPr>
        <w:ind w:left="200" w:right="259" w:firstLine="333"/>
        <w:spacing w:after="0" w:line="261" w:lineRule="auto"/>
        <w:tabs>
          <w:tab w:leader="none" w:pos="8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572135</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66" w:lineRule="exact"/>
        <w:rPr>
          <w:sz w:val="20"/>
          <w:szCs w:val="20"/>
          <w:color w:val="auto"/>
        </w:rPr>
      </w:pPr>
    </w:p>
    <w:p>
      <w:pPr>
        <w:ind w:left="200"/>
        <w:spacing w:after="0"/>
        <w:tabs>
          <w:tab w:leader="none" w:pos="15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color w:val="auto"/>
        </w:rPr>
        <w:t>Conflict Minerals Disclosure and Report.</w:t>
      </w:r>
    </w:p>
    <w:p>
      <w:pPr>
        <w:spacing w:after="0" w:line="16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UFP Industries, Inc. has included the Conflict Minerals Report as an exhibit to its Form SD for the period from January 1,2019 to December 31, 2019. Unless the context otherwise indicates, “UFP Industries,” “we,” “us” and “our” refer to UFP Industries, Inc. and its consolidated subsidiaries.</w:t>
      </w:r>
    </w:p>
    <w:p>
      <w:pPr>
        <w:spacing w:after="0" w:line="168"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6"/>
          <w:szCs w:val="16"/>
          <w:color w:val="auto"/>
        </w:rPr>
        <w:t>During 2019, certain of our operations manufactured, or contracted to manufacture, products for which 3TGs, as defined below, are necessary to their functionality or production (the “Covered Products”). Conflict minerals are defined in Section 13(p) of the Securities Exchange Act of 1934, as amended, as (A) gold, cassiterite, columbite-tantalite (coltan), wolframite, and their derivatives, which are limited to tin, tantalum and tungsten (collectively referred to as “3TGs”), or (B) any other mineral or its derivatives determined by the Secretary of State to be financing conflict in the Democratic Republic of Congo (“DRC”) or any adjoining country that shares an internationally recognized border with the DRC.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158"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18"/>
          <w:szCs w:val="18"/>
          <w:color w:val="auto"/>
        </w:rPr>
        <w:t>A summary of our RCOI and steps of due diligence on the source and chain of custody of any 3TGs in our Covered Products is included in our Conflict Minerals Report, which is filed as Exhibit 1.01 to this Form SD. In addition to this, our Conflict Minerals Report and Form SD are publicly available on the Investor Relations section of our company website at: http://www.ufpinvestor.com/index.php/corporate-governance/highlights.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7"/>
          <w:szCs w:val="17"/>
          <w:color w:val="auto"/>
        </w:rPr>
        <w:t>This Form SD and the Conflict Minerals Report contains forward-looking statements within the meaning of Section 21E of the Securities Exchange Act, as amended, that are based upon beliefs, assumptions, current expectations, estimates, and intentions, as well as those that are based on historical fact, and include statements relating to our compliance efforts and expected actions. The words “expects,” “intends,” “plans,” “believes,” “anticipates”, “likely”, “should”, variations of such words, and similar expressions are used to identify these forward-looking statements. These statements do not guarantee future actions or performance and involve certain risks, uncertainties and assumptions that are difficult to predict with regards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 and uncertainty. Undue reliance should not be placed on these forward-looking statements.</w:t>
      </w:r>
    </w:p>
    <w:p>
      <w:pPr>
        <w:spacing w:after="0" w:line="128" w:lineRule="exact"/>
        <w:rPr>
          <w:sz w:val="20"/>
          <w:szCs w:val="20"/>
          <w:color w:val="auto"/>
        </w:rPr>
      </w:pPr>
    </w:p>
    <w:p>
      <w:pPr>
        <w:ind w:left="200"/>
        <w:spacing w:after="0"/>
        <w:tabs>
          <w:tab w:leader="none" w:pos="15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color w:val="auto"/>
        </w:rPr>
        <w:t>Exhibit.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filed our Conflict Minerals Report as Exhibit 1.01 to this Form SD.</w:t>
      </w:r>
    </w:p>
    <w:p>
      <w:pPr>
        <w:spacing w:after="0" w:line="167" w:lineRule="exact"/>
        <w:rPr>
          <w:sz w:val="20"/>
          <w:szCs w:val="20"/>
          <w:color w:val="auto"/>
        </w:rPr>
      </w:pPr>
    </w:p>
    <w:p>
      <w:pPr>
        <w:ind w:left="200"/>
        <w:spacing w:after="0"/>
        <w:tabs>
          <w:tab w:leader="none" w:pos="16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color w:val="auto"/>
        </w:rPr>
        <w:t>Exhibits.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1.01 – Conflict Minerals Report as required by Items 1.01. and 1.02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563245</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7360" w:type="dxa"/>
            <w:vAlign w:val="bottom"/>
          </w:tcPr>
          <w:p>
            <w:pPr>
              <w:spacing w:after="0"/>
              <w:rPr>
                <w:sz w:val="17"/>
                <w:szCs w:val="17"/>
                <w:color w:val="auto"/>
              </w:rPr>
            </w:pPr>
          </w:p>
        </w:tc>
      </w:tr>
      <w:tr>
        <w:trPr>
          <w:trHeight w:val="220"/>
        </w:trPr>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Number</w:t>
            </w:r>
          </w:p>
        </w:tc>
        <w:tc>
          <w:tcPr>
            <w:tcW w:w="736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220" w:type="dxa"/>
            <w:vAlign w:val="bottom"/>
          </w:tcPr>
          <w:p>
            <w:pPr>
              <w:ind w:left="360"/>
              <w:spacing w:after="0" w:line="202" w:lineRule="exact"/>
              <w:rPr>
                <w:sz w:val="20"/>
                <w:szCs w:val="20"/>
                <w:color w:val="auto"/>
              </w:rPr>
            </w:pPr>
            <w:r>
              <w:rPr>
                <w:rFonts w:ascii="Arial" w:cs="Arial" w:eastAsia="Arial" w:hAnsi="Arial"/>
                <w:sz w:val="18"/>
                <w:szCs w:val="18"/>
                <w:color w:val="auto"/>
              </w:rPr>
              <w:t>1.01</w:t>
            </w:r>
          </w:p>
        </w:tc>
        <w:tc>
          <w:tcPr>
            <w:tcW w:w="7360" w:type="dxa"/>
            <w:vAlign w:val="bottom"/>
          </w:tcPr>
          <w:p>
            <w:pPr>
              <w:ind w:left="220"/>
              <w:spacing w:after="0" w:line="202" w:lineRule="exact"/>
              <w:rPr>
                <w:sz w:val="20"/>
                <w:szCs w:val="20"/>
                <w:color w:val="auto"/>
              </w:rPr>
            </w:pPr>
            <w:r>
              <w:rPr>
                <w:rFonts w:ascii="Arial" w:cs="Arial" w:eastAsia="Arial" w:hAnsi="Arial"/>
                <w:sz w:val="18"/>
                <w:szCs w:val="18"/>
                <w:color w:val="auto"/>
                <w:w w:val="95"/>
              </w:rPr>
              <w:t>Conflict Minerals Report for the year ended December 31, 2019 as required by Items 1.01 and</w:t>
            </w:r>
          </w:p>
        </w:tc>
      </w:tr>
      <w:tr>
        <w:trPr>
          <w:trHeight w:val="230"/>
        </w:trPr>
        <w:tc>
          <w:tcPr>
            <w:tcW w:w="1220" w:type="dxa"/>
            <w:vAlign w:val="bottom"/>
          </w:tcPr>
          <w:p>
            <w:pPr>
              <w:spacing w:after="0"/>
              <w:rPr>
                <w:sz w:val="20"/>
                <w:szCs w:val="20"/>
                <w:color w:val="auto"/>
              </w:rPr>
            </w:pPr>
          </w:p>
        </w:tc>
        <w:tc>
          <w:tcPr>
            <w:tcW w:w="7360" w:type="dxa"/>
            <w:vAlign w:val="bottom"/>
          </w:tcPr>
          <w:p>
            <w:pPr>
              <w:ind w:left="220"/>
              <w:spacing w:after="0"/>
              <w:rPr>
                <w:sz w:val="20"/>
                <w:szCs w:val="20"/>
                <w:color w:val="auto"/>
              </w:rPr>
            </w:pPr>
            <w:r>
              <w:rPr>
                <w:rFonts w:ascii="Arial" w:cs="Arial" w:eastAsia="Arial" w:hAnsi="Arial"/>
                <w:sz w:val="18"/>
                <w:szCs w:val="18"/>
                <w:color w:val="auto"/>
              </w:rPr>
              <w:t>1.02 of this Form.</w:t>
            </w:r>
          </w:p>
        </w:tc>
      </w:tr>
      <w:tr>
        <w:trPr>
          <w:trHeight w:val="709"/>
        </w:trPr>
        <w:tc>
          <w:tcPr>
            <w:tcW w:w="12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left="200" w:right="2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UFP INDUSTRIES, INC.</w:t>
      </w:r>
    </w:p>
    <w:p>
      <w:pPr>
        <w:spacing w:after="0" w:line="200" w:lineRule="exact"/>
        <w:rPr>
          <w:sz w:val="20"/>
          <w:szCs w:val="20"/>
          <w:color w:val="auto"/>
        </w:rPr>
      </w:pPr>
    </w:p>
    <w:p>
      <w:pPr>
        <w:spacing w:after="0" w:line="363" w:lineRule="exact"/>
        <w:rPr>
          <w:sz w:val="20"/>
          <w:szCs w:val="20"/>
          <w:color w:val="auto"/>
        </w:rPr>
      </w:pPr>
    </w:p>
    <w:p>
      <w:pPr>
        <w:ind w:left="260"/>
        <w:spacing w:after="0"/>
        <w:tabs>
          <w:tab w:leader="none" w:pos="4340" w:val="left"/>
          <w:tab w:leader="none" w:pos="4840" w:val="left"/>
        </w:tabs>
        <w:rPr>
          <w:sz w:val="20"/>
          <w:szCs w:val="20"/>
          <w:color w:val="auto"/>
        </w:rPr>
      </w:pPr>
      <w:r>
        <w:rPr>
          <w:rFonts w:ascii="Arial" w:cs="Arial" w:eastAsia="Arial" w:hAnsi="Arial"/>
          <w:sz w:val="18"/>
          <w:szCs w:val="18"/>
          <w:color w:val="auto"/>
        </w:rPr>
        <w:t>Dated: June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-130175</wp:posOffset>
            </wp:positionV>
            <wp:extent cx="2528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jc w:val="center"/>
        <w:ind w:right="19"/>
        <w:spacing w:after="0" w:line="197" w:lineRule="auto"/>
        <w:rPr>
          <w:sz w:val="20"/>
          <w:szCs w:val="20"/>
          <w:color w:val="auto"/>
        </w:rPr>
      </w:pPr>
      <w:r>
        <w:rPr>
          <w:rFonts w:ascii="Arial" w:cs="Arial" w:eastAsia="Arial" w:hAnsi="Arial"/>
          <w:sz w:val="20"/>
          <w:szCs w:val="20"/>
          <w:b w:val="1"/>
          <w:bCs w:val="1"/>
          <w:color w:val="auto"/>
        </w:rPr>
        <w:t>Conflict Minerals Report</w:t>
      </w:r>
    </w:p>
    <w:p>
      <w:pPr>
        <w:jc w:val="center"/>
        <w:ind w:right="19"/>
        <w:spacing w:after="0"/>
        <w:rPr>
          <w:sz w:val="20"/>
          <w:szCs w:val="20"/>
          <w:color w:val="auto"/>
        </w:rPr>
      </w:pPr>
      <w:r>
        <w:rPr>
          <w:rFonts w:ascii="Arial" w:cs="Arial" w:eastAsia="Arial" w:hAnsi="Arial"/>
          <w:sz w:val="20"/>
          <w:szCs w:val="20"/>
          <w:b w:val="1"/>
          <w:bCs w:val="1"/>
          <w:color w:val="auto"/>
        </w:rPr>
        <w:t>For the Year Ended December 31, 2019</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7"/>
          <w:szCs w:val="17"/>
          <w:color w:val="auto"/>
        </w:rPr>
        <w:t>This Conflict Minerals Report (the “Report”) has been prepared by UFP Industries, Inc. for the period from January 1, 2019 to December 31, 2019 (the “Reporting Period”). Unless the context otherwise indicates, “UFP Industries,” “we,” “us,” the “Company” and “our” mean UFP Industries, Inc. and its consolidated subsidiaries.</w:t>
      </w:r>
    </w:p>
    <w:p>
      <w:pPr>
        <w:spacing w:after="0" w:line="150"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17"/>
          <w:szCs w:val="17"/>
          <w:color w:val="auto"/>
        </w:rPr>
        <w:t>This Report is presented to comply with Rule 13p-1 promulgated under Section 13(p) of the Securities Exchange Act of 1934, as amended (the “Rule”). This Rule imposes certain reporting obligations on public companies that manufacture or contract to manufacture products containing conflict minerals that are necessary to the functionality or production of their products. Form SD defines “conflict minerals” as gold, cassiterite, columbite-tantalite, wolframite and their derivatives, which are currently limited to tin, tantalum and tungsten. We identified tin, tantalum, tungsten and gold (collectively, the “3TGs”) that are necessary to the functionality or production of certain products that we manufactured or contracted to manufacture during the Reporting Period.</w:t>
      </w:r>
    </w:p>
    <w:p>
      <w:pPr>
        <w:spacing w:after="0" w:line="166"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18"/>
          <w:szCs w:val="18"/>
          <w:color w:val="auto"/>
        </w:rPr>
        <w:t>As described in this Report, we have reason to believe that some of the 3TGs present in our supply chain may have originated in the Democratic Republic of the Congo (“DRC”) or an adjoining country (collectively, the “Covered Countries”). Therefore, we performed a reasonable country of origin inquiry (“RCOI”) to determine whether any of the 3TGs in our products originated from the Covered Countries and were not from recycled or scrap sources. Based on the RCOI, we determined that we may have some suppliers that sourced 3TGs from the Covered Countries and proceeded to conduct due diligence on our supplier base. The results of our RCOI and due diligence are covered below.</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9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We design, manufacture and market: wood, wood-alternative, and outdoor living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w:t>
      </w:r>
    </w:p>
    <w:p>
      <w:pPr>
        <w:spacing w:after="0" w:line="176"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8"/>
          <w:szCs w:val="18"/>
          <w:color w:val="auto"/>
        </w:rPr>
        <w:t>For additional information, please see Item 1 (captioned “Business”) in our Form 10-K for our fiscal year ending December 28, 2019 filed on February 26, 2020.</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products</w:t>
      </w:r>
    </w:p>
    <w:p>
      <w:pPr>
        <w:spacing w:after="0" w:line="198" w:lineRule="exact"/>
        <w:rPr>
          <w:sz w:val="20"/>
          <w:szCs w:val="20"/>
          <w:color w:val="auto"/>
        </w:rPr>
      </w:pPr>
    </w:p>
    <w:p>
      <w:pPr>
        <w:jc w:val="both"/>
        <w:ind w:left="200" w:right="219"/>
        <w:spacing w:after="0" w:line="294" w:lineRule="auto"/>
        <w:rPr>
          <w:sz w:val="20"/>
          <w:szCs w:val="20"/>
          <w:color w:val="auto"/>
        </w:rPr>
      </w:pPr>
      <w:r>
        <w:rPr>
          <w:rFonts w:ascii="Arial" w:cs="Arial" w:eastAsia="Arial" w:hAnsi="Arial"/>
          <w:sz w:val="16"/>
          <w:szCs w:val="16"/>
          <w:color w:val="auto"/>
        </w:rPr>
        <w:t>We conducted an analysis of our products to determine which of our products were likely to contain 3TG. We have identified 3TG in certain of our products within our segments that are necessary to the functionality or production of products that we manufactured or contracted to manufacture during the Reporting Period. Our range of products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308610</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5" w:name="page6"/>
    <w:bookmarkEnd w:id="5"/>
    <w:p>
      <w:pPr>
        <w:jc w:val="both"/>
        <w:ind w:left="200" w:right="219"/>
        <w:spacing w:after="0" w:line="261" w:lineRule="auto"/>
        <w:rPr>
          <w:sz w:val="20"/>
          <w:szCs w:val="20"/>
          <w:color w:val="auto"/>
        </w:rPr>
      </w:pPr>
      <w:r>
        <w:rPr>
          <w:rFonts w:ascii="Arial" w:cs="Arial" w:eastAsia="Arial" w:hAnsi="Arial"/>
          <w:sz w:val="18"/>
          <w:szCs w:val="18"/>
          <w:color w:val="auto"/>
        </w:rPr>
        <w:t>may contain 3TGs include the following components: non-lumber items sold to retailers (e.g. solar powered post caps) and interior fixtures (e.g. shelving, display cases, and lighting).</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RCOI</w:t>
      </w:r>
    </w:p>
    <w:p>
      <w:pPr>
        <w:spacing w:after="0" w:line="20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began our scoping process by extracting a list of our suppliers that provide us with products that may contain one or more of the 3TGs. Once the filtering was completed, we populated the list with contact information and provided the list to our third-party service provider. This supplier list was then uploaded to our third-party service provider’s software platform that allows us to store and manage supplier requests and documentation.</w:t>
      </w:r>
    </w:p>
    <w:p>
      <w:pPr>
        <w:spacing w:after="0" w:line="159"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From there, we defined our scoping process even further by removing service providers, indirect materials suppliers, and suppliers who are inactive. This ensures that all suppliers surveyed provided items to UFP Industries that were used in final products in the year 2019.</w:t>
      </w:r>
    </w:p>
    <w:p>
      <w:pPr>
        <w:spacing w:after="0" w:line="168"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17"/>
          <w:szCs w:val="17"/>
          <w:color w:val="auto"/>
        </w:rPr>
        <w:t>Our third-party service provider then conducted the supplier survey portion of the RCOI utilizing the Conflict Minerals Reporting Template (the “CMRT”), version 5.11 or higher, developed by the Responsible Minerals Initiative (“RMI”), and the suppliers identified through the procedures above were surveyed on their sourcing of the 3TGs that we identified in our products. The CMRT was developed to facilitate disclosure and communication of information regarding smelters that provide material to a company’s supply chain. It includes questions regarding a direct supplier’s conflict minerals policy, its due diligence process, and information about its supply chain such as the names and locations of smelters and refiners as well as the origin of 3TGs used by those facilities.</w:t>
      </w:r>
    </w:p>
    <w:p>
      <w:pPr>
        <w:spacing w:after="0" w:line="166"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7"/>
          <w:szCs w:val="17"/>
          <w:color w:val="auto"/>
        </w:rPr>
        <w:t>During the supplier survey, suppliers were contacted and asked to complete the CMRT. All communications were tracked and monitored in the software platform. Non-responsive suppliers were contacted a minimum of three times and then were contacted an additional two times in an escalation format. To ensure that our suppliers understand our expectations regarding the sourcing of 3TGs, we and our third-party service provider have provided training to suppliers though webinars, videos, documentation, and one-on-one discussions.</w:t>
      </w:r>
    </w:p>
    <w:p>
      <w:pPr>
        <w:spacing w:after="0" w:line="160" w:lineRule="exact"/>
        <w:rPr>
          <w:sz w:val="20"/>
          <w:szCs w:val="20"/>
          <w:color w:val="auto"/>
        </w:rPr>
      </w:pPr>
    </w:p>
    <w:p>
      <w:pPr>
        <w:jc w:val="both"/>
        <w:ind w:left="200" w:right="219"/>
        <w:spacing w:after="0" w:line="276" w:lineRule="auto"/>
        <w:rPr>
          <w:sz w:val="20"/>
          <w:szCs w:val="20"/>
          <w:color w:val="auto"/>
        </w:rPr>
      </w:pPr>
      <w:r>
        <w:rPr>
          <w:rFonts w:ascii="Arial" w:cs="Arial" w:eastAsia="Arial" w:hAnsi="Arial"/>
          <w:sz w:val="16"/>
          <w:szCs w:val="16"/>
          <w:color w:val="auto"/>
        </w:rPr>
        <w:t>The RCOI also included automated data validation on all submitted CMRTs. The goal of data validation is to increase the accuracy of submissions and identify any contradictory answers in the CMRT. All submitted forms are accepted and classified as valid or invalid so that data is still retained. All suppliers who submitted CMRTs that were flagged as “invalid” were contacted to address items such as incomplete data, missing smelter information, or inconsistent answers. All of these communications were monitored and tracked in our service provider’s system for future reporting and transparency. As of May 7, 2019, there were 0 invalid submissions that were not corrected by suppliers.</w:t>
      </w:r>
    </w:p>
    <w:p>
      <w:pPr>
        <w:spacing w:after="0" w:line="148"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8"/>
          <w:szCs w:val="18"/>
          <w:color w:val="auto"/>
        </w:rPr>
        <w:t>Based on the RCOI, we determined that we may have some suppliers that sourced 3TGs from the Covered Countries; therefore, we proceeded to conduct further due diligence on our supplier base.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Due Diligence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Design of due diligence</w:t>
      </w:r>
    </w:p>
    <w:p>
      <w:pPr>
        <w:spacing w:after="0" w:line="19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 xml:space="preserve">We have designed our due diligence procedures to conform, in all material respects, with the due diligence framework presented by the Organisation for Economic Co-operation and Development (“OECD”) in the publication </w:t>
      </w:r>
      <w:r>
        <w:rPr>
          <w:rFonts w:ascii="Arial" w:cs="Arial" w:eastAsia="Arial" w:hAnsi="Arial"/>
          <w:sz w:val="18"/>
          <w:szCs w:val="18"/>
          <w:i w:val="1"/>
          <w:iCs w:val="1"/>
          <w:color w:val="auto"/>
        </w:rPr>
        <w:t>OECD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Due Diligence Guidance for Responsible Supply Chains of Minerals from Conflict-Affected and High-Risk Areas: Second Edition, OECD Publishing </w:t>
      </w:r>
      <w:r>
        <w:rPr>
          <w:rFonts w:ascii="Arial" w:cs="Arial" w:eastAsia="Arial" w:hAnsi="Arial"/>
          <w:sz w:val="18"/>
          <w:szCs w:val="18"/>
          <w:color w:val="auto"/>
        </w:rPr>
        <w:t>and the related Supplements for gold and for tin, tantalum and tungsten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both"/>
        <w:ind w:left="200" w:right="239"/>
        <w:spacing w:after="0" w:line="284" w:lineRule="auto"/>
        <w:rPr>
          <w:sz w:val="20"/>
          <w:szCs w:val="20"/>
          <w:color w:val="auto"/>
        </w:rPr>
      </w:pPr>
      <w:r>
        <w:rPr>
          <w:rFonts w:ascii="Arial" w:cs="Arial" w:eastAsia="Arial" w:hAnsi="Arial"/>
          <w:sz w:val="16"/>
          <w:szCs w:val="16"/>
          <w:color w:val="auto"/>
        </w:rPr>
        <w:t>Our conflict minerals due diligence process includes the five steps as set forth in the Guidance: 1) establishing strong company management systems, 2) identifying and assessing risks in our supply chain, 3) designing and implementing a strategy to respond to identified risks, 4) utilizing independent third-party audits, and 5) publicly reporting on our supply chain due diligence. A summary of the due diligence measures undertaken by us is outlined below.</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Due diligence performed</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Establish Strong Company Management Systems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Internal team</w:t>
      </w:r>
    </w:p>
    <w:p>
      <w:pPr>
        <w:spacing w:after="0" w:line="198"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have organized a Conflict Minerals Committee comprised of individuals in the legal department, including a senior attorney. As needed, other management personnel from multiple departments participate and/or assist the Conflict Minerals Committee. The Conflict Minerals Committee leads our conflict minerals compliance effort and is responsible for implementing our conflict minerals compliance strategy and overseeing the program.</w:t>
      </w:r>
    </w:p>
    <w:p>
      <w:pPr>
        <w:spacing w:after="0" w:line="159" w:lineRule="exact"/>
        <w:rPr>
          <w:sz w:val="20"/>
          <w:szCs w:val="20"/>
          <w:color w:val="auto"/>
        </w:rPr>
      </w:pPr>
    </w:p>
    <w:p>
      <w:pPr>
        <w:jc w:val="both"/>
        <w:ind w:left="200" w:right="219" w:firstLine="67"/>
        <w:spacing w:after="0" w:line="284" w:lineRule="auto"/>
        <w:rPr>
          <w:sz w:val="20"/>
          <w:szCs w:val="20"/>
          <w:color w:val="auto"/>
        </w:rPr>
      </w:pPr>
      <w:r>
        <w:rPr>
          <w:rFonts w:ascii="Arial" w:cs="Arial" w:eastAsia="Arial" w:hAnsi="Arial"/>
          <w:sz w:val="16"/>
          <w:szCs w:val="16"/>
          <w:color w:val="auto"/>
        </w:rPr>
        <w:t>We have also taken on other management systems that include the use of a third-party vendor. Through our vendor’s tool we are able to collect and store supplier data and CMRTs, communicate with suppliers, and monitor risks in our supply chain. The use of these tools has allowed us to assist our suppliers in understanding our expectations and requirements and increase the rate of responses we have received from our suppliers to our survey requests.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Control systems</w:t>
      </w:r>
    </w:p>
    <w:p>
      <w:pPr>
        <w:spacing w:after="0" w:line="198"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7"/>
          <w:szCs w:val="17"/>
          <w:color w:val="auto"/>
        </w:rPr>
        <w:t>Controls include, but are not limited to, our Code of Business Conduct and Ethics, our Conflict Minerals Policy, regular monitoring of changes in applicable laws, regulations, and guidance, whistleblower mechanisms, regular training of key employee groups, and on-site visits and audits of our suppliers. Our Conflict Minerals Policy related to our sourcing of 3TGs is posted on our website at http://www.ufpinvestor.com/index.php/corporate-governance/highlights within the “Investor Relations” section under “Corporate Governance”.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Supplier engagement</w:t>
      </w:r>
    </w:p>
    <w:p>
      <w:pPr>
        <w:spacing w:after="0" w:line="198" w:lineRule="exact"/>
        <w:rPr>
          <w:sz w:val="20"/>
          <w:szCs w:val="20"/>
          <w:color w:val="auto"/>
        </w:rPr>
      </w:pPr>
    </w:p>
    <w:p>
      <w:pPr>
        <w:jc w:val="both"/>
        <w:ind w:left="200" w:right="219" w:firstLine="67"/>
        <w:spacing w:after="0" w:line="284" w:lineRule="auto"/>
        <w:rPr>
          <w:sz w:val="20"/>
          <w:szCs w:val="20"/>
          <w:color w:val="auto"/>
        </w:rPr>
      </w:pPr>
      <w:r>
        <w:rPr>
          <w:rFonts w:ascii="Arial" w:cs="Arial" w:eastAsia="Arial" w:hAnsi="Arial"/>
          <w:sz w:val="16"/>
          <w:szCs w:val="16"/>
          <w:color w:val="auto"/>
        </w:rPr>
        <w:t>With respect to the OECD requirement to strengthen engagement with suppliers, we have utilized the CMRT version 5.11 or higher and a third-party vendor’s software reporting tool for collecting Conflict Minerals declarations from our supply base. The use of these tools has allowed us to assist our suppliers in understanding our expectations and requirements and increase the rate of responses we have received from our suppliers to our survey requests.</w:t>
      </w:r>
    </w:p>
    <w:p>
      <w:pPr>
        <w:spacing w:after="0" w:line="14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have also communicated with suppliers potentially affected by our compliance efforts as identified through our RCOI process our expectation that they assist us in complying with our efforts related to our conflict minerals program. This includes obtaining information to support chain of custody of the 3TG identified in our products. We have provided suppliers access to our Conflict Minerals Policy through the website above or upon request.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Grievance mechanism</w:t>
      </w:r>
    </w:p>
    <w:p>
      <w:pPr>
        <w:spacing w:after="0" w:line="198"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We maintain several methods in which employees or third parties may notify us of potential issues with our conflict minerals program, including an anonymous employee hotline, email resources both internally and on our website, direct phone numbers, and our open door policy.</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Maintain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200" w:right="219"/>
        <w:spacing w:after="0" w:line="248" w:lineRule="auto"/>
        <w:rPr>
          <w:sz w:val="20"/>
          <w:szCs w:val="20"/>
          <w:color w:val="auto"/>
        </w:rPr>
      </w:pPr>
      <w:r>
        <w:rPr>
          <w:rFonts w:ascii="Arial" w:cs="Arial" w:eastAsia="Arial" w:hAnsi="Arial"/>
          <w:sz w:val="18"/>
          <w:szCs w:val="18"/>
          <w:color w:val="auto"/>
        </w:rPr>
        <w:t>We maintain company-wide document retention policies. These policies extend to the documentation accumulated in performing our 3TG due diligence procedures and requires that documentation will be retained for a period of five (5) years.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Identify and Assess Risks in the Supply Chain</w:t>
      </w:r>
    </w:p>
    <w:p>
      <w:pPr>
        <w:spacing w:after="0" w:line="198"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6"/>
          <w:szCs w:val="16"/>
          <w:color w:val="auto"/>
        </w:rPr>
        <w:t>It is important to note that UFP Industries has relied on supplier responses to provide us with the information about the source of 3TGs contained in the parts and components they supply to us. Similarly, our direct suppliers also rely on information provided by their suppliers. This chain of information creates a level of uncertainty and risk related to the accuracy of the information. We will continue to monitor, adapt, and modify our due diligence practices.</w:t>
      </w:r>
    </w:p>
    <w:p>
      <w:pPr>
        <w:spacing w:after="0" w:line="14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UFP Industries, through its third-party vendor, reviews all responses against set criteria that have been developed to determine whether further communication is needed. These criteria include: non-responsiveness, incomplete responses, company-level CMRT, and overall inconsistencies.</w:t>
      </w:r>
    </w:p>
    <w:p>
      <w:pPr>
        <w:spacing w:after="0" w:line="168" w:lineRule="exact"/>
        <w:rPr>
          <w:sz w:val="20"/>
          <w:szCs w:val="20"/>
          <w:color w:val="auto"/>
        </w:rPr>
      </w:pPr>
    </w:p>
    <w:p>
      <w:pPr>
        <w:jc w:val="both"/>
        <w:ind w:left="200" w:right="219"/>
        <w:spacing w:after="0" w:line="324" w:lineRule="auto"/>
        <w:rPr>
          <w:sz w:val="20"/>
          <w:szCs w:val="20"/>
          <w:color w:val="auto"/>
        </w:rPr>
      </w:pPr>
      <w:r>
        <w:rPr>
          <w:rFonts w:ascii="Arial" w:cs="Arial" w:eastAsia="Arial" w:hAnsi="Arial"/>
          <w:sz w:val="16"/>
          <w:szCs w:val="16"/>
          <w:color w:val="auto"/>
        </w:rPr>
        <w:t>Additionally, many companies continue to report “unknown” or having information from less than 75% of their suppliers, and therefore, they could not provide a comprehensive list of all smelters or refiners in their supply chains.</w:t>
      </w:r>
    </w:p>
    <w:p>
      <w:pPr>
        <w:spacing w:after="0" w:line="111"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7"/>
          <w:szCs w:val="17"/>
          <w:color w:val="auto"/>
        </w:rPr>
        <w:t>Risks were further identified by assessing the due diligence practices and the status of the smelters and refiners identified in the CMRTs provided to UFP Industries. Our third-party vendor compared the facilities listed in the responses to the list of smelters and refiners maintained by RMI to ensure that the facilities met the recognized definition of a 3TG processing facility that was operational during the 2019. Our vendor also determined if the smelter or refiner had been audited against a standard in conformance with the OECD Guidance, such as RMI’s Responsible Minerals Assurance Process. Smelters or refiners that completed RMI’s Responsible Minerals Assurance Process are considered to be DRC-conflict free. In cases where the smelter’s or refiner’s due diligence practices have not been audited against RMI’s Responsible Minerals Assurance Process, follow-ups are made to these suppliers. Smelters are then assessed for the potential for sourcing risk.</w:t>
      </w:r>
    </w:p>
    <w:p>
      <w:pPr>
        <w:spacing w:after="0" w:line="170"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7"/>
          <w:szCs w:val="17"/>
          <w:color w:val="auto"/>
        </w:rPr>
        <w:t>Each facility that meets the definition of a smelter or refiner of a 3TG mineral is assessed according to red-flag indicators defined in the OECD Guidance. Several factors are used to determine the level of risk, including:</w:t>
      </w:r>
    </w:p>
    <w:p>
      <w:pPr>
        <w:ind w:left="860" w:hanging="327"/>
        <w:spacing w:after="0" w:line="203"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proximity to the DRC and Covered Countries;</w:t>
      </w:r>
    </w:p>
    <w:p>
      <w:pPr>
        <w:ind w:left="860" w:hanging="327"/>
        <w:spacing w:after="0" w:line="203"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ind w:left="860" w:hanging="327"/>
        <w:spacing w:after="0" w:line="203"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Responsible Minerals Assurance Process status;</w:t>
      </w:r>
    </w:p>
    <w:p>
      <w:pPr>
        <w:ind w:left="860" w:hanging="327"/>
        <w:spacing w:after="0" w:line="203"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w:t>
      </w:r>
    </w:p>
    <w:p>
      <w:pPr>
        <w:ind w:left="860" w:hanging="327"/>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Peer assessment conducted by credible third-party sources.</w:t>
      </w:r>
    </w:p>
    <w:p>
      <w:pPr>
        <w:spacing w:after="0" w:line="16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Risk mitigation activities are initiated by our third-party vendor whenever a supplier’s CMRT reported facilities of concern. Our vendor provides feedback to such suppliers instructing that supplier to take their own independent risk mitigation actions. Examples include the submission of a product-specific CMRT to better identify the connection to products that they supply to us. Additional escalation may have been necessary to address any continued sourcing from these smelters of concern.</w:t>
      </w:r>
    </w:p>
    <w:p>
      <w:pPr>
        <w:spacing w:after="0" w:line="176"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As per the OECD Guidance, risk mitigation will also depend on the supplier’s specific context. If necessary, suppliers are given clear performance objectives within reasonable timeframes with the ultimate goal of progressive elimination of these risks from the supply chain.</w:t>
      </w:r>
    </w:p>
    <w:p>
      <w:pPr>
        <w:spacing w:after="0" w:line="168"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8"/>
          <w:szCs w:val="18"/>
          <w:color w:val="auto"/>
        </w:rPr>
        <w:t>In addition, suppliers are guided to the Assent University learning platform to engage in educational materials on mitigating the risk of smelters or refiners on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200" w:right="219"/>
        <w:spacing w:after="0" w:line="248" w:lineRule="auto"/>
        <w:rPr>
          <w:sz w:val="20"/>
          <w:szCs w:val="20"/>
          <w:color w:val="auto"/>
        </w:rPr>
      </w:pPr>
      <w:r>
        <w:rPr>
          <w:rFonts w:ascii="Arial" w:cs="Arial" w:eastAsia="Arial" w:hAnsi="Arial"/>
          <w:sz w:val="18"/>
          <w:szCs w:val="18"/>
          <w:color w:val="auto"/>
        </w:rPr>
        <w:t>Finally, suppliers are evaluated on program strength, which assists in making key risk mitigation decisions as the program progresses. The criteria used to evaluate the strength of the program are based on certain questions in the CMRT related to the supplier’s conflict mineral practices and policies, including:</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Do you have a policy in place that includes DRC conflict-free sourcing?</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 Have you implemented due diligence measures for conflict-free sourcing?</w:t>
      </w:r>
    </w:p>
    <w:p>
      <w:pPr>
        <w:ind w:left="860"/>
        <w:spacing w:after="0" w:line="234" w:lineRule="auto"/>
        <w:rPr>
          <w:sz w:val="20"/>
          <w:szCs w:val="20"/>
          <w:color w:val="auto"/>
        </w:rPr>
      </w:pPr>
      <w:r>
        <w:rPr>
          <w:rFonts w:ascii="Arial" w:cs="Arial" w:eastAsia="Arial" w:hAnsi="Arial"/>
          <w:sz w:val="18"/>
          <w:szCs w:val="18"/>
          <w:color w:val="auto"/>
        </w:rPr>
        <w:t>G. Does your review process include corrective active management?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 Do you verify due diligence information received from your suppliers?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Design and Implement a Strategy to Respond to Identified Risks</w:t>
      </w:r>
    </w:p>
    <w:p>
      <w:pPr>
        <w:spacing w:after="0" w:line="198"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6"/>
          <w:szCs w:val="16"/>
          <w:color w:val="auto"/>
        </w:rPr>
        <w:t xml:space="preserve">UFP Industries has established a Conflict Minerals Policy that outlines our expectations for suppliers. If these expectations are not met, the business relationship with that supplier will be evaluated. </w:t>
      </w:r>
      <w:r>
        <w:rPr>
          <w:rFonts w:ascii="Arial" w:cs="Arial" w:eastAsia="Arial" w:hAnsi="Arial"/>
          <w:sz w:val="12"/>
          <w:szCs w:val="12"/>
          <w:color w:val="auto"/>
        </w:rPr>
        <w:t>For example, if we find that we source</w:t>
      </w:r>
    </w:p>
    <w:p>
      <w:pPr>
        <w:spacing w:after="0" w:line="1" w:lineRule="exact"/>
        <w:rPr>
          <w:sz w:val="20"/>
          <w:szCs w:val="20"/>
          <w:color w:val="auto"/>
        </w:rPr>
      </w:pPr>
    </w:p>
    <w:p>
      <w:pPr>
        <w:jc w:val="both"/>
        <w:ind w:left="200" w:right="219"/>
        <w:spacing w:after="0" w:line="338" w:lineRule="auto"/>
        <w:rPr>
          <w:sz w:val="20"/>
          <w:szCs w:val="20"/>
          <w:color w:val="auto"/>
        </w:rPr>
      </w:pPr>
      <w:r>
        <w:rPr>
          <w:rFonts w:ascii="Arial" w:cs="Arial" w:eastAsia="Arial" w:hAnsi="Arial"/>
          <w:sz w:val="13"/>
          <w:szCs w:val="13"/>
          <w:color w:val="auto"/>
        </w:rPr>
        <w:t xml:space="preserve">3TGs that directly or indirectly finance or benefit armed groups in the Covered Countries, UFP Industries will assess the supplier relationship and encourage that supplier to establish an alternative source of the minerals that does not support such conflict. </w:t>
      </w:r>
      <w:r>
        <w:rPr>
          <w:rFonts w:ascii="Arial" w:cs="Arial" w:eastAsia="Arial" w:hAnsi="Arial"/>
          <w:sz w:val="15"/>
          <w:szCs w:val="15"/>
          <w:color w:val="auto"/>
        </w:rPr>
        <w:t>If an alternative source cannot</w:t>
      </w:r>
      <w:r>
        <w:rPr>
          <w:rFonts w:ascii="Arial" w:cs="Arial" w:eastAsia="Arial" w:hAnsi="Arial"/>
          <w:sz w:val="13"/>
          <w:szCs w:val="13"/>
          <w:color w:val="auto"/>
        </w:rPr>
        <w:t xml:space="preserve"> </w:t>
      </w:r>
      <w:r>
        <w:rPr>
          <w:rFonts w:ascii="Arial" w:cs="Arial" w:eastAsia="Arial" w:hAnsi="Arial"/>
          <w:sz w:val="15"/>
          <w:szCs w:val="15"/>
          <w:color w:val="auto"/>
        </w:rPr>
        <w:t>be found or the supplier chooses not to respond to this risk, we will assess whether or not that supplier can be replaced.</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auto"/>
        </w:rPr>
        <w:t>Carry Out Independent Third-Party Audit of Supply Chain Due Diligence at Identified Points in the Supply Chain</w:t>
      </w:r>
    </w:p>
    <w:p>
      <w:pPr>
        <w:spacing w:after="0" w:line="21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We do not have a direct relationship with smelters and refiners of Conflict Minerals and, therefore, do not perform or direct audits of these entities. In connection with our due diligence, we utilized information made available by RMI concerning independent third-party audits of smelters and refiners.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Report on Supply Chain Due Diligence</w:t>
      </w:r>
    </w:p>
    <w:p>
      <w:pPr>
        <w:spacing w:after="0" w:line="198"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8"/>
          <w:szCs w:val="18"/>
          <w:color w:val="auto"/>
        </w:rPr>
        <w:t>This Report, which constitutes our annual report on our due diligence efforts, is available on our website at http://www.ufpinvestor.com/index.php/corporate-governance/highlights within the “Investor Relations” section under “Corporate Governance” and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color w:val="auto"/>
        </w:rPr>
        <w:t>Results of Due Diligence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Survey Results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May 7, 2020, we received 82 CMRTs from 169 of our surveyed suppliers for the 2019 year.</w:t>
      </w:r>
    </w:p>
    <w:p>
      <w:pPr>
        <w:spacing w:after="0" w:line="198"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18"/>
          <w:szCs w:val="18"/>
          <w:color w:val="auto"/>
        </w:rPr>
        <w:t>Of the suppliers surveyed, many completed their CMRTs at the company, business unit or entity level. Due to the scope of these CMRTs, we are unable to conclude which of the 3TGs (if any) have actually been included in parts or products that they supplied to us, nor are we able to determine from which of the processing facilities they listed the 3TGs originated.</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Smelters and Refiners</w:t>
      </w:r>
    </w:p>
    <w:p>
      <w:pPr>
        <w:spacing w:after="0" w:line="198"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7"/>
          <w:szCs w:val="17"/>
          <w:color w:val="auto"/>
        </w:rPr>
        <w:t>Many of the responses provided by a supplier via the CMRT included the names of facilities listed by the suppliers as smelters or refiners (“SORs”). The CMRTs submitted by suppliers that do not list at least one smelter for each 3TG claimed on the CMRT are considered invalid, and our third-party service provider follows up on these, urging suppliers to resubmit the form and include smelter information. Even with that further request, there are still suppliers that are unable to provide SORs used for the materials supplied to us.</w:t>
      </w:r>
    </w:p>
    <w:p>
      <w:pPr>
        <w:spacing w:after="0" w:line="160"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6"/>
          <w:szCs w:val="16"/>
          <w:color w:val="auto"/>
        </w:rPr>
        <w:t>For all responses that indicated a SOR, our third-party service provider compared the facilities listed to the list of SORs maintained by the Responsible Minerals Initiative (“RMI”). If a supplier indicated that the facility was certified as “Conflict-Free,” our vendor confirmed that the name was listed by RMI as a certified smelter. As May 7, 2020, we have validated 285 smelters or refiners, and our third-party service provider is working to validate the additional smelter/refiner entries from the submitted CMRTs. Appendix A lists the smelters and refiners that the suppliers we surveyed reported as being in their supply chains. We have not listed in Appendix A any smelters or refiners that we have not been able to validate. Appendix A also includes an aggregated list of the countries of origin from which the reported facilities collectively source conflict minerals, based on information provided by suppliers and RMI.</w:t>
      </w:r>
    </w:p>
    <w:p>
      <w:pPr>
        <w:spacing w:after="0" w:line="154" w:lineRule="exact"/>
        <w:rPr>
          <w:sz w:val="20"/>
          <w:szCs w:val="20"/>
          <w:color w:val="auto"/>
        </w:rPr>
      </w:pPr>
    </w:p>
    <w:p>
      <w:pPr>
        <w:jc w:val="both"/>
        <w:ind w:left="200" w:right="239"/>
        <w:spacing w:after="0" w:line="248" w:lineRule="auto"/>
        <w:rPr>
          <w:sz w:val="20"/>
          <w:szCs w:val="20"/>
          <w:color w:val="auto"/>
        </w:rPr>
      </w:pPr>
      <w:r>
        <w:rPr>
          <w:rFonts w:ascii="Arial" w:cs="Arial" w:eastAsia="Arial" w:hAnsi="Arial"/>
          <w:sz w:val="18"/>
          <w:szCs w:val="18"/>
          <w:color w:val="auto"/>
        </w:rPr>
        <w:t>As our suppliers are largely unable to provide us with the information necessary to determine country of origin at the product level, we are unable to provide additional SOR names and country of origin of the necessary 3TGs in this Report at this time.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Future Steps to be Taken</w:t>
      </w:r>
    </w:p>
    <w:p>
      <w:pPr>
        <w:spacing w:after="0" w:line="202"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6"/>
          <w:szCs w:val="16"/>
          <w:color w:val="auto"/>
        </w:rPr>
        <w:t>We are committed to complying with the provisions of the Rule and Form SD and expect to continue our efforts to improve our conflict minerals program and related due diligence. As we further develop our program and procedures, we intend to take the following steps to mitigate the risk that any of the 3TGs contained in our products could benefit armed groups in the Covered Countries. These may include, but are not limited to the following:</w:t>
      </w:r>
    </w:p>
    <w:p>
      <w:pPr>
        <w:spacing w:after="0" w:line="128" w:lineRule="exact"/>
        <w:rPr>
          <w:sz w:val="20"/>
          <w:szCs w:val="20"/>
          <w:color w:val="auto"/>
        </w:rPr>
      </w:pPr>
    </w:p>
    <w:p>
      <w:pPr>
        <w:jc w:val="both"/>
        <w:ind w:left="1180" w:right="219" w:hanging="323"/>
        <w:spacing w:after="0" w:line="208"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our response rate and improve the content of responses to assist in our RCOI process and our efforts to determine the processing facilities for and country of origin of the 3TGs in our products with the greatest specificity possible;</w:t>
      </w:r>
    </w:p>
    <w:p>
      <w:pPr>
        <w:ind w:left="1180" w:hanging="323"/>
        <w:spacing w:after="0" w:line="20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suppliers and encourage them to provide responses at the product level;</w:t>
      </w:r>
    </w:p>
    <w:p>
      <w:pPr>
        <w:ind w:left="1180" w:hanging="323"/>
        <w:spacing w:after="0" w:line="20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invest in Conflict Minerals due diligence tools;</w:t>
      </w:r>
    </w:p>
    <w:p>
      <w:pPr>
        <w:ind w:left="1180" w:hanging="323"/>
        <w:spacing w:after="0" w:line="20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respond to legal requirements regarding 3TGs in our supply chain;</w:t>
      </w:r>
    </w:p>
    <w:p>
      <w:pPr>
        <w:ind w:left="1180" w:hanging="323"/>
        <w:spacing w:after="0" w:line="20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refine the identification of suppliers who provide us with 3TGs;</w:t>
      </w:r>
    </w:p>
    <w:p>
      <w:pPr>
        <w:jc w:val="both"/>
        <w:ind w:left="1180" w:right="219" w:hanging="323"/>
        <w:spacing w:after="0" w:line="218"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 a strategy to respond to identified risk, including but not limited to, potential action to be taken against suppliers that do not respond to our requests or do not provide reasonable information to support our due diligence activities;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1180" w:right="239" w:hanging="323"/>
        <w:spacing w:after="0" w:line="258"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Engage any of our suppliers found to be supplying us with 3TGs from sourcing that support conflict in the Covered Countries to establish an alternative source of 3TGs that does not support such conflict.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The table below lists, as of May 7, 2020, the smelters or refiners identified by our responsive suppliers that may have been used to process the conflict minerals necessary to the functionality or production of our products during 2019. As described above, this list may contain more facilities than are actually linked to the Company’s products. In addition, this list may not include all applicable facilities as not all of our suppliers were able to provide SOR information at this time.</w:t>
      </w:r>
    </w:p>
    <w:p>
      <w:pPr>
        <w:spacing w:after="0" w:line="184" w:lineRule="exact"/>
        <w:rPr>
          <w:sz w:val="20"/>
          <w:szCs w:val="20"/>
          <w:color w:val="auto"/>
        </w:rPr>
      </w:pPr>
    </w:p>
    <w:tbl>
      <w:tblPr>
        <w:tblLayout w:type="fixed"/>
        <w:tblInd w:w="230" w:type="dxa"/>
        <w:tblCellMar>
          <w:top w:w="0" w:type="dxa"/>
          <w:left w:w="0" w:type="dxa"/>
          <w:bottom w:w="0" w:type="dxa"/>
          <w:right w:w="0" w:type="dxa"/>
        </w:tblCellMar>
      </w:tblPr>
      <w:tr>
        <w:trPr>
          <w:trHeight w:val="216"/>
        </w:trPr>
        <w:tc>
          <w:tcPr>
            <w:tcW w:w="1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Metal</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Standard Smelter Name</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Smelter Facility Location</w:t>
            </w:r>
          </w:p>
        </w:tc>
        <w:tc>
          <w:tcPr>
            <w:tcW w:w="12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Smelter ID</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8853 S.p.A.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ITALY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CID002763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Abington Reldan Metals,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CID002708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Advanced Chemical Company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CID000015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African Gold Refinery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UGANDA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CID003185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Aida Chemical Industries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CID000019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Al Etihad Gold Refinery DMCC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CID002560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Allgemeine Gold-und Silberscheideanstalt A.G.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GERMANY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CID000035</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Almalyk Mining and Metallurgical Complex</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UZBEKISTAN</w:t>
            </w:r>
          </w:p>
        </w:tc>
        <w:tc>
          <w:tcPr>
            <w:tcW w:w="12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CID000041</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(AMMC)</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AngloGold Ashanti Corrego do Sitio Mineracao</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Argor-Heraeus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CID000077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Asahi Pretec Corp.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Asahi Refining Canada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CANADA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CID000924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Asahi Refining USA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CID000920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Asaka Riken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CID000090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Atasay Kuyumculuk Sanayi Ve Ticaret A.S.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TURKEY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CID000103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AU Traders and Refiners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SOUTH AFRICA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CID002850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Aurubis AG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CID000113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Bangalore Refinery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CID002863</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Bangko Sentral ng Pilipinas (Central Bank of the</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PHILIPPINES</w:t>
            </w:r>
          </w:p>
        </w:tc>
        <w:tc>
          <w:tcPr>
            <w:tcW w:w="12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CID000128</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Philippines)</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Boliden AB</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SWEDEN</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CID000157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C. Hafner GmbH + Co. KG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GERMANY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CID000176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Caridad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MEXICO</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CID000180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CCR Refinery - Glencore Canada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CANADA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CID000185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Cendres + Metaux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CID000189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CGR Metalloys Pvt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CID003382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Chimet S.p.A.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ITALY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CID000233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Chugai Mining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CID000264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Daye Non-Ferrous Metals Mining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CHINA</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CID000343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Degussa Sonne / Mond Goldhandel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GERMANY</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CID002867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Dijllah Gold Refinery FZC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CID003348</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11" w:name="page12"/>
    <w:bookmarkEnd w:id="1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DODUCO Contacts and Refining GmbH</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CID000362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Dowa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CID000401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DS PRETECH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CID003195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DSC (Do Sung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CID000359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Eco-System Recycling Co., Ltd. East Plant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CID000425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Emirates Gold DMCC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CID002561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Fujairah Gold FZC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CID002584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GCC Gujrat Gold Centre Pvt.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CID002852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Geib Refining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CID002459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Gold Refinery of Zijin Mining Group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CID002243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Great Wall Precious Metals Co., Ltd. of CBPM</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CID001909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Guangdong Jinding Gold Limited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CID002312</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Guoda Safina High-Tech Environmental Refinery</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CID000651</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Hangzhou Fuchunjiang Smelting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CID000671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Heimerle + Meule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CID000694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Heraeus Metals Hong Kong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CID000707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Heraeus Precious Metals GmbH &amp; Co. KG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CID000711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Hunan Chenzhou Mining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CID000767</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Hunan Guiyang yinxing Nonferrous Smelting</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CID000773</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HwaSeong CJ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CID000778</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Inner Mongolia Qiankun Gold and Silver</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CID000801</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Refinery Share 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International Precious Metal Refiners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CID002562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Ishifuku Metal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CID000807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Istanbul Gold Refinery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TURKEY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CID000814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Italpreziosi</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ITALY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CID002765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Japan Mint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CID000823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Jiangxi Copper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CID000855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JSC Uralelectromed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CID000929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JX Nippon Mining &amp;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CID000937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Kaloti Precious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UNITED ARAB EMIRATES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CID002563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Kazakhmys Smelting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KAZAKHSTAN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CID000956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Kazzinc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KAZAKHSTAN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CID000957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Kennecott Utah Copper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CID000969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KGHM Polska Miedz Spolka Akcyjna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POLAND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CID002511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Kojima Chemicals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CID000981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Korea Zinc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CID002605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Kyrgyzaltyn JSC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KYRGYZSTAN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CID001029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Kyshtym Copper-Electrolytic Plant ZAO</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CID002865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L'azurde Company For Jewelry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SAUDI ARABIA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CID001032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Lingbao Gold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CID001056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Lingbao Jinyuan Tonghui Refinery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L'Orfebre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ANDORRA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CID002762</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2" w:name="page13"/>
    <w:bookmarkEnd w:id="1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LS-NIKKO Copper Inc.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CID001078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LT Metal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CID000689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Luoyang Zijin Yinhui Gold Refinery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CID001093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Marsam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CID002606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Materion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CID001113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Matsuda Sangyo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CID001119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Metalor Technologies (Hong Kong)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CID001149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Metalor Technologies (Singapore) Pte.,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SINGAPORE</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CID001152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Metalor Technologies (Suzhou)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CID001147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Metalor Technologies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CID001153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Metalor USA Refining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CID001157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Metalurgica Met-Mex Penoles S.A. De C.V.</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MEXICO</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CID001161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Mitsubishi Materials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CID001188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Mitsui Mining and Smelting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CID001193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MMTC-PAMP India Pvt.,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Modeltech Sdn Bhd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MALAYSIA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CID002857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Morris and Watson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NEW ZEALAND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CID002282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Moscow Special Alloys Processing Plant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CID001204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Nadir Metal Rafineri San. Ve Tic. A.S.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TURKEY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CID001220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Navoi Mining and Metallurgical Combinat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UZBEKISTAN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CID001236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NH Recytech Company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CID003189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Nihon Material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CID001259</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Ogussa Osterreichische Gold- und Silber-</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AUSTRIA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CID002779</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Scheideanstalt GmbH</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Ohura Precious Metal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CID001325</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OJSC "The Gulidov Krasnoyarsk Non-Ferrous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RUSSIAN FEDERATION</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CID001326</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Metals Plant" (OJSC Krastsvetmet)</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OJSC Novosibirsk Refinery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CID000493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PAMP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CID001352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Pease &amp; Curren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CID002872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Penglai Penggang Gold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CID001362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Planta Recuperadora de Metales SpA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CHILE</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CID002919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Prioksky Plant of Non-Ferrous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CID001386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PT Aneka Tambang (Persero) Tbk</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CID001397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PX Precinox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CID001498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QG Refining,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CID003324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Rand Refinery (Pty)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SOUTH AFRICA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CID001512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Refinery of Seemine Gold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CID000522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REMONDIS PMR B.V.</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NETHERLANDS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Royal Canadian Mint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CANADA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CID001534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SAAMP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FRANCE</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CID002761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Sabin Metal Corp.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CID001546</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3" w:name="page14"/>
    <w:bookmarkEnd w:id="1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Safimet S.p.A</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ITALY</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CID002973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Sai Refinery</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CID002853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Samduck Precious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CID001555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Samwon Metals Corp.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CID001562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SAXONIA Edelmetalle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CID002777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SEMPSA Joyeria Plateria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SPAIN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CID001585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Shandong Humon Smelting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CID002525</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Shandong Tiancheng Biological Gold Industrial</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CID001619</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Shandong Zhaojin Gold &amp; Silver Refinery Co.,</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CID001622</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Sichuan Tianze Precious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CID001736</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Singway Technology Co., Ltd.</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6"/>
              </w:rPr>
              <w:t>TAIWAN, PROVINCE OF</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CID002516</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SOE Shyolkovsky Factory of Secondary Precious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RUSSIAN FEDERATION</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CID001756</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Metals</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Solar Applied Materials Technology Corp.</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6"/>
              </w:rPr>
              <w:t>TAIWAN, PROVINCE OF</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CID001761</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Sovereign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CID003383</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State Research Institute Center for Physical</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LITHUANIA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CID003153</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Sciences and Technology</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Sumitomo Metal Mining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CID001798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SungEel HiMetal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CID002918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T.C.A S.p.A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ITALY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CID002580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Tanaka Kikinzoku Kogyo K.K.</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CID001875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The Refinery of Shandong Gold Mining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CID001916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Tokuriki Honten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CID001938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Tongling Nonferrous Metals Group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CID001947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Tony Goetz NV</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BELGIUM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CID002587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TOO Tau-Ken-Altyn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KAZAKHSTAN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CID002615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Torecom</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CID001955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Umicore Brasil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CID001977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Umicore Precious Metals Thailand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THAILAND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CID002314</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Umicore S.A. Business Unit Precious Metals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BELGIUM</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CID001980</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Refining</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United Precious Metal Refining,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CID001993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Valcambi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SWITZERLAND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CID002003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Western Australian Mint (T/a The Perth Mint)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AUSTRALIA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CID002030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WIELAND Edelmetalle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CID002778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Yamakin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CID002100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Yokohama Metal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CID002129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Yunnan Copper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CID000197</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Gold</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Zhongyuan Gold Smelter of Zhongjin Gold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CID002224</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Corporation</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Asaka Riken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CID000092</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4" w:name="page15"/>
    <w:bookmarkEnd w:id="1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Changsha South Tantalum Niobium Co., Ltd.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CID000211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CP Metals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CID003402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D Block Metals,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Exotech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CID000456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F&amp;X Electro-Materials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CID000460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FIR Metals &amp; Resource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Global Advanced Metals Aizu</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Global Advanced Metals Boyertown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CID002557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Guangdong Zhiyuan New Material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CID000616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H.C. Starck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THAILAND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H.C. Starck Hermsdorf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H.C. Starck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H.C. Starck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H.C. Starck Smelting GmbH &amp; Co. KG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CID002550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H.C. Starck Tantalum and Niobium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CID002545</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Tantalum</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Hengyang King Xing Lifeng New Materials Co.,</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CID002492</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Jiangxi Dinghai Tantalum &amp; Niobium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CID002512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Jiangxi Tuohong New Raw Material</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CID002842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JiuJiang JinXin Nonferrous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CID000914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Jiujiang Tanbre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CID000917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Jiujiang Zhongao Tantalum &amp; Niobium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KEMET Blue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MEXICO</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CID002539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LSM Brasil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CID001076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Metallurgical Products India Pvt.,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INDIA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CID001163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Mineracao Taboca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CID001175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Mitsui Mining and Smelting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CID001192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Ningxia Orient Tantalum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CID001277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NPM Silmet AS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ESTONIA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CID001200</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Tantalum</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PRG Dooel</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NORTH MACEDONIA,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CID002847</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REPUBLIC OF</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QuantumClean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CID001508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Resind Industria e Comercio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CID002707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Solikamsk Magnesium Works OAO</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CID001769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Taki Chemical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CID001869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Telex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CID001891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Ulba Metallurgical Plant JSC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KAZAKHSTAN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CID001969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XinXing HaoRong Electronic Material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Tantalum</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Yanling Jincheng Tantalum &amp; Niobium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CID001522</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5" w:name="page16"/>
    <w:bookmarkEnd w:id="1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Alpha</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CID000292</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An Vinh Joint Stock Mineral Processing</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VIET NAM</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CID002703</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Chenzhou Yunxiang Mining and Metallurgy Co.,</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CID000228</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Chifeng Dajingzi Tin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CID003190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China Tin Group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CID001070</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Dongguan CiEXPO Environmental Engineering</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CID003356</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Dowa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CID000402</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Electro-Mechanical Facility of the Cao Bang</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VIET NAM</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CID002572</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Minerals &amp; Metallurgy Joint Stock Company</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EM Vinto</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BOLIVIA (PLURINATIONAL</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CID000438</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STATE OF)</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Estanho de Rondonia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CID000448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Fenix Metals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POLAND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CID000468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Gejiu Kai Meng Industry and Trade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CID000942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Gejiu Non-Ferrous Metal Processing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CID000538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Gejiu Yunxin Nonferrous Electrolysis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CID001908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Gejiu Zili Mining And Metallurgy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CID000555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Guangdong Hanhe Non-Ferrous Metal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CID003116</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Guanyang Guida Nonferrous Metal Smelting</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CID002849</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Plant</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HuiChang Hill Tin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CID002844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Huichang Jinshunda Tin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CID000760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Jiangxi New Nanshan Technology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CID001231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Ma'anshan Weitai Tin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CID003379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Magnu's Minerais Metais e Ligas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CID002468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Malaysia Smelting Corporation (MSC)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MALAYSIA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CID001105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Melt Metais e Ligas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Metallic Resources,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CID001142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Metallo Belgium N.V.</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BELGIUM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CID002773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Metallo Spain S.L.U.</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SPAIN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CID002774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Mineracao Taboca S.A.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CID001173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Minsur</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PERU</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Mitsubishi Materials Corporation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CID001191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Modeltech Sdn Bhd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MALAYSIA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CID002858</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Nghe Tinh Non-Ferrous Metals Joint Stock</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VIET NAM</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CID002573</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O.M. Manufacturing (Thailand)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THAILAND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CID001314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O.M. Manufacturing Philippines,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PHILIPPINES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CID002517</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Tin</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Operaciones Metalurgicas S.A.</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BOLIVIA (PLURINATIONAL</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CID001337</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STATE OF)</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Pongpipat Company Limited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MYANMAR</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CID003208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460"/>
              <w:spacing w:after="0" w:line="196" w:lineRule="exact"/>
              <w:rPr>
                <w:sz w:val="20"/>
                <w:szCs w:val="20"/>
                <w:color w:val="auto"/>
              </w:rPr>
            </w:pPr>
            <w:r>
              <w:rPr>
                <w:rFonts w:ascii="Arial" w:cs="Arial" w:eastAsia="Arial" w:hAnsi="Arial"/>
                <w:sz w:val="18"/>
                <w:szCs w:val="18"/>
                <w:color w:val="auto"/>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PT Artha Cipta Langgeng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CID001399</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6" w:name="page17"/>
    <w:bookmarkEnd w:id="1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PT ATD Makmur Mandiri Jaya</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CID002503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PT Menara Cipta Mulia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CID002835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PT Mitra Stania Prima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CID001453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PT Refined Bangka Tin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CID001460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PT Timah Tbk Kundur</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CID001477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PT Timah Tbk Mentok</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INDONESIA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CID001482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Resind Industria e Comercio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CID002706</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Tin</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Rui Da Hung</w:t>
            </w:r>
          </w:p>
        </w:tc>
        <w:tc>
          <w:tcPr>
            <w:tcW w:w="2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6"/>
              </w:rPr>
              <w:t>TAIWAN, PROVINCE OF</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CID001539</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Soft Metais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CID001758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Super Ligas</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CID002756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Thai Nguyen Mining and Metallurgy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VIET NAM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CID002834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Thaisarco</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THAILAND</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CID001898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Tin Technology &amp; Refining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CID003325</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Tin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Tuyen Quang Non-Ferrous Metals Joint Stock</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VIET NAM</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CID002574</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White Solder Metalurgia e Mineracao Ltda.</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CID002036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Yunnan Chengfeng Non-ferrous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CID002158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Yunnan Tin Company Limited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CID002180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Yunnan Yunfan Non-ferrous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CID003397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A.L.M.T. Corp.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CID000004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ACL Metais Eireli</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BRAZIL</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CID002833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Asia Tungsten Products Vietnam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VIET NAM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CID002502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Chenzhou Diamond Tungsten Products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CID002513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Chongyi Zhangyuan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CID000258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CNMC (Guangxi) PGMA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CID000281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Fujian Jinxin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CID000499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Ganzhou Haichuang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CID002645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Ganzhou Huaxing Tungsten Products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CID000875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Ganzhou Jiangwu Ferrotungsten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Ganzhou Seadragon W &amp; Mo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CID002494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Global Tungsten &amp; Powders Corp.</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CID000568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Guangdong Xianglu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CID000218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H.C. Starck Smelting GmbH &amp; Co. KG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H.C. Starck Tungsten GmbH</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GERMANY</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Hunan Chenzhou Mining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CID000766</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Tungsten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Hunan Chuangda Vanadium Tungsten Co., Ltd.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CID002579</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Wuji</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Hunan Chunchang Nonferrous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CID000769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Hunan Litian Tungsten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CID003182</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Hydrometallurg, JSC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CID002649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Japan New Metals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JAPAN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CID000825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Jiangwu H.C. Starck Tungsten Products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CID002551</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Jiangxi Gan Bei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CID002321</w:t>
            </w:r>
          </w:p>
        </w:tc>
        <w:tc>
          <w:tcPr>
            <w:tcW w:w="0" w:type="dxa"/>
            <w:vAlign w:val="bottom"/>
          </w:tcPr>
          <w:p>
            <w:pPr>
              <w:spacing w:after="0"/>
              <w:rPr>
                <w:sz w:val="1"/>
                <w:szCs w:val="1"/>
                <w:color w:val="auto"/>
              </w:rPr>
            </w:pPr>
          </w:p>
        </w:tc>
      </w:tr>
      <w:tr>
        <w:trPr>
          <w:trHeight w:val="554"/>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7" w:name="page18"/>
    <w:bookmarkEnd w:id="17"/>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1180" w:type="dxa"/>
            <w:vAlign w:val="bottom"/>
            <w:tcBorders>
              <w:left w:val="single" w:sz="8" w:color="auto"/>
              <w:right w:val="single" w:sz="8" w:color="auto"/>
            </w:tcBorders>
          </w:tcPr>
          <w:p>
            <w:pPr>
              <w:spacing w:after="0"/>
              <w:rPr>
                <w:sz w:val="17"/>
                <w:szCs w:val="17"/>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Jiangxi Minmetals Gao'an Non-ferrous Metals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CID002313</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Tungsten</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right w:val="single" w:sz="8" w:color="auto"/>
            </w:tcBorders>
            <w:vMerge w:val="continue"/>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180" w:type="dxa"/>
            <w:vAlign w:val="bottom"/>
            <w:tcBorders>
              <w:left w:val="single" w:sz="8" w:color="auto"/>
              <w:right w:val="single" w:sz="8" w:color="auto"/>
            </w:tcBorders>
            <w:vMerge w:val="continue"/>
          </w:tcPr>
          <w:p>
            <w:pPr>
              <w:spacing w:after="0"/>
              <w:rPr>
                <w:sz w:val="5"/>
                <w:szCs w:val="5"/>
                <w:color w:val="auto"/>
              </w:rPr>
            </w:pPr>
          </w:p>
        </w:tc>
        <w:tc>
          <w:tcPr>
            <w:tcW w:w="364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8"/>
                <w:szCs w:val="18"/>
                <w:color w:val="auto"/>
                <w:w w:val="93"/>
              </w:rPr>
              <w:t>Jiangxi Tonggu Non-ferrous Metallurgical &amp;</w:t>
            </w:r>
          </w:p>
        </w:tc>
        <w:tc>
          <w:tcPr>
            <w:tcW w:w="250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Tungsten</w:t>
            </w:r>
          </w:p>
        </w:tc>
        <w:tc>
          <w:tcPr>
            <w:tcW w:w="36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CID002318</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vMerge w:val="continue"/>
          </w:tcPr>
          <w:p>
            <w:pPr>
              <w:spacing w:after="0"/>
              <w:rPr>
                <w:sz w:val="11"/>
                <w:szCs w:val="11"/>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Chemical Co., Ltd.</w:t>
            </w:r>
          </w:p>
        </w:tc>
        <w:tc>
          <w:tcPr>
            <w:tcW w:w="25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Jiangxi Xianglu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CID002647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Jiangxi Xinsheng Tungsten Industry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Jiangxi Yaosheng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Kennametal Fallon</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CID000966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Kennametal Huntsville</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CID000105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KGETS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CID003388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Malipo Haiyu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CID002319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Masan Tungsten Chemical LLC (MTC)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VIET NAM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CID002543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Moliren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CID002845</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Niagara Refining LLC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UNITED STATES OF AMERICA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CID002589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Philippine Chuangxin Industrial Co., Inc.</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PHILIPPINES</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CID002827</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Tejing (Vietnam)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VIET NAM</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CID001889</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Unecha Refractory metals plant</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RUSSIAN FEDERATION</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CID002724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Wolfram Bergbau und Hutten AG</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AUSTRIA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CID002044</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Woltech Korea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KOREA, REPUBLIC OF</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CID002843</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Xiamen Tungsten (H.C.)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CID002320</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Xiamen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CID002082</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Tungsten</w:t>
            </w:r>
          </w:p>
        </w:tc>
        <w:tc>
          <w:tcPr>
            <w:tcW w:w="3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Xinfeng Huarui Tungsten &amp; Molybdenum New</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CHINA</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CID002830</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Material Co., Ltd.</w:t>
            </w:r>
          </w:p>
        </w:tc>
        <w:tc>
          <w:tcPr>
            <w:tcW w:w="25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bottom w:val="single" w:sz="8" w:color="auto"/>
              <w:right w:val="single" w:sz="8" w:color="auto"/>
            </w:tcBorders>
          </w:tcPr>
          <w:p>
            <w:pPr>
              <w:ind w:left="240"/>
              <w:spacing w:after="0" w:line="196" w:lineRule="exact"/>
              <w:rPr>
                <w:sz w:val="20"/>
                <w:szCs w:val="20"/>
                <w:color w:val="auto"/>
              </w:rPr>
            </w:pPr>
            <w:r>
              <w:rPr>
                <w:rFonts w:ascii="Arial" w:cs="Arial" w:eastAsia="Arial" w:hAnsi="Arial"/>
                <w:sz w:val="18"/>
                <w:szCs w:val="18"/>
                <w:color w:val="auto"/>
              </w:rPr>
              <w:t>Tungsten</w:t>
            </w:r>
          </w:p>
        </w:tc>
        <w:tc>
          <w:tcPr>
            <w:tcW w:w="3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Xinhai Rendan Shaoguan Tungsten Co., Ltd.</w:t>
            </w:r>
          </w:p>
        </w:tc>
        <w:tc>
          <w:tcPr>
            <w:tcW w:w="25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CHINA</w:t>
            </w:r>
          </w:p>
        </w:tc>
        <w:tc>
          <w:tcPr>
            <w:tcW w:w="126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CID002095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-2905760</wp:posOffset>
            </wp:positionV>
            <wp:extent cx="745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Country of Origin:</w:t>
      </w:r>
    </w:p>
    <w:p>
      <w:pPr>
        <w:spacing w:after="0" w:line="135" w:lineRule="exact"/>
        <w:rPr>
          <w:sz w:val="20"/>
          <w:szCs w:val="20"/>
          <w:color w:val="auto"/>
        </w:rPr>
      </w:pPr>
    </w:p>
    <w:p>
      <w:pPr>
        <w:jc w:val="both"/>
        <w:ind w:left="200" w:right="219"/>
        <w:spacing w:after="0" w:line="203" w:lineRule="auto"/>
        <w:rPr>
          <w:sz w:val="20"/>
          <w:szCs w:val="20"/>
          <w:color w:val="auto"/>
        </w:rPr>
      </w:pPr>
      <w:r>
        <w:rPr>
          <w:rFonts w:ascii="Arial" w:cs="Arial" w:eastAsia="Arial" w:hAnsi="Arial"/>
          <w:sz w:val="18"/>
          <w:szCs w:val="18"/>
          <w:color w:val="auto"/>
        </w:rPr>
        <w:t>This list of potential countries of origin is populated based on information provided through the CMRT data collection process, direct smelter outreach by our service provider, and RMI’s responsible minerals assurance process. It is important to note that this list is based, in part, on company-level responses, and therefore, it is not certain which of these countries of origin can be linked to our products. In addition, it is likely that more countries are listed below than are directly linked to our products.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Country List:</w:t>
      </w:r>
    </w:p>
    <w:p>
      <w:pPr>
        <w:spacing w:after="0" w:line="173"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FFFFFF"/>
        </w:rPr>
        <w:t>Country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-103505</wp:posOffset>
            </wp:positionV>
            <wp:extent cx="2580005"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0005" cy="111125"/>
                    </a:xfrm>
                    <a:prstGeom prst="rect">
                      <a:avLst/>
                    </a:prstGeom>
                    <a:noFill/>
                  </pic:spPr>
                </pic:pic>
              </a:graphicData>
            </a:graphic>
          </wp:anchor>
        </w:drawing>
      </w:r>
    </w:p>
    <w:p>
      <w:pPr>
        <w:ind w:left="880"/>
        <w:spacing w:after="0" w:line="203" w:lineRule="auto"/>
        <w:rPr>
          <w:sz w:val="20"/>
          <w:szCs w:val="20"/>
          <w:color w:val="auto"/>
        </w:rPr>
      </w:pPr>
      <w:r>
        <w:rPr>
          <w:rFonts w:ascii="Arial" w:cs="Arial" w:eastAsia="Arial" w:hAnsi="Arial"/>
          <w:sz w:val="18"/>
          <w:szCs w:val="18"/>
          <w:color w:val="auto"/>
        </w:rPr>
        <w:t>Afghanistan</w:t>
      </w:r>
    </w:p>
    <w:p>
      <w:pPr>
        <w:ind w:left="880"/>
        <w:spacing w:after="0" w:line="203" w:lineRule="auto"/>
        <w:rPr>
          <w:sz w:val="20"/>
          <w:szCs w:val="20"/>
          <w:color w:val="auto"/>
        </w:rPr>
      </w:pPr>
      <w:r>
        <w:rPr>
          <w:rFonts w:ascii="Arial" w:cs="Arial" w:eastAsia="Arial" w:hAnsi="Arial"/>
          <w:sz w:val="18"/>
          <w:szCs w:val="18"/>
          <w:color w:val="auto"/>
        </w:rPr>
        <w:t>Albania</w:t>
      </w:r>
    </w:p>
    <w:p>
      <w:pPr>
        <w:ind w:left="880"/>
        <w:spacing w:after="0" w:line="204" w:lineRule="auto"/>
        <w:rPr>
          <w:sz w:val="20"/>
          <w:szCs w:val="20"/>
          <w:color w:val="auto"/>
        </w:rPr>
      </w:pPr>
      <w:r>
        <w:rPr>
          <w:rFonts w:ascii="Arial" w:cs="Arial" w:eastAsia="Arial" w:hAnsi="Arial"/>
          <w:sz w:val="18"/>
          <w:szCs w:val="18"/>
          <w:color w:val="auto"/>
        </w:rPr>
        <w:t>Angola</w:t>
      </w:r>
    </w:p>
    <w:p>
      <w:pPr>
        <w:ind w:left="880"/>
        <w:spacing w:after="0" w:line="203" w:lineRule="auto"/>
        <w:rPr>
          <w:sz w:val="20"/>
          <w:szCs w:val="20"/>
          <w:color w:val="auto"/>
        </w:rPr>
      </w:pPr>
      <w:r>
        <w:rPr>
          <w:rFonts w:ascii="Arial" w:cs="Arial" w:eastAsia="Arial" w:hAnsi="Arial"/>
          <w:sz w:val="18"/>
          <w:szCs w:val="18"/>
          <w:color w:val="auto"/>
        </w:rPr>
        <w:t>Argentina</w:t>
      </w:r>
    </w:p>
    <w:p>
      <w:pPr>
        <w:ind w:left="880"/>
        <w:spacing w:after="0" w:line="204" w:lineRule="auto"/>
        <w:rPr>
          <w:sz w:val="20"/>
          <w:szCs w:val="20"/>
          <w:color w:val="auto"/>
        </w:rPr>
      </w:pPr>
      <w:r>
        <w:rPr>
          <w:rFonts w:ascii="Arial" w:cs="Arial" w:eastAsia="Arial" w:hAnsi="Arial"/>
          <w:sz w:val="18"/>
          <w:szCs w:val="18"/>
          <w:color w:val="auto"/>
        </w:rPr>
        <w:t>Armenia</w:t>
      </w:r>
    </w:p>
    <w:p>
      <w:pPr>
        <w:ind w:left="880"/>
        <w:spacing w:after="0" w:line="203" w:lineRule="auto"/>
        <w:rPr>
          <w:sz w:val="20"/>
          <w:szCs w:val="20"/>
          <w:color w:val="auto"/>
        </w:rPr>
      </w:pPr>
      <w:r>
        <w:rPr>
          <w:rFonts w:ascii="Arial" w:cs="Arial" w:eastAsia="Arial" w:hAnsi="Arial"/>
          <w:sz w:val="18"/>
          <w:szCs w:val="18"/>
          <w:color w:val="auto"/>
        </w:rPr>
        <w:t>Australia</w:t>
      </w:r>
    </w:p>
    <w:p>
      <w:pPr>
        <w:ind w:left="880"/>
        <w:spacing w:after="0" w:line="204" w:lineRule="auto"/>
        <w:rPr>
          <w:sz w:val="20"/>
          <w:szCs w:val="20"/>
          <w:color w:val="auto"/>
        </w:rPr>
      </w:pPr>
      <w:r>
        <w:rPr>
          <w:rFonts w:ascii="Arial" w:cs="Arial" w:eastAsia="Arial" w:hAnsi="Arial"/>
          <w:sz w:val="18"/>
          <w:szCs w:val="18"/>
          <w:color w:val="auto"/>
        </w:rPr>
        <w:t>Austria</w:t>
      </w:r>
    </w:p>
    <w:p>
      <w:pPr>
        <w:ind w:left="880"/>
        <w:spacing w:after="0" w:line="203" w:lineRule="auto"/>
        <w:rPr>
          <w:sz w:val="20"/>
          <w:szCs w:val="20"/>
          <w:color w:val="auto"/>
        </w:rPr>
      </w:pPr>
      <w:r>
        <w:rPr>
          <w:rFonts w:ascii="Arial" w:cs="Arial" w:eastAsia="Arial" w:hAnsi="Arial"/>
          <w:sz w:val="18"/>
          <w:szCs w:val="18"/>
          <w:color w:val="auto"/>
        </w:rPr>
        <w:t>Belarus</w:t>
      </w:r>
    </w:p>
    <w:p>
      <w:pPr>
        <w:ind w:left="880"/>
        <w:spacing w:after="0" w:line="204" w:lineRule="auto"/>
        <w:rPr>
          <w:sz w:val="20"/>
          <w:szCs w:val="20"/>
          <w:color w:val="auto"/>
        </w:rPr>
      </w:pPr>
      <w:r>
        <w:rPr>
          <w:rFonts w:ascii="Arial" w:cs="Arial" w:eastAsia="Arial" w:hAnsi="Arial"/>
          <w:sz w:val="18"/>
          <w:szCs w:val="18"/>
          <w:color w:val="auto"/>
        </w:rPr>
        <w:t>Belgium</w:t>
      </w:r>
    </w:p>
    <w:p>
      <w:pPr>
        <w:ind w:left="880"/>
        <w:spacing w:after="0" w:line="203" w:lineRule="auto"/>
        <w:rPr>
          <w:sz w:val="20"/>
          <w:szCs w:val="20"/>
          <w:color w:val="auto"/>
        </w:rPr>
      </w:pPr>
      <w:r>
        <w:rPr>
          <w:rFonts w:ascii="Arial" w:cs="Arial" w:eastAsia="Arial" w:hAnsi="Arial"/>
          <w:sz w:val="18"/>
          <w:szCs w:val="18"/>
          <w:color w:val="auto"/>
        </w:rPr>
        <w:t>Bermuda</w:t>
      </w:r>
    </w:p>
    <w:p>
      <w:pPr>
        <w:ind w:left="880"/>
        <w:spacing w:after="0" w:line="204" w:lineRule="auto"/>
        <w:rPr>
          <w:sz w:val="20"/>
          <w:szCs w:val="20"/>
          <w:color w:val="auto"/>
        </w:rPr>
      </w:pPr>
      <w:r>
        <w:rPr>
          <w:rFonts w:ascii="Arial" w:cs="Arial" w:eastAsia="Arial" w:hAnsi="Arial"/>
          <w:sz w:val="18"/>
          <w:szCs w:val="18"/>
          <w:color w:val="auto"/>
        </w:rPr>
        <w:t>Bolivia</w:t>
      </w:r>
    </w:p>
    <w:p>
      <w:pPr>
        <w:ind w:left="880"/>
        <w:spacing w:after="0"/>
        <w:rPr>
          <w:sz w:val="20"/>
          <w:szCs w:val="20"/>
          <w:color w:val="auto"/>
        </w:rPr>
      </w:pPr>
      <w:r>
        <w:rPr>
          <w:rFonts w:ascii="Arial" w:cs="Arial" w:eastAsia="Arial" w:hAnsi="Arial"/>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880"/>
        <w:spacing w:after="0"/>
        <w:rPr>
          <w:sz w:val="20"/>
          <w:szCs w:val="20"/>
          <w:color w:val="auto"/>
        </w:rPr>
      </w:pPr>
      <w:r>
        <w:rPr>
          <w:rFonts w:ascii="Arial" w:cs="Arial" w:eastAsia="Arial" w:hAnsi="Arial"/>
          <w:sz w:val="18"/>
          <w:szCs w:val="18"/>
          <w:color w:val="auto"/>
        </w:rPr>
        <w:t>Bulgaria</w:t>
      </w:r>
    </w:p>
    <w:p>
      <w:pPr>
        <w:ind w:left="880"/>
        <w:spacing w:after="0" w:line="203" w:lineRule="auto"/>
        <w:rPr>
          <w:sz w:val="20"/>
          <w:szCs w:val="20"/>
          <w:color w:val="auto"/>
        </w:rPr>
      </w:pPr>
      <w:r>
        <w:rPr>
          <w:rFonts w:ascii="Arial" w:cs="Arial" w:eastAsia="Arial" w:hAnsi="Arial"/>
          <w:sz w:val="18"/>
          <w:szCs w:val="18"/>
          <w:color w:val="auto"/>
        </w:rPr>
        <w:t>Burundi</w:t>
      </w:r>
    </w:p>
    <w:p>
      <w:pPr>
        <w:ind w:left="880"/>
        <w:spacing w:after="0" w:line="203" w:lineRule="auto"/>
        <w:rPr>
          <w:sz w:val="20"/>
          <w:szCs w:val="20"/>
          <w:color w:val="auto"/>
        </w:rPr>
      </w:pPr>
      <w:r>
        <w:rPr>
          <w:rFonts w:ascii="Arial" w:cs="Arial" w:eastAsia="Arial" w:hAnsi="Arial"/>
          <w:sz w:val="18"/>
          <w:szCs w:val="18"/>
          <w:color w:val="auto"/>
        </w:rPr>
        <w:t>Cambodia</w:t>
      </w:r>
    </w:p>
    <w:p>
      <w:pPr>
        <w:ind w:left="880"/>
        <w:spacing w:after="0" w:line="204" w:lineRule="auto"/>
        <w:rPr>
          <w:sz w:val="20"/>
          <w:szCs w:val="20"/>
          <w:color w:val="auto"/>
        </w:rPr>
      </w:pPr>
      <w:r>
        <w:rPr>
          <w:rFonts w:ascii="Arial" w:cs="Arial" w:eastAsia="Arial" w:hAnsi="Arial"/>
          <w:sz w:val="18"/>
          <w:szCs w:val="18"/>
          <w:color w:val="auto"/>
        </w:rPr>
        <w:t>Canada</w:t>
      </w:r>
    </w:p>
    <w:p>
      <w:pPr>
        <w:ind w:left="880"/>
        <w:spacing w:after="0" w:line="203" w:lineRule="auto"/>
        <w:rPr>
          <w:sz w:val="20"/>
          <w:szCs w:val="20"/>
          <w:color w:val="auto"/>
        </w:rPr>
      </w:pPr>
      <w:r>
        <w:rPr>
          <w:rFonts w:ascii="Arial" w:cs="Arial" w:eastAsia="Arial" w:hAnsi="Arial"/>
          <w:sz w:val="18"/>
          <w:szCs w:val="18"/>
          <w:color w:val="auto"/>
        </w:rPr>
        <w:t>Central African Republic</w:t>
      </w:r>
    </w:p>
    <w:p>
      <w:pPr>
        <w:ind w:left="880"/>
        <w:spacing w:after="0" w:line="204" w:lineRule="auto"/>
        <w:rPr>
          <w:sz w:val="20"/>
          <w:szCs w:val="20"/>
          <w:color w:val="auto"/>
        </w:rPr>
      </w:pPr>
      <w:r>
        <w:rPr>
          <w:rFonts w:ascii="Arial" w:cs="Arial" w:eastAsia="Arial" w:hAnsi="Arial"/>
          <w:sz w:val="18"/>
          <w:szCs w:val="18"/>
          <w:color w:val="auto"/>
        </w:rPr>
        <w:t>Chile</w:t>
      </w:r>
    </w:p>
    <w:p>
      <w:pPr>
        <w:ind w:left="880"/>
        <w:spacing w:after="0" w:line="203" w:lineRule="auto"/>
        <w:rPr>
          <w:sz w:val="20"/>
          <w:szCs w:val="20"/>
          <w:color w:val="auto"/>
        </w:rPr>
      </w:pPr>
      <w:r>
        <w:rPr>
          <w:rFonts w:ascii="Arial" w:cs="Arial" w:eastAsia="Arial" w:hAnsi="Arial"/>
          <w:sz w:val="18"/>
          <w:szCs w:val="18"/>
          <w:color w:val="auto"/>
        </w:rPr>
        <w:t>China</w:t>
      </w:r>
    </w:p>
    <w:p>
      <w:pPr>
        <w:ind w:left="880"/>
        <w:spacing w:after="0" w:line="204" w:lineRule="auto"/>
        <w:rPr>
          <w:sz w:val="20"/>
          <w:szCs w:val="20"/>
          <w:color w:val="auto"/>
        </w:rPr>
      </w:pPr>
      <w:r>
        <w:rPr>
          <w:rFonts w:ascii="Arial" w:cs="Arial" w:eastAsia="Arial" w:hAnsi="Arial"/>
          <w:sz w:val="18"/>
          <w:szCs w:val="18"/>
          <w:color w:val="auto"/>
        </w:rPr>
        <w:t>Colombia</w:t>
      </w:r>
    </w:p>
    <w:p>
      <w:pPr>
        <w:ind w:left="880"/>
        <w:spacing w:after="0" w:line="203" w:lineRule="auto"/>
        <w:rPr>
          <w:sz w:val="20"/>
          <w:szCs w:val="20"/>
          <w:color w:val="auto"/>
        </w:rPr>
      </w:pPr>
      <w:r>
        <w:rPr>
          <w:rFonts w:ascii="Arial" w:cs="Arial" w:eastAsia="Arial" w:hAnsi="Arial"/>
          <w:sz w:val="18"/>
          <w:szCs w:val="18"/>
          <w:color w:val="auto"/>
        </w:rPr>
        <w:t>Czech Republic</w:t>
      </w:r>
    </w:p>
    <w:p>
      <w:pPr>
        <w:ind w:left="880"/>
        <w:spacing w:after="0" w:line="204" w:lineRule="auto"/>
        <w:rPr>
          <w:sz w:val="20"/>
          <w:szCs w:val="20"/>
          <w:color w:val="auto"/>
        </w:rPr>
      </w:pPr>
      <w:r>
        <w:rPr>
          <w:rFonts w:ascii="Arial" w:cs="Arial" w:eastAsia="Arial" w:hAnsi="Arial"/>
          <w:sz w:val="18"/>
          <w:szCs w:val="18"/>
          <w:color w:val="auto"/>
        </w:rPr>
        <w:t>Djibouti</w:t>
      </w:r>
    </w:p>
    <w:p>
      <w:pPr>
        <w:ind w:left="880"/>
        <w:spacing w:after="0" w:line="203" w:lineRule="auto"/>
        <w:rPr>
          <w:sz w:val="20"/>
          <w:szCs w:val="20"/>
          <w:color w:val="auto"/>
        </w:rPr>
      </w:pPr>
      <w:r>
        <w:rPr>
          <w:rFonts w:ascii="Arial" w:cs="Arial" w:eastAsia="Arial" w:hAnsi="Arial"/>
          <w:sz w:val="18"/>
          <w:szCs w:val="18"/>
          <w:color w:val="auto"/>
        </w:rPr>
        <w:t>Dominican Republic</w:t>
      </w:r>
    </w:p>
    <w:p>
      <w:pPr>
        <w:ind w:left="880"/>
        <w:spacing w:after="0" w:line="229" w:lineRule="auto"/>
        <w:rPr>
          <w:sz w:val="20"/>
          <w:szCs w:val="20"/>
          <w:color w:val="auto"/>
        </w:rPr>
      </w:pPr>
      <w:r>
        <w:rPr>
          <w:rFonts w:ascii="Arial" w:cs="Arial" w:eastAsia="Arial" w:hAnsi="Arial"/>
          <w:sz w:val="16"/>
          <w:szCs w:val="16"/>
          <w:color w:val="auto"/>
        </w:rPr>
        <w:t>DRC or an adjoining country (Covered Countries)</w:t>
      </w:r>
    </w:p>
    <w:p>
      <w:pPr>
        <w:ind w:left="880"/>
        <w:spacing w:after="0" w:line="204" w:lineRule="auto"/>
        <w:rPr>
          <w:sz w:val="20"/>
          <w:szCs w:val="20"/>
          <w:color w:val="auto"/>
        </w:rPr>
      </w:pPr>
      <w:r>
        <w:rPr>
          <w:rFonts w:ascii="Arial" w:cs="Arial" w:eastAsia="Arial" w:hAnsi="Arial"/>
          <w:sz w:val="18"/>
          <w:szCs w:val="18"/>
          <w:color w:val="auto"/>
        </w:rPr>
        <w:t>Ecuador</w:t>
      </w:r>
    </w:p>
    <w:p>
      <w:pPr>
        <w:ind w:left="880"/>
        <w:spacing w:after="0" w:line="203" w:lineRule="auto"/>
        <w:rPr>
          <w:sz w:val="20"/>
          <w:szCs w:val="20"/>
          <w:color w:val="auto"/>
        </w:rPr>
      </w:pPr>
      <w:r>
        <w:rPr>
          <w:rFonts w:ascii="Arial" w:cs="Arial" w:eastAsia="Arial" w:hAnsi="Arial"/>
          <w:sz w:val="18"/>
          <w:szCs w:val="18"/>
          <w:color w:val="auto"/>
        </w:rPr>
        <w:t>Egypt</w:t>
      </w:r>
    </w:p>
    <w:p>
      <w:pPr>
        <w:ind w:left="880"/>
        <w:spacing w:after="0" w:line="204" w:lineRule="auto"/>
        <w:rPr>
          <w:sz w:val="20"/>
          <w:szCs w:val="20"/>
          <w:color w:val="auto"/>
        </w:rPr>
      </w:pPr>
      <w:r>
        <w:rPr>
          <w:rFonts w:ascii="Arial" w:cs="Arial" w:eastAsia="Arial" w:hAnsi="Arial"/>
          <w:sz w:val="18"/>
          <w:szCs w:val="18"/>
          <w:color w:val="auto"/>
        </w:rPr>
        <w:t>England</w:t>
      </w:r>
    </w:p>
    <w:p>
      <w:pPr>
        <w:ind w:left="880"/>
        <w:spacing w:after="0" w:line="203" w:lineRule="auto"/>
        <w:rPr>
          <w:sz w:val="20"/>
          <w:szCs w:val="20"/>
          <w:color w:val="auto"/>
        </w:rPr>
      </w:pPr>
      <w:r>
        <w:rPr>
          <w:rFonts w:ascii="Arial" w:cs="Arial" w:eastAsia="Arial" w:hAnsi="Arial"/>
          <w:sz w:val="18"/>
          <w:szCs w:val="18"/>
          <w:color w:val="auto"/>
        </w:rPr>
        <w:t>Estonia</w:t>
      </w:r>
    </w:p>
    <w:p>
      <w:pPr>
        <w:ind w:left="880"/>
        <w:spacing w:after="0" w:line="204" w:lineRule="auto"/>
        <w:rPr>
          <w:sz w:val="20"/>
          <w:szCs w:val="20"/>
          <w:color w:val="auto"/>
        </w:rPr>
      </w:pPr>
      <w:r>
        <w:rPr>
          <w:rFonts w:ascii="Arial" w:cs="Arial" w:eastAsia="Arial" w:hAnsi="Arial"/>
          <w:sz w:val="18"/>
          <w:szCs w:val="18"/>
          <w:color w:val="auto"/>
        </w:rPr>
        <w:t>Ethiopia</w:t>
      </w:r>
    </w:p>
    <w:p>
      <w:pPr>
        <w:ind w:left="880"/>
        <w:spacing w:after="0" w:line="203" w:lineRule="auto"/>
        <w:rPr>
          <w:sz w:val="20"/>
          <w:szCs w:val="20"/>
          <w:color w:val="auto"/>
        </w:rPr>
      </w:pPr>
      <w:r>
        <w:rPr>
          <w:rFonts w:ascii="Arial" w:cs="Arial" w:eastAsia="Arial" w:hAnsi="Arial"/>
          <w:sz w:val="18"/>
          <w:szCs w:val="18"/>
          <w:color w:val="auto"/>
        </w:rPr>
        <w:t>Finland</w:t>
      </w:r>
    </w:p>
    <w:p>
      <w:pPr>
        <w:ind w:left="880"/>
        <w:spacing w:after="0" w:line="204" w:lineRule="auto"/>
        <w:rPr>
          <w:sz w:val="20"/>
          <w:szCs w:val="20"/>
          <w:color w:val="auto"/>
        </w:rPr>
      </w:pPr>
      <w:r>
        <w:rPr>
          <w:rFonts w:ascii="Arial" w:cs="Arial" w:eastAsia="Arial" w:hAnsi="Arial"/>
          <w:sz w:val="18"/>
          <w:szCs w:val="18"/>
          <w:color w:val="auto"/>
        </w:rPr>
        <w:t>France</w:t>
      </w:r>
    </w:p>
    <w:p>
      <w:pPr>
        <w:ind w:left="880"/>
        <w:spacing w:after="0" w:line="203" w:lineRule="auto"/>
        <w:rPr>
          <w:sz w:val="20"/>
          <w:szCs w:val="20"/>
          <w:color w:val="auto"/>
        </w:rPr>
      </w:pPr>
      <w:r>
        <w:rPr>
          <w:rFonts w:ascii="Arial" w:cs="Arial" w:eastAsia="Arial" w:hAnsi="Arial"/>
          <w:sz w:val="18"/>
          <w:szCs w:val="18"/>
          <w:color w:val="auto"/>
        </w:rPr>
        <w:t>Germany</w:t>
      </w:r>
    </w:p>
    <w:p>
      <w:pPr>
        <w:ind w:left="880"/>
        <w:spacing w:after="0" w:line="204" w:lineRule="auto"/>
        <w:rPr>
          <w:sz w:val="20"/>
          <w:szCs w:val="20"/>
          <w:color w:val="auto"/>
        </w:rPr>
      </w:pPr>
      <w:r>
        <w:rPr>
          <w:rFonts w:ascii="Arial" w:cs="Arial" w:eastAsia="Arial" w:hAnsi="Arial"/>
          <w:sz w:val="18"/>
          <w:szCs w:val="18"/>
          <w:color w:val="auto"/>
        </w:rPr>
        <w:t>Ghana</w:t>
      </w:r>
    </w:p>
    <w:p>
      <w:pPr>
        <w:ind w:left="880"/>
        <w:spacing w:after="0" w:line="203" w:lineRule="auto"/>
        <w:rPr>
          <w:sz w:val="20"/>
          <w:szCs w:val="20"/>
          <w:color w:val="auto"/>
        </w:rPr>
      </w:pPr>
      <w:r>
        <w:rPr>
          <w:rFonts w:ascii="Arial" w:cs="Arial" w:eastAsia="Arial" w:hAnsi="Arial"/>
          <w:sz w:val="18"/>
          <w:szCs w:val="18"/>
          <w:color w:val="auto"/>
        </w:rPr>
        <w:t>Guinea</w:t>
      </w:r>
    </w:p>
    <w:p>
      <w:pPr>
        <w:ind w:left="880"/>
        <w:spacing w:after="0" w:line="204" w:lineRule="auto"/>
        <w:rPr>
          <w:sz w:val="20"/>
          <w:szCs w:val="20"/>
          <w:color w:val="auto"/>
        </w:rPr>
      </w:pPr>
      <w:r>
        <w:rPr>
          <w:rFonts w:ascii="Arial" w:cs="Arial" w:eastAsia="Arial" w:hAnsi="Arial"/>
          <w:sz w:val="18"/>
          <w:szCs w:val="18"/>
          <w:color w:val="auto"/>
        </w:rPr>
        <w:t>Guyana</w:t>
      </w:r>
    </w:p>
    <w:p>
      <w:pPr>
        <w:ind w:left="880"/>
        <w:spacing w:after="0" w:line="203" w:lineRule="auto"/>
        <w:rPr>
          <w:sz w:val="20"/>
          <w:szCs w:val="20"/>
          <w:color w:val="auto"/>
        </w:rPr>
      </w:pPr>
      <w:r>
        <w:rPr>
          <w:rFonts w:ascii="Arial" w:cs="Arial" w:eastAsia="Arial" w:hAnsi="Arial"/>
          <w:sz w:val="18"/>
          <w:szCs w:val="18"/>
          <w:color w:val="auto"/>
        </w:rPr>
        <w:t>Hungary</w:t>
      </w:r>
    </w:p>
    <w:p>
      <w:pPr>
        <w:ind w:left="880"/>
        <w:spacing w:after="0" w:line="204" w:lineRule="auto"/>
        <w:rPr>
          <w:sz w:val="20"/>
          <w:szCs w:val="20"/>
          <w:color w:val="auto"/>
        </w:rPr>
      </w:pPr>
      <w:r>
        <w:rPr>
          <w:rFonts w:ascii="Arial" w:cs="Arial" w:eastAsia="Arial" w:hAnsi="Arial"/>
          <w:sz w:val="18"/>
          <w:szCs w:val="18"/>
          <w:color w:val="auto"/>
        </w:rPr>
        <w:t>India</w:t>
      </w:r>
    </w:p>
    <w:p>
      <w:pPr>
        <w:ind w:left="880"/>
        <w:spacing w:after="0" w:line="203" w:lineRule="auto"/>
        <w:rPr>
          <w:sz w:val="20"/>
          <w:szCs w:val="20"/>
          <w:color w:val="auto"/>
        </w:rPr>
      </w:pPr>
      <w:r>
        <w:rPr>
          <w:rFonts w:ascii="Arial" w:cs="Arial" w:eastAsia="Arial" w:hAnsi="Arial"/>
          <w:sz w:val="18"/>
          <w:szCs w:val="18"/>
          <w:color w:val="auto"/>
        </w:rPr>
        <w:t>Indonesia</w:t>
      </w:r>
    </w:p>
    <w:p>
      <w:pPr>
        <w:ind w:left="880"/>
        <w:spacing w:after="0" w:line="204" w:lineRule="auto"/>
        <w:rPr>
          <w:sz w:val="20"/>
          <w:szCs w:val="20"/>
          <w:color w:val="auto"/>
        </w:rPr>
      </w:pPr>
      <w:r>
        <w:rPr>
          <w:rFonts w:ascii="Arial" w:cs="Arial" w:eastAsia="Arial" w:hAnsi="Arial"/>
          <w:sz w:val="18"/>
          <w:szCs w:val="18"/>
          <w:color w:val="auto"/>
        </w:rPr>
        <w:t>Ireland</w:t>
      </w:r>
    </w:p>
    <w:p>
      <w:pPr>
        <w:ind w:left="880"/>
        <w:spacing w:after="0" w:line="203" w:lineRule="auto"/>
        <w:rPr>
          <w:sz w:val="20"/>
          <w:szCs w:val="20"/>
          <w:color w:val="auto"/>
        </w:rPr>
      </w:pPr>
      <w:r>
        <w:rPr>
          <w:rFonts w:ascii="Arial" w:cs="Arial" w:eastAsia="Arial" w:hAnsi="Arial"/>
          <w:sz w:val="18"/>
          <w:szCs w:val="18"/>
          <w:color w:val="auto"/>
        </w:rPr>
        <w:t>Israel</w:t>
      </w:r>
    </w:p>
    <w:p>
      <w:pPr>
        <w:ind w:left="880"/>
        <w:spacing w:after="0" w:line="204" w:lineRule="auto"/>
        <w:rPr>
          <w:sz w:val="20"/>
          <w:szCs w:val="20"/>
          <w:color w:val="auto"/>
        </w:rPr>
      </w:pPr>
      <w:r>
        <w:rPr>
          <w:rFonts w:ascii="Arial" w:cs="Arial" w:eastAsia="Arial" w:hAnsi="Arial"/>
          <w:sz w:val="18"/>
          <w:szCs w:val="18"/>
          <w:color w:val="auto"/>
        </w:rPr>
        <w:t>Italy</w:t>
      </w:r>
    </w:p>
    <w:p>
      <w:pPr>
        <w:ind w:left="880"/>
        <w:spacing w:after="0" w:line="203" w:lineRule="auto"/>
        <w:rPr>
          <w:sz w:val="20"/>
          <w:szCs w:val="20"/>
          <w:color w:val="auto"/>
        </w:rPr>
      </w:pPr>
      <w:r>
        <w:rPr>
          <w:rFonts w:ascii="Arial" w:cs="Arial" w:eastAsia="Arial" w:hAnsi="Arial"/>
          <w:sz w:val="18"/>
          <w:szCs w:val="18"/>
          <w:color w:val="auto"/>
        </w:rPr>
        <w:t>Ivory Coast</w:t>
      </w:r>
    </w:p>
    <w:p>
      <w:pPr>
        <w:ind w:left="880"/>
        <w:spacing w:after="0" w:line="204" w:lineRule="auto"/>
        <w:rPr>
          <w:sz w:val="20"/>
          <w:szCs w:val="20"/>
          <w:color w:val="auto"/>
        </w:rPr>
      </w:pPr>
      <w:r>
        <w:rPr>
          <w:rFonts w:ascii="Arial" w:cs="Arial" w:eastAsia="Arial" w:hAnsi="Arial"/>
          <w:sz w:val="18"/>
          <w:szCs w:val="18"/>
          <w:color w:val="auto"/>
        </w:rPr>
        <w:t>Japan</w:t>
      </w:r>
    </w:p>
    <w:p>
      <w:pPr>
        <w:ind w:left="880"/>
        <w:spacing w:after="0" w:line="203" w:lineRule="auto"/>
        <w:rPr>
          <w:sz w:val="20"/>
          <w:szCs w:val="20"/>
          <w:color w:val="auto"/>
        </w:rPr>
      </w:pPr>
      <w:r>
        <w:rPr>
          <w:rFonts w:ascii="Arial" w:cs="Arial" w:eastAsia="Arial" w:hAnsi="Arial"/>
          <w:sz w:val="18"/>
          <w:szCs w:val="18"/>
          <w:color w:val="auto"/>
        </w:rPr>
        <w:t>Kazakhstan</w:t>
      </w:r>
    </w:p>
    <w:p>
      <w:pPr>
        <w:ind w:left="880"/>
        <w:spacing w:after="0" w:line="204" w:lineRule="auto"/>
        <w:rPr>
          <w:sz w:val="20"/>
          <w:szCs w:val="20"/>
          <w:color w:val="auto"/>
        </w:rPr>
      </w:pPr>
      <w:r>
        <w:rPr>
          <w:rFonts w:ascii="Arial" w:cs="Arial" w:eastAsia="Arial" w:hAnsi="Arial"/>
          <w:sz w:val="18"/>
          <w:szCs w:val="18"/>
          <w:color w:val="auto"/>
        </w:rPr>
        <w:t>Kenya</w:t>
      </w:r>
    </w:p>
    <w:p>
      <w:pPr>
        <w:ind w:left="880"/>
        <w:spacing w:after="0" w:line="203" w:lineRule="auto"/>
        <w:rPr>
          <w:sz w:val="20"/>
          <w:szCs w:val="20"/>
          <w:color w:val="auto"/>
        </w:rPr>
      </w:pPr>
      <w:r>
        <w:rPr>
          <w:rFonts w:ascii="Arial" w:cs="Arial" w:eastAsia="Arial" w:hAnsi="Arial"/>
          <w:sz w:val="18"/>
          <w:szCs w:val="18"/>
          <w:color w:val="auto"/>
        </w:rPr>
        <w:t>Kyrgyzstan</w:t>
      </w:r>
    </w:p>
    <w:p>
      <w:pPr>
        <w:ind w:left="880"/>
        <w:spacing w:after="0" w:line="204" w:lineRule="auto"/>
        <w:rPr>
          <w:sz w:val="20"/>
          <w:szCs w:val="20"/>
          <w:color w:val="auto"/>
        </w:rPr>
      </w:pPr>
      <w:r>
        <w:rPr>
          <w:rFonts w:ascii="Arial" w:cs="Arial" w:eastAsia="Arial" w:hAnsi="Arial"/>
          <w:sz w:val="18"/>
          <w:szCs w:val="18"/>
          <w:color w:val="auto"/>
        </w:rPr>
        <w:t>Laos</w:t>
      </w:r>
    </w:p>
    <w:p>
      <w:pPr>
        <w:ind w:left="880"/>
        <w:spacing w:after="0" w:line="203" w:lineRule="auto"/>
        <w:rPr>
          <w:sz w:val="20"/>
          <w:szCs w:val="20"/>
          <w:color w:val="auto"/>
        </w:rPr>
      </w:pPr>
      <w:r>
        <w:rPr>
          <w:rFonts w:ascii="Arial" w:cs="Arial" w:eastAsia="Arial" w:hAnsi="Arial"/>
          <w:sz w:val="18"/>
          <w:szCs w:val="18"/>
          <w:color w:val="auto"/>
        </w:rPr>
        <w:t>Liberia</w:t>
      </w:r>
    </w:p>
    <w:p>
      <w:pPr>
        <w:ind w:left="880"/>
        <w:spacing w:after="0" w:line="204" w:lineRule="auto"/>
        <w:rPr>
          <w:sz w:val="20"/>
          <w:szCs w:val="20"/>
          <w:color w:val="auto"/>
        </w:rPr>
      </w:pPr>
      <w:r>
        <w:rPr>
          <w:rFonts w:ascii="Arial" w:cs="Arial" w:eastAsia="Arial" w:hAnsi="Arial"/>
          <w:sz w:val="18"/>
          <w:szCs w:val="18"/>
          <w:color w:val="auto"/>
        </w:rPr>
        <w:t>Lithuania</w:t>
      </w:r>
    </w:p>
    <w:p>
      <w:pPr>
        <w:ind w:left="880"/>
        <w:spacing w:after="0" w:line="203" w:lineRule="auto"/>
        <w:rPr>
          <w:sz w:val="20"/>
          <w:szCs w:val="20"/>
          <w:color w:val="auto"/>
        </w:rPr>
      </w:pPr>
      <w:r>
        <w:rPr>
          <w:rFonts w:ascii="Arial" w:cs="Arial" w:eastAsia="Arial" w:hAnsi="Arial"/>
          <w:sz w:val="18"/>
          <w:szCs w:val="18"/>
          <w:color w:val="auto"/>
        </w:rPr>
        <w:t>Luxembourg</w:t>
      </w:r>
    </w:p>
    <w:p>
      <w:pPr>
        <w:ind w:left="880"/>
        <w:spacing w:after="0" w:line="204" w:lineRule="auto"/>
        <w:rPr>
          <w:sz w:val="20"/>
          <w:szCs w:val="20"/>
          <w:color w:val="auto"/>
        </w:rPr>
      </w:pPr>
      <w:r>
        <w:rPr>
          <w:rFonts w:ascii="Arial" w:cs="Arial" w:eastAsia="Arial" w:hAnsi="Arial"/>
          <w:sz w:val="18"/>
          <w:szCs w:val="18"/>
          <w:color w:val="auto"/>
        </w:rPr>
        <w:t>Madagascar</w:t>
      </w:r>
    </w:p>
    <w:p>
      <w:pPr>
        <w:ind w:left="880"/>
        <w:spacing w:after="0" w:line="203" w:lineRule="auto"/>
        <w:rPr>
          <w:sz w:val="20"/>
          <w:szCs w:val="20"/>
          <w:color w:val="auto"/>
        </w:rPr>
      </w:pPr>
      <w:r>
        <w:rPr>
          <w:rFonts w:ascii="Arial" w:cs="Arial" w:eastAsia="Arial" w:hAnsi="Arial"/>
          <w:sz w:val="18"/>
          <w:szCs w:val="18"/>
          <w:color w:val="auto"/>
        </w:rPr>
        <w:t>Malaysia</w:t>
      </w:r>
    </w:p>
    <w:p>
      <w:pPr>
        <w:ind w:left="880"/>
        <w:spacing w:after="0" w:line="204" w:lineRule="auto"/>
        <w:rPr>
          <w:sz w:val="20"/>
          <w:szCs w:val="20"/>
          <w:color w:val="auto"/>
        </w:rPr>
      </w:pPr>
      <w:r>
        <w:rPr>
          <w:rFonts w:ascii="Arial" w:cs="Arial" w:eastAsia="Arial" w:hAnsi="Arial"/>
          <w:sz w:val="18"/>
          <w:szCs w:val="18"/>
          <w:color w:val="auto"/>
        </w:rPr>
        <w:t>Mali</w:t>
      </w:r>
    </w:p>
    <w:p>
      <w:pPr>
        <w:ind w:left="880"/>
        <w:spacing w:after="0" w:line="203" w:lineRule="auto"/>
        <w:rPr>
          <w:sz w:val="20"/>
          <w:szCs w:val="20"/>
          <w:color w:val="auto"/>
        </w:rPr>
      </w:pPr>
      <w:r>
        <w:rPr>
          <w:rFonts w:ascii="Arial" w:cs="Arial" w:eastAsia="Arial" w:hAnsi="Arial"/>
          <w:sz w:val="18"/>
          <w:szCs w:val="18"/>
          <w:color w:val="auto"/>
        </w:rPr>
        <w:t>Mauritania</w:t>
      </w:r>
    </w:p>
    <w:p>
      <w:pPr>
        <w:ind w:left="880"/>
        <w:spacing w:after="0" w:line="204" w:lineRule="auto"/>
        <w:rPr>
          <w:sz w:val="20"/>
          <w:szCs w:val="20"/>
          <w:color w:val="auto"/>
        </w:rPr>
      </w:pPr>
      <w:r>
        <w:rPr>
          <w:rFonts w:ascii="Arial" w:cs="Arial" w:eastAsia="Arial" w:hAnsi="Arial"/>
          <w:sz w:val="18"/>
          <w:szCs w:val="18"/>
          <w:color w:val="auto"/>
        </w:rPr>
        <w:t>Mexico</w:t>
      </w:r>
    </w:p>
    <w:p>
      <w:pPr>
        <w:ind w:left="880"/>
        <w:spacing w:after="0" w:line="203" w:lineRule="auto"/>
        <w:rPr>
          <w:sz w:val="20"/>
          <w:szCs w:val="20"/>
          <w:color w:val="auto"/>
        </w:rPr>
      </w:pPr>
      <w:r>
        <w:rPr>
          <w:rFonts w:ascii="Arial" w:cs="Arial" w:eastAsia="Arial" w:hAnsi="Arial"/>
          <w:sz w:val="18"/>
          <w:szCs w:val="18"/>
          <w:color w:val="auto"/>
        </w:rPr>
        <w:t>Mongolia</w:t>
      </w:r>
    </w:p>
    <w:p>
      <w:pPr>
        <w:ind w:left="880"/>
        <w:spacing w:after="0" w:line="204" w:lineRule="auto"/>
        <w:rPr>
          <w:sz w:val="20"/>
          <w:szCs w:val="20"/>
          <w:color w:val="auto"/>
        </w:rPr>
      </w:pPr>
      <w:r>
        <w:rPr>
          <w:rFonts w:ascii="Arial" w:cs="Arial" w:eastAsia="Arial" w:hAnsi="Arial"/>
          <w:sz w:val="18"/>
          <w:szCs w:val="18"/>
          <w:color w:val="auto"/>
        </w:rPr>
        <w:t>Morocco</w:t>
      </w:r>
    </w:p>
    <w:p>
      <w:pPr>
        <w:ind w:left="880"/>
        <w:spacing w:after="0" w:line="203" w:lineRule="auto"/>
        <w:rPr>
          <w:sz w:val="20"/>
          <w:szCs w:val="20"/>
          <w:color w:val="auto"/>
        </w:rPr>
      </w:pPr>
      <w:r>
        <w:rPr>
          <w:rFonts w:ascii="Arial" w:cs="Arial" w:eastAsia="Arial" w:hAnsi="Arial"/>
          <w:sz w:val="18"/>
          <w:szCs w:val="18"/>
          <w:color w:val="auto"/>
        </w:rPr>
        <w:t>Mozambique</w:t>
      </w:r>
    </w:p>
    <w:p>
      <w:pPr>
        <w:ind w:left="880"/>
        <w:spacing w:after="0" w:line="204" w:lineRule="auto"/>
        <w:rPr>
          <w:sz w:val="20"/>
          <w:szCs w:val="20"/>
          <w:color w:val="auto"/>
        </w:rPr>
      </w:pPr>
      <w:r>
        <w:rPr>
          <w:rFonts w:ascii="Arial" w:cs="Arial" w:eastAsia="Arial" w:hAnsi="Arial"/>
          <w:sz w:val="18"/>
          <w:szCs w:val="18"/>
          <w:color w:val="auto"/>
        </w:rPr>
        <w:t>Myanmar</w:t>
      </w:r>
    </w:p>
    <w:p>
      <w:pPr>
        <w:ind w:left="880"/>
        <w:spacing w:after="0" w:line="203" w:lineRule="auto"/>
        <w:rPr>
          <w:sz w:val="20"/>
          <w:szCs w:val="20"/>
          <w:color w:val="auto"/>
        </w:rPr>
      </w:pPr>
      <w:r>
        <w:rPr>
          <w:rFonts w:ascii="Arial" w:cs="Arial" w:eastAsia="Arial" w:hAnsi="Arial"/>
          <w:sz w:val="18"/>
          <w:szCs w:val="18"/>
          <w:color w:val="auto"/>
        </w:rPr>
        <w:t>Namibia</w:t>
      </w:r>
    </w:p>
    <w:p>
      <w:pPr>
        <w:ind w:left="880"/>
        <w:spacing w:after="0" w:line="204" w:lineRule="auto"/>
        <w:rPr>
          <w:sz w:val="20"/>
          <w:szCs w:val="20"/>
          <w:color w:val="auto"/>
        </w:rPr>
      </w:pPr>
      <w:r>
        <w:rPr>
          <w:rFonts w:ascii="Arial" w:cs="Arial" w:eastAsia="Arial" w:hAnsi="Arial"/>
          <w:sz w:val="18"/>
          <w:szCs w:val="18"/>
          <w:color w:val="auto"/>
        </w:rPr>
        <w:t>Netherlands</w:t>
      </w:r>
    </w:p>
    <w:p>
      <w:pPr>
        <w:ind w:left="880"/>
        <w:spacing w:after="0" w:line="203" w:lineRule="auto"/>
        <w:rPr>
          <w:sz w:val="20"/>
          <w:szCs w:val="20"/>
          <w:color w:val="auto"/>
        </w:rPr>
      </w:pPr>
      <w:r>
        <w:rPr>
          <w:rFonts w:ascii="Arial" w:cs="Arial" w:eastAsia="Arial" w:hAnsi="Arial"/>
          <w:sz w:val="18"/>
          <w:szCs w:val="18"/>
          <w:color w:val="auto"/>
        </w:rPr>
        <w:t>New Zealand</w:t>
      </w:r>
    </w:p>
    <w:p>
      <w:pPr>
        <w:ind w:left="880"/>
        <w:spacing w:after="0" w:line="204" w:lineRule="auto"/>
        <w:rPr>
          <w:sz w:val="20"/>
          <w:szCs w:val="20"/>
          <w:color w:val="auto"/>
        </w:rPr>
      </w:pPr>
      <w:r>
        <w:rPr>
          <w:rFonts w:ascii="Arial" w:cs="Arial" w:eastAsia="Arial" w:hAnsi="Arial"/>
          <w:sz w:val="18"/>
          <w:szCs w:val="18"/>
          <w:color w:val="auto"/>
        </w:rPr>
        <w:t>Niger</w:t>
      </w:r>
    </w:p>
    <w:p>
      <w:pPr>
        <w:ind w:left="880"/>
        <w:spacing w:after="0" w:line="203" w:lineRule="auto"/>
        <w:rPr>
          <w:sz w:val="20"/>
          <w:szCs w:val="20"/>
          <w:color w:val="auto"/>
        </w:rPr>
      </w:pPr>
      <w:r>
        <w:rPr>
          <w:rFonts w:ascii="Arial" w:cs="Arial" w:eastAsia="Arial" w:hAnsi="Arial"/>
          <w:sz w:val="18"/>
          <w:szCs w:val="18"/>
          <w:color w:val="auto"/>
        </w:rPr>
        <w:t>Nigeria</w:t>
      </w:r>
    </w:p>
    <w:p>
      <w:pPr>
        <w:ind w:left="880"/>
        <w:spacing w:after="0" w:line="204" w:lineRule="auto"/>
        <w:rPr>
          <w:sz w:val="20"/>
          <w:szCs w:val="20"/>
          <w:color w:val="auto"/>
        </w:rPr>
      </w:pPr>
      <w:r>
        <w:rPr>
          <w:rFonts w:ascii="Arial" w:cs="Arial" w:eastAsia="Arial" w:hAnsi="Arial"/>
          <w:sz w:val="18"/>
          <w:szCs w:val="18"/>
          <w:color w:val="auto"/>
        </w:rPr>
        <w:t>Papua New Guinea</w:t>
      </w:r>
    </w:p>
    <w:p>
      <w:pPr>
        <w:ind w:left="880"/>
        <w:spacing w:after="0" w:line="203" w:lineRule="auto"/>
        <w:rPr>
          <w:sz w:val="20"/>
          <w:szCs w:val="20"/>
          <w:color w:val="auto"/>
        </w:rPr>
      </w:pPr>
      <w:r>
        <w:rPr>
          <w:rFonts w:ascii="Arial" w:cs="Arial" w:eastAsia="Arial" w:hAnsi="Arial"/>
          <w:sz w:val="18"/>
          <w:szCs w:val="18"/>
          <w:color w:val="auto"/>
        </w:rPr>
        <w:t>Peru</w:t>
      </w:r>
    </w:p>
    <w:p>
      <w:pPr>
        <w:ind w:left="880"/>
        <w:spacing w:after="0" w:line="204" w:lineRule="auto"/>
        <w:rPr>
          <w:sz w:val="20"/>
          <w:szCs w:val="20"/>
          <w:color w:val="auto"/>
        </w:rPr>
      </w:pPr>
      <w:r>
        <w:rPr>
          <w:rFonts w:ascii="Arial" w:cs="Arial" w:eastAsia="Arial" w:hAnsi="Arial"/>
          <w:sz w:val="18"/>
          <w:szCs w:val="18"/>
          <w:color w:val="auto"/>
        </w:rPr>
        <w:t>Philippines</w:t>
      </w:r>
    </w:p>
    <w:p>
      <w:pPr>
        <w:ind w:left="880"/>
        <w:spacing w:after="0"/>
        <w:rPr>
          <w:sz w:val="20"/>
          <w:szCs w:val="20"/>
          <w:color w:val="auto"/>
        </w:rPr>
      </w:pPr>
      <w:r>
        <w:rPr>
          <w:rFonts w:ascii="Arial" w:cs="Arial" w:eastAsia="Arial" w:hAnsi="Arial"/>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9" w:name="page20"/>
    <w:bookmarkEnd w:id="19"/>
    <w:p>
      <w:pPr>
        <w:ind w:left="880"/>
        <w:spacing w:after="0"/>
        <w:rPr>
          <w:sz w:val="20"/>
          <w:szCs w:val="20"/>
          <w:color w:val="auto"/>
        </w:rPr>
      </w:pPr>
      <w:r>
        <w:rPr>
          <w:rFonts w:ascii="Arial" w:cs="Arial" w:eastAsia="Arial" w:hAnsi="Arial"/>
          <w:sz w:val="18"/>
          <w:szCs w:val="18"/>
          <w:color w:val="auto"/>
        </w:rPr>
        <w:t>Portugal</w:t>
      </w:r>
    </w:p>
    <w:p>
      <w:pPr>
        <w:ind w:left="880"/>
        <w:spacing w:after="0" w:line="203" w:lineRule="auto"/>
        <w:rPr>
          <w:sz w:val="20"/>
          <w:szCs w:val="20"/>
          <w:color w:val="auto"/>
        </w:rPr>
      </w:pPr>
      <w:r>
        <w:rPr>
          <w:rFonts w:ascii="Arial" w:cs="Arial" w:eastAsia="Arial" w:hAnsi="Arial"/>
          <w:sz w:val="18"/>
          <w:szCs w:val="18"/>
          <w:color w:val="auto"/>
        </w:rPr>
        <w:t>Republic</w:t>
      </w:r>
    </w:p>
    <w:p>
      <w:pPr>
        <w:ind w:left="880"/>
        <w:spacing w:after="0" w:line="203" w:lineRule="auto"/>
        <w:rPr>
          <w:sz w:val="20"/>
          <w:szCs w:val="20"/>
          <w:color w:val="auto"/>
        </w:rPr>
      </w:pPr>
      <w:r>
        <w:rPr>
          <w:rFonts w:ascii="Arial" w:cs="Arial" w:eastAsia="Arial" w:hAnsi="Arial"/>
          <w:sz w:val="18"/>
          <w:szCs w:val="18"/>
          <w:color w:val="auto"/>
        </w:rPr>
        <w:t>Republic Of Korea</w:t>
      </w:r>
    </w:p>
    <w:p>
      <w:pPr>
        <w:ind w:left="880"/>
        <w:spacing w:after="0" w:line="204" w:lineRule="auto"/>
        <w:rPr>
          <w:sz w:val="20"/>
          <w:szCs w:val="20"/>
          <w:color w:val="auto"/>
        </w:rPr>
      </w:pPr>
      <w:r>
        <w:rPr>
          <w:rFonts w:ascii="Arial" w:cs="Arial" w:eastAsia="Arial" w:hAnsi="Arial"/>
          <w:sz w:val="18"/>
          <w:szCs w:val="18"/>
          <w:color w:val="auto"/>
        </w:rPr>
        <w:t>Russia</w:t>
      </w:r>
    </w:p>
    <w:p>
      <w:pPr>
        <w:ind w:left="880"/>
        <w:spacing w:after="0" w:line="203" w:lineRule="auto"/>
        <w:rPr>
          <w:sz w:val="20"/>
          <w:szCs w:val="20"/>
          <w:color w:val="auto"/>
        </w:rPr>
      </w:pPr>
      <w:r>
        <w:rPr>
          <w:rFonts w:ascii="Arial" w:cs="Arial" w:eastAsia="Arial" w:hAnsi="Arial"/>
          <w:sz w:val="18"/>
          <w:szCs w:val="18"/>
          <w:color w:val="auto"/>
        </w:rPr>
        <w:t>Rwanda</w:t>
      </w:r>
    </w:p>
    <w:p>
      <w:pPr>
        <w:ind w:left="880"/>
        <w:spacing w:after="0" w:line="204" w:lineRule="auto"/>
        <w:rPr>
          <w:sz w:val="20"/>
          <w:szCs w:val="20"/>
          <w:color w:val="auto"/>
        </w:rPr>
      </w:pPr>
      <w:r>
        <w:rPr>
          <w:rFonts w:ascii="Arial" w:cs="Arial" w:eastAsia="Arial" w:hAnsi="Arial"/>
          <w:sz w:val="18"/>
          <w:szCs w:val="18"/>
          <w:color w:val="auto"/>
        </w:rPr>
        <w:t>Saudi Arabia</w:t>
      </w:r>
    </w:p>
    <w:p>
      <w:pPr>
        <w:ind w:left="880"/>
        <w:spacing w:after="0" w:line="203" w:lineRule="auto"/>
        <w:rPr>
          <w:sz w:val="20"/>
          <w:szCs w:val="20"/>
          <w:color w:val="auto"/>
        </w:rPr>
      </w:pPr>
      <w:r>
        <w:rPr>
          <w:rFonts w:ascii="Arial" w:cs="Arial" w:eastAsia="Arial" w:hAnsi="Arial"/>
          <w:sz w:val="18"/>
          <w:szCs w:val="18"/>
          <w:color w:val="auto"/>
        </w:rPr>
        <w:t>Sierra Leone</w:t>
      </w:r>
    </w:p>
    <w:p>
      <w:pPr>
        <w:ind w:left="880"/>
        <w:spacing w:after="0" w:line="204" w:lineRule="auto"/>
        <w:rPr>
          <w:sz w:val="20"/>
          <w:szCs w:val="20"/>
          <w:color w:val="auto"/>
        </w:rPr>
      </w:pPr>
      <w:r>
        <w:rPr>
          <w:rFonts w:ascii="Arial" w:cs="Arial" w:eastAsia="Arial" w:hAnsi="Arial"/>
          <w:sz w:val="18"/>
          <w:szCs w:val="18"/>
          <w:color w:val="auto"/>
        </w:rPr>
        <w:t>Singapore</w:t>
      </w:r>
    </w:p>
    <w:p>
      <w:pPr>
        <w:ind w:left="880"/>
        <w:spacing w:after="0" w:line="203" w:lineRule="auto"/>
        <w:rPr>
          <w:sz w:val="20"/>
          <w:szCs w:val="20"/>
          <w:color w:val="auto"/>
        </w:rPr>
      </w:pPr>
      <w:r>
        <w:rPr>
          <w:rFonts w:ascii="Arial" w:cs="Arial" w:eastAsia="Arial" w:hAnsi="Arial"/>
          <w:sz w:val="18"/>
          <w:szCs w:val="18"/>
          <w:color w:val="auto"/>
        </w:rPr>
        <w:t>Slovakia</w:t>
      </w:r>
    </w:p>
    <w:p>
      <w:pPr>
        <w:ind w:left="880"/>
        <w:spacing w:after="0" w:line="204" w:lineRule="auto"/>
        <w:rPr>
          <w:sz w:val="20"/>
          <w:szCs w:val="20"/>
          <w:color w:val="auto"/>
        </w:rPr>
      </w:pPr>
      <w:r>
        <w:rPr>
          <w:rFonts w:ascii="Arial" w:cs="Arial" w:eastAsia="Arial" w:hAnsi="Arial"/>
          <w:sz w:val="18"/>
          <w:szCs w:val="18"/>
          <w:color w:val="auto"/>
        </w:rPr>
        <w:t>Slovenia</w:t>
      </w:r>
    </w:p>
    <w:p>
      <w:pPr>
        <w:ind w:left="880"/>
        <w:spacing w:after="0" w:line="203" w:lineRule="auto"/>
        <w:rPr>
          <w:sz w:val="20"/>
          <w:szCs w:val="20"/>
          <w:color w:val="auto"/>
        </w:rPr>
      </w:pPr>
      <w:r>
        <w:rPr>
          <w:rFonts w:ascii="Arial" w:cs="Arial" w:eastAsia="Arial" w:hAnsi="Arial"/>
          <w:sz w:val="18"/>
          <w:szCs w:val="18"/>
          <w:color w:val="auto"/>
        </w:rPr>
        <w:t>South Africa</w:t>
      </w:r>
    </w:p>
    <w:p>
      <w:pPr>
        <w:ind w:left="880"/>
        <w:spacing w:after="0" w:line="204" w:lineRule="auto"/>
        <w:rPr>
          <w:sz w:val="20"/>
          <w:szCs w:val="20"/>
          <w:color w:val="auto"/>
        </w:rPr>
      </w:pPr>
      <w:r>
        <w:rPr>
          <w:rFonts w:ascii="Arial" w:cs="Arial" w:eastAsia="Arial" w:hAnsi="Arial"/>
          <w:sz w:val="18"/>
          <w:szCs w:val="18"/>
          <w:color w:val="auto"/>
        </w:rPr>
        <w:t>Spain</w:t>
      </w:r>
    </w:p>
    <w:p>
      <w:pPr>
        <w:ind w:left="880"/>
        <w:spacing w:after="0" w:line="203" w:lineRule="auto"/>
        <w:rPr>
          <w:sz w:val="20"/>
          <w:szCs w:val="20"/>
          <w:color w:val="auto"/>
        </w:rPr>
      </w:pPr>
      <w:r>
        <w:rPr>
          <w:rFonts w:ascii="Arial" w:cs="Arial" w:eastAsia="Arial" w:hAnsi="Arial"/>
          <w:sz w:val="18"/>
          <w:szCs w:val="18"/>
          <w:color w:val="auto"/>
        </w:rPr>
        <w:t>Suri</w:t>
      </w:r>
    </w:p>
    <w:p>
      <w:pPr>
        <w:ind w:left="880"/>
        <w:spacing w:after="0" w:line="204" w:lineRule="auto"/>
        <w:rPr>
          <w:sz w:val="20"/>
          <w:szCs w:val="20"/>
          <w:color w:val="auto"/>
        </w:rPr>
      </w:pPr>
      <w:r>
        <w:rPr>
          <w:rFonts w:ascii="Arial" w:cs="Arial" w:eastAsia="Arial" w:hAnsi="Arial"/>
          <w:sz w:val="18"/>
          <w:szCs w:val="18"/>
          <w:color w:val="auto"/>
        </w:rPr>
        <w:t>Suriname</w:t>
      </w:r>
    </w:p>
    <w:p>
      <w:pPr>
        <w:ind w:left="880"/>
        <w:spacing w:after="0" w:line="203" w:lineRule="auto"/>
        <w:rPr>
          <w:sz w:val="20"/>
          <w:szCs w:val="20"/>
          <w:color w:val="auto"/>
        </w:rPr>
      </w:pPr>
      <w:r>
        <w:rPr>
          <w:rFonts w:ascii="Arial" w:cs="Arial" w:eastAsia="Arial" w:hAnsi="Arial"/>
          <w:sz w:val="18"/>
          <w:szCs w:val="18"/>
          <w:color w:val="auto"/>
        </w:rPr>
        <w:t>Sweden</w:t>
      </w:r>
    </w:p>
    <w:p>
      <w:pPr>
        <w:ind w:left="880"/>
        <w:spacing w:after="0" w:line="204" w:lineRule="auto"/>
        <w:rPr>
          <w:sz w:val="20"/>
          <w:szCs w:val="20"/>
          <w:color w:val="auto"/>
        </w:rPr>
      </w:pPr>
      <w:r>
        <w:rPr>
          <w:rFonts w:ascii="Arial" w:cs="Arial" w:eastAsia="Arial" w:hAnsi="Arial"/>
          <w:sz w:val="18"/>
          <w:szCs w:val="18"/>
          <w:color w:val="auto"/>
        </w:rPr>
        <w:t>Switzerland</w:t>
      </w:r>
    </w:p>
    <w:p>
      <w:pPr>
        <w:ind w:left="880"/>
        <w:spacing w:after="0" w:line="203" w:lineRule="auto"/>
        <w:rPr>
          <w:sz w:val="20"/>
          <w:szCs w:val="20"/>
          <w:color w:val="auto"/>
        </w:rPr>
      </w:pPr>
      <w:r>
        <w:rPr>
          <w:rFonts w:ascii="Arial" w:cs="Arial" w:eastAsia="Arial" w:hAnsi="Arial"/>
          <w:sz w:val="18"/>
          <w:szCs w:val="18"/>
          <w:color w:val="auto"/>
        </w:rPr>
        <w:t>Tanzania</w:t>
      </w:r>
    </w:p>
    <w:p>
      <w:pPr>
        <w:ind w:left="880"/>
        <w:spacing w:after="0" w:line="204" w:lineRule="auto"/>
        <w:rPr>
          <w:sz w:val="20"/>
          <w:szCs w:val="20"/>
          <w:color w:val="auto"/>
        </w:rPr>
      </w:pPr>
      <w:r>
        <w:rPr>
          <w:rFonts w:ascii="Arial" w:cs="Arial" w:eastAsia="Arial" w:hAnsi="Arial"/>
          <w:sz w:val="18"/>
          <w:szCs w:val="18"/>
          <w:color w:val="auto"/>
        </w:rPr>
        <w:t>Thailand</w:t>
      </w:r>
    </w:p>
    <w:p>
      <w:pPr>
        <w:ind w:left="880"/>
        <w:spacing w:after="0" w:line="203" w:lineRule="auto"/>
        <w:rPr>
          <w:sz w:val="20"/>
          <w:szCs w:val="20"/>
          <w:color w:val="auto"/>
        </w:rPr>
      </w:pPr>
      <w:r>
        <w:rPr>
          <w:rFonts w:ascii="Arial" w:cs="Arial" w:eastAsia="Arial" w:hAnsi="Arial"/>
          <w:sz w:val="18"/>
          <w:szCs w:val="18"/>
          <w:color w:val="auto"/>
        </w:rPr>
        <w:t>Turkey</w:t>
      </w:r>
    </w:p>
    <w:p>
      <w:pPr>
        <w:ind w:left="880"/>
        <w:spacing w:after="0" w:line="204" w:lineRule="auto"/>
        <w:rPr>
          <w:sz w:val="20"/>
          <w:szCs w:val="20"/>
          <w:color w:val="auto"/>
        </w:rPr>
      </w:pPr>
      <w:r>
        <w:rPr>
          <w:rFonts w:ascii="Arial" w:cs="Arial" w:eastAsia="Arial" w:hAnsi="Arial"/>
          <w:sz w:val="18"/>
          <w:szCs w:val="18"/>
          <w:color w:val="auto"/>
        </w:rPr>
        <w:t>Uganda</w:t>
      </w:r>
    </w:p>
    <w:p>
      <w:pPr>
        <w:ind w:left="880"/>
        <w:spacing w:after="0" w:line="229" w:lineRule="auto"/>
        <w:rPr>
          <w:sz w:val="20"/>
          <w:szCs w:val="20"/>
          <w:color w:val="auto"/>
        </w:rPr>
      </w:pPr>
      <w:r>
        <w:rPr>
          <w:rFonts w:ascii="Arial" w:cs="Arial" w:eastAsia="Arial" w:hAnsi="Arial"/>
          <w:sz w:val="16"/>
          <w:szCs w:val="16"/>
          <w:color w:val="auto"/>
        </w:rPr>
        <w:t>United Arab Emirates</w:t>
      </w:r>
    </w:p>
    <w:p>
      <w:pPr>
        <w:ind w:left="880"/>
        <w:spacing w:after="0" w:line="203" w:lineRule="auto"/>
        <w:rPr>
          <w:sz w:val="20"/>
          <w:szCs w:val="20"/>
          <w:color w:val="auto"/>
        </w:rPr>
      </w:pPr>
      <w:r>
        <w:rPr>
          <w:rFonts w:ascii="Arial" w:cs="Arial" w:eastAsia="Arial" w:hAnsi="Arial"/>
          <w:sz w:val="18"/>
          <w:szCs w:val="18"/>
          <w:color w:val="auto"/>
        </w:rPr>
        <w:t>United Kingdom</w:t>
      </w:r>
    </w:p>
    <w:p>
      <w:pPr>
        <w:ind w:left="880"/>
        <w:spacing w:after="0" w:line="204" w:lineRule="auto"/>
        <w:rPr>
          <w:sz w:val="20"/>
          <w:szCs w:val="20"/>
          <w:color w:val="auto"/>
        </w:rPr>
      </w:pPr>
      <w:r>
        <w:rPr>
          <w:rFonts w:ascii="Arial" w:cs="Arial" w:eastAsia="Arial" w:hAnsi="Arial"/>
          <w:sz w:val="18"/>
          <w:szCs w:val="18"/>
          <w:color w:val="auto"/>
        </w:rPr>
        <w:t>USA</w:t>
      </w:r>
    </w:p>
    <w:p>
      <w:pPr>
        <w:ind w:left="880"/>
        <w:spacing w:after="0" w:line="203" w:lineRule="auto"/>
        <w:rPr>
          <w:sz w:val="20"/>
          <w:szCs w:val="20"/>
          <w:color w:val="auto"/>
        </w:rPr>
      </w:pPr>
      <w:r>
        <w:rPr>
          <w:rFonts w:ascii="Arial" w:cs="Arial" w:eastAsia="Arial" w:hAnsi="Arial"/>
          <w:sz w:val="18"/>
          <w:szCs w:val="18"/>
          <w:color w:val="auto"/>
        </w:rPr>
        <w:t>Uzbekistan</w:t>
      </w:r>
    </w:p>
    <w:p>
      <w:pPr>
        <w:ind w:left="880"/>
        <w:spacing w:after="0" w:line="204" w:lineRule="auto"/>
        <w:rPr>
          <w:sz w:val="20"/>
          <w:szCs w:val="20"/>
          <w:color w:val="auto"/>
        </w:rPr>
      </w:pPr>
      <w:r>
        <w:rPr>
          <w:rFonts w:ascii="Arial" w:cs="Arial" w:eastAsia="Arial" w:hAnsi="Arial"/>
          <w:sz w:val="18"/>
          <w:szCs w:val="18"/>
          <w:color w:val="auto"/>
        </w:rPr>
        <w:t>Viet Nam</w:t>
      </w:r>
    </w:p>
    <w:p>
      <w:pPr>
        <w:ind w:left="880"/>
        <w:spacing w:after="0" w:line="203" w:lineRule="auto"/>
        <w:rPr>
          <w:sz w:val="20"/>
          <w:szCs w:val="20"/>
          <w:color w:val="auto"/>
        </w:rPr>
      </w:pPr>
      <w:r>
        <w:rPr>
          <w:rFonts w:ascii="Arial" w:cs="Arial" w:eastAsia="Arial" w:hAnsi="Arial"/>
          <w:sz w:val="18"/>
          <w:szCs w:val="18"/>
          <w:color w:val="auto"/>
        </w:rPr>
        <w:t>Zambia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690245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2020-06-01T13:02:28Z</dcterms:created>
  <dcterms:modified xsi:type="dcterms:W3CDTF">2020-06-01T13:02:28Z</dcterms:modified>
</cp:coreProperties>
</file>