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93.49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31,663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disability, or retirement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derivative securities beneficially owned following reported transactions includes shares acquired through dividend reinvestment plan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10/02/2025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2025-10-02T12:12:50Z</dcterms:created>
  <dcterms:modified xsi:type="dcterms:W3CDTF">2025-10-02T12:12:50Z</dcterms:modified>
</cp:coreProperties>
</file>