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6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-654685</wp:posOffset>
            </wp:positionV>
            <wp:extent cx="59690" cy="6680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4157980</wp:posOffset>
            </wp:positionH>
            <wp:positionV relativeFrom="paragraph">
              <wp:posOffset>-654685</wp:posOffset>
            </wp:positionV>
            <wp:extent cx="59690" cy="6680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21590</wp:posOffset>
            </wp:positionV>
            <wp:extent cx="7322820" cy="6475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7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Klyn Ronald G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02/15/2011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346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02/16/2011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138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35.3783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15,120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346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cancellation of the previously reported conditional share award, previously reported as a derivative security; however, it is now being reported at the time of award given that the condition to vesting was the recipient's continued employment.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-13970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Ronald G.  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19596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Klyn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2228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8"/>
        <w:spacing w:after="0" w:line="323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207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2019-12-16T10:15:42Z</dcterms:created>
  <dcterms:modified xsi:type="dcterms:W3CDTF">2019-12-16T10:15:42Z</dcterms:modified>
</cp:coreProperties>
</file>