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483235</wp:posOffset>
            </wp:positionH>
            <wp:positionV relativeFrom="page">
              <wp:posOffset>431800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page">
              <wp:posOffset>483235</wp:posOffset>
            </wp:positionH>
            <wp:positionV relativeFrom="page">
              <wp:posOffset>500380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t>UNITED STATES SECURITIES AND EXCHANGE COMMISSION</w:t>
      </w:r>
    </w:p>
    <w:p>
      <w:pPr>
        <w:spacing w:after="0" w:line="37" w:lineRule="exact"/>
        <w:rPr>
          <w:sz w:val="24"/>
          <w:szCs w:val="24"/>
          <w:color w:val="auto"/>
        </w:rPr>
      </w:pPr>
    </w:p>
    <w:p>
      <w:pPr>
        <w:jc w:val="center"/>
        <w:ind w:right="-1"/>
        <w:spacing w:after="0"/>
        <w:rPr>
          <w:sz w:val="20"/>
          <w:szCs w:val="20"/>
          <w:color w:val="auto"/>
        </w:rPr>
      </w:pPr>
      <w:r>
        <w:rPr>
          <w:rFonts w:ascii="Arial" w:cs="Arial" w:eastAsia="Arial" w:hAnsi="Arial"/>
          <w:sz w:val="20"/>
          <w:szCs w:val="20"/>
          <w:color w:val="auto"/>
        </w:rPr>
        <w:t>Washington, D.C. 20549</w:t>
      </w:r>
    </w:p>
    <w:p>
      <w:pPr>
        <w:spacing w:after="0" w:line="81" w:lineRule="exact"/>
        <w:rPr>
          <w:sz w:val="24"/>
          <w:szCs w:val="24"/>
          <w:color w:val="auto"/>
        </w:rPr>
      </w:pPr>
    </w:p>
    <w:p>
      <w:pPr>
        <w:jc w:val="center"/>
        <w:ind w:right="-1"/>
        <w:spacing w:after="0"/>
        <w:rPr>
          <w:sz w:val="20"/>
          <w:szCs w:val="20"/>
          <w:color w:val="auto"/>
        </w:rPr>
      </w:pPr>
      <w:r>
        <w:rPr>
          <w:rFonts w:ascii="Arial" w:cs="Arial" w:eastAsia="Arial" w:hAnsi="Arial"/>
          <w:sz w:val="27"/>
          <w:szCs w:val="27"/>
          <w:b w:val="1"/>
          <w:bCs w:val="1"/>
          <w:color w:val="auto"/>
        </w:rPr>
        <w:t>FORM 10-K</w:t>
      </w:r>
    </w:p>
    <w:p>
      <w:pPr>
        <w:spacing w:after="0" w:line="126" w:lineRule="exact"/>
        <w:rPr>
          <w:sz w:val="24"/>
          <w:szCs w:val="24"/>
          <w:color w:val="auto"/>
        </w:rPr>
      </w:pPr>
    </w:p>
    <w:p>
      <w:pPr>
        <w:ind w:left="642" w:right="500" w:hanging="642"/>
        <w:spacing w:after="0" w:line="253" w:lineRule="auto"/>
        <w:tabs>
          <w:tab w:leader="none" w:pos="642"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ANNUAL REPORT PURSUANT TO SECTION 13 OR 15(d) OF THE SECURITIES EXCHANGE ACT OF 1934. For the fiscal year ended </w:t>
      </w:r>
      <w:r>
        <w:rPr>
          <w:rFonts w:ascii="Arial" w:cs="Arial" w:eastAsia="Arial" w:hAnsi="Arial"/>
          <w:sz w:val="16"/>
          <w:szCs w:val="16"/>
          <w:u w:val="single" w:color="auto"/>
          <w:color w:val="auto"/>
        </w:rPr>
        <w:t>December 28, 2019</w:t>
      </w:r>
      <w:r>
        <w:rPr>
          <w:rFonts w:ascii="Arial" w:cs="Arial" w:eastAsia="Arial" w:hAnsi="Arial"/>
          <w:sz w:val="16"/>
          <w:szCs w:val="16"/>
          <w:color w:val="auto"/>
        </w:rPr>
        <w:t>.</w:t>
      </w:r>
    </w:p>
    <w:p>
      <w:pPr>
        <w:spacing w:after="0" w:line="93" w:lineRule="exact"/>
        <w:rPr>
          <w:sz w:val="24"/>
          <w:szCs w:val="24"/>
          <w:color w:val="auto"/>
        </w:rPr>
      </w:pPr>
    </w:p>
    <w:p>
      <w:pPr>
        <w:jc w:val="center"/>
        <w:ind w:right="-1"/>
        <w:spacing w:after="0"/>
        <w:rPr>
          <w:sz w:val="20"/>
          <w:szCs w:val="20"/>
          <w:color w:val="auto"/>
        </w:rPr>
      </w:pPr>
      <w:r>
        <w:rPr>
          <w:rFonts w:ascii="Arial" w:cs="Arial" w:eastAsia="Arial" w:hAnsi="Arial"/>
          <w:sz w:val="16"/>
          <w:szCs w:val="16"/>
          <w:color w:val="auto"/>
        </w:rPr>
        <w:t>OR</w:t>
      </w:r>
    </w:p>
    <w:p>
      <w:pPr>
        <w:spacing w:after="0" w:line="127" w:lineRule="exact"/>
        <w:rPr>
          <w:sz w:val="24"/>
          <w:szCs w:val="24"/>
          <w:color w:val="auto"/>
        </w:rPr>
      </w:pPr>
    </w:p>
    <w:p>
      <w:pPr>
        <w:ind w:left="642" w:hanging="642"/>
        <w:spacing w:after="0"/>
        <w:tabs>
          <w:tab w:leader="none" w:pos="642" w:val="left"/>
        </w:tabs>
        <w:numPr>
          <w:ilvl w:val="0"/>
          <w:numId w:val="2"/>
        </w:numPr>
        <w:rPr>
          <w:rFonts w:ascii="Arial" w:cs="Arial" w:eastAsia="Arial" w:hAnsi="Arial"/>
          <w:sz w:val="15"/>
          <w:szCs w:val="15"/>
          <w:color w:val="auto"/>
        </w:rPr>
      </w:pPr>
      <w:r>
        <w:rPr>
          <w:rFonts w:ascii="Arial" w:cs="Arial" w:eastAsia="Arial" w:hAnsi="Arial"/>
          <w:sz w:val="15"/>
          <w:szCs w:val="15"/>
          <w:color w:val="auto"/>
        </w:rPr>
        <w:t>TRANSITION REPORT PURSUANT TO SECTION 13 OR 15(d) OF THE SECURITIES EXCHANGE ACT OF 1934. For the transition period of</w:t>
      </w:r>
    </w:p>
    <w:p>
      <w:pPr>
        <w:spacing w:after="0" w:line="15" w:lineRule="exact"/>
        <w:rPr>
          <w:rFonts w:ascii="Arial" w:cs="Arial" w:eastAsia="Arial" w:hAnsi="Arial"/>
          <w:sz w:val="15"/>
          <w:szCs w:val="15"/>
          <w:color w:val="auto"/>
        </w:rPr>
      </w:pPr>
    </w:p>
    <w:p>
      <w:pPr>
        <w:ind w:left="642"/>
        <w:spacing w:after="0"/>
        <w:rPr>
          <w:rFonts w:ascii="Arial" w:cs="Arial" w:eastAsia="Arial" w:hAnsi="Arial"/>
          <w:sz w:val="15"/>
          <w:szCs w:val="15"/>
          <w:color w:val="auto"/>
        </w:rPr>
      </w:pPr>
      <w:r>
        <w:rPr>
          <w:rFonts w:ascii="Arial" w:cs="Arial" w:eastAsia="Arial" w:hAnsi="Arial"/>
          <w:sz w:val="16"/>
          <w:szCs w:val="16"/>
          <w:color w:val="auto"/>
        </w:rPr>
        <w:t>____ to _____.</w:t>
      </w:r>
    </w:p>
    <w:p>
      <w:pPr>
        <w:spacing w:after="0" w:line="113" w:lineRule="exact"/>
        <w:rPr>
          <w:sz w:val="24"/>
          <w:szCs w:val="24"/>
          <w:color w:val="auto"/>
        </w:rPr>
      </w:pPr>
    </w:p>
    <w:p>
      <w:pPr>
        <w:ind w:left="2"/>
        <w:spacing w:after="0"/>
        <w:rPr>
          <w:sz w:val="20"/>
          <w:szCs w:val="20"/>
          <w:color w:val="auto"/>
        </w:rPr>
      </w:pPr>
      <w:r>
        <w:rPr>
          <w:rFonts w:ascii="Arial" w:cs="Arial" w:eastAsia="Arial" w:hAnsi="Arial"/>
          <w:sz w:val="16"/>
          <w:szCs w:val="16"/>
          <w:color w:val="auto"/>
        </w:rPr>
        <w:t>Commission File No.: 0-22684</w:t>
      </w:r>
    </w:p>
    <w:p>
      <w:pPr>
        <w:spacing w:after="0" w:line="109" w:lineRule="exact"/>
        <w:rPr>
          <w:sz w:val="24"/>
          <w:szCs w:val="24"/>
          <w:color w:val="auto"/>
        </w:rPr>
      </w:pPr>
    </w:p>
    <w:p>
      <w:pPr>
        <w:jc w:val="center"/>
        <w:ind w:right="-1"/>
        <w:spacing w:after="0"/>
        <w:rPr>
          <w:sz w:val="20"/>
          <w:szCs w:val="20"/>
          <w:color w:val="auto"/>
        </w:rPr>
      </w:pPr>
      <w:r>
        <w:rPr>
          <w:rFonts w:ascii="Arial" w:cs="Arial" w:eastAsia="Arial" w:hAnsi="Arial"/>
          <w:sz w:val="27"/>
          <w:szCs w:val="27"/>
          <w:b w:val="1"/>
          <w:bCs w:val="1"/>
          <w:color w:val="auto"/>
        </w:rPr>
        <w:t>UNIVERSAL FOREST PRODUCTS, INC.</w:t>
      </w:r>
    </w:p>
    <w:p>
      <w:pPr>
        <w:spacing w:after="0" w:line="32" w:lineRule="exact"/>
        <w:rPr>
          <w:sz w:val="24"/>
          <w:szCs w:val="24"/>
          <w:color w:val="auto"/>
        </w:rPr>
      </w:pPr>
    </w:p>
    <w:p>
      <w:pPr>
        <w:jc w:val="center"/>
        <w:ind w:right="-1"/>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382"/>
          </w:cols>
          <w:pgMar w:left="758" w:top="850" w:right="759" w:bottom="1440" w:gutter="0" w:footer="0" w:header="0"/>
        </w:sectPr>
      </w:pPr>
    </w:p>
    <w:p>
      <w:pPr>
        <w:spacing w:after="0" w:line="109" w:lineRule="exact"/>
        <w:rPr>
          <w:sz w:val="24"/>
          <w:szCs w:val="24"/>
          <w:color w:val="auto"/>
        </w:rPr>
      </w:pPr>
    </w:p>
    <w:p>
      <w:pPr>
        <w:jc w:val="center"/>
        <w:ind w:right="758"/>
        <w:spacing w:after="0"/>
        <w:rPr>
          <w:sz w:val="20"/>
          <w:szCs w:val="20"/>
          <w:color w:val="auto"/>
        </w:rPr>
      </w:pPr>
      <w:r>
        <w:rPr>
          <w:rFonts w:ascii="Arial" w:cs="Arial" w:eastAsia="Arial" w:hAnsi="Arial"/>
          <w:sz w:val="16"/>
          <w:szCs w:val="16"/>
          <w:b w:val="1"/>
          <w:bCs w:val="1"/>
          <w:color w:val="auto"/>
        </w:rPr>
        <w:t>Michigan</w:t>
      </w:r>
    </w:p>
    <w:p>
      <w:pPr>
        <w:spacing w:after="0" w:line="10" w:lineRule="exact"/>
        <w:rPr>
          <w:sz w:val="24"/>
          <w:szCs w:val="24"/>
          <w:color w:val="auto"/>
        </w:rPr>
      </w:pPr>
    </w:p>
    <w:p>
      <w:pPr>
        <w:jc w:val="center"/>
        <w:ind w:right="758"/>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38-1465835</w:t>
      </w:r>
    </w:p>
    <w:p>
      <w:pPr>
        <w:spacing w:after="0" w:line="10" w:lineRule="exact"/>
        <w:rPr>
          <w:sz w:val="24"/>
          <w:szCs w:val="24"/>
          <w:color w:val="auto"/>
        </w:rPr>
      </w:pPr>
    </w:p>
    <w:p>
      <w:pPr>
        <w:jc w:val="center"/>
        <w:ind w:right="1320"/>
        <w:spacing w:after="0"/>
        <w:rPr>
          <w:sz w:val="20"/>
          <w:szCs w:val="20"/>
          <w:color w:val="auto"/>
        </w:rPr>
      </w:pPr>
      <w:r>
        <w:rPr>
          <w:rFonts w:ascii="Arial" w:cs="Arial" w:eastAsia="Arial" w:hAnsi="Arial"/>
          <w:sz w:val="15"/>
          <w:szCs w:val="15"/>
          <w:color w:val="auto"/>
        </w:rPr>
        <w:t>(I.R.S. Employer Identification No.)</w:t>
      </w:r>
    </w:p>
    <w:p>
      <w:pPr>
        <w:spacing w:after="0" w:line="80" w:lineRule="exact"/>
        <w:rPr>
          <w:sz w:val="24"/>
          <w:szCs w:val="24"/>
          <w:color w:val="auto"/>
        </w:rPr>
      </w:pPr>
    </w:p>
    <w:p>
      <w:pPr>
        <w:sectPr>
          <w:pgSz w:w="11900" w:h="16838" w:orient="portrait"/>
          <w:cols w:equalWidth="0" w:num="2">
            <w:col w:w="5982" w:space="720"/>
            <w:col w:w="3680"/>
          </w:cols>
          <w:pgMar w:left="758" w:top="850" w:right="759" w:bottom="1440" w:gutter="0" w:footer="0" w:header="0"/>
          <w:type w:val="continuous"/>
        </w:sectPr>
      </w:pPr>
    </w:p>
    <w:p>
      <w:pPr>
        <w:jc w:val="center"/>
        <w:ind w:right="1578"/>
        <w:spacing w:after="0"/>
        <w:rPr>
          <w:sz w:val="20"/>
          <w:szCs w:val="20"/>
          <w:color w:val="auto"/>
        </w:rPr>
      </w:pPr>
      <w:r>
        <w:rPr>
          <w:rFonts w:ascii="Arial" w:cs="Arial" w:eastAsia="Arial" w:hAnsi="Arial"/>
          <w:sz w:val="14"/>
          <w:szCs w:val="14"/>
          <w:b w:val="1"/>
          <w:bCs w:val="1"/>
          <w:color w:val="auto"/>
        </w:rPr>
        <w:t>2801 East Beltline, N.E., Grand Rapids, Michigan</w:t>
      </w:r>
    </w:p>
    <w:p>
      <w:pPr>
        <w:spacing w:after="0" w:line="33" w:lineRule="exact"/>
        <w:rPr>
          <w:sz w:val="24"/>
          <w:szCs w:val="24"/>
          <w:color w:val="auto"/>
        </w:rPr>
      </w:pPr>
    </w:p>
    <w:p>
      <w:pPr>
        <w:jc w:val="center"/>
        <w:ind w:right="1578"/>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Arial" w:cs="Arial" w:eastAsia="Arial" w:hAnsi="Arial"/>
          <w:sz w:val="16"/>
          <w:szCs w:val="16"/>
          <w:b w:val="1"/>
          <w:bCs w:val="1"/>
          <w:color w:val="auto"/>
        </w:rPr>
        <w:t>49525</w:t>
      </w:r>
    </w:p>
    <w:p>
      <w:pPr>
        <w:spacing w:after="0" w:line="10" w:lineRule="exact"/>
        <w:rPr>
          <w:sz w:val="24"/>
          <w:szCs w:val="24"/>
          <w:color w:val="auto"/>
        </w:rPr>
      </w:pPr>
    </w:p>
    <w:p>
      <w:pPr>
        <w:jc w:val="center"/>
        <w:ind w:right="2140"/>
        <w:spacing w:after="0"/>
        <w:rPr>
          <w:sz w:val="20"/>
          <w:szCs w:val="20"/>
          <w:color w:val="auto"/>
        </w:rPr>
      </w:pPr>
      <w:r>
        <w:rPr>
          <w:rFonts w:ascii="Arial" w:cs="Arial" w:eastAsia="Arial" w:hAnsi="Arial"/>
          <w:sz w:val="15"/>
          <w:szCs w:val="15"/>
          <w:color w:val="auto"/>
        </w:rPr>
        <w:t>(Zip Code)</w:t>
      </w:r>
    </w:p>
    <w:p>
      <w:pPr>
        <w:spacing w:after="0" w:line="106" w:lineRule="exact"/>
        <w:rPr>
          <w:sz w:val="24"/>
          <w:szCs w:val="24"/>
          <w:color w:val="auto"/>
        </w:rPr>
      </w:pPr>
    </w:p>
    <w:p>
      <w:pPr>
        <w:sectPr>
          <w:pgSz w:w="11900" w:h="16838" w:orient="portrait"/>
          <w:cols w:equalWidth="0" w:num="2">
            <w:col w:w="6802" w:space="720"/>
            <w:col w:w="2860"/>
          </w:cols>
          <w:pgMar w:left="758" w:top="850" w:right="759" w:bottom="1440" w:gutter="0" w:footer="0" w:header="0"/>
          <w:type w:val="continuous"/>
        </w:sectPr>
      </w:pPr>
    </w:p>
    <w:p>
      <w:pPr>
        <w:ind w:left="2"/>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(616) 364-6161</w:t>
      </w:r>
    </w:p>
    <w:p>
      <w:pPr>
        <w:spacing w:after="0" w:line="154" w:lineRule="exact"/>
        <w:rPr>
          <w:sz w:val="24"/>
          <w:szCs w:val="24"/>
          <w:color w:val="auto"/>
        </w:rPr>
      </w:pPr>
    </w:p>
    <w:p>
      <w:pPr>
        <w:ind w:left="2"/>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0382"/>
          </w:cols>
          <w:pgMar w:left="758" w:top="850" w:right="759" w:bottom="1440" w:gutter="0" w:footer="0" w:header="0"/>
          <w:type w:val="continuous"/>
        </w:sectPr>
      </w:pPr>
    </w:p>
    <w:p>
      <w:pPr>
        <w:spacing w:after="0" w:line="140" w:lineRule="exact"/>
        <w:rPr>
          <w:sz w:val="24"/>
          <w:szCs w:val="24"/>
          <w:color w:val="auto"/>
        </w:rPr>
      </w:pPr>
    </w:p>
    <w:p>
      <w:pPr>
        <w:jc w:val="center"/>
        <w:ind w:right="338"/>
        <w:spacing w:after="0"/>
        <w:rPr>
          <w:sz w:val="20"/>
          <w:szCs w:val="20"/>
          <w:color w:val="auto"/>
        </w:rPr>
      </w:pPr>
      <w:r>
        <w:rPr>
          <w:rFonts w:ascii="Arial" w:cs="Arial" w:eastAsia="Arial" w:hAnsi="Arial"/>
          <w:sz w:val="16"/>
          <w:szCs w:val="16"/>
          <w:color w:val="auto"/>
        </w:rPr>
        <w:t>Title of Each Class</w:t>
      </w:r>
    </w:p>
    <w:p>
      <w:pPr>
        <w:spacing w:after="0" w:line="22" w:lineRule="exact"/>
        <w:rPr>
          <w:sz w:val="24"/>
          <w:szCs w:val="24"/>
          <w:color w:val="auto"/>
        </w:rPr>
      </w:pPr>
    </w:p>
    <w:p>
      <w:pPr>
        <w:jc w:val="center"/>
        <w:ind w:right="338"/>
        <w:spacing w:after="0"/>
        <w:rPr>
          <w:sz w:val="20"/>
          <w:szCs w:val="20"/>
          <w:color w:val="auto"/>
        </w:rPr>
      </w:pPr>
      <w:r>
        <w:rPr>
          <w:rFonts w:ascii="Arial" w:cs="Arial" w:eastAsia="Arial" w:hAnsi="Arial"/>
          <w:sz w:val="14"/>
          <w:szCs w:val="14"/>
          <w:b w:val="1"/>
          <w:bCs w:val="1"/>
          <w:color w:val="auto"/>
        </w:rPr>
        <w:t>Common Stock, $1 par value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720"/>
        <w:spacing w:after="0"/>
        <w:rPr>
          <w:sz w:val="20"/>
          <w:szCs w:val="20"/>
          <w:color w:val="auto"/>
        </w:rPr>
      </w:pPr>
      <w:r>
        <w:rPr>
          <w:rFonts w:ascii="Arial" w:cs="Arial" w:eastAsia="Arial" w:hAnsi="Arial"/>
          <w:sz w:val="14"/>
          <w:szCs w:val="14"/>
          <w:color w:val="auto"/>
        </w:rPr>
        <w:t>Trading Symbol</w:t>
      </w:r>
    </w:p>
    <w:p>
      <w:pPr>
        <w:spacing w:after="0" w:line="45"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UFPI</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360"/>
        <w:spacing w:after="0"/>
        <w:rPr>
          <w:sz w:val="20"/>
          <w:szCs w:val="20"/>
          <w:color w:val="auto"/>
        </w:rPr>
      </w:pPr>
      <w:r>
        <w:rPr>
          <w:rFonts w:ascii="Arial" w:cs="Arial" w:eastAsia="Arial" w:hAnsi="Arial"/>
          <w:sz w:val="14"/>
          <w:szCs w:val="14"/>
          <w:color w:val="auto"/>
        </w:rPr>
        <w:t>Name of Each Exchange on Which Registered</w:t>
      </w:r>
    </w:p>
    <w:p>
      <w:pPr>
        <w:spacing w:after="0" w:line="45"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The NASDAQ Global Select Market</w:t>
      </w:r>
    </w:p>
    <w:p>
      <w:pPr>
        <w:spacing w:after="0" w:line="93" w:lineRule="exact"/>
        <w:rPr>
          <w:sz w:val="24"/>
          <w:szCs w:val="24"/>
          <w:color w:val="auto"/>
        </w:rPr>
      </w:pPr>
    </w:p>
    <w:p>
      <w:pPr>
        <w:sectPr>
          <w:pgSz w:w="11900" w:h="16838" w:orient="portrait"/>
          <w:cols w:equalWidth="0" w:num="3">
            <w:col w:w="3802" w:space="720"/>
            <w:col w:w="1760" w:space="720"/>
            <w:col w:w="3380"/>
          </w:cols>
          <w:pgMar w:left="758" w:top="850" w:right="759" w:bottom="1440" w:gutter="0" w:footer="0" w:header="0"/>
          <w:type w:val="continuous"/>
        </w:sectPr>
      </w:pPr>
    </w:p>
    <w:p>
      <w:pPr>
        <w:spacing w:after="0" w:line="30" w:lineRule="exact"/>
        <w:rPr>
          <w:sz w:val="24"/>
          <w:szCs w:val="24"/>
          <w:color w:val="auto"/>
        </w:rPr>
      </w:pPr>
    </w:p>
    <w:p>
      <w:pPr>
        <w:ind w:left="2"/>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81" w:lineRule="exact"/>
        <w:rPr>
          <w:sz w:val="20"/>
          <w:szCs w:val="20"/>
          <w:color w:val="auto"/>
        </w:rPr>
      </w:pPr>
      <w:r>
        <w:rPr>
          <w:rFonts w:ascii="Arial" w:cs="Arial" w:eastAsia="Arial" w:hAnsi="Arial"/>
          <w:sz w:val="15"/>
          <w:szCs w:val="15"/>
          <w:color w:val="auto"/>
        </w:rPr>
        <w:t xml:space="preserve">Yes </w:t>
      </w: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No</w:t>
      </w:r>
    </w:p>
    <w:p>
      <w:pPr>
        <w:spacing w:after="0" w:line="126" w:lineRule="exact"/>
        <w:rPr>
          <w:sz w:val="24"/>
          <w:szCs w:val="24"/>
          <w:color w:val="auto"/>
        </w:rPr>
      </w:pPr>
    </w:p>
    <w:p>
      <w:pPr>
        <w:sectPr>
          <w:pgSz w:w="11900" w:h="16838" w:orient="portrait"/>
          <w:cols w:equalWidth="0" w:num="3">
            <w:col w:w="7602" w:space="120"/>
            <w:col w:w="480" w:space="480"/>
            <w:col w:w="1700"/>
          </w:cols>
          <w:pgMar w:left="758" w:top="850" w:right="759" w:bottom="1440" w:gutter="0" w:footer="0" w:header="0"/>
          <w:type w:val="continuous"/>
        </w:sectPr>
      </w:pPr>
    </w:p>
    <w:p>
      <w:pPr>
        <w:spacing w:after="0" w:line="30" w:lineRule="exact"/>
        <w:rPr>
          <w:sz w:val="24"/>
          <w:szCs w:val="24"/>
          <w:color w:val="auto"/>
        </w:rPr>
      </w:pPr>
    </w:p>
    <w:p>
      <w:pPr>
        <w:ind w:left="2"/>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p>
      <w:pPr>
        <w:spacing w:after="0" w:line="126" w:lineRule="exact"/>
        <w:rPr>
          <w:sz w:val="24"/>
          <w:szCs w:val="24"/>
          <w:color w:val="auto"/>
        </w:rPr>
      </w:pPr>
    </w:p>
    <w:p>
      <w:pPr>
        <w:sectPr>
          <w:pgSz w:w="11900" w:h="16838" w:orient="portrait"/>
          <w:cols w:equalWidth="0" w:num="3">
            <w:col w:w="7762" w:space="120"/>
            <w:col w:w="400" w:space="500"/>
            <w:col w:w="1600"/>
          </w:cols>
          <w:pgMar w:left="758" w:top="850" w:right="759" w:bottom="1440" w:gutter="0" w:footer="0" w:header="0"/>
          <w:type w:val="continuous"/>
        </w:sectPr>
      </w:pPr>
    </w:p>
    <w:p>
      <w:pPr>
        <w:jc w:val="both"/>
        <w:ind w:left="2"/>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87" w:lineRule="exact"/>
        <w:rPr>
          <w:sz w:val="24"/>
          <w:szCs w:val="24"/>
          <w:color w:val="auto"/>
        </w:rPr>
      </w:pPr>
    </w:p>
    <w:p>
      <w:pPr>
        <w:jc w:val="both"/>
        <w:ind w:left="2"/>
        <w:spacing w:after="0" w:line="304"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p>
    <w:p>
      <w:pPr>
        <w:ind w:left="682" w:hanging="682"/>
        <w:spacing w:after="0" w:line="204" w:lineRule="exact"/>
        <w:tabs>
          <w:tab w:leader="none" w:pos="682" w:val="left"/>
        </w:tabs>
        <w:numPr>
          <w:ilvl w:val="0"/>
          <w:numId w:val="3"/>
        </w:numPr>
        <w:rPr>
          <w:rFonts w:ascii="Arial" w:cs="Arial" w:eastAsia="Arial" w:hAnsi="Arial"/>
          <w:sz w:val="16"/>
          <w:szCs w:val="16"/>
          <w:color w:val="auto"/>
        </w:rPr>
      </w:pPr>
      <w:r>
        <w:rPr>
          <w:rFonts w:ascii="Arial" w:cs="Arial" w:eastAsia="Arial" w:hAnsi="Arial"/>
          <w:sz w:val="16"/>
          <w:szCs w:val="16"/>
          <w:color w:val="auto"/>
        </w:rPr>
        <w:t>No</w:t>
      </w:r>
    </w:p>
    <w:p>
      <w:pPr>
        <w:spacing w:after="0" w:line="104" w:lineRule="exact"/>
        <w:rPr>
          <w:sz w:val="24"/>
          <w:szCs w:val="24"/>
          <w:color w:val="auto"/>
        </w:rPr>
      </w:pPr>
    </w:p>
    <w:p>
      <w:pPr>
        <w:jc w:val="both"/>
        <w:ind w:left="2"/>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ind w:left="282"/>
        <w:spacing w:after="0" w:line="215" w:lineRule="exact"/>
        <w:tabs>
          <w:tab w:leader="none" w:pos="2722" w:val="left"/>
          <w:tab w:leader="none" w:pos="5002" w:val="left"/>
          <w:tab w:leader="none" w:pos="7702" w:val="left"/>
        </w:tabs>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Arial" w:cs="Arial" w:eastAsia="Arial" w:hAnsi="Arial"/>
          <w:sz w:val="15"/>
          <w:szCs w:val="15"/>
          <w:color w:val="auto"/>
        </w:rPr>
        <w:t xml:space="preserve">Smaller Reporting Company </w:t>
      </w:r>
      <w:r>
        <w:rPr>
          <w:rFonts w:ascii="Arial Unicode MS" w:cs="Arial Unicode MS" w:eastAsia="Arial Unicode MS" w:hAnsi="Arial Unicode MS"/>
          <w:sz w:val="15"/>
          <w:szCs w:val="15"/>
          <w:color w:val="auto"/>
        </w:rPr>
        <w:t>☐</w:t>
      </w:r>
    </w:p>
    <w:p>
      <w:pPr>
        <w:spacing w:after="0" w:line="191" w:lineRule="exact"/>
        <w:rPr>
          <w:sz w:val="24"/>
          <w:szCs w:val="24"/>
          <w:color w:val="auto"/>
        </w:rPr>
      </w:pPr>
    </w:p>
    <w:p>
      <w:pPr>
        <w:ind w:left="142"/>
        <w:spacing w:after="0" w:line="21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194" w:lineRule="exact"/>
        <w:rPr>
          <w:sz w:val="24"/>
          <w:szCs w:val="24"/>
          <w:color w:val="auto"/>
        </w:rPr>
      </w:pPr>
    </w:p>
    <w:p>
      <w:pPr>
        <w:ind w:left="2" w:right="40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70" w:lineRule="exact"/>
        <w:rPr>
          <w:sz w:val="24"/>
          <w:szCs w:val="24"/>
          <w:color w:val="auto"/>
        </w:rPr>
      </w:pPr>
    </w:p>
    <w:p>
      <w:pPr>
        <w:ind w:left="2"/>
        <w:spacing w:after="0" w:line="215" w:lineRule="exact"/>
        <w:tabs>
          <w:tab w:leader="none" w:pos="7702"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p>
      <w:pPr>
        <w:spacing w:after="0" w:line="126" w:lineRule="exact"/>
        <w:rPr>
          <w:sz w:val="24"/>
          <w:szCs w:val="24"/>
          <w:color w:val="auto"/>
        </w:rPr>
      </w:pPr>
    </w:p>
    <w:p>
      <w:pPr>
        <w:ind w:left="2"/>
        <w:spacing w:after="0" w:line="329" w:lineRule="auto"/>
        <w:rPr>
          <w:sz w:val="20"/>
          <w:szCs w:val="20"/>
          <w:color w:val="auto"/>
        </w:rPr>
      </w:pPr>
      <w:r>
        <w:rPr>
          <w:rFonts w:ascii="Arial" w:cs="Arial" w:eastAsia="Arial" w:hAnsi="Arial"/>
          <w:sz w:val="15"/>
          <w:szCs w:val="15"/>
          <w:color w:val="auto"/>
        </w:rPr>
        <w:t>The aggregate market value of the common stock held by non-affiliates of the registrant (i.e. excluding shares held by executive officers, directors, and control persons as defined in Rule 405, 17 CFR 230.405) on June 28, 2019 was $2,198,105,632 computed at the closing price of $38.06 on that date.</w:t>
      </w:r>
    </w:p>
    <w:p>
      <w:pPr>
        <w:spacing w:after="0" w:line="40" w:lineRule="exact"/>
        <w:rPr>
          <w:sz w:val="24"/>
          <w:szCs w:val="24"/>
          <w:color w:val="auto"/>
        </w:rPr>
      </w:pPr>
    </w:p>
    <w:p>
      <w:pPr>
        <w:ind w:left="2"/>
        <w:spacing w:after="0"/>
        <w:rPr>
          <w:sz w:val="20"/>
          <w:szCs w:val="20"/>
          <w:color w:val="auto"/>
        </w:rPr>
      </w:pPr>
      <w:r>
        <w:rPr>
          <w:rFonts w:ascii="Arial" w:cs="Arial" w:eastAsia="Arial" w:hAnsi="Arial"/>
          <w:sz w:val="16"/>
          <w:szCs w:val="16"/>
          <w:color w:val="auto"/>
        </w:rPr>
        <w:t>As of February 1, 2020, 61,416,053 shares of the registrant’s common stock, $1 par value, were outstanding.</w:t>
      </w:r>
    </w:p>
    <w:p>
      <w:pPr>
        <w:spacing w:after="0" w:line="127" w:lineRule="exact"/>
        <w:rPr>
          <w:sz w:val="24"/>
          <w:szCs w:val="24"/>
          <w:color w:val="auto"/>
        </w:rPr>
      </w:pPr>
    </w:p>
    <w:p>
      <w:pPr>
        <w:ind w:left="2"/>
        <w:spacing w:after="0"/>
        <w:rPr>
          <w:sz w:val="20"/>
          <w:szCs w:val="20"/>
          <w:color w:val="auto"/>
        </w:rPr>
      </w:pPr>
      <w:r>
        <w:rPr>
          <w:rFonts w:ascii="Arial" w:cs="Arial" w:eastAsia="Arial" w:hAnsi="Arial"/>
          <w:sz w:val="16"/>
          <w:szCs w:val="16"/>
          <w:color w:val="auto"/>
        </w:rPr>
        <w:t>Documents incorporated by reference:</w:t>
      </w:r>
    </w:p>
    <w:p>
      <w:pPr>
        <w:spacing w:after="0" w:line="127" w:lineRule="exact"/>
        <w:rPr>
          <w:sz w:val="24"/>
          <w:szCs w:val="24"/>
          <w:color w:val="auto"/>
        </w:rPr>
      </w:pPr>
    </w:p>
    <w:p>
      <w:pPr>
        <w:ind w:left="522" w:hanging="319"/>
        <w:spacing w:after="0" w:line="293" w:lineRule="auto"/>
        <w:tabs>
          <w:tab w:leader="none" w:pos="522" w:val="left"/>
        </w:tabs>
        <w:numPr>
          <w:ilvl w:val="0"/>
          <w:numId w:val="4"/>
        </w:numPr>
        <w:rPr>
          <w:rFonts w:ascii="Arial" w:cs="Arial" w:eastAsia="Arial" w:hAnsi="Arial"/>
          <w:sz w:val="16"/>
          <w:szCs w:val="16"/>
          <w:color w:val="auto"/>
        </w:rPr>
      </w:pPr>
      <w:r>
        <w:rPr>
          <w:rFonts w:ascii="Arial" w:cs="Arial" w:eastAsia="Arial" w:hAnsi="Arial"/>
          <w:sz w:val="16"/>
          <w:szCs w:val="16"/>
          <w:color w:val="auto"/>
        </w:rPr>
        <w:t>Certain portions of the registrant’s Annual Report to Shareholders for the fiscal year ended December 28, 2019 are incorporated by reference into Part I and II of this Report.</w:t>
      </w:r>
    </w:p>
    <w:p>
      <w:pPr>
        <w:spacing w:after="0" w:line="63" w:lineRule="exact"/>
        <w:rPr>
          <w:rFonts w:ascii="Arial" w:cs="Arial" w:eastAsia="Arial" w:hAnsi="Arial"/>
          <w:sz w:val="16"/>
          <w:szCs w:val="16"/>
          <w:color w:val="auto"/>
        </w:rPr>
      </w:pPr>
    </w:p>
    <w:p>
      <w:pPr>
        <w:ind w:left="522" w:hanging="319"/>
        <w:spacing w:after="0" w:line="293" w:lineRule="auto"/>
        <w:tabs>
          <w:tab w:leader="none" w:pos="522" w:val="left"/>
        </w:tabs>
        <w:numPr>
          <w:ilvl w:val="0"/>
          <w:numId w:val="4"/>
        </w:numPr>
        <w:rPr>
          <w:rFonts w:ascii="Arial" w:cs="Arial" w:eastAsia="Arial" w:hAnsi="Arial"/>
          <w:sz w:val="16"/>
          <w:szCs w:val="16"/>
          <w:color w:val="auto"/>
        </w:rPr>
      </w:pPr>
      <w:r>
        <w:rPr>
          <w:rFonts w:ascii="Arial" w:cs="Arial" w:eastAsia="Arial" w:hAnsi="Arial"/>
          <w:sz w:val="16"/>
          <w:szCs w:val="16"/>
          <w:color w:val="auto"/>
        </w:rPr>
        <w:t>Certain portions of the registrant’s Proxy Statement for its 2019 Annual Meeting of Shareholders are incorporated by reference into Part III of this Report.</w:t>
      </w:r>
    </w:p>
    <w:p>
      <w:pPr>
        <w:spacing w:after="0" w:line="64" w:lineRule="exact"/>
        <w:rPr>
          <w:sz w:val="24"/>
          <w:szCs w:val="24"/>
          <w:color w:val="auto"/>
        </w:rPr>
      </w:pPr>
    </w:p>
    <w:p>
      <w:pPr>
        <w:jc w:val="center"/>
        <w:ind w:right="-1"/>
        <w:spacing w:after="0"/>
        <w:rPr>
          <w:sz w:val="20"/>
          <w:szCs w:val="20"/>
          <w:color w:val="auto"/>
        </w:rPr>
      </w:pPr>
      <w:r>
        <w:rPr>
          <w:rFonts w:ascii="Arial" w:cs="Arial" w:eastAsia="Arial" w:hAnsi="Arial"/>
          <w:sz w:val="16"/>
          <w:szCs w:val="16"/>
          <w:color w:val="auto"/>
        </w:rPr>
        <w:t>Exhibit Index located on page E-1.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626745</wp:posOffset>
            </wp:positionV>
            <wp:extent cx="65951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155575</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198120</wp:posOffset>
            </wp:positionV>
            <wp:extent cx="659511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82"/>
          </w:cols>
          <w:pgMar w:left="758" w:top="850" w:right="7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40" w:type="dxa"/>
            <w:vAlign w:val="bottom"/>
            <w:gridSpan w:val="17"/>
          </w:tcPr>
          <w:p>
            <w:pPr>
              <w:jc w:val="center"/>
              <w:ind w:right="2060"/>
              <w:spacing w:after="0"/>
              <w:rPr>
                <w:sz w:val="20"/>
                <w:szCs w:val="20"/>
                <w:color w:val="auto"/>
              </w:rPr>
            </w:pPr>
            <w:r>
              <w:rPr>
                <w:rFonts w:ascii="Arial" w:cs="Arial" w:eastAsia="Arial" w:hAnsi="Arial"/>
                <w:sz w:val="18"/>
                <w:szCs w:val="18"/>
                <w:b w:val="1"/>
                <w:bCs w:val="1"/>
                <w:color w:val="auto"/>
                <w:w w:val="99"/>
              </w:rPr>
              <w:t>ANNUAL REPORT ON FORM 10-K</w:t>
            </w:r>
          </w:p>
        </w:tc>
        <w:tc>
          <w:tcPr>
            <w:tcW w:w="880" w:type="dxa"/>
            <w:vAlign w:val="bottom"/>
          </w:tcPr>
          <w:p>
            <w:pPr>
              <w:spacing w:after="0"/>
              <w:rPr>
                <w:sz w:val="20"/>
                <w:szCs w:val="20"/>
                <w:color w:val="auto"/>
              </w:rPr>
            </w:pPr>
          </w:p>
        </w:tc>
      </w:tr>
      <w:tr>
        <w:trPr>
          <w:trHeight w:val="257"/>
        </w:trPr>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40" w:type="dxa"/>
            <w:vAlign w:val="bottom"/>
            <w:gridSpan w:val="17"/>
          </w:tcPr>
          <w:p>
            <w:pPr>
              <w:jc w:val="center"/>
              <w:ind w:right="2040"/>
              <w:spacing w:after="0"/>
              <w:rPr>
                <w:sz w:val="20"/>
                <w:szCs w:val="20"/>
                <w:color w:val="auto"/>
              </w:rPr>
            </w:pPr>
            <w:r>
              <w:rPr>
                <w:rFonts w:ascii="Arial" w:cs="Arial" w:eastAsia="Arial" w:hAnsi="Arial"/>
                <w:sz w:val="18"/>
                <w:szCs w:val="18"/>
                <w:b w:val="1"/>
                <w:bCs w:val="1"/>
                <w:color w:val="auto"/>
                <w:w w:val="96"/>
              </w:rPr>
              <w:t>DECEMBER 28, 2019</w:t>
            </w:r>
          </w:p>
        </w:tc>
        <w:tc>
          <w:tcPr>
            <w:tcW w:w="88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40" w:type="dxa"/>
            <w:vAlign w:val="bottom"/>
            <w:gridSpan w:val="17"/>
          </w:tcPr>
          <w:p>
            <w:pPr>
              <w:jc w:val="center"/>
              <w:ind w:right="2040"/>
              <w:spacing w:after="0"/>
              <w:rPr>
                <w:sz w:val="20"/>
                <w:szCs w:val="20"/>
                <w:color w:val="auto"/>
              </w:rPr>
            </w:pPr>
            <w:r>
              <w:rPr>
                <w:rFonts w:ascii="Arial" w:cs="Arial" w:eastAsia="Arial" w:hAnsi="Arial"/>
                <w:sz w:val="18"/>
                <w:szCs w:val="18"/>
                <w:b w:val="1"/>
                <w:bCs w:val="1"/>
                <w:color w:val="auto"/>
                <w:w w:val="98"/>
              </w:rPr>
              <w:t>TABLE OF CONTENTS</w:t>
            </w:r>
          </w:p>
        </w:tc>
        <w:tc>
          <w:tcPr>
            <w:tcW w:w="880" w:type="dxa"/>
            <w:vAlign w:val="bottom"/>
          </w:tcPr>
          <w:p>
            <w:pPr>
              <w:spacing w:after="0"/>
              <w:rPr>
                <w:sz w:val="22"/>
                <w:szCs w:val="22"/>
                <w:color w:val="auto"/>
              </w:rPr>
            </w:pPr>
          </w:p>
        </w:tc>
      </w:tr>
      <w:tr>
        <w:trPr>
          <w:trHeight w:val="41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11"/>
          </w:tcPr>
          <w:p>
            <w:pPr>
              <w:jc w:val="center"/>
              <w:ind w:right="336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88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320" w:type="dxa"/>
            <w:vAlign w:val="bottom"/>
            <w:gridSpan w:val="2"/>
          </w:tcPr>
          <w:p>
            <w:pPr>
              <w:spacing w:after="0"/>
              <w:rPr>
                <w:sz w:val="24"/>
                <w:szCs w:val="24"/>
                <w:color w:val="auto"/>
              </w:rPr>
            </w:pPr>
          </w:p>
        </w:tc>
        <w:tc>
          <w:tcPr>
            <w:tcW w:w="34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24"/>
                <w:szCs w:val="24"/>
                <w:color w:val="auto"/>
              </w:rPr>
            </w:pPr>
          </w:p>
        </w:tc>
        <w:tc>
          <w:tcPr>
            <w:tcW w:w="3360" w:type="dxa"/>
            <w:vAlign w:val="bottom"/>
            <w:gridSpan w:val="10"/>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6">
              <w:r>
                <w:rPr>
                  <w:rFonts w:ascii="Arial" w:cs="Arial" w:eastAsia="Arial" w:hAnsi="Arial"/>
                  <w:sz w:val="18"/>
                  <w:szCs w:val="18"/>
                  <w:color w:val="0000EE"/>
                  <w:w w:val="83"/>
                </w:rPr>
                <w:t>Item 1A.</w:t>
              </w:r>
            </w:hyperlink>
          </w:p>
        </w:tc>
        <w:tc>
          <w:tcPr>
            <w:tcW w:w="240" w:type="dxa"/>
            <w:vAlign w:val="bottom"/>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7">
              <w:r>
                <w:rPr>
                  <w:rFonts w:ascii="Arial" w:cs="Arial" w:eastAsia="Arial" w:hAnsi="Arial"/>
                  <w:sz w:val="18"/>
                  <w:szCs w:val="18"/>
                  <w:color w:val="0000EE"/>
                  <w:w w:val="83"/>
                </w:rPr>
                <w:t>Item 1B.</w:t>
              </w:r>
            </w:hyperlink>
          </w:p>
        </w:tc>
        <w:tc>
          <w:tcPr>
            <w:tcW w:w="240" w:type="dxa"/>
            <w:vAlign w:val="bottom"/>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Unresolved Staff Comments.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Item 2.</w:t>
              </w:r>
            </w:hyperlink>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Properties.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Item 3.</w:t>
              </w:r>
            </w:hyperlink>
          </w:p>
        </w:tc>
        <w:tc>
          <w:tcPr>
            <w:tcW w:w="320" w:type="dxa"/>
            <w:vAlign w:val="bottom"/>
            <w:gridSpan w:val="2"/>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Legal Proceedings.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Item 4.</w:t>
              </w:r>
            </w:hyperlink>
          </w:p>
        </w:tc>
        <w:tc>
          <w:tcPr>
            <w:tcW w:w="320" w:type="dxa"/>
            <w:vAlign w:val="bottom"/>
            <w:gridSpan w:val="2"/>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Mine Safety Disclosures.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8180" w:type="dxa"/>
            <w:vAlign w:val="bottom"/>
            <w:gridSpan w:val="2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Additional item: Executive Officers of the Registrant.</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12"/>
          </w:tcPr>
          <w:p>
            <w:pPr>
              <w:jc w:val="center"/>
              <w:ind w:right="3320"/>
              <w:spacing w:after="0"/>
              <w:rPr>
                <w:rFonts w:ascii="Arial" w:cs="Arial" w:eastAsia="Arial" w:hAnsi="Arial"/>
                <w:sz w:val="18"/>
                <w:szCs w:val="18"/>
                <w:b w:val="1"/>
                <w:bCs w:val="1"/>
                <w:color w:val="0000EE"/>
                <w:w w:val="99"/>
              </w:rPr>
            </w:pPr>
            <w:hyperlink w:anchor="page9">
              <w:r>
                <w:rPr>
                  <w:rFonts w:ascii="Arial" w:cs="Arial" w:eastAsia="Arial" w:hAnsi="Arial"/>
                  <w:sz w:val="18"/>
                  <w:szCs w:val="18"/>
                  <w:b w:val="1"/>
                  <w:bCs w:val="1"/>
                  <w:color w:val="0000EE"/>
                  <w:w w:val="99"/>
                </w:rPr>
                <w:t>PART II</w:t>
              </w:r>
            </w:hyperlink>
          </w:p>
        </w:tc>
        <w:tc>
          <w:tcPr>
            <w:tcW w:w="88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Item 5.</w:t>
              </w:r>
            </w:hyperlink>
          </w:p>
        </w:tc>
        <w:tc>
          <w:tcPr>
            <w:tcW w:w="320" w:type="dxa"/>
            <w:vAlign w:val="bottom"/>
            <w:gridSpan w:val="2"/>
          </w:tcPr>
          <w:p>
            <w:pPr>
              <w:spacing w:after="0"/>
              <w:rPr>
                <w:sz w:val="24"/>
                <w:szCs w:val="24"/>
                <w:color w:val="auto"/>
              </w:rPr>
            </w:pPr>
          </w:p>
        </w:tc>
        <w:tc>
          <w:tcPr>
            <w:tcW w:w="7340" w:type="dxa"/>
            <w:vAlign w:val="bottom"/>
            <w:gridSpan w:val="25"/>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Market for Registrant’s Common Equity, Related Shareholder Matters and Issuer Purchases of Equity</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Securities.</w:t>
              </w:r>
            </w:hyperlink>
          </w:p>
        </w:tc>
        <w:tc>
          <w:tcPr>
            <w:tcW w:w="880" w:type="dxa"/>
            <w:vAlign w:val="bottom"/>
          </w:tcPr>
          <w:p>
            <w:pPr>
              <w:spacing w:after="0"/>
              <w:rPr>
                <w:sz w:val="17"/>
                <w:szCs w:val="17"/>
                <w:color w:val="auto"/>
              </w:rPr>
            </w:pPr>
          </w:p>
        </w:tc>
      </w:tr>
      <w:tr>
        <w:trPr>
          <w:trHeight w:val="20"/>
        </w:trPr>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Item 6.</w:t>
              </w:r>
            </w:hyperlink>
          </w:p>
        </w:tc>
        <w:tc>
          <w:tcPr>
            <w:tcW w:w="320" w:type="dxa"/>
            <w:vAlign w:val="bottom"/>
            <w:gridSpan w:val="2"/>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Selected Financial Data.</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Item 7.</w:t>
              </w:r>
            </w:hyperlink>
          </w:p>
        </w:tc>
        <w:tc>
          <w:tcPr>
            <w:tcW w:w="320" w:type="dxa"/>
            <w:vAlign w:val="bottom"/>
            <w:gridSpan w:val="2"/>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10">
              <w:r>
                <w:rPr>
                  <w:rFonts w:ascii="Arial" w:cs="Arial" w:eastAsia="Arial" w:hAnsi="Arial"/>
                  <w:sz w:val="18"/>
                  <w:szCs w:val="18"/>
                  <w:color w:val="0000EE"/>
                  <w:w w:val="83"/>
                </w:rPr>
                <w:t>Item 7A.</w:t>
              </w:r>
            </w:hyperlink>
          </w:p>
        </w:tc>
        <w:tc>
          <w:tcPr>
            <w:tcW w:w="240" w:type="dxa"/>
            <w:vAlign w:val="bottom"/>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Quantitative and Qualitative Disclosures About Market Risk.</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Item 8.</w:t>
              </w:r>
            </w:hyperlink>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Financial Statements and Supplementary Data.</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Item 9.</w:t>
              </w:r>
            </w:hyperlink>
          </w:p>
        </w:tc>
        <w:tc>
          <w:tcPr>
            <w:tcW w:w="320" w:type="dxa"/>
            <w:vAlign w:val="bottom"/>
            <w:gridSpan w:val="2"/>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Changes In and Disagreements with Accountants on Accounting and Financial Disclosure.</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11">
              <w:r>
                <w:rPr>
                  <w:rFonts w:ascii="Arial" w:cs="Arial" w:eastAsia="Arial" w:hAnsi="Arial"/>
                  <w:sz w:val="18"/>
                  <w:szCs w:val="18"/>
                  <w:color w:val="0000EE"/>
                  <w:w w:val="83"/>
                </w:rPr>
                <w:t>Item 9A.</w:t>
              </w:r>
            </w:hyperlink>
          </w:p>
        </w:tc>
        <w:tc>
          <w:tcPr>
            <w:tcW w:w="240" w:type="dxa"/>
            <w:vAlign w:val="bottom"/>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Controls and Procedures.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11">
              <w:r>
                <w:rPr>
                  <w:rFonts w:ascii="Arial" w:cs="Arial" w:eastAsia="Arial" w:hAnsi="Arial"/>
                  <w:sz w:val="18"/>
                  <w:szCs w:val="18"/>
                  <w:color w:val="0000EE"/>
                  <w:w w:val="83"/>
                </w:rPr>
                <w:t>Item 9B.</w:t>
              </w:r>
            </w:hyperlink>
          </w:p>
        </w:tc>
        <w:tc>
          <w:tcPr>
            <w:tcW w:w="240" w:type="dxa"/>
            <w:vAlign w:val="bottom"/>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Other Information.</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0000EE"/>
            </w:tcBorders>
            <w:gridSpan w:val="6"/>
          </w:tcPr>
          <w:p>
            <w:pPr>
              <w:jc w:val="center"/>
              <w:ind w:right="20"/>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PART III</w:t>
              </w:r>
            </w:hyperlink>
          </w:p>
        </w:tc>
        <w:tc>
          <w:tcPr>
            <w:tcW w:w="3260" w:type="dxa"/>
            <w:vAlign w:val="bottom"/>
            <w:gridSpan w:val="7"/>
          </w:tcPr>
          <w:p>
            <w:pPr>
              <w:spacing w:after="0"/>
              <w:rPr>
                <w:sz w:val="24"/>
                <w:szCs w:val="24"/>
                <w:color w:val="auto"/>
              </w:rPr>
            </w:pPr>
          </w:p>
        </w:tc>
        <w:tc>
          <w:tcPr>
            <w:tcW w:w="880" w:type="dxa"/>
            <w:vAlign w:val="bottom"/>
          </w:tcPr>
          <w:p>
            <w:pPr>
              <w:spacing w:after="0"/>
              <w:rPr>
                <w:sz w:val="24"/>
                <w:szCs w:val="24"/>
                <w:color w:val="auto"/>
              </w:rPr>
            </w:pPr>
          </w:p>
        </w:tc>
      </w:tr>
      <w:tr>
        <w:trPr>
          <w:trHeight w:val="412"/>
        </w:trPr>
        <w:tc>
          <w:tcPr>
            <w:tcW w:w="84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10.</w:t>
              </w:r>
            </w:hyperlink>
          </w:p>
        </w:tc>
        <w:tc>
          <w:tcPr>
            <w:tcW w:w="7340" w:type="dxa"/>
            <w:vAlign w:val="bottom"/>
            <w:gridSpan w:val="2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Directors, Executive Officers and Corporate Governance.</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11.</w:t>
              </w:r>
            </w:hyperlink>
          </w:p>
        </w:tc>
        <w:tc>
          <w:tcPr>
            <w:tcW w:w="7340" w:type="dxa"/>
            <w:vAlign w:val="bottom"/>
            <w:gridSpan w:val="2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Executive Compensation.</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12.</w:t>
              </w:r>
            </w:hyperlink>
          </w:p>
        </w:tc>
        <w:tc>
          <w:tcPr>
            <w:tcW w:w="7340" w:type="dxa"/>
            <w:vAlign w:val="bottom"/>
            <w:gridSpan w:val="25"/>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Security Ownership of Certain Beneficial Owners and Management and Related Shareholder Matters.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13.</w:t>
              </w:r>
            </w:hyperlink>
          </w:p>
        </w:tc>
        <w:tc>
          <w:tcPr>
            <w:tcW w:w="7340" w:type="dxa"/>
            <w:vAlign w:val="bottom"/>
            <w:gridSpan w:val="2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Certain Relationships and Related Transactions, and Director Independence.</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14.</w:t>
              </w:r>
            </w:hyperlink>
          </w:p>
        </w:tc>
        <w:tc>
          <w:tcPr>
            <w:tcW w:w="7340" w:type="dxa"/>
            <w:vAlign w:val="bottom"/>
            <w:gridSpan w:val="2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Principal Accountant Fees and Services.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5"/>
              </w:rPr>
            </w:pPr>
            <w:hyperlink w:anchor="page12">
              <w:r>
                <w:rPr>
                  <w:rFonts w:ascii="Arial" w:cs="Arial" w:eastAsia="Arial" w:hAnsi="Arial"/>
                  <w:sz w:val="18"/>
                  <w:szCs w:val="18"/>
                  <w:b w:val="1"/>
                  <w:bCs w:val="1"/>
                  <w:color w:val="0000EE"/>
                  <w:w w:val="95"/>
                </w:rPr>
                <w:t>PART IV</w:t>
              </w:r>
            </w:hyperlink>
          </w:p>
        </w:tc>
        <w:tc>
          <w:tcPr>
            <w:tcW w:w="3280" w:type="dxa"/>
            <w:vAlign w:val="bottom"/>
            <w:gridSpan w:val="8"/>
          </w:tcPr>
          <w:p>
            <w:pPr>
              <w:spacing w:after="0"/>
              <w:rPr>
                <w:sz w:val="24"/>
                <w:szCs w:val="24"/>
                <w:color w:val="auto"/>
              </w:rPr>
            </w:pPr>
          </w:p>
        </w:tc>
        <w:tc>
          <w:tcPr>
            <w:tcW w:w="880" w:type="dxa"/>
            <w:vAlign w:val="bottom"/>
          </w:tcPr>
          <w:p>
            <w:pPr>
              <w:spacing w:after="0"/>
              <w:rPr>
                <w:sz w:val="24"/>
                <w:szCs w:val="24"/>
                <w:color w:val="auto"/>
              </w:rPr>
            </w:pPr>
          </w:p>
        </w:tc>
      </w:tr>
      <w:tr>
        <w:trPr>
          <w:trHeight w:val="412"/>
        </w:trPr>
        <w:tc>
          <w:tcPr>
            <w:tcW w:w="84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15.</w:t>
              </w:r>
            </w:hyperlink>
          </w:p>
        </w:tc>
        <w:tc>
          <w:tcPr>
            <w:tcW w:w="7340" w:type="dxa"/>
            <w:vAlign w:val="bottom"/>
            <w:gridSpan w:val="2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Exhibits, Financial Statement Schedules.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89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Borders>
              <w:top w:val="single" w:sz="8" w:color="0000EE"/>
            </w:tcBorders>
            <w:gridSpan w:val="9"/>
          </w:tcPr>
          <w:p>
            <w:pPr>
              <w:spacing w:after="0"/>
              <w:rPr>
                <w:sz w:val="24"/>
                <w:szCs w:val="24"/>
                <w:color w:val="auto"/>
              </w:rPr>
            </w:pPr>
          </w:p>
        </w:tc>
        <w:tc>
          <w:tcPr>
            <w:tcW w:w="1020" w:type="dxa"/>
            <w:vAlign w:val="bottom"/>
            <w:gridSpan w:val="5"/>
          </w:tcPr>
          <w:p>
            <w:pPr>
              <w:jc w:val="center"/>
              <w:ind w:left="350"/>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61"/>
        </w:trPr>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48"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Development of the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Universal Forest Products, Inc. (now known as UFP Industries) is a holding company with subsidiaries throughout North America, Europe, Asia, and Australia that supply wood, wood composite and other products to three markets: retail, industrial, and construction. The Company is headquartered in Grand Rapids, Michigan. For more information about Universal Forest Products, Inc., or its affiliated operations, go to www.ufpi.com.</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relating to current developments in our business is incorporated by reference from our Annual Report to Shareholders for the fiscal year ended December 28, 2019 ("2019 Annual Report") under the caption "Management’s Discussion and Analysis of Financial Condition and Results of Operations." Selected portions of the 2019 Annual Report are filed as Exhibit 13 with this Form 10-K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Information About Segments.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81" w:lineRule="exact"/>
        <w:rPr>
          <w:sz w:val="20"/>
          <w:szCs w:val="20"/>
          <w:color w:val="auto"/>
        </w:rPr>
      </w:pPr>
    </w:p>
    <w:p>
      <w:pPr>
        <w:jc w:val="both"/>
        <w:ind w:left="120" w:hanging="105"/>
        <w:spacing w:after="0" w:line="291" w:lineRule="auto"/>
        <w:rPr>
          <w:sz w:val="20"/>
          <w:szCs w:val="20"/>
          <w:color w:val="auto"/>
        </w:rPr>
      </w:pPr>
      <w:r>
        <w:rPr>
          <w:rFonts w:ascii="Arial" w:cs="Arial" w:eastAsia="Arial" w:hAnsi="Arial"/>
          <w:sz w:val="16"/>
          <w:szCs w:val="16"/>
          <w:color w:val="auto"/>
        </w:rPr>
        <w:t>Our operating segments that are stand-alone reportable segments consist of our Northern, Southern, and Western divisions. Our operating segments that are aggregated into the All Other reportable segment are the Alternative Materials,</w:t>
      </w:r>
    </w:p>
    <w:p>
      <w:pPr>
        <w:spacing w:after="0"/>
        <w:rPr>
          <w:sz w:val="20"/>
          <w:szCs w:val="20"/>
          <w:color w:val="auto"/>
        </w:rPr>
      </w:pPr>
      <w:r>
        <w:rPr>
          <w:rFonts w:ascii="Arial" w:cs="Arial" w:eastAsia="Arial" w:hAnsi="Arial"/>
          <w:sz w:val="18"/>
          <w:szCs w:val="18"/>
          <w:color w:val="auto"/>
        </w:rPr>
        <w:t>International, idX, and Corporate business units.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on January 1, 2020, management of the Company’s operations has been re-organized around the markets it serves (as described below) rather than based on geography.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Narrative Description of Business.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and commercial structures. Our locations generally serve customers in multiple markets. Each of our markets, Retail, Industrial and Construction, are discussed in the paragraphs that follow.</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The customers comprising this market are national home center retailers, retail-oriented regional lumberyards and contractor-oriented lumberyards. Generally, terms of sale are established for annual or bi-annual periods, and orders are placed with our regional facilities in accordance with established terms. One customer, The Home Depot, accounted for approximately 19% of our total sales in fiscal 2019, 2018 and 2017.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supply customers in this market from many of our locations. These regional facilities are able to supply mixed truckloads of products which can be delivered to customers with rapid turnaround from receipt of an order. Freight costs are a factor in the ability to competitively service this market, especially with treated wood products because of their heavier weight. The close proximity of our regional facilities to the various outlets of these customers is a factor when negotiating annual sales programs.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products offered to customers in this market include dimensional lumber (both preserved and unpreserved) and various "value-added products," some of which are sold under our trademarks. In addition to our conventional lumber products, we offer a large portfolio of outdoor living products, including wood and wood composite decking and related accessories and decorative lawn and garden products. Products sold to this market include those sold under the following trademarks: ProWood, Deckorators, UFP-Edge, Outdoor Essentials, Dimensions, and ProWood FR. We also sell engineered wood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8" w:right="1419" w:bottom="1440" w:gutter="0" w:footer="0" w:header="0"/>
        </w:sectPr>
      </w:pPr>
    </w:p>
    <w:bookmarkStart w:id="3" w:name="page4"/>
    <w:bookmarkEnd w:id="3"/>
    <w:p>
      <w:pPr>
        <w:jc w:val="both"/>
        <w:spacing w:after="0" w:line="277" w:lineRule="auto"/>
        <w:rPr>
          <w:sz w:val="20"/>
          <w:szCs w:val="20"/>
          <w:color w:val="auto"/>
        </w:rPr>
      </w:pPr>
      <w:r>
        <w:rPr>
          <w:rFonts w:ascii="Arial" w:cs="Arial" w:eastAsia="Arial" w:hAnsi="Arial"/>
          <w:sz w:val="18"/>
          <w:szCs w:val="18"/>
          <w:color w:val="auto"/>
        </w:rPr>
        <w:t>components to retail lumber yards, which include roof trusses, wall panels and engineered floor systems (see "Construction Market" below).</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not aware of any competitor that currently manufactures, treats and distributes a full line of both value-added and commodity products on a national basis. We face competition on individual products from several different producers, but the majority of these competitors tend to be regional in their efforts and/or do not offer a full line of outdoor lumber products. We believe the breadth of our product offering, geographic dispersion, close proximity of our plants to core customers, purchasing and manufacturing expertise, and service capabilities provide competitive advantages in this market.</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Industrial Market</w:t>
      </w:r>
      <w:r>
        <w:rPr>
          <w:rFonts w:ascii="Arial" w:cs="Arial" w:eastAsia="Arial" w:hAnsi="Arial"/>
          <w:sz w:val="17"/>
          <w:szCs w:val="17"/>
          <w:color w:val="auto"/>
        </w:rPr>
        <w:t>. We define our industrial market as manufacturers and agricultural customers who use pallets, specialty crates, wooden boxes, and other containers used for packaging, shipping and material handling purposes, as well as various other products, used in a variety of different applications. Many of the products sold to this market may be produced from the by-product of other manufactured products, thereby allowing us to increase our raw material yields while expanding our business. Competition is fragmented and includes virtually every supplier of lumber convenient to the customer. We service this market with our dedicated local sales teams and through national sales support efforts.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Construction Market</w:t>
      </w:r>
      <w:r>
        <w:rPr>
          <w:rFonts w:ascii="Arial" w:cs="Arial" w:eastAsia="Arial" w:hAnsi="Arial"/>
          <w:sz w:val="18"/>
          <w:szCs w:val="18"/>
          <w:color w:val="auto"/>
        </w:rPr>
        <w:t>. Our construction market is made up of customers in three submarkets - manufactured housing, residential construction and commercial construction.</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customers comprising the manufactured housing market are producers of mobile, modular and prefabricated homes and recreational vehicles (RV). Products sold to customers in this market consist primarily of roof trusses, lumber cut and shaped to the customer’s specification, plywood, oriented strand board and dimensional lumber, all intended for use in the construction of manufactured housing. Sales are made by personnel located at each regional facility based on customer orders. Our principal competitive advantages include our product knowledge, the strength of our engineering support services, the close proximity of our regional facilities to our customers, our purchasing and manufacturing expertise and our ability to provide national sales programs to certain customers. These factors have enabled us to accumulate significant market share in the products we supply. We also distribute products such as siding, electrical and plumbing products to manufactured housing and RV customers.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customers comprising the residential construction market are primarily large-volume, multi-tract builders and smaller volume custom builders. We also supply builders engaged in multi-family and commercial construction. In addition, we supply wood forms and related products to set or form concrete for various structures including large parking garages, stadiums and bridges. Generally, terms of sale and pricing are determined based on contracts we entered into with our customers. We currently supply customers in these markets from manufacturing facilities located in many different states. These facilities manufacture various engineered wood components used to frame residential or light commercial projects, including roof and floor trusses, wall panels, I-joists and lumber packages. Freight costs are a factor in the ability to competitively service this market due to the space requirements of these products on each truckload. We also provide framing services for customers in certain regional markets, in which we erect the wood structure. Competition in this market is primarily fragmented, but we do compete with a small number of national and regional retail contractor yards who also manufacture components and provide framing services, as well as regional manufacturers of components. We believe our primary competitive advantages relate to the engineering and design capabilities of our regional staff, purchasing and manufacturing expertise, product quality, timeliness of delivery, and financial strength. We believe that providing a comprehensive turn-key package, including installation, provides a competitive advantage.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commercial market also includes the results of operations of idX Holdings, Inc. ("idX"). idX is a designer, manufacturer and installer of highly customized interior fixtures that are used in retail and commercial structures representing several end markets. We acquired idX on September 16, 2016.</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u w:val="single" w:color="auto"/>
          <w:color w:val="auto"/>
        </w:rPr>
        <w:t>Suppliers</w:t>
      </w:r>
      <w:r>
        <w:rPr>
          <w:rFonts w:ascii="Arial" w:cs="Arial" w:eastAsia="Arial" w:hAnsi="Arial"/>
          <w:sz w:val="16"/>
          <w:szCs w:val="16"/>
          <w:color w:val="auto"/>
        </w:rPr>
        <w:t>. We are one of the largest domestic buyers of solid sawn softwood lumber from primary producers (lumber mills). We use primarily southern yellow pine in our pressure-treating operations and site-built component plants in the Southeastern United States, which we obtain from mills located throughout the states comprising the Sunbelt. Other species we use include "spruce-pine-fir" from various provinces in Canada; hemlock, douglas fir and cedar from the Pacific Northwest; inland species of pine, plantation grown radiata and southern yellow pines from South America; and European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jc w:val="both"/>
        <w:spacing w:after="0" w:line="289" w:lineRule="auto"/>
        <w:rPr>
          <w:sz w:val="20"/>
          <w:szCs w:val="20"/>
          <w:color w:val="auto"/>
        </w:rPr>
      </w:pPr>
      <w:r>
        <w:rPr>
          <w:rFonts w:ascii="Arial" w:cs="Arial" w:eastAsia="Arial" w:hAnsi="Arial"/>
          <w:sz w:val="16"/>
          <w:szCs w:val="16"/>
          <w:color w:val="auto"/>
        </w:rPr>
        <w:t>spruce. Our annual purchases of lumber are approximately $1.4 billion and consist of the following species and their respective percent of total lumber purchases: southern yellow pine (64%), spruce-pine-fur (19%), and douglas fir (3%), while the remaining 14% of lumber purchases comprise various other species and imports outside of North America. Additionally, we purchase approximately $0.5 billion in plywood, oriented strand board (OSB), and a variety of other wood-based products on an annual basis. There are numerous primary producers for all varieties we use, and we are not dependent on any particular source of supply. Our financial resources and size, in combination with our strong sales network and ability to remanufacture lumber, enable us to purchase a large percentage of a primary producer’s output (as opposed to only those dimensions or grades in immediate need), thereby lowering our average cost of raw materials and allowing us to obtain favorable programs such as consigned inventory. We believe this represents a competitive advantage.</w:t>
      </w:r>
    </w:p>
    <w:p>
      <w:pPr>
        <w:spacing w:after="0" w:line="16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We own several patents and have several patents pending on technologies related to our business. In addition, we own numerous registered trademarks and claim common law trademark rights to several others. As we develop proprietary brands, we may pursue registration or other formal protection. While we believe our patent and trademark rights are valuable, the loss of a patent or any trademark would not be likely to have a material adverse impact on our competitive position.</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Backlog</w:t>
      </w:r>
      <w:r>
        <w:rPr>
          <w:rFonts w:ascii="Arial" w:cs="Arial" w:eastAsia="Arial" w:hAnsi="Arial"/>
          <w:sz w:val="17"/>
          <w:szCs w:val="17"/>
          <w:color w:val="auto"/>
        </w:rPr>
        <w:t>. Due to the nature of our retail and industrial businesses, backlog information is not meaningful. The maximum time between receipt of a firm order and shipment does not usually exceed a few days. Therefore, we would not normally have a backlog of unfilled orders in a material amount. The relationships with our major customers are such that we are either the exclusive supplier of certain products and/or certain geographic areas, or the designated source for a specified portion of the customer’s requirements. In such cases, either we are able to forecast the customer’s requirements or the customer may provide an estimate of its future needs. In neither case, however, will we receive firm orders until just prior to the anticipated delivery dates for the products in question.</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28, 2019 and December 29, 2018, we estimate that backlog orders associated with our customized interior fixture businesses approximated $75.0 million and $75.4 million, respectively. With respect to the former, we expect that these orders will be primarily filled within the next fiscal year; however, it is possible that some orders could be canceled.</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28, 2019 and December 29, 2018, we estimate that backlog orders associated with our construction businesses approximated $110.1 million and $95.1 million, respectively. With respect to the former, we expect that these orders will be primarily filled within the next fiscal year; however, it is possible that some orders could be canceled.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Environmental</w:t>
      </w:r>
      <w:r>
        <w:rPr>
          <w:rFonts w:ascii="Arial" w:cs="Arial" w:eastAsia="Arial" w:hAnsi="Arial"/>
          <w:sz w:val="18"/>
          <w:szCs w:val="18"/>
          <w:color w:val="auto"/>
        </w:rPr>
        <w:t>. Information required for environmental disclosures is incorporated by reference from Note L of the Consolidated Financial Statements presented under Item 8 herein.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Seasonality</w:t>
      </w:r>
      <w:r>
        <w:rPr>
          <w:rFonts w:ascii="Arial" w:cs="Arial" w:eastAsia="Arial" w:hAnsi="Arial"/>
          <w:sz w:val="18"/>
          <w:szCs w:val="18"/>
          <w:color w:val="auto"/>
        </w:rPr>
        <w:t>. Information required for seasonality disclosures is incorporated by reference from Item 1A. Risk Factors under the caption “</w:t>
      </w:r>
      <w:r>
        <w:rPr>
          <w:rFonts w:ascii="Arial" w:cs="Arial" w:eastAsia="Arial" w:hAnsi="Arial"/>
          <w:sz w:val="18"/>
          <w:szCs w:val="18"/>
          <w:i w:val="1"/>
          <w:iCs w:val="1"/>
          <w:color w:val="auto"/>
        </w:rPr>
        <w:t>Seasonality and weather conditions could adversely affect us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On December 28, 2019, we had approximately 12,000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Internet address is www.ufpi.com. Through our Internet website under "Financial Information" in the Investor Relations section, we make available free of charge, as soon as reasonably practical after such information has been filed with the SEC, our annual report on Form 10-K, quarterly reports on Form 10-Q, current reports on Form 8-K, and amendments to those reports filed pursuant to Section 13(a) or 15(d) of the Securities Exchange Act. Also available through our Internet website under "Corporate Governance" in the Investor Relations section is our Code of Ethics for Senior Financial Officers.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Reports to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Enforceability of Civil Liabilities Against Foreign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We may be impacted by a significant change in the value of the U.S. dollar. </w:t>
      </w:r>
      <w:r>
        <w:rPr>
          <w:rFonts w:ascii="Arial" w:cs="Arial" w:eastAsia="Arial" w:hAnsi="Arial"/>
          <w:sz w:val="18"/>
          <w:szCs w:val="18"/>
          <w:color w:val="auto"/>
        </w:rPr>
        <w:t>We purchase a variety of raw materials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finished goods from sources around the world and export certain products. The impact of a change in U.S. dollar exchange rates would impact our import purchases and export sales, which totaled $472.4 million and $111.3 million, respectively, in 2019. In addition, many of our industrial customers export their products.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We are subject to fluctuations in the price of lumber</w:t>
      </w:r>
      <w:r>
        <w:rPr>
          <w:rFonts w:ascii="Arial" w:cs="Arial" w:eastAsia="Arial" w:hAnsi="Arial"/>
          <w:sz w:val="16"/>
          <w:szCs w:val="16"/>
          <w:color w:val="auto"/>
        </w:rPr>
        <w:t>. We experience significant fluctuations in the cost of commodity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lumber products from primary producers (the "Lumber Market"). A variety of factors over which we have no control, including government and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cost of materials, and gross profits. Our products are generally priced to the customer based on a quoted, fixed selling price or "indexed" to the Lumber Market with a fixed dollar adder to cover conversion costs and profit. The impact on our profitability from changes in lumber prices is discussed in the “Historical Lumber Prices” and "Impact of the Lumber Market on Our Operating Results" captions of our Management’s Discussion and Analysis of Financial Condition and Results of Operations section under Item 7 of this Form 10-K. Our lumber costs as a percentage of gross sales were 42.7%, 50.6%, and 49.1% in 2019, 2018, and 2017, respectively.</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Our growth may be limited by the markets we serve, including our construction market which is highly cyclical. </w:t>
      </w:r>
      <w:r>
        <w:rPr>
          <w:rFonts w:ascii="Arial" w:cs="Arial" w:eastAsia="Arial" w:hAnsi="Arial"/>
          <w:sz w:val="18"/>
          <w:szCs w:val="18"/>
          <w:color w:val="auto"/>
        </w:rPr>
        <w:t>Our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is dependent, in part, upon the growth of the markets we serve. If our markets do not achieve anticipated growth, or if we fail to maintain our market share, financial results could be impaired.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sales are concentrated with one customer</w:t>
      </w:r>
      <w:r>
        <w:rPr>
          <w:rFonts w:ascii="Arial" w:cs="Arial" w:eastAsia="Arial" w:hAnsi="Arial"/>
          <w:sz w:val="18"/>
          <w:szCs w:val="18"/>
          <w:color w:val="auto"/>
        </w:rPr>
        <w:t>. Our sales to The Home Depot comprised 19%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sales in 2019, 2018 and 2017.</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We may be impacted by vertical integration strategies. </w:t>
      </w:r>
      <w:r>
        <w:rPr>
          <w:rFonts w:ascii="Arial" w:cs="Arial" w:eastAsia="Arial" w:hAnsi="Arial"/>
          <w:sz w:val="17"/>
          <w:szCs w:val="17"/>
          <w:color w:val="auto"/>
        </w:rPr>
        <w:t>In certain markets and product lines, our customers or vendors could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pursue vertical integration strategies that could have an adverse effect on our sales. We strive to add value and be a low-cost producer while maintaining competitive pricing in each of our markets to mitigate this risk.</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We may be impacted by excess industry capacity of products we supply. </w:t>
      </w:r>
      <w:r>
        <w:rPr>
          <w:rFonts w:ascii="Arial" w:cs="Arial" w:eastAsia="Arial" w:hAnsi="Arial"/>
          <w:sz w:val="18"/>
          <w:szCs w:val="18"/>
          <w:color w:val="auto"/>
        </w:rPr>
        <w:t>There is excess capacity among suppliers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in some of the markets we serve. Our selling prices and gross margins have been and are likely to continue to be impacted by this excess capacity.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Our growth may be limited by our ability to make successful acquisitions. </w:t>
      </w:r>
      <w:r>
        <w:rPr>
          <w:rFonts w:ascii="Arial" w:cs="Arial" w:eastAsia="Arial" w:hAnsi="Arial"/>
          <w:sz w:val="17"/>
          <w:szCs w:val="17"/>
          <w:color w:val="auto"/>
        </w:rPr>
        <w:t>A key component of our growth strategy is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complete business combinations. Business combinations involve inherent risks, including assimilation and successfully managing growth. While we conduct extensive due diligence and have taken steps to ensure successful assimilation, factors beyond our control could influence the relative success of these acquisitions.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We may be adversely affected by the impact of environmental and safety regulations. </w:t>
      </w:r>
      <w:r>
        <w:rPr>
          <w:rFonts w:ascii="Arial" w:cs="Arial" w:eastAsia="Arial" w:hAnsi="Arial"/>
          <w:sz w:val="16"/>
          <w:szCs w:val="16"/>
          <w:color w:val="auto"/>
        </w:rPr>
        <w:t>We are subject to the requirements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state, and local environmental and occupational health and safety laws and regulations. There can be no assurance that we are at all times in complete compliance with all of these requirements. We have made and will continue to make capital and other expenditures to comply with environmental regulations. If additional laws and regulations are enacted, which restrict our ability to manufacture and market our products, including our treated lumber products, it could adversely affect our sales and profits. Changes in the interpretation of existing laws could also adversely impact our financial results.</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The current version of federal health care legislation may significantly increase our costs</w:t>
      </w:r>
      <w:r>
        <w:rPr>
          <w:rFonts w:ascii="Arial" w:cs="Arial" w:eastAsia="Arial" w:hAnsi="Arial"/>
          <w:sz w:val="16"/>
          <w:szCs w:val="16"/>
          <w:color w:val="auto"/>
        </w:rPr>
        <w:t>. The federal health 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legislation enacted in 2010 and future regulations called for under the legislation may have a significant cost implication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for our company. Our health care costs totaled approximately $69.1 million, $69.2 million, and $58.9 million in 2019, 2018, and 2017, respectively.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Seasonality and weather conditions could adversely affect us</w:t>
      </w:r>
      <w:r>
        <w:rPr>
          <w:rFonts w:ascii="Arial" w:cs="Arial" w:eastAsia="Arial" w:hAnsi="Arial"/>
          <w:sz w:val="16"/>
          <w:szCs w:val="16"/>
          <w:color w:val="auto"/>
        </w:rPr>
        <w:t>. Some aspects of our business are seasonal in nature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results of operations vary from quarter to quarter. In addition, the majority of our products sold to the Retail and Construction markets are used or installed in outdoor construction applications; therefore, short-term sales volume, productivity and gross profits can be negatively affected by adverse weather conditions, particularly in our first and fourth quarters.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Inbound and outbound transportation costs represent a significant part of our cost structure. </w:t>
      </w:r>
      <w:r>
        <w:rPr>
          <w:rFonts w:ascii="Arial" w:cs="Arial" w:eastAsia="Arial" w:hAnsi="Arial"/>
          <w:sz w:val="17"/>
          <w:szCs w:val="17"/>
          <w:color w:val="auto"/>
        </w:rPr>
        <w:t>An increase in fuel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expenses will significantly increase our costs. While we attempt to pass these costs along to our customers, there can be no assurance that they would agree to these price increases. Our total inbound and outbound transportation costs were approximately 9.5%, 9.3%, and 9.0% of sales in 2019, 2018, and 2017, respectively.</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New alternatives may be developed to replace traditional treated wood products. </w:t>
      </w:r>
      <w:r>
        <w:rPr>
          <w:rFonts w:ascii="Arial" w:cs="Arial" w:eastAsia="Arial" w:hAnsi="Arial"/>
          <w:sz w:val="17"/>
          <w:szCs w:val="17"/>
          <w:color w:val="auto"/>
        </w:rPr>
        <w:t>The manufacturers of wood preservatives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develop new preservatives. While we believe treated products are reasonably priced relative to alternative products such as composites or vinyl, new alternatives may impact the sales of treated wood products. In addition, new preservatives could increase our cost of treating products in the future. See Footnote M “Segment Reporting” within the Notes to Consolidated Financial Statements for our sales by product category.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Cybersecurity breaches could interfere with operations. </w:t>
      </w:r>
      <w:r>
        <w:rPr>
          <w:rFonts w:ascii="Arial" w:cs="Arial" w:eastAsia="Arial" w:hAnsi="Arial"/>
          <w:sz w:val="18"/>
          <w:szCs w:val="18"/>
          <w:color w:val="auto"/>
        </w:rPr>
        <w:t>We rely upon information technology systems and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the secure operation of these systems and products. Despite security measures, these systems and products may be vulnerable to physical damage, hackers, computer viruses, or breaches due to errors or malfeasance by employees, vendors, or customers. We have experienced such events in the past and, although past events were immaterial, future events may occur and may be material.</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We may be impacted by new tariffs and duties on U.S. imports and foreign export sales. </w:t>
      </w:r>
      <w:r>
        <w:rPr>
          <w:rFonts w:ascii="Arial" w:cs="Arial" w:eastAsia="Arial" w:hAnsi="Arial"/>
          <w:sz w:val="17"/>
          <w:szCs w:val="17"/>
          <w:color w:val="auto"/>
        </w:rPr>
        <w:t>Instability of established free trade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agreements may lead to raw material and finished goods price volatility. An increase in foreign tariffs on U.S. goods could curtail our export sales to other countries which was approximately $111.3 million in 2019. Increased tariffs and duties on U.S. imports will increase pricing by adding duty cost, where the duty is sustainable in light of overall unit price, or otherwise constrain supply by eliminating historical production sources by country or commodity type with unsustainable duties. Our purchases that are impacted by foreign tariffs were approximately $472.4 million in 2019. UFP’s U.S. import of Canadian Softwood Lumber was approximately $249.5 million in 2019, which is the primary imported commodity. In addition, there is a risk that U.S. tariffs on imports and countering tariffs on U.S. exports could trigger broader international trade conflicts that could adversely impact our business.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Our restructuring efforts may not be successful. </w:t>
      </w:r>
      <w:r>
        <w:rPr>
          <w:rFonts w:ascii="Arial" w:cs="Arial" w:eastAsia="Arial" w:hAnsi="Arial"/>
          <w:sz w:val="16"/>
          <w:szCs w:val="16"/>
          <w:color w:val="auto"/>
        </w:rPr>
        <w:t>Effective as of January 1, 2020, in connection with the change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name to UFP Industries, management implemented a significant change in its organizational and operating structure. For many years, the Company was managed primarily on a geographic basis. Under th</w:t>
      </w:r>
      <w:r>
        <w:rPr>
          <w:rFonts w:ascii="Arial" w:cs="Arial" w:eastAsia="Arial" w:hAnsi="Arial"/>
          <w:sz w:val="16"/>
          <w:szCs w:val="16"/>
          <w:color w:val="1F497D"/>
        </w:rPr>
        <w:t>at</w:t>
      </w:r>
      <w:r>
        <w:rPr>
          <w:rFonts w:ascii="Arial" w:cs="Arial" w:eastAsia="Arial" w:hAnsi="Arial"/>
          <w:sz w:val="16"/>
          <w:szCs w:val="16"/>
          <w:color w:val="auto"/>
        </w:rPr>
        <w:t xml:space="preserve"> structure, local plants operated on a somewhat autonomous basis, manufacturing and supplying customers based upon their respective expertise, capacity and local customer needs. Those plants reported through and were managed by their respective regions and via the regions their respective divisions. Beginning on January 1, 2020, the operational and organizational structure of the Company changed. As of that date, the Company's business will be managed through three business segments: retail, construction and industrial. The Company believes that this new organizational and management structure will provide significant benefits and foster a greater likelihood of continued growth and profitability. As part of that structure, the Company believes that it will be more efficient in allocating capital among its operations, will better understand the markets in which it serves and expedite the development and sale of new products and services. While the Company believes that the implementation of this change will result in improved financial performance, there are always meaningful risks associated with significant changes in which management and its workforce conducts its business. Those risks include the departure of management talent, disruptions in business practices and related inefficiencies.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corporate headquarters building is located in suburban Grand Rapids, Michigan. We currently have approximately 204 facilities and parcels of land located throughout the United States, Canada, Mexico, Europe, Asia, and Australia. Depending upon function and location, these facilities typically utilize office, manufacturing, and indoor and outdoor storage space. Of these facilities, approximately 8 facilities are closed and are currently listed for sale or are being leased.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own all of our properties, free from any significant mortgage or other encumbrance, except for approximately 94 facilities and parcels of land which are leased. We believe all of these operating facilities are adequate in capacity and condition to service our existing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regarding our legal proceedings is set forth in Note M of our Consolidated Financial Statements which are presented under Item 8 of this Form 10-K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Item: Executive Officers of the Registrant.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lists the names, ages, and positions of our executive officers as of February 1, 2020. Executive officers are elected annually by the Board of Directors at the first meeting of the Board following the annual meeting of shareholders.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40" w:type="dxa"/>
            <w:vAlign w:val="bottom"/>
            <w:gridSpan w:val="2"/>
          </w:tcPr>
          <w:p>
            <w:pPr>
              <w:ind w:left="960"/>
              <w:spacing w:after="0"/>
              <w:rPr>
                <w:sz w:val="20"/>
                <w:szCs w:val="20"/>
                <w:color w:val="auto"/>
              </w:rPr>
            </w:pPr>
            <w:r>
              <w:rPr>
                <w:rFonts w:ascii="Arial" w:cs="Arial" w:eastAsia="Arial" w:hAnsi="Arial"/>
                <w:sz w:val="18"/>
                <w:szCs w:val="18"/>
                <w:b w:val="1"/>
                <w:bCs w:val="1"/>
                <w:color w:val="auto"/>
              </w:rPr>
              <w:t>Name</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Age</w:t>
            </w:r>
          </w:p>
        </w:tc>
        <w:tc>
          <w:tcPr>
            <w:tcW w:w="5680" w:type="dxa"/>
            <w:vAlign w:val="bottom"/>
          </w:tcPr>
          <w:p>
            <w:pPr>
              <w:ind w:left="254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Matthew J. Missad</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80" w:type="dxa"/>
            <w:vAlign w:val="bottom"/>
            <w:tcBorders>
              <w:top w:val="single" w:sz="8" w:color="CCEEFF"/>
            </w:tcBorders>
            <w:shd w:val="clear" w:color="auto" w:fill="CCEEFF"/>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Patrick M. Webster</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Cole</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Allen T. Peters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President and Chief Operating Officer of UFP Retail, LLC</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M. Benton</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8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President of UFP Construction, LLC</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Scott A. Worthington</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President of UFP Industrial, LLC</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Chad C. Uhlig Eastin</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8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of ProWood</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Scott T. Bravata</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Vice President of Accounting</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Tutas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8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Secretary and Chief Compliance Officer</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Matthew J. Missad </w:t>
      </w:r>
      <w:r>
        <w:rPr>
          <w:rFonts w:ascii="Arial" w:cs="Arial" w:eastAsia="Arial" w:hAnsi="Arial"/>
          <w:sz w:val="18"/>
          <w:szCs w:val="18"/>
          <w:color w:val="auto"/>
        </w:rPr>
        <w:t>joined us in 1985. In February 1996, Mr. Missad was promoted to Executive Vice President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On July 13, 2011, Mr. Missad became Chief Executive Officer of the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Patrick M. Webster </w:t>
      </w:r>
      <w:r>
        <w:rPr>
          <w:rFonts w:ascii="Arial" w:cs="Arial" w:eastAsia="Arial" w:hAnsi="Arial"/>
          <w:sz w:val="18"/>
          <w:szCs w:val="18"/>
          <w:color w:val="auto"/>
        </w:rPr>
        <w:t>joined us in 1985. Mr. Webster became Vice President of the Far West Region in 1999, on July 1, 2007,</w:t>
      </w:r>
      <w:r>
        <w:rPr>
          <w:rFonts w:ascii="Arial" w:cs="Arial" w:eastAsia="Arial" w:hAnsi="Arial"/>
          <w:sz w:val="18"/>
          <w:szCs w:val="18"/>
          <w:i w:val="1"/>
          <w:iCs w:val="1"/>
          <w:color w:val="auto"/>
        </w:rPr>
        <w:t xml:space="preserve"> </w:t>
      </w:r>
      <w:r>
        <w:rPr>
          <w:rFonts w:ascii="Arial" w:cs="Arial" w:eastAsia="Arial" w:hAnsi="Arial"/>
          <w:sz w:val="18"/>
          <w:szCs w:val="18"/>
          <w:color w:val="auto"/>
        </w:rPr>
        <w:t>he became President of UFP Western Division, Inc., and on January 1, 2009 became President and Chief Operating Officer of the Company.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Michael R. Cole</w:t>
      </w:r>
      <w:r>
        <w:rPr>
          <w:rFonts w:ascii="Arial" w:cs="Arial" w:eastAsia="Arial" w:hAnsi="Arial"/>
          <w:sz w:val="18"/>
          <w:szCs w:val="18"/>
          <w:color w:val="auto"/>
        </w:rPr>
        <w:t>, CPA, CMA, joined us in 1993. In December 1999, he was promoted to Vice President of Finance. On</w:t>
      </w:r>
      <w:r>
        <w:rPr>
          <w:rFonts w:ascii="Arial" w:cs="Arial" w:eastAsia="Arial" w:hAnsi="Arial"/>
          <w:sz w:val="18"/>
          <w:szCs w:val="18"/>
          <w:i w:val="1"/>
          <w:iCs w:val="1"/>
          <w:color w:val="auto"/>
        </w:rPr>
        <w:t xml:space="preserve"> </w:t>
      </w:r>
      <w:r>
        <w:rPr>
          <w:rFonts w:ascii="Arial" w:cs="Arial" w:eastAsia="Arial" w:hAnsi="Arial"/>
          <w:sz w:val="18"/>
          <w:szCs w:val="18"/>
          <w:color w:val="auto"/>
        </w:rPr>
        <w:t>July 19, 2000, Mr. Cole became Chief Financial Officer of the Company.</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Allen T. Peters </w:t>
      </w:r>
      <w:r>
        <w:rPr>
          <w:rFonts w:ascii="Arial" w:cs="Arial" w:eastAsia="Arial" w:hAnsi="Arial"/>
          <w:sz w:val="17"/>
          <w:szCs w:val="17"/>
          <w:color w:val="auto"/>
        </w:rPr>
        <w:t>joined us in 1997. In 2004 he became the General Manager of Operations of our plant in Harrisonville, MO</w:t>
      </w:r>
      <w:r>
        <w:rPr>
          <w:rFonts w:ascii="Arial" w:cs="Arial" w:eastAsia="Arial" w:hAnsi="Arial"/>
          <w:sz w:val="17"/>
          <w:szCs w:val="17"/>
          <w:i w:val="1"/>
          <w:iCs w:val="1"/>
          <w:color w:val="auto"/>
        </w:rPr>
        <w:t xml:space="preserve"> </w:t>
      </w:r>
      <w:r>
        <w:rPr>
          <w:rFonts w:ascii="Arial" w:cs="Arial" w:eastAsia="Arial" w:hAnsi="Arial"/>
          <w:sz w:val="17"/>
          <w:szCs w:val="17"/>
          <w:color w:val="auto"/>
        </w:rPr>
        <w:t>and in 2007 became Regional Vice President of our Gulf Region. On January 1, 2011, Mr. Peters became President of UFP Western Division, Inc, and on January 1, 2020, he became President and COO of UFP Retail, LLC.</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jc w:val="both"/>
        <w:spacing w:after="0" w:line="312" w:lineRule="auto"/>
        <w:rPr>
          <w:sz w:val="20"/>
          <w:szCs w:val="20"/>
          <w:color w:val="auto"/>
        </w:rPr>
      </w:pPr>
      <w:r>
        <w:rPr>
          <w:rFonts w:ascii="Arial" w:cs="Arial" w:eastAsia="Arial" w:hAnsi="Arial"/>
          <w:sz w:val="16"/>
          <w:szCs w:val="16"/>
          <w:i w:val="1"/>
          <w:iCs w:val="1"/>
          <w:color w:val="auto"/>
        </w:rPr>
        <w:t xml:space="preserve">Patrick M. Benton </w:t>
      </w:r>
      <w:r>
        <w:rPr>
          <w:rFonts w:ascii="Arial" w:cs="Arial" w:eastAsia="Arial" w:hAnsi="Arial"/>
          <w:sz w:val="16"/>
          <w:szCs w:val="16"/>
          <w:color w:val="auto"/>
        </w:rPr>
        <w:t>joined us in 1993. In 2008 he became Operations Vice President of the South Texas Region, and on July 1,</w:t>
      </w:r>
      <w:r>
        <w:rPr>
          <w:rFonts w:ascii="Arial" w:cs="Arial" w:eastAsia="Arial" w:hAnsi="Arial"/>
          <w:sz w:val="16"/>
          <w:szCs w:val="16"/>
          <w:i w:val="1"/>
          <w:iCs w:val="1"/>
          <w:color w:val="auto"/>
        </w:rPr>
        <w:t xml:space="preserve"> </w:t>
      </w:r>
      <w:r>
        <w:rPr>
          <w:rFonts w:ascii="Arial" w:cs="Arial" w:eastAsia="Arial" w:hAnsi="Arial"/>
          <w:sz w:val="16"/>
          <w:szCs w:val="16"/>
          <w:color w:val="auto"/>
        </w:rPr>
        <w:t>2014, he became Executive Vice President of UFP Eastern Division – North. On February 1, 2017, Mr. Benton became President of the UFP Northern Division, and on January 1, 2020, he became President of UFP Construction, LLC.</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Scott A. Worthington </w:t>
      </w:r>
      <w:r>
        <w:rPr>
          <w:rFonts w:ascii="Arial" w:cs="Arial" w:eastAsia="Arial" w:hAnsi="Arial"/>
          <w:sz w:val="18"/>
          <w:szCs w:val="18"/>
          <w:color w:val="auto"/>
        </w:rPr>
        <w:t>joined us in 1997. In 2007, he became General Manager of Operations of our plant in New Waverly,</w:t>
      </w:r>
      <w:r>
        <w:rPr>
          <w:rFonts w:ascii="Arial" w:cs="Arial" w:eastAsia="Arial" w:hAnsi="Arial"/>
          <w:sz w:val="18"/>
          <w:szCs w:val="18"/>
          <w:i w:val="1"/>
          <w:iCs w:val="1"/>
          <w:color w:val="auto"/>
        </w:rPr>
        <w:t xml:space="preserve"> </w:t>
      </w:r>
      <w:r>
        <w:rPr>
          <w:rFonts w:ascii="Arial" w:cs="Arial" w:eastAsia="Arial" w:hAnsi="Arial"/>
          <w:sz w:val="18"/>
          <w:szCs w:val="18"/>
          <w:color w:val="auto"/>
        </w:rPr>
        <w:t>TX, and on August 1, 2014, he became Regional Vice President of the South Texas Region. On January 1, 2020, he became President of UFP Industrial, LLC</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Chad C. Uhlig Eastin </w:t>
      </w:r>
      <w:r>
        <w:rPr>
          <w:rFonts w:ascii="Arial" w:cs="Arial" w:eastAsia="Arial" w:hAnsi="Arial"/>
          <w:sz w:val="17"/>
          <w:szCs w:val="17"/>
          <w:color w:val="auto"/>
        </w:rPr>
        <w:t>joined us in 1998. In 2007, he became General Manager of Operations of our plant in Chandler, AZ,</w:t>
      </w:r>
      <w:r>
        <w:rPr>
          <w:rFonts w:ascii="Arial" w:cs="Arial" w:eastAsia="Arial" w:hAnsi="Arial"/>
          <w:sz w:val="17"/>
          <w:szCs w:val="17"/>
          <w:i w:val="1"/>
          <w:iCs w:val="1"/>
          <w:color w:val="auto"/>
        </w:rPr>
        <w:t xml:space="preserve"> </w:t>
      </w:r>
      <w:r>
        <w:rPr>
          <w:rFonts w:ascii="Arial" w:cs="Arial" w:eastAsia="Arial" w:hAnsi="Arial"/>
          <w:sz w:val="17"/>
          <w:szCs w:val="17"/>
          <w:color w:val="auto"/>
        </w:rPr>
        <w:t>and in 2014 he became Operations Vice President of our Mountain West Region and became Regional Vice President of that region in 2015. On October 1, 2016, Mr. Eastin became the Executive Vice President of Purchasing for the Company, and on January 1, 2020, he became Executive Vice President of ProWood.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Scott T. Bravata </w:t>
      </w:r>
      <w:r>
        <w:rPr>
          <w:rFonts w:ascii="Arial" w:cs="Arial" w:eastAsia="Arial" w:hAnsi="Arial"/>
          <w:sz w:val="18"/>
          <w:szCs w:val="18"/>
          <w:color w:val="auto"/>
        </w:rPr>
        <w:t>joined us in 1988. He became Director of Wholesale Accounting in 1989 and became Corporate Controller</w:t>
      </w:r>
      <w:r>
        <w:rPr>
          <w:rFonts w:ascii="Arial" w:cs="Arial" w:eastAsia="Arial" w:hAnsi="Arial"/>
          <w:sz w:val="18"/>
          <w:szCs w:val="18"/>
          <w:i w:val="1"/>
          <w:iCs w:val="1"/>
          <w:color w:val="auto"/>
        </w:rPr>
        <w:t xml:space="preserve"> </w:t>
      </w:r>
      <w:r>
        <w:rPr>
          <w:rFonts w:ascii="Arial" w:cs="Arial" w:eastAsia="Arial" w:hAnsi="Arial"/>
          <w:sz w:val="18"/>
          <w:szCs w:val="18"/>
          <w:color w:val="auto"/>
        </w:rPr>
        <w:t>in 1997. On February 27, 2006, he became Vice President of Accounting.</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David A. Tutas </w:t>
      </w:r>
      <w:r>
        <w:rPr>
          <w:rFonts w:ascii="Arial" w:cs="Arial" w:eastAsia="Arial" w:hAnsi="Arial"/>
          <w:sz w:val="18"/>
          <w:szCs w:val="18"/>
          <w:color w:val="auto"/>
        </w:rPr>
        <w:t>joined us in 2003 as a staff counsel. In 2007, he was promoted to Director of Legal Services. On August 1,</w:t>
      </w:r>
      <w:r>
        <w:rPr>
          <w:rFonts w:ascii="Arial" w:cs="Arial" w:eastAsia="Arial" w:hAnsi="Arial"/>
          <w:sz w:val="18"/>
          <w:szCs w:val="18"/>
          <w:i w:val="1"/>
          <w:iCs w:val="1"/>
          <w:color w:val="auto"/>
        </w:rPr>
        <w:t xml:space="preserve"> </w:t>
      </w:r>
      <w:r>
        <w:rPr>
          <w:rFonts w:ascii="Arial" w:cs="Arial" w:eastAsia="Arial" w:hAnsi="Arial"/>
          <w:sz w:val="18"/>
          <w:szCs w:val="18"/>
          <w:color w:val="auto"/>
        </w:rPr>
        <w:t>2011, he was promoted to General Counsel. On January 18, 2013, he became Secretary of the Company, and on February 1, 2019, he became Chief Compliance Officer.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information items in this Part II, which are contained in the 2019 Annual Report, are specifically incorporated by reference into this Form 10-K Report. These portions of the 2019 Annual Report that are specifically incorporated by reference are filed as Exhibit 13 with this Form 10-K Report.</w:t>
      </w:r>
    </w:p>
    <w:p>
      <w:pPr>
        <w:spacing w:after="0" w:line="177"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Shareholder Matters and Issuer Purchases of Equity Securities.</w:t>
      </w:r>
    </w:p>
    <w:p>
      <w:pPr>
        <w:spacing w:after="0" w:line="166" w:lineRule="exact"/>
        <w:rPr>
          <w:sz w:val="20"/>
          <w:szCs w:val="20"/>
          <w:color w:val="auto"/>
        </w:rPr>
      </w:pPr>
    </w:p>
    <w:p>
      <w:pPr>
        <w:ind w:left="340" w:right="20" w:hanging="331"/>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relating to market, holders and dividends is incorporated by reference from the 2019 Annual Report under the caption “Stock Performance Graph.”</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There were no sales of unregistered securities during the last three years.</w:t>
      </w:r>
    </w:p>
    <w:p>
      <w:pPr>
        <w:spacing w:after="0" w:line="225" w:lineRule="exact"/>
        <w:rPr>
          <w:rFonts w:ascii="Arial" w:cs="Arial" w:eastAsia="Arial" w:hAnsi="Arial"/>
          <w:sz w:val="18"/>
          <w:szCs w:val="18"/>
          <w:color w:val="auto"/>
        </w:rPr>
      </w:pPr>
    </w:p>
    <w:p>
      <w:pPr>
        <w:ind w:left="340" w:hanging="331"/>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40" w:hanging="331"/>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Issuer purchases of equity securities during the fourth quarter.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Fiscal Month</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(a)</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(b)</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(c)</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210"/>
        </w:trPr>
        <w:tc>
          <w:tcPr>
            <w:tcW w:w="5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September 29 – November 2, 2019</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1,860,354</w:t>
            </w:r>
          </w:p>
        </w:tc>
      </w:tr>
      <w:tr>
        <w:trPr>
          <w:trHeight w:val="216"/>
        </w:trPr>
        <w:tc>
          <w:tcPr>
            <w:tcW w:w="6080" w:type="dxa"/>
            <w:vAlign w:val="bottom"/>
            <w:gridSpan w:val="3"/>
          </w:tcPr>
          <w:p>
            <w:pPr>
              <w:spacing w:after="0"/>
              <w:rPr>
                <w:sz w:val="20"/>
                <w:szCs w:val="20"/>
                <w:color w:val="auto"/>
              </w:rPr>
            </w:pPr>
            <w:r>
              <w:rPr>
                <w:rFonts w:ascii="Arial" w:cs="Arial" w:eastAsia="Arial" w:hAnsi="Arial"/>
                <w:sz w:val="18"/>
                <w:szCs w:val="18"/>
                <w:color w:val="auto"/>
              </w:rPr>
              <w:t>November 3 – 30, 2019</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1,860,354</w:t>
            </w:r>
          </w:p>
        </w:tc>
      </w:tr>
      <w:tr>
        <w:trPr>
          <w:trHeight w:val="216"/>
        </w:trPr>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 28, 2019</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1,860,354</w:t>
            </w:r>
          </w:p>
        </w:tc>
      </w:tr>
      <w:tr>
        <w:trPr>
          <w:trHeight w:val="108"/>
        </w:trPr>
        <w:tc>
          <w:tcPr>
            <w:tcW w:w="228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80" w:lineRule="exact"/>
        <w:rPr>
          <w:sz w:val="20"/>
          <w:szCs w:val="20"/>
          <w:color w:val="auto"/>
        </w:rPr>
      </w:pPr>
    </w:p>
    <w:p>
      <w:pPr>
        <w:ind w:left="340" w:hanging="331"/>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40" w:hanging="331"/>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existing share repurchase program. The total number of remaining shares that may be repurchased under the program is approximately 1.9 million.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2019 Annual Report under the caption "Selected Financial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2019 Annual Report under the caption "Management’s Discussion and Analysis of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28, 2019, the estimated fair value of our long-term debt, including the current portion, was $170.8 million. The estimated fair value is based on rates anticipated to be available to us for debt with similar terms and maturities. The estimated fair value of notes payable included in current liabilities and the revolving credit facility approximated the carrying values as these debt instruments have interest rates that fluctuate with current market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Expected cash flows over the next five years related to debt instruments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60" w:type="dxa"/>
            <w:vAlign w:val="bottom"/>
          </w:tcPr>
          <w:p>
            <w:pPr>
              <w:spacing w:after="0"/>
              <w:rPr>
                <w:sz w:val="20"/>
                <w:szCs w:val="20"/>
                <w:color w:val="auto"/>
              </w:rPr>
            </w:pPr>
            <w:r>
              <w:rPr>
                <w:rFonts w:ascii="Arial" w:cs="Arial" w:eastAsia="Arial" w:hAnsi="Arial"/>
                <w:sz w:val="14"/>
                <w:szCs w:val="14"/>
                <w:b w:val="1"/>
                <w:bCs w:val="1"/>
                <w:color w:val="auto"/>
              </w:rPr>
              <w:t>($US equivalent, in thousands)</w:t>
            </w:r>
          </w:p>
        </w:tc>
        <w:tc>
          <w:tcPr>
            <w:tcW w:w="140" w:type="dxa"/>
            <w:vAlign w:val="bottom"/>
          </w:tcPr>
          <w:p>
            <w:pPr>
              <w:spacing w:after="0"/>
              <w:rPr>
                <w:sz w:val="15"/>
                <w:szCs w:val="15"/>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Thereafter</w:t>
            </w:r>
          </w:p>
        </w:tc>
        <w:tc>
          <w:tcPr>
            <w:tcW w:w="140" w:type="dxa"/>
            <w:vAlign w:val="bottom"/>
          </w:tcPr>
          <w:p>
            <w:pPr>
              <w:spacing w:after="0"/>
              <w:rPr>
                <w:sz w:val="15"/>
                <w:szCs w:val="15"/>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b w:val="1"/>
                <w:bCs w:val="1"/>
                <w:color w:val="auto"/>
              </w:rPr>
              <w:t>Total</w:t>
            </w:r>
          </w:p>
        </w:tc>
      </w:tr>
      <w:tr>
        <w:trPr>
          <w:trHeight w:val="149"/>
        </w:trPr>
        <w:tc>
          <w:tcPr>
            <w:tcW w:w="33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4"/>
                <w:szCs w:val="14"/>
                <w:color w:val="auto"/>
              </w:rPr>
              <w:t>Fixed Rate ($US)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34,977</w:t>
            </w:r>
          </w:p>
        </w:tc>
        <w:tc>
          <w:tcPr>
            <w:tcW w:w="16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39,976</w:t>
            </w:r>
          </w:p>
        </w:tc>
        <w:tc>
          <w:tcPr>
            <w:tcW w:w="140" w:type="dxa"/>
            <w:vAlign w:val="bottom"/>
          </w:tcPr>
          <w:p>
            <w:pPr>
              <w:spacing w:after="0"/>
              <w:rPr>
                <w:sz w:val="12"/>
                <w:szCs w:val="12"/>
                <w:color w:val="auto"/>
              </w:rPr>
            </w:pPr>
          </w:p>
        </w:tc>
        <w:tc>
          <w:tcPr>
            <w:tcW w:w="1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74,974</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8"/>
              </w:rPr>
              <w:t>150,007</w:t>
            </w:r>
          </w:p>
        </w:tc>
      </w:tr>
      <w:tr>
        <w:trPr>
          <w:trHeight w:val="149"/>
        </w:trPr>
        <w:tc>
          <w:tcPr>
            <w:tcW w:w="3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4"/>
                <w:szCs w:val="14"/>
                <w:color w:val="auto"/>
              </w:rPr>
              <w:t>Variable Rate ($US)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2,700</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3,700</w:t>
            </w:r>
          </w:p>
        </w:tc>
        <w:tc>
          <w:tcPr>
            <w:tcW w:w="16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3,976</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3,300</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13,676</w:t>
            </w:r>
          </w:p>
        </w:tc>
      </w:tr>
      <w:tr>
        <w:trPr>
          <w:trHeight w:val="162"/>
        </w:trPr>
        <w:tc>
          <w:tcPr>
            <w:tcW w:w="3360" w:type="dxa"/>
            <w:vAlign w:val="bottom"/>
            <w:shd w:val="clear" w:color="auto" w:fill="CCEEFF"/>
          </w:tcPr>
          <w:p>
            <w:pPr>
              <w:ind w:left="160"/>
              <w:spacing w:after="0" w:line="162" w:lineRule="exact"/>
              <w:rPr>
                <w:sz w:val="20"/>
                <w:szCs w:val="20"/>
                <w:color w:val="auto"/>
              </w:rPr>
            </w:pPr>
            <w:r>
              <w:rPr>
                <w:rFonts w:ascii="Arial" w:cs="Arial" w:eastAsia="Arial" w:hAnsi="Arial"/>
                <w:sz w:val="13"/>
                <w:szCs w:val="13"/>
                <w:color w:val="auto"/>
              </w:rPr>
              <w:t xml:space="preserve">Average interest rate </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2040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089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 Average of rates at December 29, 2018</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2019 Annual Report under the following captions: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Earnings and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29" w:lineRule="exact"/>
        <w:rPr>
          <w:sz w:val="20"/>
          <w:szCs w:val="20"/>
          <w:color w:val="auto"/>
        </w:rPr>
      </w:pPr>
    </w:p>
    <w:p>
      <w:pPr>
        <w:jc w:val="both"/>
        <w:ind w:left="660" w:hanging="651"/>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28, 2019 (the "Evaluation Date"), have concluded that, as of such date, our disclosure controls and procedures were effective.</w:t>
      </w:r>
    </w:p>
    <w:p>
      <w:pPr>
        <w:spacing w:after="0" w:line="154" w:lineRule="exact"/>
        <w:rPr>
          <w:rFonts w:ascii="Arial" w:cs="Arial" w:eastAsia="Arial" w:hAnsi="Arial"/>
          <w:sz w:val="16"/>
          <w:szCs w:val="16"/>
          <w:color w:val="auto"/>
        </w:rPr>
      </w:pPr>
    </w:p>
    <w:p>
      <w:pPr>
        <w:jc w:val="both"/>
        <w:ind w:left="660" w:hanging="651"/>
        <w:spacing w:after="0" w:line="27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Management’s Report on Internal Control Over Financial Reporting</w:t>
      </w:r>
      <w:r>
        <w:rPr>
          <w:rFonts w:ascii="Arial" w:cs="Arial" w:eastAsia="Arial" w:hAnsi="Arial"/>
          <w:sz w:val="17"/>
          <w:szCs w:val="17"/>
          <w:color w:val="auto"/>
        </w:rPr>
        <w:t>. Management’s Report on Internal Control Over Financial Reporting is included in the 2019 Annual Report under the caption “Management’s Report on Internal Control Over Financial Reporting” and is incorporated herein by reference. Our independent registered public accounting firm’s attestation Report on our internal control over financial reporting is also included in the 2019 Annual Report in the caption “Report of Independent Registered Public Accounting Firm On Internal Control over Financial Reporting” and is incorporated herein by reference.</w:t>
      </w:r>
    </w:p>
    <w:p>
      <w:pPr>
        <w:spacing w:after="0" w:line="178" w:lineRule="exact"/>
        <w:rPr>
          <w:rFonts w:ascii="Arial" w:cs="Arial" w:eastAsia="Arial" w:hAnsi="Arial"/>
          <w:sz w:val="17"/>
          <w:szCs w:val="17"/>
          <w:color w:val="auto"/>
        </w:rPr>
      </w:pPr>
    </w:p>
    <w:p>
      <w:pPr>
        <w:jc w:val="both"/>
        <w:ind w:left="660" w:right="20" w:hanging="651"/>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fourth quarter ended December 28, 2019, there were no changes in our internal control over financial reporting that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Information relating to our directors, compliance with Section 16(a) of the Securities and Exchange Act of 1934 and various corporate governance matters is incorporated by reference from our definitive Proxy Statement for the year ended December 28, 2019 for the 2019 Annual Meeting of Shareholders, as filed with the Commission ("2020 Proxy Statement"), under the captions "Election of Directors," "Corporate Governance and Board Matters," and "Section 16(a) Beneficial Ownership Reporting Compliance." Information relating to executive officers is included in this report in the last Section of Part I under the caption "Additional Item: Executive Officers of the Registrant." Information relating to our code of ethics is included in this report in Part I, Item 1 under the caption “Available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relating to director and executive compensation is incorporated by reference from the 2020 Proxy Statement under the caption "Executive Compensation." The "Personnel and Compensation Committee Report" included in the 2020 Proxy Statement is incorporated by reference for the purpose of being furnished herein and is not and shall not be deemed to be filed under the Securities Exchange Act of 1934,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12. Security Ownership of Certain Beneficial Owners and Management and Related Shareholder Matters.</w:t>
      </w:r>
    </w:p>
    <w:p>
      <w:pPr>
        <w:spacing w:after="0" w:line="24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Information relating to security ownership of certain beneficial owners and management is incorporated by reference from our 2020 Proxy Statement under the captions "Ownership of Common Stock" and "Securities Ownership of Management."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Information relating to securities authorized for issuance under equity compensation plans as of December 28, 2019,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to be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exercise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price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reflected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options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(b)</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740" w:type="dxa"/>
            <w:vAlign w:val="bottom"/>
          </w:tcPr>
          <w:p>
            <w:pPr>
              <w:jc w:val="right"/>
              <w:ind w:right="4"/>
              <w:spacing w:after="0"/>
              <w:rPr>
                <w:sz w:val="20"/>
                <w:szCs w:val="20"/>
                <w:color w:val="auto"/>
              </w:rPr>
            </w:pPr>
            <w:r>
              <w:rPr>
                <w:rFonts w:ascii="Arial" w:cs="Arial" w:eastAsia="Arial" w:hAnsi="Arial"/>
                <w:sz w:val="18"/>
                <w:szCs w:val="18"/>
                <w:color w:val="auto"/>
              </w:rPr>
              <w:t>none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7" w:lineRule="exact"/>
        <w:rPr>
          <w:sz w:val="20"/>
          <w:szCs w:val="20"/>
          <w:color w:val="auto"/>
        </w:rPr>
      </w:pPr>
    </w:p>
    <w:p>
      <w:pPr>
        <w:jc w:val="both"/>
        <w:ind w:left="340" w:hanging="331"/>
        <w:spacing w:after="0" w:line="233" w:lineRule="auto"/>
        <w:tabs>
          <w:tab w:leader="none" w:pos="34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The number of shares remaining available for future issuance under equity compensation plans, excluding outstanding options, warrants, or similar rights, as of December 28, 2019, is as follows: 524,260 shares for our Employee Stock Purchase Plan, 246,877 shares for our Directors’ Retainer Stock Plan, and 18,687 shares for our Employee Stock Gift Program. In addition, of the remaining 1,707,505 shares available for future issuance under our Long-Term Stock Incentive Plan, those awards may be made in the form of options as well as stock appreciation rights, restricted stock, performance shares, or other stock-based awards.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relating to certain relationships and related transactions, and director independence is incorporated by reference from the 2020 Proxy Statement under the captions "Election of Directors", “Affirmative Determination Regarding Director Independence and Other Matters” and "Related Party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relating to the types of services rendered by our Independent Registered Public Accounting Firm and the fees paid for these services is incorporated by reference from our 2020 Proxy Statement under the caption "Independent Registered Public Accounting Firm – Disclosure of Fees.”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229" w:lineRule="exact"/>
        <w:rPr>
          <w:sz w:val="20"/>
          <w:szCs w:val="20"/>
          <w:color w:val="auto"/>
        </w:rPr>
      </w:pPr>
    </w:p>
    <w:p>
      <w:pPr>
        <w:ind w:left="660" w:right="20" w:hanging="651"/>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1. Financial Statements</w:t>
      </w:r>
      <w:r>
        <w:rPr>
          <w:rFonts w:ascii="Arial" w:cs="Arial" w:eastAsia="Arial" w:hAnsi="Arial"/>
          <w:sz w:val="18"/>
          <w:szCs w:val="18"/>
          <w:color w:val="auto"/>
        </w:rPr>
        <w:t>. The following are incorporated by reference, under Item 8 of this report, from the 2019 Annual Report:</w:t>
      </w:r>
    </w:p>
    <w:p>
      <w:pPr>
        <w:spacing w:after="0" w:line="170" w:lineRule="exact"/>
        <w:rPr>
          <w:rFonts w:ascii="Arial" w:cs="Arial" w:eastAsia="Arial" w:hAnsi="Arial"/>
          <w:sz w:val="18"/>
          <w:szCs w:val="18"/>
          <w:color w:val="auto"/>
        </w:rPr>
      </w:pPr>
    </w:p>
    <w:p>
      <w:pPr>
        <w:ind w:left="660" w:right="3500"/>
        <w:spacing w:after="0" w:line="268" w:lineRule="auto"/>
        <w:rPr>
          <w:rFonts w:ascii="Arial" w:cs="Arial" w:eastAsia="Arial" w:hAnsi="Arial"/>
          <w:sz w:val="18"/>
          <w:szCs w:val="18"/>
          <w:color w:val="auto"/>
        </w:rPr>
      </w:pPr>
      <w:r>
        <w:rPr>
          <w:rFonts w:ascii="Arial" w:cs="Arial" w:eastAsia="Arial" w:hAnsi="Arial"/>
          <w:sz w:val="17"/>
          <w:szCs w:val="17"/>
          <w:color w:val="auto"/>
        </w:rPr>
        <w:t>Management’s Report on Internal Control Over Financial Reporting Report of Independent Registered Public Accounting Firm Report of Independent Registered Public Accounting Firm Consolidated Statements of Earnings and Comprehensive Income Consolidated Statements of Shareholders’ Equity</w:t>
      </w:r>
    </w:p>
    <w:p>
      <w:pPr>
        <w:spacing w:after="0" w:line="3" w:lineRule="exact"/>
        <w:rPr>
          <w:rFonts w:ascii="Arial" w:cs="Arial" w:eastAsia="Arial" w:hAnsi="Arial"/>
          <w:sz w:val="18"/>
          <w:szCs w:val="18"/>
          <w:color w:val="auto"/>
        </w:rPr>
      </w:pPr>
    </w:p>
    <w:p>
      <w:pPr>
        <w:ind w:left="660" w:right="5260"/>
        <w:spacing w:after="0" w:line="323" w:lineRule="auto"/>
        <w:rPr>
          <w:rFonts w:ascii="Arial" w:cs="Arial" w:eastAsia="Arial" w:hAnsi="Arial"/>
          <w:sz w:val="18"/>
          <w:szCs w:val="18"/>
          <w:color w:val="auto"/>
        </w:rPr>
      </w:pPr>
      <w:r>
        <w:rPr>
          <w:rFonts w:ascii="Arial" w:cs="Arial" w:eastAsia="Arial" w:hAnsi="Arial"/>
          <w:sz w:val="16"/>
          <w:szCs w:val="16"/>
          <w:color w:val="auto"/>
        </w:rPr>
        <w:t>Consolidated Statements of Cash Flows Notes to Consolidated Financial Statements</w:t>
      </w:r>
    </w:p>
    <w:p>
      <w:pPr>
        <w:spacing w:after="0" w:line="138" w:lineRule="exact"/>
        <w:rPr>
          <w:rFonts w:ascii="Arial" w:cs="Arial" w:eastAsia="Arial" w:hAnsi="Arial"/>
          <w:sz w:val="18"/>
          <w:szCs w:val="18"/>
          <w:color w:val="auto"/>
        </w:rPr>
      </w:pPr>
    </w:p>
    <w:p>
      <w:pPr>
        <w:ind w:left="660" w:right="280"/>
        <w:spacing w:after="0" w:line="312" w:lineRule="auto"/>
        <w:rPr>
          <w:rFonts w:ascii="Arial" w:cs="Arial" w:eastAsia="Arial" w:hAnsi="Arial"/>
          <w:sz w:val="18"/>
          <w:szCs w:val="18"/>
          <w:color w:val="auto"/>
        </w:rPr>
      </w:pPr>
      <w:r>
        <w:rPr>
          <w:rFonts w:ascii="Arial" w:cs="Arial" w:eastAsia="Arial" w:hAnsi="Arial"/>
          <w:sz w:val="16"/>
          <w:szCs w:val="16"/>
          <w:u w:val="single" w:color="auto"/>
          <w:color w:val="auto"/>
        </w:rPr>
        <w:t>2. Financial Statement Schedules</w:t>
      </w:r>
      <w:r>
        <w:rPr>
          <w:rFonts w:ascii="Arial" w:cs="Arial" w:eastAsia="Arial" w:hAnsi="Arial"/>
          <w:sz w:val="16"/>
          <w:szCs w:val="16"/>
          <w:color w:val="auto"/>
        </w:rPr>
        <w:t>. All schedules required by this Form 10-K Report have been omitted because they were inapplicable, included in the Consolidated Financial Statements or Notes to Consolidated Financial Statements, or otherwise not required under instructions contained in Regulation S-X.</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ind w:left="651"/>
        <w:spacing w:after="0"/>
        <w:rPr>
          <w:sz w:val="20"/>
          <w:szCs w:val="20"/>
          <w:color w:val="auto"/>
        </w:rPr>
      </w:pPr>
      <w:r>
        <w:rPr>
          <w:rFonts w:ascii="Arial" w:cs="Arial" w:eastAsia="Arial" w:hAnsi="Arial"/>
          <w:sz w:val="16"/>
          <w:szCs w:val="16"/>
          <w:u w:val="single" w:color="auto"/>
          <w:color w:val="auto"/>
        </w:rPr>
        <w:t>3.  Exhibits</w:t>
      </w:r>
      <w:r>
        <w:rPr>
          <w:rFonts w:ascii="Arial" w:cs="Arial" w:eastAsia="Arial" w:hAnsi="Arial"/>
          <w:sz w:val="16"/>
          <w:szCs w:val="16"/>
          <w:color w:val="auto"/>
        </w:rPr>
        <w:t>. Reference is made to the Exhibit Index which is included in this Form 10-K Report.</w:t>
      </w:r>
    </w:p>
    <w:p>
      <w:pPr>
        <w:spacing w:after="0" w:line="248" w:lineRule="exact"/>
        <w:rPr>
          <w:sz w:val="20"/>
          <w:szCs w:val="20"/>
          <w:color w:val="auto"/>
        </w:rPr>
      </w:pPr>
    </w:p>
    <w:p>
      <w:pPr>
        <w:ind w:left="651" w:hanging="651"/>
        <w:spacing w:after="0"/>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 is made to the Exhibit Index which is included in this Form 10-K Report.</w:t>
      </w:r>
    </w:p>
    <w:p>
      <w:pPr>
        <w:spacing w:after="0" w:line="225" w:lineRule="exact"/>
        <w:rPr>
          <w:rFonts w:ascii="Arial" w:cs="Arial" w:eastAsia="Arial" w:hAnsi="Arial"/>
          <w:sz w:val="18"/>
          <w:szCs w:val="18"/>
          <w:color w:val="auto"/>
        </w:rPr>
      </w:pPr>
    </w:p>
    <w:p>
      <w:pPr>
        <w:ind w:left="651" w:hanging="651"/>
        <w:spacing w:after="0"/>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0"/>
          </w:cols>
          <w:pgMar w:left="1429" w:top="125"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 #</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5746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178" w:lineRule="exact"/>
        <w:rPr>
          <w:sz w:val="20"/>
          <w:szCs w:val="20"/>
          <w:color w:val="auto"/>
        </w:rPr>
      </w:pPr>
    </w:p>
    <w:p>
      <w:pPr>
        <w:ind w:left="920" w:hanging="910"/>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171" w:lineRule="exact"/>
        <w:rPr>
          <w:rFonts w:ascii="Arial" w:cs="Arial" w:eastAsia="Arial" w:hAnsi="Arial"/>
          <w:sz w:val="18"/>
          <w:szCs w:val="18"/>
          <w:color w:val="auto"/>
        </w:rPr>
      </w:pPr>
    </w:p>
    <w:p>
      <w:pPr>
        <w:ind w:left="1480" w:right="140" w:hanging="552"/>
        <w:spacing w:after="0" w:line="307" w:lineRule="auto"/>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Registrant’s Restated and Amended Articles of Incorporation were filed as Exhibit 3.1 to a Registrant’s Current Report 8-K (dated April 27, 2017) and the same is incorporated herein by reference.</w:t>
      </w:r>
    </w:p>
    <w:p>
      <w:pPr>
        <w:spacing w:after="0" w:line="96" w:lineRule="exact"/>
        <w:rPr>
          <w:rFonts w:ascii="Arial" w:cs="Arial" w:eastAsia="Arial" w:hAnsi="Arial"/>
          <w:sz w:val="16"/>
          <w:szCs w:val="16"/>
          <w:color w:val="auto"/>
        </w:rPr>
      </w:pPr>
    </w:p>
    <w:p>
      <w:pPr>
        <w:ind w:left="1480" w:right="380" w:hanging="552"/>
        <w:spacing w:after="0" w:line="307" w:lineRule="auto"/>
        <w:tabs>
          <w:tab w:leader="none" w:pos="1480" w:val="left"/>
        </w:tabs>
        <w:numPr>
          <w:ilvl w:val="1"/>
          <w:numId w:val="11"/>
        </w:numPr>
        <w:rPr>
          <w:rFonts w:ascii="Arial" w:cs="Arial" w:eastAsia="Arial" w:hAnsi="Arial"/>
          <w:sz w:val="16"/>
          <w:szCs w:val="16"/>
          <w:u w:val="single" w:color="auto"/>
          <w:color w:val="0000EE"/>
        </w:rPr>
      </w:pPr>
      <w:hyperlink r:id="rId27">
        <w:r>
          <w:rPr>
            <w:rFonts w:ascii="Arial" w:cs="Arial" w:eastAsia="Arial" w:hAnsi="Arial"/>
            <w:sz w:val="16"/>
            <w:szCs w:val="16"/>
            <w:u w:val="single" w:color="auto"/>
            <w:color w:val="0000EE"/>
          </w:rPr>
          <w:t>Amended Bylaws was filed as Exhibit 3(b) to a Form 10-K, Annual Report for the year-ended</w:t>
        </w:r>
      </w:hyperlink>
      <w:r>
        <w:rPr>
          <w:rFonts w:ascii="Arial" w:cs="Arial" w:eastAsia="Arial" w:hAnsi="Arial"/>
          <w:sz w:val="16"/>
          <w:szCs w:val="16"/>
          <w:u w:val="single" w:color="auto"/>
          <w:color w:val="0000EE"/>
        </w:rPr>
        <w:t xml:space="preserve"> </w:t>
      </w:r>
      <w:hyperlink r:id="rId27">
        <w:r>
          <w:rPr>
            <w:rFonts w:ascii="Arial" w:cs="Arial" w:eastAsia="Arial" w:hAnsi="Arial"/>
            <w:sz w:val="16"/>
            <w:szCs w:val="16"/>
            <w:u w:val="single" w:color="auto"/>
            <w:color w:val="0000EE"/>
          </w:rPr>
          <w:t>December 31, 2016 (Commission file No.: 0-22684) and the same incorporated herein by reference.</w:t>
        </w:r>
      </w:hyperlink>
    </w:p>
    <w:p>
      <w:pPr>
        <w:spacing w:after="0" w:line="97" w:lineRule="exact"/>
        <w:rPr>
          <w:rFonts w:ascii="Arial" w:cs="Arial" w:eastAsia="Arial" w:hAnsi="Arial"/>
          <w:sz w:val="16"/>
          <w:szCs w:val="16"/>
          <w:color w:val="auto"/>
        </w:rPr>
      </w:pPr>
    </w:p>
    <w:p>
      <w:pPr>
        <w:ind w:left="920" w:hanging="910"/>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w:t>
      </w:r>
    </w:p>
    <w:p>
      <w:pPr>
        <w:spacing w:after="0" w:line="171" w:lineRule="exact"/>
        <w:rPr>
          <w:rFonts w:ascii="Arial" w:cs="Arial" w:eastAsia="Arial" w:hAnsi="Arial"/>
          <w:sz w:val="18"/>
          <w:szCs w:val="18"/>
          <w:color w:val="auto"/>
        </w:rPr>
      </w:pPr>
    </w:p>
    <w:p>
      <w:pPr>
        <w:ind w:left="1480" w:right="560" w:hanging="552"/>
        <w:spacing w:after="0" w:line="307"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Specimen form of Stock Certificate for Common Stock was filed as Exhibit 4(a) to a Registration Statement on Form S-1 (No. 33-69474) and the same is incorporated herein by reference.</w:t>
      </w:r>
    </w:p>
    <w:p>
      <w:pPr>
        <w:spacing w:after="0" w:line="96" w:lineRule="exact"/>
        <w:rPr>
          <w:rFonts w:ascii="Arial" w:cs="Arial" w:eastAsia="Arial" w:hAnsi="Arial"/>
          <w:sz w:val="16"/>
          <w:szCs w:val="16"/>
          <w:color w:val="auto"/>
        </w:rPr>
      </w:pPr>
    </w:p>
    <w:p>
      <w:pPr>
        <w:ind w:left="1480" w:hanging="552"/>
        <w:spacing w:after="0"/>
        <w:tabs>
          <w:tab w:leader="none" w:pos="1480" w:val="left"/>
        </w:tabs>
        <w:numPr>
          <w:ilvl w:val="1"/>
          <w:numId w:val="12"/>
        </w:numPr>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Description of Registrant’s Securities</w:t>
        </w:r>
      </w:hyperlink>
    </w:p>
    <w:p>
      <w:pPr>
        <w:spacing w:after="0" w:line="171" w:lineRule="exact"/>
        <w:rPr>
          <w:rFonts w:ascii="Arial" w:cs="Arial" w:eastAsia="Arial" w:hAnsi="Arial"/>
          <w:sz w:val="16"/>
          <w:szCs w:val="16"/>
          <w:color w:val="auto"/>
        </w:rPr>
      </w:pPr>
    </w:p>
    <w:p>
      <w:pPr>
        <w:ind w:left="920" w:hanging="910"/>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71" w:lineRule="exact"/>
        <w:rPr>
          <w:rFonts w:ascii="Arial" w:cs="Arial" w:eastAsia="Arial" w:hAnsi="Arial"/>
          <w:sz w:val="18"/>
          <w:szCs w:val="18"/>
          <w:color w:val="auto"/>
        </w:rPr>
      </w:pPr>
    </w:p>
    <w:p>
      <w:pPr>
        <w:ind w:left="1480" w:right="40" w:hanging="554"/>
        <w:spacing w:after="0" w:line="276" w:lineRule="auto"/>
        <w:rPr>
          <w:rFonts w:ascii="Arial" w:cs="Arial" w:eastAsia="Arial" w:hAnsi="Arial"/>
          <w:sz w:val="16"/>
          <w:szCs w:val="16"/>
          <w:color w:val="0000EE"/>
        </w:rPr>
      </w:pPr>
      <w:r>
        <w:rPr>
          <w:rFonts w:ascii="Arial" w:cs="Arial" w:eastAsia="Arial" w:hAnsi="Arial"/>
          <w:sz w:val="16"/>
          <w:szCs w:val="16"/>
          <w:color w:val="auto"/>
        </w:rPr>
        <w:t xml:space="preserve">*(a)(6) </w:t>
      </w:r>
      <w:hyperlink r:id="rId28">
        <w:r>
          <w:rPr>
            <w:rFonts w:ascii="Arial" w:cs="Arial" w:eastAsia="Arial" w:hAnsi="Arial"/>
            <w:sz w:val="16"/>
            <w:szCs w:val="16"/>
            <w:u w:val="single" w:color="auto"/>
            <w:color w:val="0000EE"/>
          </w:rPr>
          <w:t>Form of Conditional Share Grant Agreement utilized under the Company’s Long Term Stock Incentive</w:t>
        </w:r>
      </w:hyperlink>
      <w:r>
        <w:rPr>
          <w:rFonts w:ascii="Arial" w:cs="Arial" w:eastAsia="Arial" w:hAnsi="Arial"/>
          <w:sz w:val="16"/>
          <w:szCs w:val="16"/>
          <w:color w:val="auto"/>
        </w:rPr>
        <w:t xml:space="preserve"> </w:t>
      </w:r>
      <w:hyperlink r:id="rId28">
        <w:r>
          <w:rPr>
            <w:rFonts w:ascii="Arial" w:cs="Arial" w:eastAsia="Arial" w:hAnsi="Arial"/>
            <w:sz w:val="16"/>
            <w:szCs w:val="16"/>
            <w:u w:val="single" w:color="auto"/>
            <w:color w:val="0000EE"/>
          </w:rPr>
          <w:t>Plan was filed as Exhibit 10(a)(6) to a Form 10-K, Annual Report for the year ended December 25, 2010</w:t>
        </w:r>
      </w:hyperlink>
      <w:r>
        <w:rPr>
          <w:rFonts w:ascii="Arial" w:cs="Arial" w:eastAsia="Arial" w:hAnsi="Arial"/>
          <w:sz w:val="16"/>
          <w:szCs w:val="16"/>
          <w:u w:val="single" w:color="auto"/>
          <w:color w:val="0000EE"/>
        </w:rPr>
        <w:t xml:space="preserve"> </w:t>
      </w:r>
      <w:hyperlink r:id="rId28">
        <w:r>
          <w:rPr>
            <w:rFonts w:ascii="Arial" w:cs="Arial" w:eastAsia="Arial" w:hAnsi="Arial"/>
            <w:sz w:val="16"/>
            <w:szCs w:val="16"/>
            <w:u w:val="single" w:color="auto"/>
            <w:color w:val="0000EE"/>
          </w:rPr>
          <w:t>(Commission file No.: 0-22684) and the same is incorporated herein by reference</w:t>
        </w:r>
        <w:r>
          <w:rPr>
            <w:rFonts w:ascii="Arial" w:cs="Arial" w:eastAsia="Arial" w:hAnsi="Arial"/>
            <w:sz w:val="16"/>
            <w:szCs w:val="16"/>
            <w:color w:val="000000"/>
          </w:rPr>
          <w:t>.</w:t>
        </w:r>
      </w:hyperlink>
    </w:p>
    <w:p>
      <w:pPr>
        <w:spacing w:after="0" w:line="122" w:lineRule="exact"/>
        <w:rPr>
          <w:rFonts w:ascii="Arial" w:cs="Arial" w:eastAsia="Arial" w:hAnsi="Arial"/>
          <w:sz w:val="16"/>
          <w:szCs w:val="16"/>
          <w:color w:val="auto"/>
        </w:rPr>
      </w:pPr>
    </w:p>
    <w:p>
      <w:pPr>
        <w:ind w:left="1480" w:right="120" w:hanging="552"/>
        <w:spacing w:after="0" w:line="235"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of Indemnity Agreement entered into between the Registrant and each of its directors was filed as Exhibit 10(b) to a Registration Statement on Form S-1 (No. 33-69474) and the same is incorporated herein by reference.</w:t>
      </w:r>
    </w:p>
    <w:p>
      <w:pPr>
        <w:spacing w:after="0" w:line="131"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ind w:left="920"/>
              <w:spacing w:after="0"/>
              <w:rPr>
                <w:sz w:val="20"/>
                <w:szCs w:val="20"/>
                <w:color w:val="auto"/>
              </w:rPr>
            </w:pPr>
            <w:r>
              <w:rPr>
                <w:rFonts w:ascii="Arial" w:cs="Arial" w:eastAsia="Arial" w:hAnsi="Arial"/>
                <w:sz w:val="18"/>
                <w:szCs w:val="18"/>
                <w:color w:val="auto"/>
              </w:rPr>
              <w:t>*(f)</w:t>
            </w:r>
          </w:p>
        </w:tc>
        <w:tc>
          <w:tcPr>
            <w:tcW w:w="7580" w:type="dxa"/>
            <w:vAlign w:val="bottom"/>
            <w:gridSpan w:val="17"/>
          </w:tcPr>
          <w:p>
            <w:pPr>
              <w:spacing w:after="0"/>
              <w:rPr>
                <w:rFonts w:ascii="Arial" w:cs="Arial" w:eastAsia="Arial" w:hAnsi="Arial"/>
                <w:sz w:val="18"/>
                <w:szCs w:val="18"/>
                <w:color w:val="0000EE"/>
                <w:w w:val="93"/>
              </w:rPr>
            </w:pPr>
            <w:hyperlink r:id="rId29">
              <w:r>
                <w:rPr>
                  <w:rFonts w:ascii="Arial" w:cs="Arial" w:eastAsia="Arial" w:hAnsi="Arial"/>
                  <w:sz w:val="18"/>
                  <w:szCs w:val="18"/>
                  <w:color w:val="0000EE"/>
                  <w:w w:val="93"/>
                </w:rPr>
                <w:t>Performance Bonus Plan Summary Plan Description was filed as Exhibit 10(f) to a Form 10-K, Annual</w:t>
              </w:r>
            </w:hyperlink>
          </w:p>
        </w:tc>
      </w:tr>
      <w:tr>
        <w:trPr>
          <w:trHeight w:val="169"/>
        </w:trPr>
        <w:tc>
          <w:tcPr>
            <w:tcW w:w="1480" w:type="dxa"/>
            <w:vAlign w:val="bottom"/>
          </w:tcPr>
          <w:p>
            <w:pPr>
              <w:spacing w:after="0"/>
              <w:rPr>
                <w:sz w:val="14"/>
                <w:szCs w:val="14"/>
                <w:color w:val="auto"/>
              </w:rPr>
            </w:pPr>
          </w:p>
        </w:tc>
        <w:tc>
          <w:tcPr>
            <w:tcW w:w="7460" w:type="dxa"/>
            <w:vAlign w:val="bottom"/>
            <w:tcBorders>
              <w:top w:val="single" w:sz="8" w:color="0000EE"/>
            </w:tcBorders>
            <w:gridSpan w:val="16"/>
          </w:tcPr>
          <w:p>
            <w:pPr>
              <w:spacing w:after="0" w:line="170" w:lineRule="exact"/>
              <w:rPr>
                <w:rFonts w:ascii="Arial" w:cs="Arial" w:eastAsia="Arial" w:hAnsi="Arial"/>
                <w:sz w:val="18"/>
                <w:szCs w:val="18"/>
                <w:color w:val="0000EE"/>
                <w:w w:val="98"/>
              </w:rPr>
            </w:pPr>
            <w:hyperlink r:id="rId29">
              <w:r>
                <w:rPr>
                  <w:rFonts w:ascii="Arial" w:cs="Arial" w:eastAsia="Arial" w:hAnsi="Arial"/>
                  <w:sz w:val="18"/>
                  <w:szCs w:val="18"/>
                  <w:color w:val="0000EE"/>
                  <w:w w:val="98"/>
                </w:rPr>
                <w:t>Report for the year ended December 25, 2010 (Commission file No.: 0-22684) and the same is</w:t>
              </w:r>
            </w:hyperlink>
          </w:p>
        </w:tc>
        <w:tc>
          <w:tcPr>
            <w:tcW w:w="120" w:type="dxa"/>
            <w:vAlign w:val="bottom"/>
          </w:tcPr>
          <w:p>
            <w:pPr>
              <w:spacing w:after="0"/>
              <w:rPr>
                <w:sz w:val="14"/>
                <w:szCs w:val="14"/>
                <w:color w:val="auto"/>
              </w:rPr>
            </w:pPr>
          </w:p>
        </w:tc>
      </w:tr>
      <w:tr>
        <w:trPr>
          <w:trHeight w:val="169"/>
        </w:trPr>
        <w:tc>
          <w:tcPr>
            <w:tcW w:w="1480" w:type="dxa"/>
            <w:vAlign w:val="bottom"/>
          </w:tcPr>
          <w:p>
            <w:pPr>
              <w:spacing w:after="0"/>
              <w:rPr>
                <w:sz w:val="14"/>
                <w:szCs w:val="14"/>
                <w:color w:val="auto"/>
              </w:rPr>
            </w:pPr>
          </w:p>
        </w:tc>
        <w:tc>
          <w:tcPr>
            <w:tcW w:w="2400" w:type="dxa"/>
            <w:vAlign w:val="bottom"/>
            <w:tcBorders>
              <w:top w:val="single" w:sz="8" w:color="0000EE"/>
              <w:bottom w:val="single" w:sz="8" w:color="0000EE"/>
            </w:tcBorders>
            <w:gridSpan w:val="3"/>
          </w:tcPr>
          <w:p>
            <w:pPr>
              <w:spacing w:after="0" w:line="170" w:lineRule="exact"/>
              <w:rPr>
                <w:rFonts w:ascii="Arial" w:cs="Arial" w:eastAsia="Arial" w:hAnsi="Arial"/>
                <w:sz w:val="18"/>
                <w:szCs w:val="18"/>
                <w:color w:val="0000EE"/>
                <w:w w:val="89"/>
              </w:rPr>
            </w:pPr>
            <w:hyperlink r:id="rId29">
              <w:r>
                <w:rPr>
                  <w:rFonts w:ascii="Arial" w:cs="Arial" w:eastAsia="Arial" w:hAnsi="Arial"/>
                  <w:sz w:val="18"/>
                  <w:szCs w:val="18"/>
                  <w:color w:val="0000EE"/>
                  <w:w w:val="89"/>
                </w:rPr>
                <w:t>incorporated herein by reference.</w:t>
              </w:r>
            </w:hyperlink>
          </w:p>
        </w:tc>
        <w:tc>
          <w:tcPr>
            <w:tcW w:w="4420" w:type="dxa"/>
            <w:vAlign w:val="bottom"/>
            <w:tcBorders>
              <w:top w:val="single" w:sz="8" w:color="0000EE"/>
            </w:tcBorders>
            <w:gridSpan w:val="4"/>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r>
      <w:tr>
        <w:trPr>
          <w:trHeight w:val="358"/>
        </w:trPr>
        <w:tc>
          <w:tcPr>
            <w:tcW w:w="1480" w:type="dxa"/>
            <w:vAlign w:val="bottom"/>
          </w:tcPr>
          <w:p>
            <w:pPr>
              <w:ind w:left="920"/>
              <w:spacing w:after="0"/>
              <w:rPr>
                <w:sz w:val="20"/>
                <w:szCs w:val="20"/>
                <w:color w:val="auto"/>
              </w:rPr>
            </w:pPr>
            <w:r>
              <w:rPr>
                <w:rFonts w:ascii="Arial" w:cs="Arial" w:eastAsia="Arial" w:hAnsi="Arial"/>
                <w:sz w:val="18"/>
                <w:szCs w:val="18"/>
                <w:color w:val="auto"/>
              </w:rPr>
              <w:t>*(g)</w:t>
            </w:r>
          </w:p>
        </w:tc>
        <w:tc>
          <w:tcPr>
            <w:tcW w:w="7580" w:type="dxa"/>
            <w:vAlign w:val="bottom"/>
            <w:gridSpan w:val="17"/>
          </w:tcPr>
          <w:p>
            <w:pPr>
              <w:spacing w:after="0"/>
              <w:rPr>
                <w:rFonts w:ascii="Arial" w:cs="Arial" w:eastAsia="Arial" w:hAnsi="Arial"/>
                <w:sz w:val="18"/>
                <w:szCs w:val="18"/>
                <w:color w:val="0000EE"/>
                <w:w w:val="91"/>
              </w:rPr>
            </w:pPr>
            <w:hyperlink r:id="rId30">
              <w:r>
                <w:rPr>
                  <w:rFonts w:ascii="Arial" w:cs="Arial" w:eastAsia="Arial" w:hAnsi="Arial"/>
                  <w:sz w:val="18"/>
                  <w:szCs w:val="18"/>
                  <w:color w:val="0000EE"/>
                  <w:w w:val="91"/>
                </w:rPr>
                <w:t>Universal Forest Products, Inc. Deferred Compensation Plan as amended and restated effective June 1,</w:t>
              </w:r>
            </w:hyperlink>
          </w:p>
        </w:tc>
      </w:tr>
      <w:tr>
        <w:trPr>
          <w:trHeight w:val="169"/>
        </w:trPr>
        <w:tc>
          <w:tcPr>
            <w:tcW w:w="1480" w:type="dxa"/>
            <w:vAlign w:val="bottom"/>
          </w:tcPr>
          <w:p>
            <w:pPr>
              <w:spacing w:after="0"/>
              <w:rPr>
                <w:sz w:val="14"/>
                <w:szCs w:val="14"/>
                <w:color w:val="auto"/>
              </w:rPr>
            </w:pPr>
          </w:p>
        </w:tc>
        <w:tc>
          <w:tcPr>
            <w:tcW w:w="7440" w:type="dxa"/>
            <w:vAlign w:val="bottom"/>
            <w:tcBorders>
              <w:top w:val="single" w:sz="8" w:color="0000EE"/>
            </w:tcBorders>
            <w:gridSpan w:val="15"/>
          </w:tcPr>
          <w:p>
            <w:pPr>
              <w:spacing w:after="0" w:line="170"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2011 was filed as Exhibit 10(g) to a Form 10-K, Annual Report for the year ended December 31, 2011</w:t>
              </w:r>
            </w:hyperlink>
          </w:p>
        </w:tc>
        <w:tc>
          <w:tcPr>
            <w:tcW w:w="140" w:type="dxa"/>
            <w:vAlign w:val="bottom"/>
            <w:gridSpan w:val="2"/>
          </w:tcPr>
          <w:p>
            <w:pPr>
              <w:spacing w:after="0"/>
              <w:rPr>
                <w:sz w:val="14"/>
                <w:szCs w:val="14"/>
                <w:color w:val="auto"/>
              </w:rPr>
            </w:pPr>
          </w:p>
        </w:tc>
      </w:tr>
      <w:tr>
        <w:trPr>
          <w:trHeight w:val="169"/>
        </w:trPr>
        <w:tc>
          <w:tcPr>
            <w:tcW w:w="1480" w:type="dxa"/>
            <w:vAlign w:val="bottom"/>
          </w:tcPr>
          <w:p>
            <w:pPr>
              <w:spacing w:after="0"/>
              <w:rPr>
                <w:sz w:val="14"/>
                <w:szCs w:val="14"/>
                <w:color w:val="auto"/>
              </w:rPr>
            </w:pPr>
          </w:p>
        </w:tc>
        <w:tc>
          <w:tcPr>
            <w:tcW w:w="7380" w:type="dxa"/>
            <w:vAlign w:val="bottom"/>
            <w:tcBorders>
              <w:top w:val="single" w:sz="8" w:color="0000EE"/>
            </w:tcBorders>
            <w:gridSpan w:val="12"/>
          </w:tcPr>
          <w:p>
            <w:pPr>
              <w:spacing w:after="0" w:line="170" w:lineRule="exact"/>
              <w:rPr>
                <w:rFonts w:ascii="Arial" w:cs="Arial" w:eastAsia="Arial" w:hAnsi="Arial"/>
                <w:sz w:val="18"/>
                <w:szCs w:val="18"/>
                <w:color w:val="0000EE"/>
              </w:rPr>
            </w:pPr>
            <w:hyperlink r:id="rId30">
              <w:r>
                <w:rPr>
                  <w:rFonts w:ascii="Arial" w:cs="Arial" w:eastAsia="Arial" w:hAnsi="Arial"/>
                  <w:sz w:val="18"/>
                  <w:szCs w:val="18"/>
                  <w:color w:val="0000EE"/>
                </w:rPr>
                <w:t>(Commission file No.: 0-22684) and the same is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20"/>
        </w:trPr>
        <w:tc>
          <w:tcPr>
            <w:tcW w:w="14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58"/>
        </w:trPr>
        <w:tc>
          <w:tcPr>
            <w:tcW w:w="1480" w:type="dxa"/>
            <w:vAlign w:val="bottom"/>
          </w:tcPr>
          <w:p>
            <w:pPr>
              <w:ind w:left="920"/>
              <w:spacing w:after="0"/>
              <w:rPr>
                <w:sz w:val="20"/>
                <w:szCs w:val="20"/>
                <w:color w:val="auto"/>
              </w:rPr>
            </w:pPr>
            <w:r>
              <w:rPr>
                <w:rFonts w:ascii="Arial" w:cs="Arial" w:eastAsia="Arial" w:hAnsi="Arial"/>
                <w:sz w:val="18"/>
                <w:szCs w:val="18"/>
                <w:color w:val="auto"/>
              </w:rPr>
              <w:t>*(h)</w:t>
            </w:r>
          </w:p>
        </w:tc>
        <w:tc>
          <w:tcPr>
            <w:tcW w:w="7580" w:type="dxa"/>
            <w:vAlign w:val="bottom"/>
            <w:gridSpan w:val="17"/>
          </w:tcPr>
          <w:p>
            <w:pPr>
              <w:spacing w:after="0"/>
              <w:rPr>
                <w:rFonts w:ascii="Arial" w:cs="Arial" w:eastAsia="Arial" w:hAnsi="Arial"/>
                <w:sz w:val="18"/>
                <w:szCs w:val="18"/>
                <w:color w:val="0000EE"/>
                <w:w w:val="94"/>
              </w:rPr>
            </w:pPr>
            <w:hyperlink r:id="rId31">
              <w:r>
                <w:rPr>
                  <w:rFonts w:ascii="Arial" w:cs="Arial" w:eastAsia="Arial" w:hAnsi="Arial"/>
                  <w:sz w:val="18"/>
                  <w:szCs w:val="18"/>
                  <w:color w:val="0000EE"/>
                  <w:w w:val="94"/>
                </w:rPr>
                <w:t>Executive Stock Grant Program was filed as Exhibit 10(h) to a Form 10-K, Annual Report for the year</w:t>
              </w:r>
            </w:hyperlink>
          </w:p>
        </w:tc>
      </w:tr>
      <w:tr>
        <w:trPr>
          <w:trHeight w:val="169"/>
        </w:trPr>
        <w:tc>
          <w:tcPr>
            <w:tcW w:w="1480" w:type="dxa"/>
            <w:vAlign w:val="bottom"/>
          </w:tcPr>
          <w:p>
            <w:pPr>
              <w:spacing w:after="0"/>
              <w:rPr>
                <w:sz w:val="14"/>
                <w:szCs w:val="14"/>
                <w:color w:val="auto"/>
              </w:rPr>
            </w:pPr>
          </w:p>
        </w:tc>
        <w:tc>
          <w:tcPr>
            <w:tcW w:w="7400" w:type="dxa"/>
            <w:vAlign w:val="bottom"/>
            <w:tcBorders>
              <w:top w:val="single" w:sz="8" w:color="0000EE"/>
            </w:tcBorders>
            <w:gridSpan w:val="13"/>
          </w:tcPr>
          <w:p>
            <w:pPr>
              <w:spacing w:after="0" w:line="170" w:lineRule="exact"/>
              <w:rPr>
                <w:rFonts w:ascii="Arial" w:cs="Arial" w:eastAsia="Arial" w:hAnsi="Arial"/>
                <w:sz w:val="18"/>
                <w:szCs w:val="18"/>
                <w:color w:val="0000EE"/>
                <w:w w:val="94"/>
              </w:rPr>
            </w:pPr>
            <w:hyperlink r:id="rId31">
              <w:r>
                <w:rPr>
                  <w:rFonts w:ascii="Arial" w:cs="Arial" w:eastAsia="Arial" w:hAnsi="Arial"/>
                  <w:sz w:val="18"/>
                  <w:szCs w:val="18"/>
                  <w:color w:val="0000EE"/>
                  <w:w w:val="94"/>
                </w:rPr>
                <w:t>ended December 31, 2011 (Commission file No.: 0-22684) and the same is incorporated herein by</w:t>
              </w:r>
            </w:hyperlink>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169"/>
        </w:trPr>
        <w:tc>
          <w:tcPr>
            <w:tcW w:w="1480" w:type="dxa"/>
            <w:vAlign w:val="bottom"/>
          </w:tcPr>
          <w:p>
            <w:pPr>
              <w:spacing w:after="0"/>
              <w:rPr>
                <w:sz w:val="14"/>
                <w:szCs w:val="14"/>
                <w:color w:val="auto"/>
              </w:rPr>
            </w:pPr>
          </w:p>
        </w:tc>
        <w:tc>
          <w:tcPr>
            <w:tcW w:w="720" w:type="dxa"/>
            <w:vAlign w:val="bottom"/>
            <w:tcBorders>
              <w:top w:val="single" w:sz="8" w:color="0000EE"/>
              <w:bottom w:val="single" w:sz="8" w:color="0000EE"/>
            </w:tcBorders>
          </w:tcPr>
          <w:p>
            <w:pPr>
              <w:spacing w:after="0" w:line="170" w:lineRule="exact"/>
              <w:rPr>
                <w:rFonts w:ascii="Arial" w:cs="Arial" w:eastAsia="Arial" w:hAnsi="Arial"/>
                <w:sz w:val="18"/>
                <w:szCs w:val="18"/>
                <w:color w:val="0000EE"/>
                <w:w w:val="86"/>
              </w:rPr>
            </w:pPr>
            <w:hyperlink r:id="rId31">
              <w:r>
                <w:rPr>
                  <w:rFonts w:ascii="Arial" w:cs="Arial" w:eastAsia="Arial" w:hAnsi="Arial"/>
                  <w:sz w:val="18"/>
                  <w:szCs w:val="18"/>
                  <w:color w:val="0000EE"/>
                  <w:w w:val="86"/>
                </w:rPr>
                <w:t>reference.</w:t>
              </w:r>
            </w:hyperlink>
          </w:p>
        </w:tc>
        <w:tc>
          <w:tcPr>
            <w:tcW w:w="6360" w:type="dxa"/>
            <w:vAlign w:val="bottom"/>
            <w:tcBorders>
              <w:top w:val="single" w:sz="8" w:color="0000EE"/>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358"/>
        </w:trPr>
        <w:tc>
          <w:tcPr>
            <w:tcW w:w="1480" w:type="dxa"/>
            <w:vAlign w:val="bottom"/>
          </w:tcPr>
          <w:p>
            <w:pPr>
              <w:ind w:left="920"/>
              <w:spacing w:after="0"/>
              <w:rPr>
                <w:sz w:val="20"/>
                <w:szCs w:val="20"/>
                <w:color w:val="auto"/>
              </w:rPr>
            </w:pPr>
            <w:r>
              <w:rPr>
                <w:rFonts w:ascii="Arial" w:cs="Arial" w:eastAsia="Arial" w:hAnsi="Arial"/>
                <w:sz w:val="18"/>
                <w:szCs w:val="18"/>
                <w:color w:val="auto"/>
              </w:rPr>
              <w:t>(i)(2)</w:t>
            </w:r>
          </w:p>
        </w:tc>
        <w:tc>
          <w:tcPr>
            <w:tcW w:w="7580" w:type="dxa"/>
            <w:vAlign w:val="bottom"/>
            <w:gridSpan w:val="17"/>
          </w:tcPr>
          <w:p>
            <w:pPr>
              <w:spacing w:after="0"/>
              <w:rPr>
                <w:rFonts w:ascii="Arial" w:cs="Arial" w:eastAsia="Arial" w:hAnsi="Arial"/>
                <w:sz w:val="18"/>
                <w:szCs w:val="18"/>
                <w:color w:val="0000EE"/>
                <w:w w:val="93"/>
              </w:rPr>
            </w:pPr>
            <w:hyperlink r:id="rId32">
              <w:r>
                <w:rPr>
                  <w:rFonts w:ascii="Arial" w:cs="Arial" w:eastAsia="Arial" w:hAnsi="Arial"/>
                  <w:sz w:val="18"/>
                  <w:szCs w:val="18"/>
                  <w:color w:val="0000EE"/>
                  <w:w w:val="93"/>
                </w:rPr>
                <w:t>Credit Agreement dated November 1, 2018 was filed as Exhibit 10(i)(2) to a Form 8-K Current Report</w:t>
              </w:r>
            </w:hyperlink>
          </w:p>
        </w:tc>
      </w:tr>
      <w:tr>
        <w:trPr>
          <w:trHeight w:val="169"/>
        </w:trPr>
        <w:tc>
          <w:tcPr>
            <w:tcW w:w="1480" w:type="dxa"/>
            <w:vAlign w:val="bottom"/>
          </w:tcPr>
          <w:p>
            <w:pPr>
              <w:spacing w:after="0"/>
              <w:rPr>
                <w:sz w:val="14"/>
                <w:szCs w:val="14"/>
                <w:color w:val="auto"/>
              </w:rPr>
            </w:pPr>
          </w:p>
        </w:tc>
        <w:tc>
          <w:tcPr>
            <w:tcW w:w="7420" w:type="dxa"/>
            <w:vAlign w:val="bottom"/>
            <w:tcBorders>
              <w:top w:val="single" w:sz="8" w:color="0000EE"/>
            </w:tcBorders>
            <w:gridSpan w:val="14"/>
          </w:tcPr>
          <w:p>
            <w:pPr>
              <w:spacing w:after="0" w:line="170" w:lineRule="exact"/>
              <w:rPr>
                <w:rFonts w:ascii="Arial" w:cs="Arial" w:eastAsia="Arial" w:hAnsi="Arial"/>
                <w:sz w:val="18"/>
                <w:szCs w:val="18"/>
                <w:color w:val="0000EE"/>
              </w:rPr>
            </w:pPr>
            <w:hyperlink r:id="rId32">
              <w:r>
                <w:rPr>
                  <w:rFonts w:ascii="Arial" w:cs="Arial" w:eastAsia="Arial" w:hAnsi="Arial"/>
                  <w:sz w:val="18"/>
                  <w:szCs w:val="18"/>
                  <w:color w:val="0000EE"/>
                </w:rPr>
                <w:t>dated November 2, 2018 and the same is incorporated herein by reference.</w:t>
              </w:r>
            </w:hyperlink>
          </w:p>
        </w:tc>
        <w:tc>
          <w:tcPr>
            <w:tcW w:w="160" w:type="dxa"/>
            <w:vAlign w:val="bottom"/>
            <w:gridSpan w:val="3"/>
          </w:tcPr>
          <w:p>
            <w:pPr>
              <w:spacing w:after="0"/>
              <w:rPr>
                <w:sz w:val="14"/>
                <w:szCs w:val="14"/>
                <w:color w:val="auto"/>
              </w:rPr>
            </w:pPr>
          </w:p>
        </w:tc>
      </w:tr>
      <w:tr>
        <w:trPr>
          <w:trHeight w:val="20"/>
        </w:trPr>
        <w:tc>
          <w:tcPr>
            <w:tcW w:w="14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358"/>
        </w:trPr>
        <w:tc>
          <w:tcPr>
            <w:tcW w:w="1480" w:type="dxa"/>
            <w:vAlign w:val="bottom"/>
          </w:tcPr>
          <w:p>
            <w:pPr>
              <w:ind w:left="920"/>
              <w:spacing w:after="0"/>
              <w:rPr>
                <w:sz w:val="20"/>
                <w:szCs w:val="20"/>
                <w:color w:val="auto"/>
              </w:rPr>
            </w:pPr>
            <w:r>
              <w:rPr>
                <w:rFonts w:ascii="Arial" w:cs="Arial" w:eastAsia="Arial" w:hAnsi="Arial"/>
                <w:sz w:val="18"/>
                <w:szCs w:val="18"/>
                <w:color w:val="auto"/>
              </w:rPr>
              <w:t>(k)(1)</w:t>
            </w:r>
          </w:p>
        </w:tc>
        <w:tc>
          <w:tcPr>
            <w:tcW w:w="7580" w:type="dxa"/>
            <w:vAlign w:val="bottom"/>
            <w:gridSpan w:val="17"/>
          </w:tcPr>
          <w:p>
            <w:pPr>
              <w:spacing w:after="0"/>
              <w:rPr>
                <w:rFonts w:ascii="Arial" w:cs="Arial" w:eastAsia="Arial" w:hAnsi="Arial"/>
                <w:sz w:val="18"/>
                <w:szCs w:val="18"/>
                <w:color w:val="0000EE"/>
                <w:w w:val="93"/>
              </w:rPr>
            </w:pPr>
            <w:hyperlink r:id="rId33">
              <w:r>
                <w:rPr>
                  <w:rFonts w:ascii="Arial" w:cs="Arial" w:eastAsia="Arial" w:hAnsi="Arial"/>
                  <w:sz w:val="18"/>
                  <w:szCs w:val="18"/>
                  <w:color w:val="0000EE"/>
                  <w:w w:val="93"/>
                </w:rPr>
                <w:t>Note Purchase Agreement dated December 17, 2012 was filed as Exhibit 10(k) to a Form 8-K Current</w:t>
              </w:r>
            </w:hyperlink>
          </w:p>
        </w:tc>
      </w:tr>
      <w:tr>
        <w:trPr>
          <w:trHeight w:val="169"/>
        </w:trPr>
        <w:tc>
          <w:tcPr>
            <w:tcW w:w="1480" w:type="dxa"/>
            <w:vAlign w:val="bottom"/>
          </w:tcPr>
          <w:p>
            <w:pPr>
              <w:spacing w:after="0"/>
              <w:rPr>
                <w:sz w:val="14"/>
                <w:szCs w:val="14"/>
                <w:color w:val="auto"/>
              </w:rPr>
            </w:pPr>
          </w:p>
        </w:tc>
        <w:tc>
          <w:tcPr>
            <w:tcW w:w="7360" w:type="dxa"/>
            <w:vAlign w:val="bottom"/>
            <w:tcBorders>
              <w:top w:val="single" w:sz="8" w:color="0000EE"/>
            </w:tcBorders>
            <w:gridSpan w:val="11"/>
          </w:tcPr>
          <w:p>
            <w:pPr>
              <w:spacing w:after="0" w:line="170" w:lineRule="exact"/>
              <w:rPr>
                <w:rFonts w:ascii="Arial" w:cs="Arial" w:eastAsia="Arial" w:hAnsi="Arial"/>
                <w:sz w:val="18"/>
                <w:szCs w:val="18"/>
                <w:color w:val="0000EE"/>
                <w:w w:val="90"/>
              </w:rPr>
            </w:pPr>
            <w:hyperlink r:id="rId33">
              <w:r>
                <w:rPr>
                  <w:rFonts w:ascii="Arial" w:cs="Arial" w:eastAsia="Arial" w:hAnsi="Arial"/>
                  <w:sz w:val="18"/>
                  <w:szCs w:val="18"/>
                  <w:color w:val="0000EE"/>
                  <w:w w:val="90"/>
                </w:rPr>
                <w:t>Report dated December 17, 2012 (Commission file No.: 0-22684) and the same is incorporated herein</w:t>
              </w:r>
            </w:hyperlink>
          </w:p>
        </w:tc>
        <w:tc>
          <w:tcPr>
            <w:tcW w:w="220" w:type="dxa"/>
            <w:vAlign w:val="bottom"/>
            <w:gridSpan w:val="6"/>
          </w:tcPr>
          <w:p>
            <w:pPr>
              <w:spacing w:after="0"/>
              <w:rPr>
                <w:sz w:val="14"/>
                <w:szCs w:val="14"/>
                <w:color w:val="auto"/>
              </w:rPr>
            </w:pPr>
          </w:p>
        </w:tc>
      </w:tr>
      <w:tr>
        <w:trPr>
          <w:trHeight w:val="169"/>
        </w:trPr>
        <w:tc>
          <w:tcPr>
            <w:tcW w:w="1480" w:type="dxa"/>
            <w:vAlign w:val="bottom"/>
          </w:tcPr>
          <w:p>
            <w:pPr>
              <w:spacing w:after="0"/>
              <w:rPr>
                <w:sz w:val="14"/>
                <w:szCs w:val="14"/>
                <w:color w:val="auto"/>
              </w:rPr>
            </w:pPr>
          </w:p>
        </w:tc>
        <w:tc>
          <w:tcPr>
            <w:tcW w:w="7340" w:type="dxa"/>
            <w:vAlign w:val="bottom"/>
            <w:tcBorders>
              <w:top w:val="single" w:sz="8" w:color="0000EE"/>
            </w:tcBorders>
            <w:gridSpan w:val="10"/>
          </w:tcPr>
          <w:p>
            <w:pPr>
              <w:spacing w:after="0" w:line="170" w:lineRule="exact"/>
              <w:rPr>
                <w:rFonts w:ascii="Arial" w:cs="Arial" w:eastAsia="Arial" w:hAnsi="Arial"/>
                <w:sz w:val="18"/>
                <w:szCs w:val="18"/>
                <w:color w:val="0000EE"/>
              </w:rPr>
            </w:pPr>
            <w:hyperlink r:id="rId33">
              <w:r>
                <w:rPr>
                  <w:rFonts w:ascii="Arial" w:cs="Arial" w:eastAsia="Arial" w:hAnsi="Arial"/>
                  <w:sz w:val="18"/>
                  <w:szCs w:val="18"/>
                  <w:color w:val="0000EE"/>
                </w:rPr>
                <w:t>by reference.</w:t>
              </w:r>
            </w:hyperlink>
          </w:p>
        </w:tc>
        <w:tc>
          <w:tcPr>
            <w:tcW w:w="240" w:type="dxa"/>
            <w:vAlign w:val="bottom"/>
            <w:gridSpan w:val="7"/>
          </w:tcPr>
          <w:p>
            <w:pPr>
              <w:spacing w:after="0"/>
              <w:rPr>
                <w:sz w:val="14"/>
                <w:szCs w:val="14"/>
                <w:color w:val="auto"/>
              </w:rPr>
            </w:pPr>
          </w:p>
        </w:tc>
      </w:tr>
      <w:tr>
        <w:trPr>
          <w:trHeight w:val="20"/>
        </w:trPr>
        <w:tc>
          <w:tcPr>
            <w:tcW w:w="14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r>
      <w:tr>
        <w:trPr>
          <w:trHeight w:val="358"/>
        </w:trPr>
        <w:tc>
          <w:tcPr>
            <w:tcW w:w="1480" w:type="dxa"/>
            <w:vAlign w:val="bottom"/>
          </w:tcPr>
          <w:p>
            <w:pPr>
              <w:ind w:left="920"/>
              <w:spacing w:after="0"/>
              <w:rPr>
                <w:sz w:val="20"/>
                <w:szCs w:val="20"/>
                <w:color w:val="auto"/>
              </w:rPr>
            </w:pPr>
            <w:r>
              <w:rPr>
                <w:rFonts w:ascii="Arial" w:cs="Arial" w:eastAsia="Arial" w:hAnsi="Arial"/>
                <w:sz w:val="18"/>
                <w:szCs w:val="18"/>
                <w:color w:val="auto"/>
              </w:rPr>
              <w:t>(k)(2)</w:t>
            </w:r>
          </w:p>
        </w:tc>
        <w:tc>
          <w:tcPr>
            <w:tcW w:w="7580" w:type="dxa"/>
            <w:vAlign w:val="bottom"/>
            <w:gridSpan w:val="17"/>
          </w:tcPr>
          <w:p>
            <w:pPr>
              <w:spacing w:after="0"/>
              <w:rPr>
                <w:rFonts w:ascii="Arial" w:cs="Arial" w:eastAsia="Arial" w:hAnsi="Arial"/>
                <w:sz w:val="18"/>
                <w:szCs w:val="18"/>
                <w:color w:val="0000EE"/>
                <w:w w:val="99"/>
              </w:rPr>
            </w:pPr>
            <w:hyperlink r:id="rId34">
              <w:r>
                <w:rPr>
                  <w:rFonts w:ascii="Arial" w:cs="Arial" w:eastAsia="Arial" w:hAnsi="Arial"/>
                  <w:sz w:val="18"/>
                  <w:szCs w:val="18"/>
                  <w:color w:val="0000EE"/>
                  <w:w w:val="99"/>
                </w:rPr>
                <w:t>Note Purchase Agreements for Series C and D Senior Notes dated June 14, 2018, was filed as</w:t>
              </w:r>
            </w:hyperlink>
          </w:p>
        </w:tc>
      </w:tr>
      <w:tr>
        <w:trPr>
          <w:trHeight w:val="169"/>
        </w:trPr>
        <w:tc>
          <w:tcPr>
            <w:tcW w:w="1480" w:type="dxa"/>
            <w:vAlign w:val="bottom"/>
          </w:tcPr>
          <w:p>
            <w:pPr>
              <w:spacing w:after="0"/>
              <w:rPr>
                <w:sz w:val="14"/>
                <w:szCs w:val="14"/>
                <w:color w:val="auto"/>
              </w:rPr>
            </w:pPr>
          </w:p>
        </w:tc>
        <w:tc>
          <w:tcPr>
            <w:tcW w:w="676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Exhibit 10(k)(2) to Registrant’s Form 10-K, Annual Report for the year ended December 29,</w:t>
              </w:r>
            </w:hyperlink>
          </w:p>
        </w:tc>
        <w:tc>
          <w:tcPr>
            <w:tcW w:w="340" w:type="dxa"/>
            <w:vAlign w:val="bottom"/>
            <w:tcBorders>
              <w:bottom w:val="single" w:sz="8" w:color="0000EE"/>
            </w:tcBorders>
            <w:gridSpan w:val="3"/>
          </w:tcPr>
          <w:p>
            <w:pPr>
              <w:jc w:val="right"/>
              <w:ind w:right="20"/>
              <w:spacing w:after="0" w:line="170" w:lineRule="exact"/>
              <w:rPr>
                <w:rFonts w:ascii="Arial" w:cs="Arial" w:eastAsia="Arial" w:hAnsi="Arial"/>
                <w:sz w:val="18"/>
                <w:szCs w:val="18"/>
                <w:color w:val="0000EE"/>
                <w:w w:val="74"/>
              </w:rPr>
            </w:pPr>
            <w:hyperlink r:id="rId34">
              <w:r>
                <w:rPr>
                  <w:rFonts w:ascii="Arial" w:cs="Arial" w:eastAsia="Arial" w:hAnsi="Arial"/>
                  <w:sz w:val="18"/>
                  <w:szCs w:val="18"/>
                  <w:color w:val="0000EE"/>
                  <w:w w:val="74"/>
                </w:rPr>
                <w:t>2018</w:t>
              </w:r>
            </w:hyperlink>
          </w:p>
        </w:tc>
        <w:tc>
          <w:tcPr>
            <w:tcW w:w="480" w:type="dxa"/>
            <w:vAlign w:val="bottom"/>
            <w:gridSpan w:val="8"/>
          </w:tcPr>
          <w:p>
            <w:pPr>
              <w:spacing w:after="0"/>
              <w:rPr>
                <w:sz w:val="14"/>
                <w:szCs w:val="14"/>
                <w:color w:val="auto"/>
              </w:rPr>
            </w:pPr>
          </w:p>
        </w:tc>
      </w:tr>
      <w:tr>
        <w:trPr>
          <w:trHeight w:val="169"/>
        </w:trPr>
        <w:tc>
          <w:tcPr>
            <w:tcW w:w="1480" w:type="dxa"/>
            <w:vAlign w:val="bottom"/>
          </w:tcPr>
          <w:p>
            <w:pPr>
              <w:spacing w:after="0"/>
              <w:rPr>
                <w:sz w:val="14"/>
                <w:szCs w:val="14"/>
                <w:color w:val="auto"/>
              </w:rPr>
            </w:pPr>
          </w:p>
        </w:tc>
        <w:tc>
          <w:tcPr>
            <w:tcW w:w="7100" w:type="dxa"/>
            <w:vAlign w:val="bottom"/>
            <w:gridSpan w:val="9"/>
          </w:tcPr>
          <w:p>
            <w:pPr>
              <w:spacing w:after="0" w:line="170" w:lineRule="exact"/>
              <w:rPr>
                <w:rFonts w:ascii="Arial" w:cs="Arial" w:eastAsia="Arial" w:hAnsi="Arial"/>
                <w:sz w:val="18"/>
                <w:szCs w:val="18"/>
                <w:color w:val="0000EE"/>
              </w:rPr>
            </w:pPr>
            <w:hyperlink r:id="rId34">
              <w:r>
                <w:rPr>
                  <w:rFonts w:ascii="Arial" w:cs="Arial" w:eastAsia="Arial" w:hAnsi="Arial"/>
                  <w:sz w:val="18"/>
                  <w:szCs w:val="18"/>
                  <w:color w:val="0000EE"/>
                </w:rPr>
                <w:t>(Commission file No.: 0-22684) and the same is incorporated herein by reference.</w:t>
              </w:r>
            </w:hyperlink>
          </w:p>
        </w:tc>
        <w:tc>
          <w:tcPr>
            <w:tcW w:w="480" w:type="dxa"/>
            <w:vAlign w:val="bottom"/>
            <w:gridSpan w:val="8"/>
          </w:tcPr>
          <w:p>
            <w:pPr>
              <w:spacing w:after="0"/>
              <w:rPr>
                <w:sz w:val="14"/>
                <w:szCs w:val="14"/>
                <w:color w:val="auto"/>
              </w:rPr>
            </w:pPr>
          </w:p>
        </w:tc>
      </w:tr>
      <w:tr>
        <w:trPr>
          <w:trHeight w:val="844"/>
        </w:trPr>
        <w:tc>
          <w:tcPr>
            <w:tcW w:w="1480" w:type="dxa"/>
            <w:vAlign w:val="bottom"/>
          </w:tcPr>
          <w:p>
            <w:pPr>
              <w:spacing w:after="0"/>
              <w:rPr>
                <w:sz w:val="24"/>
                <w:szCs w:val="24"/>
                <w:color w:val="auto"/>
              </w:rPr>
            </w:pPr>
          </w:p>
        </w:tc>
        <w:tc>
          <w:tcPr>
            <w:tcW w:w="5360" w:type="dxa"/>
            <w:vAlign w:val="bottom"/>
            <w:tcBorders>
              <w:top w:val="single" w:sz="8" w:color="0000EE"/>
            </w:tcBorders>
            <w:gridSpan w:val="4"/>
          </w:tcPr>
          <w:p>
            <w:pPr>
              <w:ind w:left="3000"/>
              <w:spacing w:after="0"/>
              <w:rPr>
                <w:sz w:val="20"/>
                <w:szCs w:val="20"/>
                <w:color w:val="auto"/>
              </w:rPr>
            </w:pPr>
            <w:r>
              <w:rPr>
                <w:rFonts w:ascii="Arial" w:cs="Arial" w:eastAsia="Arial" w:hAnsi="Arial"/>
                <w:sz w:val="18"/>
                <w:szCs w:val="18"/>
                <w:color w:val="auto"/>
              </w:rPr>
              <w:t>1</w:t>
            </w:r>
          </w:p>
        </w:tc>
        <w:tc>
          <w:tcPr>
            <w:tcW w:w="5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1"/>
        </w:trPr>
        <w:tc>
          <w:tcPr>
            <w:tcW w:w="1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337" w:right="1419" w:bottom="1440" w:gutter="0" w:footer="0" w:header="0"/>
        </w:sectPr>
      </w:pPr>
    </w:p>
    <w:bookmarkStart w:id="14" w:name="page15"/>
    <w:bookmarkEnd w:id="14"/>
    <w:p>
      <w:pPr>
        <w:spacing w:after="0" w:line="1" w:lineRule="exact"/>
        <w:rPr>
          <w:sz w:val="20"/>
          <w:szCs w:val="20"/>
          <w:color w:val="auto"/>
        </w:rPr>
      </w:pPr>
    </w:p>
    <w:tbl>
      <w:tblPr>
        <w:tblLayout w:type="fixed"/>
        <w:tblInd w:w="91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*(l)</w:t>
            </w:r>
          </w:p>
        </w:tc>
        <w:tc>
          <w:tcPr>
            <w:tcW w:w="7540" w:type="dxa"/>
            <w:vAlign w:val="bottom"/>
            <w:gridSpan w:val="9"/>
          </w:tcPr>
          <w:p>
            <w:pPr>
              <w:spacing w:after="0"/>
              <w:rPr>
                <w:rFonts w:ascii="Arial" w:cs="Arial" w:eastAsia="Arial" w:hAnsi="Arial"/>
                <w:sz w:val="18"/>
                <w:szCs w:val="18"/>
                <w:color w:val="0000EE"/>
                <w:w w:val="97"/>
              </w:rPr>
            </w:pPr>
            <w:hyperlink r:id="rId35">
              <w:r>
                <w:rPr>
                  <w:rFonts w:ascii="Arial" w:cs="Arial" w:eastAsia="Arial" w:hAnsi="Arial"/>
                  <w:sz w:val="18"/>
                  <w:szCs w:val="18"/>
                  <w:color w:val="0000EE"/>
                  <w:w w:val="97"/>
                </w:rPr>
                <w:t>Universal Forest Products, Inc. Employee Stock Purchase Plan is incorporated by reference from</w:t>
              </w:r>
            </w:hyperlink>
          </w:p>
        </w:tc>
      </w:tr>
      <w:tr>
        <w:trPr>
          <w:trHeight w:val="20"/>
        </w:trPr>
        <w:tc>
          <w:tcPr>
            <w:tcW w:w="5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7480" w:type="dxa"/>
            <w:vAlign w:val="bottom"/>
            <w:tcBorders>
              <w:bottom w:val="single" w:sz="8" w:color="0000EE"/>
            </w:tcBorders>
            <w:gridSpan w:val="7"/>
          </w:tcPr>
          <w:p>
            <w:pPr>
              <w:spacing w:after="0" w:line="170"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Appendix A to the Company’s proxy statement dated and filed with the Commission on March 9, 2018.</w:t>
              </w:r>
            </w:hyperlink>
          </w:p>
        </w:tc>
        <w:tc>
          <w:tcPr>
            <w:tcW w:w="60" w:type="dxa"/>
            <w:vAlign w:val="bottom"/>
            <w:gridSpan w:val="2"/>
          </w:tcPr>
          <w:p>
            <w:pPr>
              <w:spacing w:after="0"/>
              <w:rPr>
                <w:sz w:val="14"/>
                <w:szCs w:val="14"/>
                <w:color w:val="auto"/>
              </w:rPr>
            </w:pPr>
          </w:p>
        </w:tc>
      </w:tr>
      <w:tr>
        <w:trPr>
          <w:trHeight w:val="358"/>
        </w:trPr>
        <w:tc>
          <w:tcPr>
            <w:tcW w:w="540" w:type="dxa"/>
            <w:vAlign w:val="bottom"/>
          </w:tcPr>
          <w:p>
            <w:pPr>
              <w:spacing w:after="0"/>
              <w:rPr>
                <w:sz w:val="20"/>
                <w:szCs w:val="20"/>
                <w:color w:val="auto"/>
              </w:rPr>
            </w:pPr>
            <w:r>
              <w:rPr>
                <w:rFonts w:ascii="Arial" w:cs="Arial" w:eastAsia="Arial" w:hAnsi="Arial"/>
                <w:sz w:val="18"/>
                <w:szCs w:val="18"/>
                <w:color w:val="auto"/>
              </w:rPr>
              <w:t>*(m)</w:t>
            </w:r>
          </w:p>
        </w:tc>
        <w:tc>
          <w:tcPr>
            <w:tcW w:w="7540" w:type="dxa"/>
            <w:vAlign w:val="bottom"/>
            <w:gridSpan w:val="9"/>
          </w:tcPr>
          <w:p>
            <w:pPr>
              <w:spacing w:after="0"/>
              <w:rPr>
                <w:rFonts w:ascii="Arial" w:cs="Arial" w:eastAsia="Arial" w:hAnsi="Arial"/>
                <w:sz w:val="18"/>
                <w:szCs w:val="18"/>
                <w:color w:val="0000EE"/>
                <w:w w:val="91"/>
              </w:rPr>
            </w:pPr>
            <w:hyperlink r:id="rId36">
              <w:r>
                <w:rPr>
                  <w:rFonts w:ascii="Arial" w:cs="Arial" w:eastAsia="Arial" w:hAnsi="Arial"/>
                  <w:sz w:val="18"/>
                  <w:szCs w:val="18"/>
                  <w:color w:val="0000EE"/>
                  <w:w w:val="91"/>
                </w:rPr>
                <w:t>Universal Forest Products, Inc. Director Retainer Stock Plan was filed as Exhibit 10(m) to a Form 10-K,</w:t>
              </w:r>
            </w:hyperlink>
          </w:p>
        </w:tc>
      </w:tr>
      <w:tr>
        <w:trPr>
          <w:trHeight w:val="169"/>
        </w:trPr>
        <w:tc>
          <w:tcPr>
            <w:tcW w:w="540" w:type="dxa"/>
            <w:vAlign w:val="bottom"/>
          </w:tcPr>
          <w:p>
            <w:pPr>
              <w:spacing w:after="0"/>
              <w:rPr>
                <w:sz w:val="14"/>
                <w:szCs w:val="14"/>
                <w:color w:val="auto"/>
              </w:rPr>
            </w:pPr>
          </w:p>
        </w:tc>
        <w:tc>
          <w:tcPr>
            <w:tcW w:w="7520" w:type="dxa"/>
            <w:vAlign w:val="bottom"/>
            <w:tcBorders>
              <w:top w:val="single" w:sz="8" w:color="0000EE"/>
            </w:tcBorders>
            <w:gridSpan w:val="8"/>
          </w:tcPr>
          <w:p>
            <w:pPr>
              <w:spacing w:after="0" w:line="170"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Annual Report for the year ended December 31, 2016 (Commission file No.: 0-22684) and the same is</w:t>
              </w:r>
            </w:hyperlink>
          </w:p>
        </w:tc>
        <w:tc>
          <w:tcPr>
            <w:tcW w:w="20" w:type="dxa"/>
            <w:vAlign w:val="bottom"/>
          </w:tcPr>
          <w:p>
            <w:pPr>
              <w:spacing w:after="0"/>
              <w:rPr>
                <w:sz w:val="14"/>
                <w:szCs w:val="14"/>
                <w:color w:val="auto"/>
              </w:rPr>
            </w:pPr>
          </w:p>
        </w:tc>
      </w:tr>
      <w:tr>
        <w:trPr>
          <w:trHeight w:val="169"/>
        </w:trPr>
        <w:tc>
          <w:tcPr>
            <w:tcW w:w="540" w:type="dxa"/>
            <w:vAlign w:val="bottom"/>
          </w:tcPr>
          <w:p>
            <w:pPr>
              <w:spacing w:after="0"/>
              <w:rPr>
                <w:sz w:val="14"/>
                <w:szCs w:val="14"/>
                <w:color w:val="auto"/>
              </w:rPr>
            </w:pPr>
          </w:p>
        </w:tc>
        <w:tc>
          <w:tcPr>
            <w:tcW w:w="2400" w:type="dxa"/>
            <w:vAlign w:val="bottom"/>
            <w:tcBorders>
              <w:top w:val="single" w:sz="8" w:color="0000EE"/>
              <w:bottom w:val="single" w:sz="8" w:color="0000EE"/>
            </w:tcBorders>
            <w:gridSpan w:val="2"/>
          </w:tcPr>
          <w:p>
            <w:pPr>
              <w:spacing w:after="0" w:line="170" w:lineRule="exact"/>
              <w:rPr>
                <w:rFonts w:ascii="Arial" w:cs="Arial" w:eastAsia="Arial" w:hAnsi="Arial"/>
                <w:sz w:val="18"/>
                <w:szCs w:val="18"/>
                <w:color w:val="0000EE"/>
                <w:w w:val="89"/>
              </w:rPr>
            </w:pPr>
            <w:hyperlink r:id="rId36">
              <w:r>
                <w:rPr>
                  <w:rFonts w:ascii="Arial" w:cs="Arial" w:eastAsia="Arial" w:hAnsi="Arial"/>
                  <w:sz w:val="18"/>
                  <w:szCs w:val="18"/>
                  <w:color w:val="0000EE"/>
                  <w:w w:val="89"/>
                </w:rPr>
                <w:t>incorporated herein by reference.</w:t>
              </w:r>
            </w:hyperlink>
          </w:p>
        </w:tc>
        <w:tc>
          <w:tcPr>
            <w:tcW w:w="5000" w:type="dxa"/>
            <w:vAlign w:val="bottom"/>
            <w:tcBorders>
              <w:top w:val="single" w:sz="8" w:color="0000EE"/>
            </w:tcBorders>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358"/>
        </w:trPr>
        <w:tc>
          <w:tcPr>
            <w:tcW w:w="540" w:type="dxa"/>
            <w:vAlign w:val="bottom"/>
          </w:tcPr>
          <w:p>
            <w:pPr>
              <w:spacing w:after="0"/>
              <w:rPr>
                <w:sz w:val="20"/>
                <w:szCs w:val="20"/>
                <w:color w:val="auto"/>
              </w:rPr>
            </w:pPr>
            <w:r>
              <w:rPr>
                <w:rFonts w:ascii="Arial" w:cs="Arial" w:eastAsia="Arial" w:hAnsi="Arial"/>
                <w:sz w:val="18"/>
                <w:szCs w:val="18"/>
                <w:color w:val="auto"/>
              </w:rPr>
              <w:t>*(n)</w:t>
            </w:r>
          </w:p>
        </w:tc>
        <w:tc>
          <w:tcPr>
            <w:tcW w:w="7540" w:type="dxa"/>
            <w:vAlign w:val="bottom"/>
            <w:gridSpan w:val="9"/>
          </w:tcPr>
          <w:p>
            <w:pPr>
              <w:spacing w:after="0"/>
              <w:rPr>
                <w:rFonts w:ascii="Arial" w:cs="Arial" w:eastAsia="Arial" w:hAnsi="Arial"/>
                <w:sz w:val="18"/>
                <w:szCs w:val="18"/>
                <w:color w:val="0000EE"/>
                <w:w w:val="91"/>
              </w:rPr>
            </w:pPr>
            <w:hyperlink r:id="rId37">
              <w:r>
                <w:rPr>
                  <w:rFonts w:ascii="Arial" w:cs="Arial" w:eastAsia="Arial" w:hAnsi="Arial"/>
                  <w:sz w:val="18"/>
                  <w:szCs w:val="18"/>
                  <w:color w:val="0000EE"/>
                  <w:w w:val="91"/>
                </w:rPr>
                <w:t>Universal Forest Products, Inc. Amended and Restated Long Term Stock Incentive Plan is incorporated</w:t>
              </w:r>
            </w:hyperlink>
          </w:p>
        </w:tc>
      </w:tr>
      <w:tr>
        <w:trPr>
          <w:trHeight w:val="169"/>
        </w:trPr>
        <w:tc>
          <w:tcPr>
            <w:tcW w:w="540" w:type="dxa"/>
            <w:vAlign w:val="bottom"/>
          </w:tcPr>
          <w:p>
            <w:pPr>
              <w:spacing w:after="0"/>
              <w:rPr>
                <w:sz w:val="14"/>
                <w:szCs w:val="14"/>
                <w:color w:val="auto"/>
              </w:rPr>
            </w:pPr>
          </w:p>
        </w:tc>
        <w:tc>
          <w:tcPr>
            <w:tcW w:w="7460" w:type="dxa"/>
            <w:vAlign w:val="bottom"/>
            <w:tcBorders>
              <w:top w:val="single" w:sz="8" w:color="0000EE"/>
            </w:tcBorders>
            <w:gridSpan w:val="6"/>
          </w:tcPr>
          <w:p>
            <w:pPr>
              <w:spacing w:after="0" w:line="170" w:lineRule="exact"/>
              <w:rPr>
                <w:rFonts w:ascii="Arial" w:cs="Arial" w:eastAsia="Arial" w:hAnsi="Arial"/>
                <w:sz w:val="18"/>
                <w:szCs w:val="18"/>
                <w:color w:val="0000EE"/>
                <w:w w:val="91"/>
              </w:rPr>
            </w:pPr>
            <w:hyperlink r:id="rId37">
              <w:r>
                <w:rPr>
                  <w:rFonts w:ascii="Arial" w:cs="Arial" w:eastAsia="Arial" w:hAnsi="Arial"/>
                  <w:sz w:val="18"/>
                  <w:szCs w:val="18"/>
                  <w:color w:val="0000EE"/>
                  <w:w w:val="91"/>
                </w:rPr>
                <w:t>by reference from Appendix B to the Company’s proxy statement dated and filed with the Commission</w:t>
              </w:r>
            </w:hyperlink>
          </w:p>
        </w:tc>
        <w:tc>
          <w:tcPr>
            <w:tcW w:w="80" w:type="dxa"/>
            <w:vAlign w:val="bottom"/>
            <w:gridSpan w:val="3"/>
          </w:tcPr>
          <w:p>
            <w:pPr>
              <w:spacing w:after="0"/>
              <w:rPr>
                <w:sz w:val="14"/>
                <w:szCs w:val="14"/>
                <w:color w:val="auto"/>
              </w:rPr>
            </w:pPr>
          </w:p>
        </w:tc>
      </w:tr>
      <w:tr>
        <w:trPr>
          <w:trHeight w:val="169"/>
        </w:trPr>
        <w:tc>
          <w:tcPr>
            <w:tcW w:w="540" w:type="dxa"/>
            <w:vAlign w:val="bottom"/>
          </w:tcPr>
          <w:p>
            <w:pPr>
              <w:spacing w:after="0"/>
              <w:rPr>
                <w:sz w:val="14"/>
                <w:szCs w:val="14"/>
                <w:color w:val="auto"/>
              </w:rPr>
            </w:pPr>
          </w:p>
        </w:tc>
        <w:tc>
          <w:tcPr>
            <w:tcW w:w="1340" w:type="dxa"/>
            <w:vAlign w:val="bottom"/>
            <w:tcBorders>
              <w:top w:val="single" w:sz="8" w:color="0000EE"/>
              <w:bottom w:val="single" w:sz="8" w:color="0000EE"/>
            </w:tcBorders>
          </w:tcPr>
          <w:p>
            <w:pPr>
              <w:spacing w:after="0" w:line="170" w:lineRule="exact"/>
              <w:rPr>
                <w:rFonts w:ascii="Arial" w:cs="Arial" w:eastAsia="Arial" w:hAnsi="Arial"/>
                <w:sz w:val="18"/>
                <w:szCs w:val="18"/>
                <w:color w:val="0000EE"/>
                <w:w w:val="90"/>
              </w:rPr>
            </w:pPr>
            <w:hyperlink r:id="rId37">
              <w:r>
                <w:rPr>
                  <w:rFonts w:ascii="Arial" w:cs="Arial" w:eastAsia="Arial" w:hAnsi="Arial"/>
                  <w:sz w:val="18"/>
                  <w:szCs w:val="18"/>
                  <w:color w:val="0000EE"/>
                  <w:w w:val="90"/>
                </w:rPr>
                <w:t>on March 9, 2018.</w:t>
              </w:r>
            </w:hyperlink>
          </w:p>
        </w:tc>
        <w:tc>
          <w:tcPr>
            <w:tcW w:w="6100" w:type="dxa"/>
            <w:vAlign w:val="bottom"/>
            <w:tcBorders>
              <w:top w:val="single" w:sz="8" w:color="0000EE"/>
            </w:tcBorders>
            <w:gridSpan w:val="4"/>
          </w:tcPr>
          <w:p>
            <w:pPr>
              <w:spacing w:after="0"/>
              <w:rPr>
                <w:sz w:val="14"/>
                <w:szCs w:val="14"/>
                <w:color w:val="auto"/>
              </w:rPr>
            </w:pPr>
          </w:p>
        </w:tc>
        <w:tc>
          <w:tcPr>
            <w:tcW w:w="100" w:type="dxa"/>
            <w:vAlign w:val="bottom"/>
            <w:gridSpan w:val="4"/>
          </w:tcPr>
          <w:p>
            <w:pPr>
              <w:spacing w:after="0"/>
              <w:rPr>
                <w:sz w:val="14"/>
                <w:szCs w:val="14"/>
                <w:color w:val="auto"/>
              </w:rPr>
            </w:pPr>
          </w:p>
        </w:tc>
      </w:tr>
    </w:tbl>
    <w:p>
      <w:pPr>
        <w:spacing w:after="0" w:line="175" w:lineRule="exact"/>
        <w:rPr>
          <w:sz w:val="20"/>
          <w:szCs w:val="20"/>
          <w:color w:val="auto"/>
        </w:rPr>
      </w:pPr>
    </w:p>
    <w:p>
      <w:pPr>
        <w:ind w:left="1450" w:right="159" w:hanging="545"/>
        <w:spacing w:after="0" w:line="276" w:lineRule="auto"/>
        <w:tabs>
          <w:tab w:leader="none" w:pos="1450" w:val="left"/>
        </w:tabs>
        <w:numPr>
          <w:ilvl w:val="0"/>
          <w:numId w:val="15"/>
        </w:numPr>
        <w:rPr>
          <w:rFonts w:ascii="Arial" w:cs="Arial" w:eastAsia="Arial" w:hAnsi="Arial"/>
          <w:sz w:val="16"/>
          <w:szCs w:val="16"/>
          <w:u w:val="single" w:color="auto"/>
          <w:color w:val="0000EE"/>
        </w:rPr>
      </w:pPr>
      <w:hyperlink r:id="rId38">
        <w:r>
          <w:rPr>
            <w:rFonts w:ascii="Arial" w:cs="Arial" w:eastAsia="Arial" w:hAnsi="Arial"/>
            <w:sz w:val="16"/>
            <w:szCs w:val="16"/>
            <w:u w:val="single" w:color="auto"/>
            <w:color w:val="0000EE"/>
          </w:rPr>
          <w:t>Amended and restated agreement and plan of merger by and among Universal Forest Products, Inc.,</w:t>
        </w:r>
      </w:hyperlink>
      <w:r>
        <w:rPr>
          <w:rFonts w:ascii="Arial" w:cs="Arial" w:eastAsia="Arial" w:hAnsi="Arial"/>
          <w:sz w:val="16"/>
          <w:szCs w:val="16"/>
          <w:u w:val="single" w:color="auto"/>
          <w:color w:val="0000EE"/>
        </w:rPr>
        <w:t xml:space="preserve"> </w:t>
      </w:r>
      <w:hyperlink r:id="rId38">
        <w:r>
          <w:rPr>
            <w:rFonts w:ascii="Arial" w:cs="Arial" w:eastAsia="Arial" w:hAnsi="Arial"/>
            <w:sz w:val="16"/>
            <w:szCs w:val="16"/>
            <w:u w:val="single" w:color="auto"/>
            <w:color w:val="0000EE"/>
          </w:rPr>
          <w:t>UFP Apple Merger Sub, Inc., idX Holdings, Inc. dated September 7, 2016 and filed as Exhibit 10(o) to</w:t>
        </w:r>
      </w:hyperlink>
      <w:r>
        <w:rPr>
          <w:rFonts w:ascii="Arial" w:cs="Arial" w:eastAsia="Arial" w:hAnsi="Arial"/>
          <w:sz w:val="16"/>
          <w:szCs w:val="16"/>
          <w:u w:val="single" w:color="auto"/>
          <w:color w:val="0000EE"/>
        </w:rPr>
        <w:t xml:space="preserve"> </w:t>
      </w:r>
      <w:hyperlink r:id="rId38">
        <w:r>
          <w:rPr>
            <w:rFonts w:ascii="Arial" w:cs="Arial" w:eastAsia="Arial" w:hAnsi="Arial"/>
            <w:sz w:val="16"/>
            <w:szCs w:val="16"/>
            <w:u w:val="single" w:color="auto"/>
            <w:color w:val="0000EE"/>
          </w:rPr>
          <w:t>Form 10-Q, quarter ended September 24, 2016, and the same is incorporated herein by reference.</w:t>
        </w:r>
      </w:hyperlink>
    </w:p>
    <w:p>
      <w:pPr>
        <w:spacing w:after="0" w:line="122" w:lineRule="exact"/>
        <w:rPr>
          <w:rFonts w:ascii="Arial" w:cs="Arial" w:eastAsia="Arial" w:hAnsi="Arial"/>
          <w:sz w:val="16"/>
          <w:szCs w:val="16"/>
          <w:u w:val="single" w:color="auto"/>
          <w:color w:val="0000EE"/>
        </w:rPr>
      </w:pPr>
    </w:p>
    <w:p>
      <w:pPr>
        <w:ind w:left="910" w:right="39" w:hanging="910"/>
        <w:spacing w:after="0" w:line="246" w:lineRule="auto"/>
        <w:tabs>
          <w:tab w:leader="none" w:pos="910" w:val="left"/>
        </w:tabs>
        <w:numPr>
          <w:ilvl w:val="0"/>
          <w:numId w:val="16"/>
        </w:numPr>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Selected portions of the Company’s Annual Report to Shareholders for the fiscal year ended December 28,</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2019.</w:t>
        </w:r>
      </w:hyperlink>
    </w:p>
    <w:p>
      <w:pPr>
        <w:spacing w:after="0" w:line="142" w:lineRule="exact"/>
        <w:rPr>
          <w:rFonts w:ascii="Arial" w:cs="Arial" w:eastAsia="Arial" w:hAnsi="Arial"/>
          <w:sz w:val="18"/>
          <w:szCs w:val="18"/>
          <w:u w:val="single" w:color="auto"/>
          <w:color w:val="0000EE"/>
        </w:rPr>
      </w:pPr>
    </w:p>
    <w:p>
      <w:pPr>
        <w:ind w:left="910" w:hanging="910"/>
        <w:spacing w:after="0"/>
        <w:tabs>
          <w:tab w:leader="none" w:pos="9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Code of Ethics for Senior Financial Officers.</w:t>
      </w:r>
    </w:p>
    <w:p>
      <w:pPr>
        <w:spacing w:after="0" w:line="171" w:lineRule="exact"/>
        <w:rPr>
          <w:rFonts w:ascii="Arial" w:cs="Arial" w:eastAsia="Arial" w:hAnsi="Arial"/>
          <w:sz w:val="18"/>
          <w:szCs w:val="18"/>
          <w:color w:val="auto"/>
        </w:rPr>
      </w:pPr>
    </w:p>
    <w:p>
      <w:pPr>
        <w:ind w:left="1450" w:right="59" w:hanging="545"/>
        <w:spacing w:after="0" w:line="275" w:lineRule="auto"/>
        <w:tabs>
          <w:tab w:leader="none" w:pos="1450" w:val="left"/>
        </w:tabs>
        <w:numPr>
          <w:ilvl w:val="0"/>
          <w:numId w:val="17"/>
        </w:numPr>
        <w:rPr>
          <w:rFonts w:ascii="Arial" w:cs="Arial" w:eastAsia="Arial" w:hAnsi="Arial"/>
          <w:sz w:val="17"/>
          <w:szCs w:val="17"/>
          <w:u w:val="single" w:color="auto"/>
          <w:color w:val="0000EE"/>
        </w:rPr>
      </w:pPr>
      <w:hyperlink r:id="rId39">
        <w:r>
          <w:rPr>
            <w:rFonts w:ascii="Arial" w:cs="Arial" w:eastAsia="Arial" w:hAnsi="Arial"/>
            <w:sz w:val="17"/>
            <w:szCs w:val="17"/>
            <w:u w:val="single" w:color="auto"/>
            <w:color w:val="0000EE"/>
          </w:rPr>
          <w:t>Code of Ethics for Chief Financial Officer was filed as Exhibit 14(a) to a Form 10-K, Annual Report for</w:t>
        </w:r>
      </w:hyperlink>
      <w:r>
        <w:rPr>
          <w:rFonts w:ascii="Arial" w:cs="Arial" w:eastAsia="Arial" w:hAnsi="Arial"/>
          <w:sz w:val="17"/>
          <w:szCs w:val="17"/>
          <w:u w:val="single" w:color="auto"/>
          <w:color w:val="0000EE"/>
        </w:rPr>
        <w:t xml:space="preserve"> </w:t>
      </w:r>
      <w:hyperlink r:id="rId39">
        <w:r>
          <w:rPr>
            <w:rFonts w:ascii="Arial" w:cs="Arial" w:eastAsia="Arial" w:hAnsi="Arial"/>
            <w:sz w:val="17"/>
            <w:szCs w:val="17"/>
            <w:u w:val="single" w:color="auto"/>
            <w:color w:val="0000EE"/>
          </w:rPr>
          <w:t>the year ended December 25, 2010 and the same is incorporated herein by reference.</w:t>
        </w:r>
      </w:hyperlink>
    </w:p>
    <w:p>
      <w:pPr>
        <w:spacing w:after="0" w:line="119" w:lineRule="exact"/>
        <w:rPr>
          <w:rFonts w:ascii="Arial" w:cs="Arial" w:eastAsia="Arial" w:hAnsi="Arial"/>
          <w:sz w:val="17"/>
          <w:szCs w:val="17"/>
          <w:color w:val="auto"/>
        </w:rPr>
      </w:pPr>
    </w:p>
    <w:p>
      <w:pPr>
        <w:ind w:left="910" w:hanging="910"/>
        <w:spacing w:after="0"/>
        <w:tabs>
          <w:tab w:leader="none" w:pos="910" w:val="left"/>
        </w:tabs>
        <w:numPr>
          <w:ilvl w:val="0"/>
          <w:numId w:val="18"/>
        </w:numPr>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Subsidiaries of the Registrant.</w:t>
        </w:r>
      </w:hyperlink>
    </w:p>
    <w:p>
      <w:pPr>
        <w:spacing w:after="0" w:line="171" w:lineRule="exact"/>
        <w:rPr>
          <w:rFonts w:ascii="Arial" w:cs="Arial" w:eastAsia="Arial" w:hAnsi="Arial"/>
          <w:sz w:val="17"/>
          <w:szCs w:val="17"/>
          <w:color w:val="auto"/>
        </w:rPr>
      </w:pPr>
    </w:p>
    <w:p>
      <w:pPr>
        <w:ind w:left="910" w:hanging="910"/>
        <w:spacing w:after="0"/>
        <w:tabs>
          <w:tab w:leader="none" w:pos="910" w:val="left"/>
        </w:tabs>
        <w:numPr>
          <w:ilvl w:val="0"/>
          <w:numId w:val="19"/>
        </w:numPr>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Consent of Deloitte &amp; Touche LLP.</w:t>
        </w:r>
      </w:hyperlink>
    </w:p>
    <w:p>
      <w:pPr>
        <w:spacing w:after="0" w:line="171" w:lineRule="exact"/>
        <w:rPr>
          <w:rFonts w:ascii="Arial" w:cs="Arial" w:eastAsia="Arial" w:hAnsi="Arial"/>
          <w:sz w:val="17"/>
          <w:szCs w:val="17"/>
          <w:color w:val="auto"/>
        </w:rPr>
      </w:pPr>
    </w:p>
    <w:p>
      <w:pPr>
        <w:ind w:left="910" w:hanging="910"/>
        <w:spacing w:after="0"/>
        <w:tabs>
          <w:tab w:leader="none" w:pos="9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171" w:lineRule="exact"/>
        <w:rPr>
          <w:rFonts w:ascii="Arial" w:cs="Arial" w:eastAsia="Arial" w:hAnsi="Arial"/>
          <w:sz w:val="18"/>
          <w:szCs w:val="18"/>
          <w:color w:val="auto"/>
        </w:rPr>
      </w:pPr>
    </w:p>
    <w:p>
      <w:pPr>
        <w:ind w:left="1450" w:right="119" w:hanging="545"/>
        <w:spacing w:after="0" w:line="246" w:lineRule="auto"/>
        <w:tabs>
          <w:tab w:leader="none" w:pos="1450" w:val="left"/>
        </w:tabs>
        <w:numPr>
          <w:ilvl w:val="1"/>
          <w:numId w:val="20"/>
        </w:numPr>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Certificate of the Chief Executive Officer of Universal Forest Products, Inc., pursuant to Section 302 of</w:t>
        </w:r>
      </w:hyperlink>
      <w:r>
        <w:rPr>
          <w:rFonts w:ascii="Arial" w:cs="Arial" w:eastAsia="Arial" w:hAnsi="Arial"/>
          <w:sz w:val="18"/>
          <w:szCs w:val="18"/>
          <w:u w:val="single" w:color="auto"/>
          <w:color w:val="0000EE"/>
        </w:rPr>
        <w:t xml:space="preserve"> </w:t>
      </w:r>
      <w:hyperlink w:anchor="page80">
        <w:r>
          <w:rPr>
            <w:rFonts w:ascii="Arial" w:cs="Arial" w:eastAsia="Arial" w:hAnsi="Arial"/>
            <w:sz w:val="18"/>
            <w:szCs w:val="18"/>
            <w:u w:val="single" w:color="auto"/>
            <w:color w:val="0000EE"/>
          </w:rPr>
          <w:t>the Sarbanes-Oxley Act of 2002 (18 U.S.C. 1350).</w:t>
        </w:r>
      </w:hyperlink>
    </w:p>
    <w:p>
      <w:pPr>
        <w:spacing w:after="0" w:line="142" w:lineRule="exact"/>
        <w:rPr>
          <w:rFonts w:ascii="Arial" w:cs="Arial" w:eastAsia="Arial" w:hAnsi="Arial"/>
          <w:sz w:val="18"/>
          <w:szCs w:val="18"/>
          <w:u w:val="single" w:color="auto"/>
          <w:color w:val="0000EE"/>
        </w:rPr>
      </w:pPr>
    </w:p>
    <w:p>
      <w:pPr>
        <w:ind w:left="1450" w:right="159" w:hanging="545"/>
        <w:spacing w:after="0" w:line="246" w:lineRule="auto"/>
        <w:tabs>
          <w:tab w:leader="none" w:pos="1450" w:val="left"/>
        </w:tabs>
        <w:numPr>
          <w:ilvl w:val="1"/>
          <w:numId w:val="20"/>
        </w:numPr>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Certificate of the Chief Financial Officer of Universal Forest Products, Inc., pursuant to Section 302 of</w:t>
        </w:r>
      </w:hyperlink>
      <w:r>
        <w:rPr>
          <w:rFonts w:ascii="Arial" w:cs="Arial" w:eastAsia="Arial" w:hAnsi="Arial"/>
          <w:sz w:val="18"/>
          <w:szCs w:val="18"/>
          <w:u w:val="single" w:color="auto"/>
          <w:color w:val="0000EE"/>
        </w:rPr>
        <w:t xml:space="preserve"> </w:t>
      </w:r>
      <w:hyperlink w:anchor="page81">
        <w:r>
          <w:rPr>
            <w:rFonts w:ascii="Arial" w:cs="Arial" w:eastAsia="Arial" w:hAnsi="Arial"/>
            <w:sz w:val="18"/>
            <w:szCs w:val="18"/>
            <w:u w:val="single" w:color="auto"/>
            <w:color w:val="0000EE"/>
          </w:rPr>
          <w:t>the Sarbanes-Oxley Act of 2002 (18 U.S.C. 1350).</w:t>
        </w:r>
      </w:hyperlink>
    </w:p>
    <w:p>
      <w:pPr>
        <w:spacing w:after="0" w:line="142" w:lineRule="exact"/>
        <w:rPr>
          <w:rFonts w:ascii="Arial" w:cs="Arial" w:eastAsia="Arial" w:hAnsi="Arial"/>
          <w:sz w:val="18"/>
          <w:szCs w:val="18"/>
          <w:u w:val="single" w:color="auto"/>
          <w:color w:val="0000EE"/>
        </w:rPr>
      </w:pPr>
    </w:p>
    <w:p>
      <w:pPr>
        <w:ind w:left="910" w:hanging="910"/>
        <w:spacing w:after="0"/>
        <w:tabs>
          <w:tab w:leader="none" w:pos="9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171" w:lineRule="exact"/>
        <w:rPr>
          <w:rFonts w:ascii="Arial" w:cs="Arial" w:eastAsia="Arial" w:hAnsi="Arial"/>
          <w:sz w:val="18"/>
          <w:szCs w:val="18"/>
          <w:color w:val="auto"/>
        </w:rPr>
      </w:pPr>
    </w:p>
    <w:p>
      <w:pPr>
        <w:ind w:left="1450" w:right="119" w:hanging="545"/>
        <w:spacing w:after="0" w:line="246" w:lineRule="auto"/>
        <w:tabs>
          <w:tab w:leader="none" w:pos="1450" w:val="left"/>
        </w:tabs>
        <w:numPr>
          <w:ilvl w:val="1"/>
          <w:numId w:val="20"/>
        </w:numPr>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Certificate of the Chief Executive Officer of Universal Forest Products, Inc., pursuant to Section 906 of</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the Sarbanes-Oxley Act of 2002 (18 U.S.C. 1350).</w:t>
        </w:r>
      </w:hyperlink>
    </w:p>
    <w:p>
      <w:pPr>
        <w:spacing w:after="0" w:line="142" w:lineRule="exact"/>
        <w:rPr>
          <w:rFonts w:ascii="Arial" w:cs="Arial" w:eastAsia="Arial" w:hAnsi="Arial"/>
          <w:sz w:val="18"/>
          <w:szCs w:val="18"/>
          <w:u w:val="single" w:color="auto"/>
          <w:color w:val="0000EE"/>
        </w:rPr>
      </w:pPr>
    </w:p>
    <w:p>
      <w:pPr>
        <w:ind w:left="1450" w:right="159" w:hanging="545"/>
        <w:spacing w:after="0" w:line="246" w:lineRule="auto"/>
        <w:tabs>
          <w:tab w:leader="none" w:pos="1450" w:val="left"/>
        </w:tabs>
        <w:numPr>
          <w:ilvl w:val="1"/>
          <w:numId w:val="20"/>
        </w:numPr>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Certificate of the Chief Financial Officer of Universal Forest Products, Inc., pursuant to Section 906 of</w:t>
        </w:r>
      </w:hyperlink>
      <w:r>
        <w:rPr>
          <w:rFonts w:ascii="Arial" w:cs="Arial" w:eastAsia="Arial" w:hAnsi="Arial"/>
          <w:sz w:val="18"/>
          <w:szCs w:val="18"/>
          <w:u w:val="single" w:color="auto"/>
          <w:color w:val="0000EE"/>
        </w:rPr>
        <w:t xml:space="preserve"> </w:t>
      </w:r>
      <w:hyperlink w:anchor="page83">
        <w:r>
          <w:rPr>
            <w:rFonts w:ascii="Arial" w:cs="Arial" w:eastAsia="Arial" w:hAnsi="Arial"/>
            <w:sz w:val="18"/>
            <w:szCs w:val="18"/>
            <w:u w:val="single" w:color="auto"/>
            <w:color w:val="0000EE"/>
          </w:rPr>
          <w:t>the Sarbanes-Oxley Act of 2002 (18 U.S.C. 1350).</w:t>
        </w:r>
      </w:hyperlink>
    </w:p>
    <w:p>
      <w:pPr>
        <w:spacing w:after="0" w:line="143" w:lineRule="exact"/>
        <w:rPr>
          <w:rFonts w:ascii="Arial" w:cs="Arial" w:eastAsia="Arial" w:hAnsi="Arial"/>
          <w:sz w:val="18"/>
          <w:szCs w:val="18"/>
          <w:color w:val="auto"/>
        </w:rPr>
      </w:pPr>
    </w:p>
    <w:p>
      <w:pPr>
        <w:ind w:left="910" w:right="2239" w:hanging="910"/>
        <w:spacing w:after="0" w:line="438" w:lineRule="auto"/>
        <w:tabs>
          <w:tab w:leader="none" w:pos="9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Interactive Data File in iXBRL (Inline eXtensible Business Reporting Language). (INS) XBRL Instance Document.</w:t>
      </w:r>
    </w:p>
    <w:p>
      <w:pPr>
        <w:ind w:left="910"/>
        <w:spacing w:after="0"/>
        <w:rPr>
          <w:rFonts w:ascii="Arial" w:cs="Arial" w:eastAsia="Arial" w:hAnsi="Arial"/>
          <w:sz w:val="18"/>
          <w:szCs w:val="18"/>
          <w:color w:val="auto"/>
        </w:rPr>
      </w:pPr>
      <w:r>
        <w:rPr>
          <w:rFonts w:ascii="Arial" w:cs="Arial" w:eastAsia="Arial" w:hAnsi="Arial"/>
          <w:sz w:val="18"/>
          <w:szCs w:val="18"/>
          <w:color w:val="auto"/>
        </w:rPr>
        <w:t>(SCH) XBRL Schema Document.</w:t>
      </w:r>
    </w:p>
    <w:p>
      <w:pPr>
        <w:spacing w:after="0" w:line="171" w:lineRule="exact"/>
        <w:rPr>
          <w:rFonts w:ascii="Arial" w:cs="Arial" w:eastAsia="Arial" w:hAnsi="Arial"/>
          <w:sz w:val="18"/>
          <w:szCs w:val="18"/>
          <w:color w:val="auto"/>
        </w:rPr>
      </w:pPr>
    </w:p>
    <w:p>
      <w:pPr>
        <w:ind w:left="910"/>
        <w:spacing w:after="0"/>
        <w:rPr>
          <w:rFonts w:ascii="Arial" w:cs="Arial" w:eastAsia="Arial" w:hAnsi="Arial"/>
          <w:sz w:val="18"/>
          <w:szCs w:val="18"/>
          <w:color w:val="auto"/>
        </w:rPr>
      </w:pPr>
      <w:r>
        <w:rPr>
          <w:rFonts w:ascii="Arial" w:cs="Arial" w:eastAsia="Arial" w:hAnsi="Arial"/>
          <w:sz w:val="18"/>
          <w:szCs w:val="18"/>
          <w:color w:val="auto"/>
        </w:rPr>
        <w:t>(CAL) XBRL Taxonomy Extension Calculation Linkbase Document.</w:t>
      </w:r>
    </w:p>
    <w:p>
      <w:pPr>
        <w:spacing w:after="0" w:line="171" w:lineRule="exact"/>
        <w:rPr>
          <w:rFonts w:ascii="Arial" w:cs="Arial" w:eastAsia="Arial" w:hAnsi="Arial"/>
          <w:sz w:val="18"/>
          <w:szCs w:val="18"/>
          <w:color w:val="auto"/>
        </w:rPr>
      </w:pPr>
    </w:p>
    <w:p>
      <w:pPr>
        <w:ind w:left="910" w:right="3099"/>
        <w:spacing w:after="0" w:line="553" w:lineRule="auto"/>
        <w:rPr>
          <w:rFonts w:ascii="Arial" w:cs="Arial" w:eastAsia="Arial" w:hAnsi="Arial"/>
          <w:sz w:val="18"/>
          <w:szCs w:val="18"/>
          <w:color w:val="auto"/>
        </w:rPr>
      </w:pPr>
      <w:r>
        <w:rPr>
          <w:rFonts w:ascii="Arial" w:cs="Arial" w:eastAsia="Arial" w:hAnsi="Arial"/>
          <w:sz w:val="16"/>
          <w:szCs w:val="16"/>
          <w:color w:val="auto"/>
        </w:rPr>
        <w:t>(LAB) XBRL Taxonomy Extension Label Linkbase Document. (PRE) XBRL Taxonomy Extension Presentation Linkbase Document.</w:t>
      </w:r>
    </w:p>
    <w:p>
      <w:pPr>
        <w:spacing w:after="0" w:line="354" w:lineRule="exact"/>
        <w:rPr>
          <w:rFonts w:ascii="Arial" w:cs="Arial" w:eastAsia="Arial" w:hAnsi="Arial"/>
          <w:sz w:val="18"/>
          <w:szCs w:val="18"/>
          <w:color w:val="auto"/>
        </w:rPr>
      </w:pPr>
    </w:p>
    <w:p>
      <w:pPr>
        <w:jc w:val="center"/>
        <w:ind w:right="-3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29"/>
          </w:cols>
          <w:pgMar w:left="1430" w:top="95" w:right="1440" w:bottom="1440" w:gutter="0" w:footer="0" w:header="0"/>
        </w:sectPr>
      </w:pPr>
    </w:p>
    <w:bookmarkStart w:id="15" w:name="page16"/>
    <w:bookmarkEnd w:id="15"/>
    <w:p>
      <w:pPr>
        <w:ind w:left="890"/>
        <w:spacing w:after="0"/>
        <w:rPr>
          <w:sz w:val="20"/>
          <w:szCs w:val="20"/>
          <w:color w:val="auto"/>
        </w:rPr>
      </w:pPr>
      <w:r>
        <w:rPr>
          <w:rFonts w:ascii="Arial" w:cs="Arial" w:eastAsia="Arial" w:hAnsi="Arial"/>
          <w:sz w:val="18"/>
          <w:szCs w:val="18"/>
          <w:color w:val="auto"/>
        </w:rPr>
        <w:t>(DEF) XBRL Taxonomy Extension Definition Linkbase Document.</w:t>
      </w:r>
    </w:p>
    <w:p>
      <w:pPr>
        <w:spacing w:after="0" w:line="171" w:lineRule="exact"/>
        <w:rPr>
          <w:sz w:val="20"/>
          <w:szCs w:val="20"/>
          <w:color w:val="auto"/>
        </w:rPr>
      </w:pPr>
    </w:p>
    <w:p>
      <w:pPr>
        <w:ind w:left="-10" w:right="419" w:firstLine="10"/>
        <w:spacing w:after="0" w:line="512" w:lineRule="auto"/>
        <w:tabs>
          <w:tab w:leader="none" w:pos="882"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(the cover page XBRL tags are embedded in the inline XBRL document). * Indicates a compensatory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-353695</wp:posOffset>
            </wp:positionV>
            <wp:extent cx="14408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80" w:lineRule="exact"/>
        <w:rPr>
          <w:sz w:val="20"/>
          <w:szCs w:val="20"/>
          <w:color w:val="auto"/>
        </w:rPr>
      </w:pPr>
    </w:p>
    <w:p>
      <w:pPr>
        <w:jc w:val="center"/>
        <w:ind w:right="-3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29"/>
          </w:cols>
          <w:pgMar w:left="1430" w:top="112"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color w:val="auto"/>
        </w:rPr>
        <w:t>Dated: February 26, 2020</w:t>
      </w:r>
      <w:r>
        <w:rPr>
          <w:sz w:val="20"/>
          <w:szCs w:val="20"/>
          <w:color w:val="auto"/>
        </w:rPr>
        <w:tab/>
      </w:r>
      <w:r>
        <w:rPr>
          <w:rFonts w:ascii="Arial" w:cs="Arial" w:eastAsia="Arial" w:hAnsi="Arial"/>
          <w:sz w:val="17"/>
          <w:szCs w:val="17"/>
          <w:b w:val="1"/>
          <w:bCs w:val="1"/>
          <w:color w:val="auto"/>
        </w:rPr>
        <w:t>UNIVERSAL FOREST PRODUCTS, INC.</w:t>
      </w:r>
    </w:p>
    <w:p>
      <w:pPr>
        <w:spacing w:after="0" w:line="22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 /s/ Matthew J. Missad</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-130810</wp:posOffset>
            </wp:positionV>
            <wp:extent cx="2718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26th day of February, 2020, by the following persons on behalf of us and in the capacities indicated.</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Matthew J. Missad</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3046095</wp:posOffset>
            </wp:positionH>
            <wp:positionV relativeFrom="paragraph">
              <wp:posOffset>-130810</wp:posOffset>
            </wp:positionV>
            <wp:extent cx="27101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Michael R. Cole</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3046095</wp:posOffset>
            </wp:positionH>
            <wp:positionV relativeFrom="paragraph">
              <wp:posOffset>-130810</wp:posOffset>
            </wp:positionV>
            <wp:extent cx="27101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Principal Financial Officer and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Principal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Director whose signature appears below hereby appoints Matthew J. Missad and Michael R. Cole, and each of them individually, as his or her attorney-in-fact to sign in his or her name and on his or her behalf as a Director, and to file with the Commission any and all amendments to this report on Form 10-K to the same extent and with the same effect as if done personally.</w:t>
      </w:r>
    </w:p>
    <w:p>
      <w:pPr>
        <w:sectPr>
          <w:pgSz w:w="11900" w:h="16838" w:orient="portrait"/>
          <w:cols w:equalWidth="0" w:num="1">
            <w:col w:w="9060"/>
          </w:cols>
          <w:pgMar w:left="1420" w:top="12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Joan A. Budden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Joan A. Budden,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-130810</wp:posOffset>
            </wp:positionV>
            <wp:extent cx="2769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Benjamin J. McLean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Benjamin J. McLean,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-130810</wp:posOffset>
            </wp:positionV>
            <wp:extent cx="2769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Matthew J. Missad,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-130810</wp:posOffset>
            </wp:positionV>
            <wp:extent cx="2769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Mary E. Tuuk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Mary E. Tuuk,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-130810</wp:posOffset>
            </wp:positionV>
            <wp:extent cx="2769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4" w:lineRule="exact"/>
        <w:rPr>
          <w:sz w:val="20"/>
          <w:szCs w:val="20"/>
          <w:color w:val="auto"/>
        </w:rPr>
      </w:pPr>
    </w:p>
    <w:p>
      <w:pPr>
        <w:ind w:right="1540"/>
        <w:spacing w:after="0" w:line="360" w:lineRule="auto"/>
        <w:rPr>
          <w:sz w:val="20"/>
          <w:szCs w:val="20"/>
          <w:color w:val="auto"/>
        </w:rPr>
      </w:pPr>
      <w:r>
        <w:rPr>
          <w:rFonts w:ascii="Arial" w:cs="Arial" w:eastAsia="Arial" w:hAnsi="Arial"/>
          <w:sz w:val="16"/>
          <w:szCs w:val="16"/>
          <w:color w:val="auto"/>
        </w:rPr>
        <w:t xml:space="preserve">/s/ Michael G. Wooldridge </w:t>
      </w:r>
      <w:r>
        <w:rPr>
          <w:rFonts w:ascii="Arial" w:cs="Arial" w:eastAsia="Arial" w:hAnsi="Arial"/>
          <w:sz w:val="16"/>
          <w:szCs w:val="16"/>
          <w:b w:val="1"/>
          <w:bCs w:val="1"/>
          <w:color w:val="auto"/>
        </w:rPr>
        <w:t>Michael G. Wooldridge,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-203835</wp:posOffset>
            </wp:positionV>
            <wp:extent cx="2769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William G. Currie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William G. Currie,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2710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Bruce A. Merino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A. Merino,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27101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Thomas W. Rhodes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Thomas W. Rhodes,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27101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Brian C. Walker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C. Walker,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27101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76" w:lineRule="exact"/>
        <w:rPr>
          <w:sz w:val="20"/>
          <w:szCs w:val="20"/>
          <w:color w:val="auto"/>
        </w:rPr>
      </w:pPr>
    </w:p>
    <w:p>
      <w:pPr>
        <w:sectPr>
          <w:pgSz w:w="11900" w:h="16838" w:orient="portrait"/>
          <w:cols w:equalWidth="0" w:num="2">
            <w:col w:w="4080" w:space="720"/>
            <w:col w:w="4260"/>
          </w:cols>
          <w:pgMar w:left="1420" w:top="121"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4(b)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brief description of the common stock of Universal Forest Products, Inc.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This summary does not purport to be complete in all respects and is subject to and qualified in its entirety by reference to the Company’s Restated and Amended Articles of Incorporation (the "Articles of Incorporation") and Amended Bylaws (the "Bylaws"), each of which are filed as exhibits to the Annual Report on Form 10-K of which this </w:t>
      </w:r>
      <w:r>
        <w:rPr>
          <w:rFonts w:ascii="Arial" w:cs="Arial" w:eastAsia="Arial" w:hAnsi="Arial"/>
          <w:sz w:val="18"/>
          <w:szCs w:val="18"/>
          <w:u w:val="single" w:color="auto"/>
          <w:color w:val="auto"/>
        </w:rPr>
        <w:t>Exhibit 4(b)</w:t>
      </w:r>
      <w:r>
        <w:rPr>
          <w:rFonts w:ascii="Arial" w:cs="Arial" w:eastAsia="Arial" w:hAnsi="Arial"/>
          <w:sz w:val="18"/>
          <w:szCs w:val="18"/>
          <w:color w:val="auto"/>
        </w:rPr>
        <w:t xml:space="preserve"> is a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Company’s authorized capital stock consists of 80,000,000 shares of common stock and 1,000,000 shares of 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28, 2019, there were no shares of preferred stock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prior rights of the holders of shares of preferred stock that may be issued and outstanding, if any, the holders of common stock are entitled to receive:</w:t>
      </w:r>
    </w:p>
    <w:p>
      <w:pPr>
        <w:spacing w:after="0" w:line="170" w:lineRule="exact"/>
        <w:rPr>
          <w:sz w:val="20"/>
          <w:szCs w:val="20"/>
          <w:color w:val="auto"/>
        </w:rPr>
      </w:pPr>
    </w:p>
    <w:p>
      <w:pPr>
        <w:jc w:val="both"/>
        <w:ind w:left="1000"/>
        <w:spacing w:after="0" w:line="277" w:lineRule="auto"/>
        <w:rPr>
          <w:sz w:val="20"/>
          <w:szCs w:val="20"/>
          <w:color w:val="auto"/>
        </w:rPr>
      </w:pPr>
      <w:r>
        <w:rPr>
          <w:rFonts w:ascii="Arial" w:cs="Arial" w:eastAsia="Arial" w:hAnsi="Arial"/>
          <w:sz w:val="18"/>
          <w:szCs w:val="18"/>
          <w:color w:val="auto"/>
        </w:rPr>
        <w:t>dividends when, as, and if declared by the Company’s Board of Directors out of funds legally available for the payment of dividends; and</w:t>
      </w:r>
    </w:p>
    <w:p>
      <w:pPr>
        <w:spacing w:after="0" w:line="170" w:lineRule="exact"/>
        <w:rPr>
          <w:sz w:val="20"/>
          <w:szCs w:val="20"/>
          <w:color w:val="auto"/>
        </w:rPr>
      </w:pPr>
    </w:p>
    <w:p>
      <w:pPr>
        <w:jc w:val="both"/>
        <w:ind w:left="1000"/>
        <w:spacing w:after="0" w:line="264" w:lineRule="auto"/>
        <w:rPr>
          <w:sz w:val="20"/>
          <w:szCs w:val="20"/>
          <w:color w:val="auto"/>
        </w:rPr>
      </w:pPr>
      <w:r>
        <w:rPr>
          <w:rFonts w:ascii="Arial" w:cs="Arial" w:eastAsia="Arial" w:hAnsi="Arial"/>
          <w:sz w:val="18"/>
          <w:szCs w:val="18"/>
          <w:color w:val="auto"/>
        </w:rPr>
        <w:t>in the event of dissolution of the Company, to share ratably in all assets remaining after payment of liabilities and satisfaction of the liquidation preferences, if any, of then outstanding shares of preferred stock, as provided in the Articles of Incorporation.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holder of common stock is entitled to one vote for each share held of record on all matters presented to a vote at a shareholders meeting, including the election of directors. Holders of common stock have no cumulative voting rights.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Articles of Incorporation provide that the Company’s Board of Directors be divided into three classes of nearly equal size, with the classes to hold office for staggered terms of three years each.</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vote required for the election of a director shall, except in a contested election, be the affirmative vote of a majority of the votes cast in the election of a nominee. For this purpose, a “majority of the votes cast” means that the number of votes cast “for” a director’s election exceeds the number of votes cast “against” that director’s election. Abstentions and broker non-votes are not counted as votes cast either “for” or “against” a director’s election. In a contested election, directors are elected by a plurality of the votes cast at the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388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An election is considered contested if there are more nominees for election than positions on the Board of Directors to be filled by election at that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common stock is currently traded on the Nasdaq Global Select Market under the symbol “ufpi.”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Anti-Takeover Provisions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Articles of Incorporation and Bylaws contain provisions that could also have an anti-takeover effect. Some of the provisions also may make it difficult for shareholders to replace incumbent directors with new directors who may be willing to entertain changes that shareholders may believe will lead to improvements in the combined company’s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of the outstanding shares of the Company’s common stock are fully paid and non-assessable. Holders of common stock have no preemptive rights to purchase or subscribe for any additional shares of common stock or other securities, and there are no conversion rights or redemption or sinking fund provisions with respect to the Company’s common stock.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transfer agent for the Company’s common stock is American Stock Transfer &amp; Trust Co., 6201 15th Avenue, Brooklyn, 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622935</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Exhibit 13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Selected Financial Data</w:t>
              </w:r>
            </w:hyperlink>
          </w:p>
        </w:tc>
        <w:tc>
          <w:tcPr>
            <w:tcW w:w="6740" w:type="dxa"/>
            <w:vAlign w:val="bottom"/>
            <w:gridSpan w:val="14"/>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47"/>
        </w:trPr>
        <w:tc>
          <w:tcPr>
            <w:tcW w:w="846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547"/>
        </w:trPr>
        <w:tc>
          <w:tcPr>
            <w:tcW w:w="49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Management’s Report on Internal Control Over Financial Reporting</w:t>
              </w:r>
            </w:hyperlink>
          </w:p>
        </w:tc>
        <w:tc>
          <w:tcPr>
            <w:tcW w:w="1540" w:type="dxa"/>
            <w:vAlign w:val="bottom"/>
            <w:tcBorders>
              <w:top w:val="single" w:sz="8" w:color="0000EE"/>
            </w:tcBorders>
            <w:gridSpan w:val="2"/>
          </w:tcPr>
          <w:p>
            <w:pPr>
              <w:spacing w:after="0"/>
              <w:rPr>
                <w:sz w:val="24"/>
                <w:szCs w:val="24"/>
                <w:color w:val="auto"/>
              </w:rPr>
            </w:pPr>
          </w:p>
        </w:tc>
        <w:tc>
          <w:tcPr>
            <w:tcW w:w="200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547"/>
        </w:trPr>
        <w:tc>
          <w:tcPr>
            <w:tcW w:w="846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547"/>
        </w:trPr>
        <w:tc>
          <w:tcPr>
            <w:tcW w:w="846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547"/>
        </w:trPr>
        <w:tc>
          <w:tcPr>
            <w:tcW w:w="57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Consolidated Balance Sheets as of December 28, 2019 and December 29, 2018</w:t>
              </w:r>
            </w:hyperlink>
          </w:p>
        </w:tc>
        <w:tc>
          <w:tcPr>
            <w:tcW w:w="274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47"/>
        </w:trPr>
        <w:tc>
          <w:tcPr>
            <w:tcW w:w="8460" w:type="dxa"/>
            <w:vAlign w:val="bottom"/>
            <w:gridSpan w:val="17"/>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Consolidated Statements of Earnings and Comprehensive Income for the Years Ended December 28, 2019,</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140" w:type="dxa"/>
            <w:vAlign w:val="bottom"/>
            <w:tcBorders>
              <w:top w:val="single" w:sz="8" w:color="0000EE"/>
            </w:tcBorders>
          </w:tcPr>
          <w:p>
            <w:pPr>
              <w:spacing w:after="0"/>
              <w:rPr>
                <w:sz w:val="17"/>
                <w:szCs w:val="17"/>
                <w:color w:val="auto"/>
              </w:rPr>
            </w:pPr>
          </w:p>
        </w:tc>
        <w:tc>
          <w:tcPr>
            <w:tcW w:w="75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December 29, 2018, and December 30, 2017</w:t>
              </w:r>
            </w:hyperlink>
          </w:p>
        </w:tc>
        <w:tc>
          <w:tcPr>
            <w:tcW w:w="76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547"/>
        </w:trPr>
        <w:tc>
          <w:tcPr>
            <w:tcW w:w="83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Shareholders’ Equity for the Years Ended December 28, 2019, December 29, 2018, and</w:t>
              </w:r>
            </w:hyperlink>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14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December 30, 2017</w:t>
              </w:r>
            </w:hyperlink>
          </w:p>
        </w:tc>
        <w:tc>
          <w:tcPr>
            <w:tcW w:w="690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r>
      <w:tr>
        <w:trPr>
          <w:trHeight w:val="547"/>
        </w:trPr>
        <w:tc>
          <w:tcPr>
            <w:tcW w:w="76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Cash Flows for the Years Ended December 28, 2019, December 29, 2018, and</w:t>
              </w:r>
            </w:hyperlink>
          </w:p>
        </w:tc>
        <w:tc>
          <w:tcPr>
            <w:tcW w:w="80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14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December 30, 2017</w:t>
              </w:r>
            </w:hyperlink>
          </w:p>
        </w:tc>
        <w:tc>
          <w:tcPr>
            <w:tcW w:w="690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r>
      <w:tr>
        <w:trPr>
          <w:trHeight w:val="547"/>
        </w:trPr>
        <w:tc>
          <w:tcPr>
            <w:tcW w:w="31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Notes to Consolidated Financial Statements</w:t>
              </w:r>
            </w:hyperlink>
          </w:p>
        </w:tc>
        <w:tc>
          <w:tcPr>
            <w:tcW w:w="5300" w:type="dxa"/>
            <w:vAlign w:val="bottom"/>
            <w:gridSpan w:val="9"/>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29-52</w:t>
            </w:r>
          </w:p>
        </w:tc>
      </w:tr>
      <w:tr>
        <w:trPr>
          <w:trHeight w:val="547"/>
        </w:trPr>
        <w:tc>
          <w:tcPr>
            <w:tcW w:w="8460" w:type="dxa"/>
            <w:vAlign w:val="bottom"/>
            <w:gridSpan w:val="1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Market Information for our Common Stock</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547"/>
        </w:trPr>
        <w:tc>
          <w:tcPr>
            <w:tcW w:w="18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Stock Performance Graph</w:t>
              </w:r>
            </w:hyperlink>
          </w:p>
        </w:tc>
        <w:tc>
          <w:tcPr>
            <w:tcW w:w="1260" w:type="dxa"/>
            <w:vAlign w:val="bottom"/>
            <w:tcBorders>
              <w:top w:val="single" w:sz="8" w:color="0000EE"/>
            </w:tcBorders>
            <w:gridSpan w:val="2"/>
          </w:tcPr>
          <w:p>
            <w:pPr>
              <w:spacing w:after="0"/>
              <w:rPr>
                <w:sz w:val="24"/>
                <w:szCs w:val="24"/>
                <w:color w:val="auto"/>
              </w:rPr>
            </w:pPr>
          </w:p>
        </w:tc>
        <w:tc>
          <w:tcPr>
            <w:tcW w:w="532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547"/>
        </w:trPr>
        <w:tc>
          <w:tcPr>
            <w:tcW w:w="8460" w:type="dxa"/>
            <w:vAlign w:val="bottom"/>
            <w:gridSpan w:val="17"/>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Directors and Executive Officers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547"/>
        </w:trPr>
        <w:tc>
          <w:tcPr>
            <w:tcW w:w="2380" w:type="dxa"/>
            <w:vAlign w:val="bottom"/>
            <w:tcBorders>
              <w:top w:val="single" w:sz="8" w:color="0000EE"/>
            </w:tcBorders>
            <w:gridSpan w:val="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Shareholder Information</w:t>
              </w:r>
            </w:hyperlink>
          </w:p>
        </w:tc>
        <w:tc>
          <w:tcPr>
            <w:tcW w:w="608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1702"/>
        </w:trPr>
        <w:tc>
          <w:tcPr>
            <w:tcW w:w="140" w:type="dxa"/>
            <w:vAlign w:val="bottom"/>
            <w:tcBorders>
              <w:top w:val="single" w:sz="8" w:color="0000EE"/>
              <w:bottom w:val="single" w:sz="8" w:color="auto"/>
            </w:tcBorders>
          </w:tcPr>
          <w:p>
            <w:pPr>
              <w:spacing w:after="0"/>
              <w:rPr>
                <w:sz w:val="24"/>
                <w:szCs w:val="24"/>
                <w:color w:val="auto"/>
              </w:rPr>
            </w:pPr>
          </w:p>
        </w:tc>
        <w:tc>
          <w:tcPr>
            <w:tcW w:w="14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and statistics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298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5"/>
              </w:rPr>
              <w:t>Consolidated Statement of Earnings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4,416,009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4,489,180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3,941,182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3,240,493</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2,887,071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line="216" w:lineRule="exact"/>
              <w:rPr>
                <w:sz w:val="20"/>
                <w:szCs w:val="20"/>
                <w:color w:val="auto"/>
              </w:rPr>
            </w:pPr>
            <w:r>
              <w:rPr>
                <w:rFonts w:ascii="Arial" w:cs="Arial" w:eastAsia="Arial" w:hAnsi="Arial"/>
                <w:sz w:val="17"/>
                <w:szCs w:val="17"/>
                <w:color w:val="auto"/>
              </w:rPr>
              <w:t>Earnings before income taxes</w:t>
            </w:r>
            <w:r>
              <w:rPr>
                <w:rFonts w:ascii="Arial" w:cs="Arial" w:eastAsia="Arial" w:hAnsi="Arial"/>
                <w:sz w:val="25"/>
                <w:szCs w:val="25"/>
                <w:color w:val="auto"/>
                <w:vertAlign w:val="superscript"/>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240,674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197,853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176,007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160,671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131,002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Net earnings attributable to controlling</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179,650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148,598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119,512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101,179</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80,595</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Working capital</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444,057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1,889,477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1,647,548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1,464,677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1,292,058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1,107,679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1,257,733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1,088,684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974,023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860,466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766,409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Statistics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w w:val="91"/>
              </w:rPr>
              <w:t>Gross profit as a percentage of net sales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r>
      <w:tr>
        <w:trPr>
          <w:trHeight w:val="202"/>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Net earnings attributable to controlling</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as a percentage of net sales</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line="216" w:lineRule="exact"/>
              <w:rPr>
                <w:sz w:val="20"/>
                <w:szCs w:val="20"/>
                <w:color w:val="auto"/>
              </w:rPr>
            </w:pPr>
            <w:r>
              <w:rPr>
                <w:rFonts w:ascii="Arial" w:cs="Arial" w:eastAsia="Arial" w:hAnsi="Arial"/>
                <w:sz w:val="17"/>
                <w:szCs w:val="17"/>
                <w:color w:val="auto"/>
              </w:rPr>
              <w:t>Return on beginning equity</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16.5 %</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13.9 %</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13.2 %</w:t>
            </w: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11.5 %</w:t>
            </w: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Current ratio</w:t>
            </w:r>
            <w:r>
              <w:rPr>
                <w:rFonts w:ascii="Arial" w:cs="Arial" w:eastAsia="Arial" w:hAnsi="Arial"/>
                <w:sz w:val="25"/>
                <w:szCs w:val="25"/>
                <w:color w:val="auto"/>
                <w:vertAlign w:val="superscript"/>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line="216" w:lineRule="exact"/>
              <w:rPr>
                <w:sz w:val="20"/>
                <w:szCs w:val="20"/>
                <w:color w:val="auto"/>
              </w:rPr>
            </w:pPr>
            <w:r>
              <w:rPr>
                <w:rFonts w:ascii="Arial" w:cs="Arial" w:eastAsia="Arial" w:hAnsi="Arial"/>
                <w:sz w:val="17"/>
                <w:szCs w:val="17"/>
                <w:color w:val="auto"/>
              </w:rPr>
              <w:t>Debt to equity ratio</w:t>
            </w:r>
            <w:r>
              <w:rPr>
                <w:rFonts w:ascii="Arial" w:cs="Arial" w:eastAsia="Arial" w:hAnsi="Arial"/>
                <w:sz w:val="25"/>
                <w:szCs w:val="25"/>
                <w:color w:val="auto"/>
                <w:vertAlign w:val="superscript"/>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Book value per common share</w:t>
            </w:r>
            <w:r>
              <w:rPr>
                <w:rFonts w:ascii="Arial" w:cs="Arial" w:eastAsia="Arial" w:hAnsi="Arial"/>
                <w:sz w:val="25"/>
                <w:szCs w:val="25"/>
                <w:color w:val="auto"/>
                <w:vertAlign w:val="superscript"/>
              </w:rPr>
              <w:t>(3)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67" w:lineRule="exact"/>
        <w:rPr>
          <w:sz w:val="20"/>
          <w:szCs w:val="20"/>
          <w:color w:val="auto"/>
        </w:rPr>
      </w:pPr>
    </w:p>
    <w:p>
      <w:pPr>
        <w:ind w:left="340" w:hanging="331"/>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Current assets less current liabilities.</w:t>
      </w:r>
    </w:p>
    <w:p>
      <w:pPr>
        <w:spacing w:after="0" w:line="23" w:lineRule="exact"/>
        <w:rPr>
          <w:rFonts w:ascii="Arial" w:cs="Arial" w:eastAsia="Arial" w:hAnsi="Arial"/>
          <w:sz w:val="18"/>
          <w:szCs w:val="18"/>
          <w:color w:val="auto"/>
        </w:rPr>
      </w:pPr>
    </w:p>
    <w:p>
      <w:pPr>
        <w:ind w:left="340" w:hanging="331"/>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earnings attributable to controlling interest divided by beginning shareholders’ equity.</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Shareholders’ equity divided by common stock outstanding.</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Current assets divided by current liabilities.</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debt divided by shareholders’ equity.</w:t>
      </w:r>
    </w:p>
    <w:p>
      <w:pPr>
        <w:spacing w:after="0" w:line="9" w:lineRule="exact"/>
        <w:rPr>
          <w:rFonts w:ascii="Arial" w:cs="Arial" w:eastAsia="Arial" w:hAnsi="Arial"/>
          <w:sz w:val="18"/>
          <w:szCs w:val="18"/>
          <w:color w:val="auto"/>
        </w:rPr>
      </w:pPr>
    </w:p>
    <w:p>
      <w:pPr>
        <w:ind w:left="300" w:hanging="291"/>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2018 includes an approximately $7 million gain on the sale of one of our facilities.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Acquisition growth is one of the primary contributing factors to material increases over the period from 2015 to 2019. Refer to Note C under the “Notes to the Consolidated Financial Statements” for further discussion on the Company’s business combinations and impact on financials.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Universal Forest Products, Inc. is a holding company with subsidiaries throughout North America, Europe, Asia, and in Australia that supply wood, wood composite and other products to three robust markets: retail, industrial, and construction. The Company is headquartered in Grand Rapids, Mich. For more information about Universal Forest Products, Inc., or its affiliated operations, go to www.ufpi.com.</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2019.</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2019 were impacted by the following:</w:t>
      </w:r>
    </w:p>
    <w:p>
      <w:pPr>
        <w:spacing w:after="0" w:line="225" w:lineRule="exact"/>
        <w:rPr>
          <w:sz w:val="20"/>
          <w:szCs w:val="20"/>
          <w:color w:val="auto"/>
        </w:rPr>
      </w:pPr>
    </w:p>
    <w:p>
      <w:pPr>
        <w:jc w:val="both"/>
        <w:ind w:left="680" w:hanging="320"/>
        <w:spacing w:after="0" w:line="276"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sales decreased almost 2% in 2019 due to an 8% decrease in overall selling prices (see “Historical Lumber Prices”) offset by a 6% increase in our unit sales. Our unit sales increase was primarily driven by our organic growth in the retail and construction markets and acquiring businesses that serve the industrial market. Overall, businesses we acquired contributed 1% to our unit sales growth in 2019 (see Note C of the Notes to Consolidated Financial Statements) and we achieved 5% organic unit sales growth.</w:t>
      </w:r>
    </w:p>
    <w:p>
      <w:pPr>
        <w:spacing w:after="0" w:line="172" w:lineRule="exact"/>
        <w:rPr>
          <w:rFonts w:ascii="Arial" w:cs="Arial" w:eastAsia="Arial" w:hAnsi="Arial"/>
          <w:sz w:val="17"/>
          <w:szCs w:val="17"/>
          <w:color w:val="auto"/>
        </w:rPr>
      </w:pPr>
    </w:p>
    <w:p>
      <w:pPr>
        <w:ind w:left="680" w:right="20" w:hanging="320"/>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Home Improvement Research Institute reported a 4% increase in home improvement sales in 2019. Comparatively, our unit sales to the retail market increased organically by 7%.</w:t>
      </w:r>
    </w:p>
    <w:p>
      <w:pPr>
        <w:spacing w:after="0" w:line="170" w:lineRule="exact"/>
        <w:rPr>
          <w:rFonts w:ascii="Arial" w:cs="Arial" w:eastAsia="Arial" w:hAnsi="Arial"/>
          <w:sz w:val="18"/>
          <w:szCs w:val="18"/>
          <w:color w:val="auto"/>
        </w:rPr>
      </w:pPr>
    </w:p>
    <w:p>
      <w:pPr>
        <w:jc w:val="both"/>
        <w:ind w:left="680" w:right="20" w:hanging="320"/>
        <w:spacing w:after="0" w:line="312" w:lineRule="auto"/>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Our unit sales to the industrial market increased 7% in 2019 as businesses we acquired contributed 5% to unit sales growth and organic growth was 2%. Comparatively, the </w:t>
      </w:r>
      <w:r>
        <w:rPr>
          <w:rFonts w:ascii="Arial" w:cs="Arial" w:eastAsia="Arial" w:hAnsi="Arial"/>
          <w:sz w:val="16"/>
          <w:szCs w:val="16"/>
          <w:i w:val="1"/>
          <w:iCs w:val="1"/>
          <w:color w:val="auto"/>
        </w:rPr>
        <w:t>Federal Reserve’s Industrial Production Index</w:t>
      </w:r>
      <w:r>
        <w:rPr>
          <w:rFonts w:ascii="Arial" w:cs="Arial" w:eastAsia="Arial" w:hAnsi="Arial"/>
          <w:sz w:val="16"/>
          <w:szCs w:val="16"/>
          <w:color w:val="auto"/>
        </w:rPr>
        <w:t xml:space="preserve"> noted that national industrial production decreased almost 1% in the period from December 2018 to November 2019.</w:t>
      </w:r>
    </w:p>
    <w:p>
      <w:pPr>
        <w:spacing w:after="0" w:line="146" w:lineRule="exact"/>
        <w:rPr>
          <w:rFonts w:ascii="Arial" w:cs="Arial" w:eastAsia="Arial" w:hAnsi="Arial"/>
          <w:sz w:val="16"/>
          <w:szCs w:val="16"/>
          <w:color w:val="auto"/>
        </w:rPr>
      </w:pPr>
    </w:p>
    <w:p>
      <w:pPr>
        <w:ind w:left="680" w:hanging="320"/>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National housing starts were up approximately 3% in 2019 compared to 2018. Comparatively, our unit sales to residential construction customers increased 5% in 2019.</w:t>
      </w:r>
    </w:p>
    <w:p>
      <w:pPr>
        <w:spacing w:after="0" w:line="170" w:lineRule="exact"/>
        <w:rPr>
          <w:rFonts w:ascii="Arial" w:cs="Arial" w:eastAsia="Arial" w:hAnsi="Arial"/>
          <w:sz w:val="18"/>
          <w:szCs w:val="18"/>
          <w:color w:val="auto"/>
        </w:rPr>
      </w:pPr>
    </w:p>
    <w:p>
      <w:pPr>
        <w:jc w:val="both"/>
        <w:ind w:left="680" w:hanging="320"/>
        <w:spacing w:after="0" w:line="259"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of HUD code manufactured homes declined 3% in the period from January through November 2019, compared to the same period of the prior year. Comparatively, our unit sales to the manufactured housing market were flat in 2019 compared to 2018. We estimate that 72% of our sales volume is for HUD homes, 25% is for modular homes, and 3% is for recreational vehicles.</w:t>
      </w:r>
    </w:p>
    <w:p>
      <w:pPr>
        <w:spacing w:after="0" w:line="186" w:lineRule="exact"/>
        <w:rPr>
          <w:rFonts w:ascii="Arial" w:cs="Arial" w:eastAsia="Arial" w:hAnsi="Arial"/>
          <w:sz w:val="18"/>
          <w:szCs w:val="18"/>
          <w:color w:val="auto"/>
        </w:rPr>
      </w:pPr>
    </w:p>
    <w:p>
      <w:pPr>
        <w:ind w:left="680" w:right="20" w:hanging="320"/>
        <w:spacing w:after="0" w:line="342" w:lineRule="auto"/>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Earnings from operations increased 18% to $244.9 million. Acquired businesses contributed approximately $4.1 million to earnings from operations for the year. The remaining $240.8 million, or 16.1%, increase was primarily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ind w:left="680" w:right="20"/>
        <w:spacing w:after="0" w:line="308" w:lineRule="auto"/>
        <w:rPr>
          <w:sz w:val="20"/>
          <w:szCs w:val="20"/>
          <w:color w:val="auto"/>
        </w:rPr>
      </w:pPr>
      <w:r>
        <w:rPr>
          <w:rFonts w:ascii="Arial" w:cs="Arial" w:eastAsia="Arial" w:hAnsi="Arial"/>
          <w:sz w:val="17"/>
          <w:szCs w:val="17"/>
          <w:color w:val="auto"/>
        </w:rPr>
        <w:t>due to an increase in gross profits driven by low lumber prices and opportunistic buying, organic unit sales growth combined with leveraging fixed costs, and favorable improvements in sales mix, among other factors.</w:t>
      </w:r>
    </w:p>
    <w:p>
      <w:pPr>
        <w:spacing w:after="0" w:line="147" w:lineRule="exact"/>
        <w:rPr>
          <w:sz w:val="20"/>
          <w:szCs w:val="20"/>
          <w:color w:val="auto"/>
        </w:rPr>
      </w:pPr>
    </w:p>
    <w:p>
      <w:pPr>
        <w:jc w:val="both"/>
        <w:ind w:left="680" w:hanging="320"/>
        <w:spacing w:after="0" w:line="255"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flow from operating activities increased by $233 million due to a $46 million increase in our net earnings and non-cash expenses and a $187 million favorable change in our investment in working capital (See “Liquidity and Capital Resources”). The decline in working capital was primarily driven by opportunistic purchases of inventory during the fourth quarter of 2018, which was sold in the first six months of 2019. Lower lumber prices of Southern Yellow Pine in the fourth quarter of 2019 also contributed to the increase in cash flow from operating activities.</w:t>
      </w:r>
    </w:p>
    <w:p>
      <w:pPr>
        <w:spacing w:after="0" w:line="193" w:lineRule="exact"/>
        <w:rPr>
          <w:rFonts w:ascii="Arial" w:cs="Arial" w:eastAsia="Arial" w:hAnsi="Arial"/>
          <w:sz w:val="18"/>
          <w:szCs w:val="18"/>
          <w:color w:val="auto"/>
        </w:rPr>
      </w:pPr>
    </w:p>
    <w:p>
      <w:pPr>
        <w:ind w:left="680" w:right="20" w:hanging="320"/>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invested $84.9 million in capital expenditures to support and grow our business and invested $39.1 million in acquired businesses.</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returned $24.5 million to shareholders through dividends.</w:t>
      </w:r>
    </w:p>
    <w:p>
      <w:pPr>
        <w:spacing w:after="0" w:line="225" w:lineRule="exact"/>
        <w:rPr>
          <w:rFonts w:ascii="Arial" w:cs="Arial" w:eastAsia="Arial" w:hAnsi="Arial"/>
          <w:sz w:val="18"/>
          <w:szCs w:val="18"/>
          <w:color w:val="auto"/>
        </w:rPr>
      </w:pPr>
    </w:p>
    <w:p>
      <w:pPr>
        <w:jc w:val="both"/>
        <w:ind w:left="680" w:hanging="320"/>
        <w:spacing w:after="0" w:line="259"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Finally, our net cash surplus (interest bearing debt and cash overdraft less available cash) was $4.7 million at the end of 2019, which when considered with our earnings before interest, taxes, depreciation and amortization, indicates a strong credit profile and abundant unused debt capacity available for future investments to grow the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HISTORICAL LUMBER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Random Lengths framing lumber composite price.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8"/>
          </w:tcPr>
          <w:p>
            <w:pPr>
              <w:ind w:left="20"/>
              <w:spacing w:after="0"/>
              <w:rPr>
                <w:sz w:val="20"/>
                <w:szCs w:val="20"/>
                <w:color w:val="auto"/>
              </w:rPr>
            </w:pPr>
            <w:r>
              <w:rPr>
                <w:rFonts w:ascii="Arial" w:cs="Arial" w:eastAsia="Arial" w:hAnsi="Arial"/>
                <w:sz w:val="14"/>
                <w:szCs w:val="14"/>
                <w:b w:val="1"/>
                <w:bCs w:val="1"/>
                <w:color w:val="auto"/>
              </w:rPr>
              <w:t>Random Lengths Composite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151"/>
              <w:spacing w:after="0"/>
              <w:rPr>
                <w:sz w:val="20"/>
                <w:szCs w:val="20"/>
                <w:color w:val="auto"/>
              </w:rPr>
            </w:pPr>
            <w:r>
              <w:rPr>
                <w:rFonts w:ascii="Arial" w:cs="Arial" w:eastAsia="Arial" w:hAnsi="Arial"/>
                <w:sz w:val="14"/>
                <w:szCs w:val="14"/>
                <w:b w:val="1"/>
                <w:bCs w:val="1"/>
                <w:color w:val="auto"/>
              </w:rPr>
              <w:t>Average $/MBF</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Borders>
              <w:bottom w:val="single" w:sz="8" w:color="CCEEFF"/>
            </w:tcBorders>
          </w:tcPr>
          <w:p>
            <w:pPr>
              <w:spacing w:after="0"/>
              <w:rPr>
                <w:sz w:val="13"/>
                <w:szCs w:val="13"/>
                <w:color w:val="auto"/>
              </w:rPr>
            </w:pPr>
          </w:p>
        </w:tc>
        <w:tc>
          <w:tcPr>
            <w:tcW w:w="37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February</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April</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June</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August</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October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November</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December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Annual average</w:t>
            </w:r>
          </w:p>
        </w:tc>
        <w:tc>
          <w:tcPr>
            <w:tcW w:w="3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Annual percentage change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740" w:type="dxa"/>
            <w:vAlign w:val="bottom"/>
          </w:tcPr>
          <w:p>
            <w:pPr>
              <w:jc w:val="right"/>
              <w:ind w:right="22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a Southern Yellow Pine (“SYP”) composite price, which we prepare and use, is presented below. Our purchases of this species comprise approximately 64% of total lumber purchases, excluding plywood, for 2019 and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rPr>
              <w:t>Southern Yellow Pine</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4"/>
                <w:szCs w:val="14"/>
                <w:b w:val="1"/>
                <w:bCs w:val="1"/>
                <w:color w:val="auto"/>
              </w:rPr>
              <w:t>Average $/MBF</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Borders>
              <w:bottom w:val="single" w:sz="8" w:color="CCEEFF"/>
            </w:tcBorders>
          </w:tcPr>
          <w:p>
            <w:pPr>
              <w:spacing w:after="0"/>
              <w:rPr>
                <w:sz w:val="13"/>
                <w:szCs w:val="13"/>
                <w:color w:val="auto"/>
              </w:rPr>
            </w:pPr>
          </w:p>
        </w:tc>
        <w:tc>
          <w:tcPr>
            <w:tcW w:w="25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February</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April</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June</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August</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October</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November</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December</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Annual quarter average</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Annual percentage change</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THE LUMBER MARKET ON OUR OPERATING RESULTS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42.7% and 50.6% of our gross sales in 2019 and 2018, respectively.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gross margins are impacted by (1) the relative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Lumber Market (i.e. whether prices are higher or lower from comparative periods), and (2)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the Lumber Market impact our products differently.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jc w:val="both"/>
        <w:ind w:left="680" w:hanging="320"/>
        <w:spacing w:after="0" w:line="291"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w:t>
      </w:r>
      <w:r>
        <w:rPr>
          <w:rFonts w:ascii="Arial" w:cs="Arial" w:eastAsia="Arial" w:hAnsi="Arial"/>
          <w:sz w:val="16"/>
          <w:szCs w:val="16"/>
          <w:color w:val="auto"/>
        </w:rPr>
        <w:t xml:space="preserve"> These products include value-added products such as decking and fencing sold to retail building materials customers, as well as trusses, wall panels and other components sold to the residential construction market, and most industrial packaging products. Prices for these products are generally fixed at the time of the sales quotation for a specified period of time or are based upon a specific quantity. In order to maintain margins and reduce any exposure to adverse </w:t>
      </w:r>
      <w:r>
        <w:rPr>
          <w:rFonts w:ascii="Arial" w:cs="Arial" w:eastAsia="Arial" w:hAnsi="Arial"/>
          <w:sz w:val="16"/>
          <w:szCs w:val="16"/>
          <w:u w:val="single" w:color="auto"/>
          <w:color w:val="auto"/>
        </w:rPr>
        <w:t>trends</w:t>
      </w:r>
      <w:r>
        <w:rPr>
          <w:rFonts w:ascii="Arial" w:cs="Arial" w:eastAsia="Arial" w:hAnsi="Arial"/>
          <w:sz w:val="16"/>
          <w:szCs w:val="16"/>
          <w:color w:val="auto"/>
        </w:rPr>
        <w:t xml:space="preserve"> in the price of component lumber products, we attempt to lock in costs with our suppliers for these sales commitments. Also, the time period and quantity limitations generally allow us to eventually re-price our products for changes in lumber costs from our suppliers.</w:t>
      </w:r>
    </w:p>
    <w:p>
      <w:pPr>
        <w:spacing w:after="0" w:line="167" w:lineRule="exact"/>
        <w:rPr>
          <w:rFonts w:ascii="Arial" w:cs="Arial" w:eastAsia="Arial" w:hAnsi="Arial"/>
          <w:sz w:val="16"/>
          <w:szCs w:val="16"/>
          <w:color w:val="auto"/>
        </w:rPr>
      </w:pPr>
    </w:p>
    <w:p>
      <w:pPr>
        <w:jc w:val="both"/>
        <w:ind w:left="680" w:hanging="320"/>
        <w:spacing w:after="0" w:line="312"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Products with selling prices indexed to the reported Lumber Market with a fixed dollar "adder" to cover conversion costs and profits. These products primarily include treated lumber, remanufactured lumber, and trusses sold to the manufactured housing industry. For these products, we estimate the customers’ needs and we</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80"/>
        <w:spacing w:after="0" w:line="302" w:lineRule="auto"/>
        <w:rPr>
          <w:sz w:val="20"/>
          <w:szCs w:val="20"/>
          <w:color w:val="auto"/>
        </w:rPr>
      </w:pPr>
      <w:r>
        <w:rPr>
          <w:rFonts w:ascii="Arial" w:cs="Arial" w:eastAsia="Arial" w:hAnsi="Arial"/>
          <w:sz w:val="16"/>
          <w:szCs w:val="16"/>
          <w:color w:val="auto"/>
        </w:rPr>
        <w:t>carry anticipated levels of inventory. Because lumber costs are incurred in advance of final sale prices, subsequent increases or decreases in the market price of lumber impact our profitability. In other words, for these products, our margins are exposed to changes in the trend of lumber prices. We believe our sales of these products are at their highest relative level in our second quarter, primarily due to treated lumber sold to the retail market.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jc w:val="both"/>
        <w:ind w:left="680" w:hanging="320"/>
        <w:spacing w:after="0" w:line="254"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16% of our total sales. This exposure is less significant with remanufactured lumber, trusses sold to the manufactured housing market, and other similar products, due to our higher rate of inventory turnover of these products. We attempt to mitigate the risk associated with treated lumber through vendor consignment inventory programs. (</w:t>
      </w:r>
      <w:r>
        <w:rPr>
          <w:rFonts w:ascii="Arial" w:cs="Arial" w:eastAsia="Arial" w:hAnsi="Arial"/>
          <w:sz w:val="18"/>
          <w:szCs w:val="18"/>
          <w:i w:val="1"/>
          <w:iCs w:val="1"/>
          <w:color w:val="auto"/>
        </w:rPr>
        <w:t>Please refer to</w:t>
      </w:r>
      <w:r>
        <w:rPr>
          <w:rFonts w:ascii="Arial" w:cs="Arial" w:eastAsia="Arial" w:hAnsi="Arial"/>
          <w:sz w:val="18"/>
          <w:szCs w:val="18"/>
          <w:color w:val="auto"/>
        </w:rPr>
        <w:t xml:space="preserve"> </w:t>
      </w:r>
      <w:r>
        <w:rPr>
          <w:rFonts w:ascii="Arial" w:cs="Arial" w:eastAsia="Arial" w:hAnsi="Arial"/>
          <w:sz w:val="18"/>
          <w:szCs w:val="18"/>
          <w:i w:val="1"/>
          <w:iCs w:val="1"/>
          <w:color w:val="auto"/>
        </w:rPr>
        <w:t>the “Risk Factors” section of our annual report on form 10-K, filed with the United States Securities and Exchange Commission.</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680" w:hanging="320"/>
        <w:spacing w:after="0" w:line="286" w:lineRule="auto"/>
        <w:tabs>
          <w:tab w:leader="none" w:pos="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Products with fixed selling prices sold under long-term supply arrangements, particularly those involving multi-family construction projects. We attempt to mitigate this risk through our purchasing practices by locking in costs or including re-pricing triggers if lumber prices change in excess of an agreed upon percentage.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addition to the impact of the Lumber Market </w:t>
      </w:r>
      <w:r>
        <w:rPr>
          <w:rFonts w:ascii="Arial" w:cs="Arial" w:eastAsia="Arial" w:hAnsi="Arial"/>
          <w:sz w:val="16"/>
          <w:szCs w:val="16"/>
          <w:u w:val="single" w:color="auto"/>
          <w:color w:val="auto"/>
        </w:rPr>
        <w:t>trends</w:t>
      </w:r>
      <w:r>
        <w:rPr>
          <w:rFonts w:ascii="Arial" w:cs="Arial" w:eastAsia="Arial" w:hAnsi="Arial"/>
          <w:sz w:val="16"/>
          <w:szCs w:val="16"/>
          <w:color w:val="auto"/>
        </w:rPr>
        <w:t xml:space="preserve"> on gross margins, changes in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within each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Period 2</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2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2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2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Gross margin</w:t>
            </w: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As is apparent from the preceding example, the </w:t>
      </w:r>
      <w:r>
        <w:rPr>
          <w:rFonts w:ascii="Arial" w:cs="Arial" w:eastAsia="Arial" w:hAnsi="Arial"/>
          <w:sz w:val="17"/>
          <w:szCs w:val="17"/>
          <w:u w:val="single" w:color="auto"/>
          <w:color w:val="auto"/>
        </w:rPr>
        <w:t>level</w:t>
      </w:r>
      <w:r>
        <w:rPr>
          <w:rFonts w:ascii="Arial" w:cs="Arial" w:eastAsia="Arial" w:hAnsi="Arial"/>
          <w:sz w:val="17"/>
          <w:szCs w:val="17"/>
          <w:color w:val="auto"/>
        </w:rPr>
        <w:t xml:space="preserve"> of lumber prices does not impact our overall profits but does impact our margins. Gross margins and operating margins are negatively impacted during periods of high lumber prices; conversely, we experience margin improvement when lumber prices are relatively low. As a result of this factor, we believe it is useful to compare our change in units shipped with our change in gross profits, operating profits, and selling, general, and administrative expenses as a method of evaluating our profitability and efficiency.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COMBINATIONS AND ASSET PURCHASES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completed three business acquisitions during 2019 and seven during 2018. The annual historical sales attributable to acquisitions in 2019 and 2018 were approximately $37 million and $140 million, respectively. These business combinations were not significant to our operating results individually or in aggregate, and thus pro forma results for 2019 and 2018 are not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C, "Business Combinations" for additional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presents, for the periods indicated, the components of our Consolidated Statements of Earnings as a percentage of net sales. Please see our 2018 10-K for discussion of our 2018 results of operations compared to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20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Year Ended</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26"/>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92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4"/>
              </w:rPr>
              <w:t>December 28,</w:t>
            </w:r>
          </w:p>
        </w:tc>
        <w:tc>
          <w:tcPr>
            <w:tcW w:w="26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2"/>
              </w:rPr>
              <w:t>December 29,</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67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gain on disposition and impairment of assets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earnings</w:t>
            </w: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0"/>
        </w:trPr>
        <w:tc>
          <w:tcPr>
            <w:tcW w:w="6720" w:type="dxa"/>
            <w:vAlign w:val="bottom"/>
            <w:gridSpan w:val="2"/>
          </w:tcPr>
          <w:p>
            <w:pPr>
              <w:spacing w:after="0"/>
              <w:rPr>
                <w:sz w:val="20"/>
                <w:szCs w:val="20"/>
                <w:color w:val="auto"/>
              </w:rPr>
            </w:pPr>
            <w:r>
              <w:rPr>
                <w:rFonts w:ascii="Arial" w:cs="Arial" w:eastAsia="Arial" w:hAnsi="Arial"/>
                <w:sz w:val="18"/>
                <w:szCs w:val="18"/>
                <w:color w:val="auto"/>
              </w:rPr>
              <w:t>Net earnings attributable to controlling interest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 presents, for the periods indicated, the components of our Consolidated Statements of Earnings as a percentage of sales, adjusted to restate 2019 sales and cost of goods sold to be based on 2018 lumber prices. The restated sales amounts were calculated by applying unit sales growth from 2019 to 2018 sales. By eliminating the “pass-through” impact of higher or lower lumber prices on sales and cost of goods sold from year to year, we believe this provides an enhanced view of our change in profitability and costs as a percentage of sales. The amount of the adjustment to 2019 sales was also applied to cost of goods sold so that gross profit remains unchanged.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56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Adjusted for Lumber Market Change</w:t>
            </w:r>
          </w:p>
        </w:tc>
      </w:tr>
      <w:tr>
        <w:trPr>
          <w:trHeight w:val="178"/>
        </w:trPr>
        <w:tc>
          <w:tcPr>
            <w:tcW w:w="6500" w:type="dxa"/>
            <w:vAlign w:val="bottom"/>
          </w:tcPr>
          <w:p>
            <w:pPr>
              <w:spacing w:after="0"/>
              <w:rPr>
                <w:sz w:val="15"/>
                <w:szCs w:val="15"/>
                <w:color w:val="auto"/>
              </w:rPr>
            </w:pPr>
          </w:p>
        </w:tc>
        <w:tc>
          <w:tcPr>
            <w:tcW w:w="228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Year Ended</w:t>
            </w:r>
          </w:p>
        </w:tc>
        <w:tc>
          <w:tcPr>
            <w:tcW w:w="280" w:type="dxa"/>
            <w:vAlign w:val="bottom"/>
            <w:tcBorders>
              <w:bottom w:val="single" w:sz="8" w:color="auto"/>
            </w:tcBorders>
          </w:tcPr>
          <w:p>
            <w:pPr>
              <w:spacing w:after="0"/>
              <w:rPr>
                <w:sz w:val="15"/>
                <w:szCs w:val="15"/>
                <w:color w:val="auto"/>
              </w:rPr>
            </w:pPr>
          </w:p>
        </w:tc>
      </w:tr>
      <w:tr>
        <w:trPr>
          <w:trHeight w:val="126"/>
        </w:trPr>
        <w:tc>
          <w:tcPr>
            <w:tcW w:w="6500" w:type="dxa"/>
            <w:vAlign w:val="bottom"/>
          </w:tcPr>
          <w:p>
            <w:pPr>
              <w:spacing w:after="0"/>
              <w:rPr>
                <w:sz w:val="10"/>
                <w:szCs w:val="10"/>
                <w:color w:val="auto"/>
              </w:rPr>
            </w:pPr>
          </w:p>
        </w:tc>
        <w:tc>
          <w:tcPr>
            <w:tcW w:w="1020" w:type="dxa"/>
            <w:vAlign w:val="bottom"/>
          </w:tcPr>
          <w:p>
            <w:pPr>
              <w:jc w:val="right"/>
              <w:ind w:right="14"/>
              <w:spacing w:after="0" w:line="126" w:lineRule="exact"/>
              <w:rPr>
                <w:sz w:val="20"/>
                <w:szCs w:val="20"/>
                <w:color w:val="auto"/>
              </w:rPr>
            </w:pPr>
            <w:r>
              <w:rPr>
                <w:rFonts w:ascii="Arial" w:cs="Arial" w:eastAsia="Arial" w:hAnsi="Arial"/>
                <w:sz w:val="14"/>
                <w:szCs w:val="14"/>
                <w:b w:val="1"/>
                <w:bCs w:val="1"/>
                <w:color w:val="auto"/>
                <w:w w:val="98"/>
              </w:rPr>
              <w:t>December 28,</w:t>
            </w:r>
          </w:p>
        </w:tc>
        <w:tc>
          <w:tcPr>
            <w:tcW w:w="240" w:type="dxa"/>
            <w:vAlign w:val="bottom"/>
          </w:tcPr>
          <w:p>
            <w:pPr>
              <w:spacing w:after="0"/>
              <w:rPr>
                <w:sz w:val="10"/>
                <w:szCs w:val="10"/>
                <w:color w:val="auto"/>
              </w:rPr>
            </w:pPr>
          </w:p>
        </w:tc>
        <w:tc>
          <w:tcPr>
            <w:tcW w:w="102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December 29,</w:t>
            </w:r>
          </w:p>
        </w:tc>
        <w:tc>
          <w:tcPr>
            <w:tcW w:w="280" w:type="dxa"/>
            <w:vAlign w:val="bottom"/>
          </w:tcPr>
          <w:p>
            <w:pPr>
              <w:spacing w:after="0"/>
              <w:rPr>
                <w:sz w:val="10"/>
                <w:szCs w:val="10"/>
                <w:color w:val="auto"/>
              </w:rPr>
            </w:pPr>
          </w:p>
        </w:tc>
      </w:tr>
      <w:tr>
        <w:trPr>
          <w:trHeight w:val="178"/>
        </w:trPr>
        <w:tc>
          <w:tcPr>
            <w:tcW w:w="65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5"/>
                <w:szCs w:val="15"/>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r>
      <w:tr>
        <w:trPr>
          <w:trHeight w:val="216"/>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280" w:type="dxa"/>
            <w:vAlign w:val="bottom"/>
            <w:tcBorders>
              <w:bottom w:val="single" w:sz="8" w:color="CCEEFF"/>
            </w:tcBorders>
          </w:tcPr>
          <w:p>
            <w:pPr>
              <w:spacing w:after="0"/>
              <w:rPr>
                <w:sz w:val="18"/>
                <w:szCs w:val="18"/>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gain on disposition and impairment of assets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Net earnings</w:t>
            </w: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Net earnings attributable to controlling interest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r>
      <w:tr>
        <w:trPr>
          <w:trHeight w:val="20"/>
        </w:trPr>
        <w:tc>
          <w:tcPr>
            <w:tcW w:w="6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presents, for the periods included, our selling, general, and administrative (SG&amp;A) costs as a percentage of gross profit. Given our strategies to enhance our capabilities and improve our value-added product offering and recognizing the higher relative level of SG&amp;A costs these strategies require, we believe this ratio provides an enhanced view of our effectiveness in managing these costs and mitigates the impact of changing lumber prices.</w:t>
      </w:r>
    </w:p>
    <w:p>
      <w:pPr>
        <w:spacing w:after="0" w:line="177"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SG&amp;A as a Percentage of Gross Profit</w:t>
      </w:r>
    </w:p>
    <w:p>
      <w:pPr>
        <w:jc w:val="center"/>
        <w:ind w:left="5580"/>
        <w:spacing w:after="0" w:line="236" w:lineRule="auto"/>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560" w:type="dxa"/>
            <w:vAlign w:val="bottom"/>
          </w:tcPr>
          <w:p>
            <w:pPr>
              <w:spacing w:after="0"/>
              <w:rPr>
                <w:sz w:val="11"/>
                <w:szCs w:val="11"/>
                <w:color w:val="auto"/>
              </w:rPr>
            </w:pPr>
          </w:p>
        </w:tc>
        <w:tc>
          <w:tcPr>
            <w:tcW w:w="1880" w:type="dxa"/>
            <w:vAlign w:val="bottom"/>
            <w:tcBorders>
              <w:top w:val="single" w:sz="8" w:color="auto"/>
            </w:tcBorders>
            <w:gridSpan w:val="2"/>
          </w:tcPr>
          <w:p>
            <w:pPr>
              <w:ind w:left="400"/>
              <w:spacing w:after="0" w:line="133" w:lineRule="exact"/>
              <w:rPr>
                <w:sz w:val="20"/>
                <w:szCs w:val="20"/>
                <w:color w:val="auto"/>
              </w:rPr>
            </w:pPr>
            <w:r>
              <w:rPr>
                <w:rFonts w:ascii="Arial" w:cs="Arial" w:eastAsia="Arial" w:hAnsi="Arial"/>
                <w:sz w:val="14"/>
                <w:szCs w:val="14"/>
                <w:b w:val="1"/>
                <w:bCs w:val="1"/>
                <w:color w:val="auto"/>
              </w:rPr>
              <w:t>December 28,</w:t>
            </w:r>
          </w:p>
        </w:tc>
        <w:tc>
          <w:tcPr>
            <w:tcW w:w="1620" w:type="dxa"/>
            <w:vAlign w:val="bottom"/>
            <w:tcBorders>
              <w:top w:val="single" w:sz="8" w:color="auto"/>
            </w:tcBorders>
          </w:tcPr>
          <w:p>
            <w:pPr>
              <w:jc w:val="right"/>
              <w:ind w:right="297"/>
              <w:spacing w:after="0" w:line="133" w:lineRule="exact"/>
              <w:rPr>
                <w:sz w:val="20"/>
                <w:szCs w:val="20"/>
                <w:color w:val="auto"/>
              </w:rPr>
            </w:pPr>
            <w:r>
              <w:rPr>
                <w:rFonts w:ascii="Arial" w:cs="Arial" w:eastAsia="Arial" w:hAnsi="Arial"/>
                <w:sz w:val="14"/>
                <w:szCs w:val="14"/>
                <w:b w:val="1"/>
                <w:bCs w:val="1"/>
                <w:color w:val="auto"/>
              </w:rPr>
              <w:t>December 29,</w:t>
            </w:r>
          </w:p>
        </w:tc>
      </w:tr>
      <w:tr>
        <w:trPr>
          <w:trHeight w:val="178"/>
        </w:trPr>
        <w:tc>
          <w:tcPr>
            <w:tcW w:w="556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685,518</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592,894</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Pr>
          <w:p>
            <w:pPr>
              <w:jc w:val="right"/>
              <w:spacing w:after="0"/>
              <w:rPr>
                <w:sz w:val="20"/>
                <w:szCs w:val="20"/>
                <w:color w:val="auto"/>
              </w:rPr>
            </w:pPr>
            <w:r>
              <w:rPr>
                <w:rFonts w:ascii="Arial" w:cs="Arial" w:eastAsia="Arial" w:hAnsi="Arial"/>
                <w:sz w:val="18"/>
                <w:szCs w:val="18"/>
                <w:color w:val="auto"/>
              </w:rPr>
              <w:t>439,047</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392,235</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SG&amp;A as percentage of gross profit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primarily design, manufacture and market wood and wood-alternative products for national home centers and other retailers, structural lumber and other products for the manufactured housing industry, engineered wood components for residential and commercial construction, customized interior fixtures used in a variety of retail stores, commercial and other structures, and specialty wood packaging, components and other packing materials for various industries. Our strategic long-term sales objectives include:</w:t>
      </w:r>
    </w:p>
    <w:p>
      <w:pPr>
        <w:spacing w:after="0" w:line="188" w:lineRule="exact"/>
        <w:rPr>
          <w:sz w:val="20"/>
          <w:szCs w:val="20"/>
          <w:color w:val="auto"/>
        </w:rPr>
      </w:pPr>
    </w:p>
    <w:p>
      <w:pPr>
        <w:ind w:left="680" w:hanging="32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225" w:lineRule="exact"/>
        <w:rPr>
          <w:rFonts w:ascii="Arial" w:cs="Arial" w:eastAsia="Arial" w:hAnsi="Arial"/>
          <w:sz w:val="18"/>
          <w:szCs w:val="18"/>
          <w:color w:val="auto"/>
        </w:rPr>
      </w:pPr>
    </w:p>
    <w:p>
      <w:pPr>
        <w:jc w:val="both"/>
        <w:ind w:left="680" w:hanging="320"/>
        <w:spacing w:after="0" w:line="25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Diversifying our end market sales mix by increasing sales of specialty wood and protective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casework and millwork used in a variety of commercial markets.</w:t>
      </w:r>
    </w:p>
    <w:p>
      <w:pPr>
        <w:spacing w:after="0" w:line="188" w:lineRule="exact"/>
        <w:rPr>
          <w:rFonts w:ascii="Arial" w:cs="Arial" w:eastAsia="Arial" w:hAnsi="Arial"/>
          <w:sz w:val="18"/>
          <w:szCs w:val="18"/>
          <w:color w:val="auto"/>
        </w:rPr>
      </w:pPr>
    </w:p>
    <w:p>
      <w:pPr>
        <w:ind w:left="680" w:hanging="32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225" w:lineRule="exact"/>
        <w:rPr>
          <w:rFonts w:ascii="Arial" w:cs="Arial" w:eastAsia="Arial" w:hAnsi="Arial"/>
          <w:sz w:val="18"/>
          <w:szCs w:val="18"/>
          <w:color w:val="auto"/>
        </w:rPr>
      </w:pPr>
    </w:p>
    <w:p>
      <w:pPr>
        <w:jc w:val="both"/>
        <w:ind w:left="680" w:hanging="320"/>
        <w:spacing w:after="0" w:line="255"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sales of "value-added" products, which primarily consist of fencing, decking, lattice, and other specialty products sold to the retail market, specialty wood packaging, engineered wood components, customized interior fixtures, casework and millwork,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preservative treated lumber is not presently included in the value-added sales, unless it has been processed in another manner.</w:t>
      </w:r>
    </w:p>
    <w:p>
      <w:pPr>
        <w:spacing w:after="0" w:line="189"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The following table presents, for the periods indicated, our percentage of value-added and commodity-based sales to total sales. Value-added products generally carry higher gross margins than our commodity-based products.</w:t>
      </w:r>
    </w:p>
    <w:p>
      <w:pPr>
        <w:spacing w:after="0" w:line="129" w:lineRule="exact"/>
        <w:rPr>
          <w:sz w:val="20"/>
          <w:szCs w:val="20"/>
          <w:color w:val="auto"/>
        </w:rPr>
      </w:pPr>
    </w:p>
    <w:tbl>
      <w:tblPr>
        <w:tblLayout w:type="fixed"/>
        <w:tblInd w:w="104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12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Value-Added</w:t>
            </w: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6"/>
              </w:rPr>
              <w:t>Commodity-Based</w:t>
            </w:r>
          </w:p>
        </w:tc>
      </w:tr>
      <w:tr>
        <w:trPr>
          <w:trHeight w:val="230"/>
        </w:trPr>
        <w:tc>
          <w:tcPr>
            <w:tcW w:w="5260" w:type="dxa"/>
            <w:vAlign w:val="bottom"/>
            <w:tcBorders>
              <w:top w:val="single" w:sz="8" w:color="CCEEFF"/>
            </w:tcBorders>
            <w:shd w:val="clear" w:color="auto" w:fill="CCEEFF"/>
          </w:tcPr>
          <w:p>
            <w:pPr>
              <w:jc w:val="right"/>
              <w:ind w:right="4810"/>
              <w:spacing w:after="0"/>
              <w:rPr>
                <w:sz w:val="20"/>
                <w:szCs w:val="20"/>
                <w:color w:val="auto"/>
              </w:rPr>
            </w:pPr>
            <w:r>
              <w:rPr>
                <w:rFonts w:ascii="Arial" w:cs="Arial" w:eastAsia="Arial" w:hAnsi="Arial"/>
                <w:sz w:val="18"/>
                <w:szCs w:val="18"/>
                <w:color w:val="auto"/>
                <w:w w:val="84"/>
              </w:rPr>
              <w:t>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5260" w:type="dxa"/>
            <w:vAlign w:val="bottom"/>
          </w:tcPr>
          <w:p>
            <w:pPr>
              <w:jc w:val="right"/>
              <w:ind w:right="4810"/>
              <w:spacing w:after="0"/>
              <w:rPr>
                <w:sz w:val="20"/>
                <w:szCs w:val="20"/>
                <w:color w:val="auto"/>
              </w:rPr>
            </w:pPr>
            <w:r>
              <w:rPr>
                <w:rFonts w:ascii="Arial" w:cs="Arial" w:eastAsia="Arial" w:hAnsi="Arial"/>
                <w:sz w:val="18"/>
                <w:szCs w:val="18"/>
                <w:color w:val="auto"/>
                <w:w w:val="84"/>
              </w:rPr>
              <w:t>2018</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64.4 %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35.6 %</w:t>
            </w:r>
          </w:p>
        </w:tc>
      </w:tr>
    </w:tbl>
    <w:p>
      <w:pPr>
        <w:spacing w:after="0" w:line="309" w:lineRule="exact"/>
        <w:rPr>
          <w:sz w:val="20"/>
          <w:szCs w:val="20"/>
          <w:color w:val="auto"/>
        </w:rPr>
      </w:pPr>
    </w:p>
    <w:p>
      <w:pPr>
        <w:ind w:left="680" w:hanging="320"/>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Developing new products and expanding our product offering. New product sales are presented by market in the table below (in thousands).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97" w:lineRule="exact"/>
        <w:rPr>
          <w:sz w:val="20"/>
          <w:szCs w:val="20"/>
          <w:color w:val="auto"/>
        </w:rPr>
      </w:pPr>
    </w:p>
    <w:tbl>
      <w:tblPr>
        <w:tblLayout w:type="fixed"/>
        <w:tblInd w:w="920" w:type="dxa"/>
        <w:tblCellMar>
          <w:top w:w="0" w:type="dxa"/>
          <w:left w:w="0" w:type="dxa"/>
          <w:bottom w:w="0" w:type="dxa"/>
          <w:right w:w="0" w:type="dxa"/>
        </w:tblCellMar>
      </w:tblPr>
      <w:tr>
        <w:trPr>
          <w:trHeight w:val="178"/>
        </w:trPr>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center"/>
              <w:ind w:left="838"/>
              <w:spacing w:after="0"/>
              <w:rPr>
                <w:sz w:val="20"/>
                <w:szCs w:val="20"/>
                <w:color w:val="auto"/>
              </w:rPr>
            </w:pPr>
            <w:r>
              <w:rPr>
                <w:rFonts w:ascii="Arial" w:cs="Arial" w:eastAsia="Arial" w:hAnsi="Arial"/>
                <w:sz w:val="14"/>
                <w:szCs w:val="14"/>
                <w:b w:val="1"/>
                <w:bCs w:val="1"/>
                <w:color w:val="auto"/>
                <w:w w:val="94"/>
              </w:rPr>
              <w:t>New Product Sales by Market</w:t>
            </w:r>
          </w:p>
        </w:tc>
        <w:tc>
          <w:tcPr>
            <w:tcW w:w="1120" w:type="dxa"/>
            <w:vAlign w:val="bottom"/>
            <w:tcBorders>
              <w:bottom w:val="single" w:sz="8" w:color="auto"/>
            </w:tcBorders>
          </w:tcPr>
          <w:p>
            <w:pPr>
              <w:spacing w:after="0"/>
              <w:rPr>
                <w:sz w:val="15"/>
                <w:szCs w:val="15"/>
                <w:color w:val="auto"/>
              </w:rPr>
            </w:pPr>
          </w:p>
        </w:tc>
      </w:tr>
      <w:tr>
        <w:trPr>
          <w:trHeight w:val="156"/>
        </w:trPr>
        <w:tc>
          <w:tcPr>
            <w:tcW w:w="1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center"/>
              <w:ind w:right="125"/>
              <w:spacing w:after="0" w:line="149" w:lineRule="exact"/>
              <w:rPr>
                <w:sz w:val="20"/>
                <w:szCs w:val="20"/>
                <w:color w:val="auto"/>
              </w:rPr>
            </w:pPr>
            <w:r>
              <w:rPr>
                <w:rFonts w:ascii="Arial" w:cs="Arial" w:eastAsia="Arial" w:hAnsi="Arial"/>
                <w:sz w:val="14"/>
                <w:szCs w:val="14"/>
                <w:b w:val="1"/>
                <w:bCs w:val="1"/>
                <w:color w:val="auto"/>
                <w:w w:val="93"/>
              </w:rPr>
              <w:t>Twelve Months Ended</w:t>
            </w:r>
          </w:p>
        </w:tc>
        <w:tc>
          <w:tcPr>
            <w:tcW w:w="1120" w:type="dxa"/>
            <w:vAlign w:val="bottom"/>
            <w:tcBorders>
              <w:bottom w:val="single" w:sz="8" w:color="auto"/>
            </w:tcBorders>
          </w:tcPr>
          <w:p>
            <w:pPr>
              <w:spacing w:after="0"/>
              <w:rPr>
                <w:sz w:val="13"/>
                <w:szCs w:val="13"/>
                <w:color w:val="auto"/>
              </w:rPr>
            </w:pPr>
          </w:p>
        </w:tc>
      </w:tr>
      <w:tr>
        <w:trPr>
          <w:trHeight w:val="126"/>
        </w:trPr>
        <w:tc>
          <w:tcPr>
            <w:tcW w:w="1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right"/>
              <w:ind w:right="138"/>
              <w:spacing w:after="0" w:line="126" w:lineRule="exact"/>
              <w:rPr>
                <w:sz w:val="20"/>
                <w:szCs w:val="20"/>
                <w:color w:val="auto"/>
              </w:rPr>
            </w:pPr>
            <w:r>
              <w:rPr>
                <w:rFonts w:ascii="Arial" w:cs="Arial" w:eastAsia="Arial" w:hAnsi="Arial"/>
                <w:sz w:val="14"/>
                <w:szCs w:val="14"/>
                <w:b w:val="1"/>
                <w:bCs w:val="1"/>
                <w:color w:val="auto"/>
                <w:w w:val="98"/>
              </w:rPr>
              <w:t>December 28,</w:t>
            </w:r>
          </w:p>
        </w:tc>
        <w:tc>
          <w:tcPr>
            <w:tcW w:w="1120" w:type="dxa"/>
            <w:vAlign w:val="bottom"/>
            <w:gridSpan w:val="3"/>
          </w:tcPr>
          <w:p>
            <w:pPr>
              <w:jc w:val="center"/>
              <w:ind w:left="179"/>
              <w:spacing w:after="0" w:line="126"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jc w:val="right"/>
              <w:ind w:right="196"/>
              <w:spacing w:after="0" w:line="126" w:lineRule="exact"/>
              <w:rPr>
                <w:sz w:val="20"/>
                <w:szCs w:val="20"/>
                <w:color w:val="auto"/>
              </w:rPr>
            </w:pPr>
            <w:r>
              <w:rPr>
                <w:rFonts w:ascii="Arial" w:cs="Arial" w:eastAsia="Arial" w:hAnsi="Arial"/>
                <w:sz w:val="14"/>
                <w:szCs w:val="14"/>
                <w:b w:val="1"/>
                <w:bCs w:val="1"/>
                <w:color w:val="auto"/>
                <w:w w:val="90"/>
              </w:rPr>
              <w:t>December 29,</w:t>
            </w:r>
          </w:p>
        </w:tc>
      </w:tr>
      <w:tr>
        <w:trPr>
          <w:trHeight w:val="191"/>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Market Classification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1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76"/>
              <w:spacing w:after="0"/>
              <w:rPr>
                <w:sz w:val="20"/>
                <w:szCs w:val="20"/>
                <w:color w:val="auto"/>
              </w:rPr>
            </w:pPr>
            <w:r>
              <w:rPr>
                <w:rFonts w:ascii="Arial" w:cs="Arial" w:eastAsia="Arial" w:hAnsi="Arial"/>
                <w:sz w:val="14"/>
                <w:szCs w:val="14"/>
                <w:b w:val="1"/>
                <w:bCs w:val="1"/>
                <w:color w:val="auto"/>
              </w:rPr>
              <w:t>2018</w:t>
            </w:r>
          </w:p>
        </w:tc>
      </w:tr>
      <w:tr>
        <w:trPr>
          <w:trHeight w:val="203"/>
        </w:trPr>
        <w:tc>
          <w:tcPr>
            <w:tcW w:w="1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361,954</w:t>
            </w: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14.5</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316,017</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97,765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88,063</w:t>
            </w:r>
          </w:p>
        </w:tc>
      </w:tr>
      <w:tr>
        <w:trPr>
          <w:trHeight w:val="23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75,173</w:t>
            </w:r>
          </w:p>
        </w:tc>
      </w:tr>
      <w:tr>
        <w:trPr>
          <w:trHeight w:val="203"/>
        </w:trPr>
        <w:tc>
          <w:tcPr>
            <w:tcW w:w="24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New Product Sales</w:t>
            </w: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539,786</w:t>
            </w:r>
          </w:p>
        </w:tc>
        <w:tc>
          <w:tcPr>
            <w:tcW w:w="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12.6</w:t>
            </w: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479,253</w:t>
            </w:r>
          </w:p>
        </w:tc>
      </w:tr>
      <w:tr>
        <w:trPr>
          <w:trHeight w:val="20"/>
        </w:trPr>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Note: Certain prior year product reclassifications resulted in a decrease and increase in new product sales in 2018.</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annual goal is for 2019 was to achieve new product sales of $525 million. The definition we use for a new product includes sales of products developed and launched in a previous year that are continuing to increase each year. We remove new products from the reporting above in the year following when growth in sales has stopped.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for the periods indicated, our gross sales (in thousands) and percentage change in gross sales by market classification.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Year Ended</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28,</w:t>
            </w:r>
          </w:p>
        </w:tc>
        <w:tc>
          <w:tcPr>
            <w:tcW w:w="74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Arial" w:cs="Arial" w:eastAsia="Arial" w:hAnsi="Arial"/>
                <w:sz w:val="14"/>
                <w:szCs w:val="14"/>
                <w:b w:val="1"/>
                <w:bCs w:val="1"/>
                <w:color w:val="auto"/>
                <w:w w:val="90"/>
              </w:rPr>
              <w:t>December 29,</w:t>
            </w:r>
          </w:p>
        </w:tc>
      </w:tr>
      <w:tr>
        <w:trPr>
          <w:trHeight w:val="198"/>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Market Classification</w:t>
            </w: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r>
      <w:tr>
        <w:trPr>
          <w:trHeight w:val="203"/>
        </w:trPr>
        <w:tc>
          <w:tcPr>
            <w:tcW w:w="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4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1,638,885</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1,659,503</w:t>
            </w: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1,329,245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1,307,350</w:t>
            </w:r>
          </w:p>
        </w:tc>
      </w:tr>
      <w:tr>
        <w:trPr>
          <w:trHeight w:val="236"/>
        </w:trPr>
        <w:tc>
          <w:tcPr>
            <w:tcW w:w="20" w:type="dxa"/>
            <w:vAlign w:val="bottom"/>
          </w:tcPr>
          <w:p>
            <w:pPr>
              <w:spacing w:after="0"/>
              <w:rPr>
                <w:sz w:val="20"/>
                <w:szCs w:val="20"/>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1,524,053</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1,598,896</w:t>
            </w:r>
          </w:p>
        </w:tc>
      </w:tr>
      <w:tr>
        <w:trPr>
          <w:trHeight w:val="203"/>
        </w:trPr>
        <w:tc>
          <w:tcPr>
            <w:tcW w:w="20" w:type="dxa"/>
            <w:vAlign w:val="bottom"/>
          </w:tcPr>
          <w:p>
            <w:pPr>
              <w:spacing w:after="0"/>
              <w:rPr>
                <w:sz w:val="17"/>
                <w:szCs w:val="17"/>
                <w:color w:val="auto"/>
              </w:rPr>
            </w:pPr>
          </w:p>
        </w:tc>
        <w:tc>
          <w:tcPr>
            <w:tcW w:w="374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2"/>
              </w:rPr>
              <w:t>4,492,183</w:t>
            </w:r>
          </w:p>
        </w:tc>
        <w:tc>
          <w:tcPr>
            <w:tcW w:w="7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4,565,749</w:t>
            </w:r>
          </w:p>
        </w:tc>
      </w:tr>
      <w:tr>
        <w:trPr>
          <w:trHeight w:val="236"/>
        </w:trPr>
        <w:tc>
          <w:tcPr>
            <w:tcW w:w="20" w:type="dxa"/>
            <w:vAlign w:val="bottom"/>
          </w:tcPr>
          <w:p>
            <w:pPr>
              <w:spacing w:after="0"/>
              <w:rPr>
                <w:sz w:val="20"/>
                <w:szCs w:val="20"/>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(76,174)</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(76,569)</w:t>
            </w:r>
          </w:p>
        </w:tc>
      </w:tr>
      <w:tr>
        <w:trPr>
          <w:trHeight w:val="203"/>
        </w:trPr>
        <w:tc>
          <w:tcPr>
            <w:tcW w:w="3760" w:type="dxa"/>
            <w:vAlign w:val="bottom"/>
            <w:gridSpan w:val="3"/>
          </w:tcPr>
          <w:p>
            <w:pPr>
              <w:spacing w:after="0" w:line="203" w:lineRule="exact"/>
              <w:rPr>
                <w:sz w:val="20"/>
                <w:szCs w:val="20"/>
                <w:color w:val="auto"/>
              </w:rPr>
            </w:pPr>
            <w:r>
              <w:rPr>
                <w:rFonts w:ascii="Arial" w:cs="Arial" w:eastAsia="Arial" w:hAnsi="Arial"/>
                <w:sz w:val="18"/>
                <w:szCs w:val="18"/>
                <w:color w:val="auto"/>
              </w:rPr>
              <w:t>Total Net Sales</w:t>
            </w:r>
          </w:p>
        </w:tc>
        <w:tc>
          <w:tcPr>
            <w:tcW w:w="24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4,416,009</w:t>
            </w:r>
          </w:p>
        </w:tc>
        <w:tc>
          <w:tcPr>
            <w:tcW w:w="7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4,489,180</w:t>
            </w: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Note: During 2018, certain customers were reclassified to a different market. Prior year information has been restated to reflect these changes.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estimates, for the periods indicated, of our percentage change in gross sales which were attributable to changes in overall selling prices versus changes in units shipped.</w:t>
      </w:r>
    </w:p>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178"/>
        </w:trPr>
        <w:tc>
          <w:tcPr>
            <w:tcW w:w="39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 Change</w:t>
            </w: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tcPr>
          <w:p>
            <w:pPr>
              <w:jc w:val="center"/>
              <w:ind w:right="170"/>
              <w:spacing w:after="0" w:line="126" w:lineRule="exact"/>
              <w:rPr>
                <w:sz w:val="20"/>
                <w:szCs w:val="20"/>
                <w:color w:val="auto"/>
              </w:rPr>
            </w:pPr>
            <w:r>
              <w:rPr>
                <w:rFonts w:ascii="Arial" w:cs="Arial" w:eastAsia="Arial" w:hAnsi="Arial"/>
                <w:sz w:val="14"/>
                <w:szCs w:val="14"/>
                <w:b w:val="1"/>
                <w:bCs w:val="1"/>
                <w:color w:val="auto"/>
                <w:w w:val="91"/>
              </w:rPr>
              <w:t>Acquisition</w:t>
            </w:r>
          </w:p>
        </w:tc>
        <w:tc>
          <w:tcPr>
            <w:tcW w:w="760" w:type="dxa"/>
            <w:vAlign w:val="bottom"/>
            <w:gridSpan w:val="2"/>
          </w:tcPr>
          <w:p>
            <w:pPr>
              <w:jc w:val="center"/>
              <w:ind w:right="170"/>
              <w:spacing w:after="0" w:line="126" w:lineRule="exact"/>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in Sales</w:t>
            </w:r>
          </w:p>
        </w:tc>
        <w:tc>
          <w:tcPr>
            <w:tcW w:w="240" w:type="dxa"/>
            <w:vAlign w:val="bottom"/>
            <w:vMerge w:val="restart"/>
          </w:tcPr>
          <w:p>
            <w:pPr>
              <w:spacing w:after="0"/>
              <w:rPr>
                <w:sz w:val="12"/>
                <w:szCs w:val="12"/>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in Selling Prices</w:t>
            </w:r>
          </w:p>
        </w:tc>
        <w:tc>
          <w:tcPr>
            <w:tcW w:w="120" w:type="dxa"/>
            <w:vAlign w:val="bottom"/>
          </w:tcPr>
          <w:p>
            <w:pPr>
              <w:spacing w:after="0"/>
              <w:rPr>
                <w:sz w:val="12"/>
                <w:szCs w:val="12"/>
                <w:color w:val="auto"/>
              </w:rPr>
            </w:pPr>
          </w:p>
        </w:tc>
        <w:tc>
          <w:tcPr>
            <w:tcW w:w="92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in Units</w:t>
            </w:r>
          </w:p>
        </w:tc>
        <w:tc>
          <w:tcPr>
            <w:tcW w:w="9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5"/>
              </w:rPr>
              <w:t>Unit</w:t>
            </w:r>
          </w:p>
        </w:tc>
        <w:tc>
          <w:tcPr>
            <w:tcW w:w="76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Unit</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7"/>
        </w:trPr>
        <w:tc>
          <w:tcPr>
            <w:tcW w:w="3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2019 versus 2018</w:t>
            </w:r>
          </w:p>
        </w:tc>
        <w:tc>
          <w:tcPr>
            <w:tcW w:w="5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000000"/>
          </w:tcPr>
          <w:p>
            <w:pPr>
              <w:spacing w:after="0"/>
              <w:rPr>
                <w:sz w:val="2"/>
                <w:szCs w:val="2"/>
                <w:color w:val="auto"/>
              </w:rPr>
            </w:pPr>
          </w:p>
        </w:tc>
        <w:tc>
          <w:tcPr>
            <w:tcW w:w="2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6"/>
        </w:trPr>
        <w:tc>
          <w:tcPr>
            <w:tcW w:w="3980" w:type="dxa"/>
            <w:vAlign w:val="bottom"/>
            <w:vMerge w:val="continue"/>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1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4.8</w:t>
            </w:r>
          </w:p>
        </w:tc>
        <w:tc>
          <w:tcPr>
            <w:tcW w:w="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2018 versus 2017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14.0 %</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8.0 %</w:t>
            </w: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6.0 %</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3.0 %</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sales to the retail market decreased 1% in 2019 compared to 2018 due to a 7% increase in unit sales and an 8% decrease in selling prices. Within this market, sales to our big box customers increased 5% while our sales to other retailers decreased 10%. Comparatively, our large retail customers reported year over year store sales growth of approximately 3% during the first nine months of 2019, the latest information available to us. New products and market share gains we achieved, including our Deckorators product category with one of our big box customers, contributed to our 7% organic unit sales growth.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Notes to Consolidated Financial Statements, Note C, "Business Combinations" for additional information concerning acquired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sales to the industrial market increased 2% in 2019 compared to 2018, resulting from a 7% increase in overall unit sales offset by a 5% decrease in selling prices. Businesses we acquired contributed 5% to our growth in unit sales. Our organic unit sales growth of 2% was primarily due to adding $15 million of sales to new customers in 2019 (net of customers that we sold to in the prior year that we did not sell to this year) and $26 million of sales added from selling to additional locations of existing customers.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Notes to Consolidated Financial Statements, Note C, "Business Combinations" for additional information concerning acquired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Gross sales to the construction market decreased 5% in 2019 compared to 2018, due to a 10% decrease in selling prices offset by a unit sales increase of 5%. Unit sales increased due to a 5% increase in units shipped to residential construction customers and an 11% increase in unit sales to commercial construction customers, while unit sales to manufactured housing customers remained flat. Comparatively, the </w:t>
      </w:r>
      <w:r>
        <w:rPr>
          <w:rFonts w:ascii="Arial" w:cs="Arial" w:eastAsia="Arial" w:hAnsi="Arial"/>
          <w:sz w:val="17"/>
          <w:szCs w:val="17"/>
          <w:i w:val="1"/>
          <w:iCs w:val="1"/>
          <w:color w:val="auto"/>
        </w:rPr>
        <w:t>United States Census Bureau</w:t>
      </w:r>
      <w:r>
        <w:rPr>
          <w:rFonts w:ascii="Arial" w:cs="Arial" w:eastAsia="Arial" w:hAnsi="Arial"/>
          <w:sz w:val="17"/>
          <w:szCs w:val="17"/>
          <w:color w:val="auto"/>
        </w:rPr>
        <w:t xml:space="preserve"> reported </w:t>
      </w:r>
      <w:r>
        <w:rPr>
          <w:rFonts w:ascii="Arial" w:cs="Arial" w:eastAsia="Arial" w:hAnsi="Arial"/>
          <w:sz w:val="17"/>
          <w:szCs w:val="17"/>
          <w:i w:val="1"/>
          <w:iCs w:val="1"/>
          <w:color w:val="auto"/>
        </w:rPr>
        <w:t>year</w:t>
      </w:r>
      <w:r>
        <w:rPr>
          <w:rFonts w:ascii="Arial" w:cs="Arial" w:eastAsia="Arial" w:hAnsi="Arial"/>
          <w:sz w:val="17"/>
          <w:szCs w:val="17"/>
          <w:color w:val="auto"/>
        </w:rPr>
        <w:t xml:space="preserve"> over year national housing starts increased 3% and the commercial construction market was flat compared to last year. The </w:t>
      </w:r>
      <w:r>
        <w:rPr>
          <w:rFonts w:ascii="Arial" w:cs="Arial" w:eastAsia="Arial" w:hAnsi="Arial"/>
          <w:sz w:val="17"/>
          <w:szCs w:val="17"/>
          <w:i w:val="1"/>
          <w:iCs w:val="1"/>
          <w:color w:val="auto"/>
        </w:rPr>
        <w:t>National Association of Home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Builders </w:t>
      </w:r>
      <w:r>
        <w:rPr>
          <w:rFonts w:ascii="Arial" w:cs="Arial" w:eastAsia="Arial" w:hAnsi="Arial"/>
          <w:sz w:val="17"/>
          <w:szCs w:val="17"/>
          <w:color w:val="auto"/>
        </w:rPr>
        <w:t>reported industry production of HUD-code homes decreased 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gross profit percentage increased from 13.2% in 2018 to 15.5% in 2019 due, in part, to the low lumber prices in 2019, which we believe contributed 110 basis points of the 230 basis-point increase. We believe the remaining 120 basis point increase reflects improvements we have made in our business and profitability. The improvement in our profitability is also evident when comparing our increase in gross profits compared with our increase in units shipped. Our gross profit dollars increased by nearly $93 million, or 15.6%, which exceeds our 6% increase in unit sales. Factors contributing to our improved profitability include a more favorable sales mix of value added products, including new products, the impact of lower lumber costs on products we sell with fixed prices, and organic growth combined with leveraging fixed manufacturing costs. Gross profit increases by market area are as follows:</w:t>
      </w:r>
    </w:p>
    <w:p>
      <w:pPr>
        <w:spacing w:after="0" w:line="179" w:lineRule="exact"/>
        <w:rPr>
          <w:sz w:val="20"/>
          <w:szCs w:val="20"/>
          <w:color w:val="auto"/>
        </w:rPr>
      </w:pPr>
    </w:p>
    <w:p>
      <w:pPr>
        <w:jc w:val="both"/>
        <w:ind w:left="680" w:hanging="320"/>
        <w:spacing w:after="0" w:line="264"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$32 million, or 20%, increase in our gross profit on sales to the retail market, primarily driven by a 7% increase in unit sales and an increase in value-added and new product sales, which include sales of our Deckorators branded products.</w:t>
      </w:r>
    </w:p>
    <w:p>
      <w:pPr>
        <w:spacing w:after="0" w:line="181" w:lineRule="exact"/>
        <w:rPr>
          <w:rFonts w:ascii="Arial" w:cs="Arial" w:eastAsia="Arial" w:hAnsi="Arial"/>
          <w:sz w:val="18"/>
          <w:szCs w:val="18"/>
          <w:color w:val="auto"/>
        </w:rPr>
      </w:pPr>
    </w:p>
    <w:p>
      <w:pPr>
        <w:jc w:val="both"/>
        <w:ind w:left="680" w:hanging="320"/>
        <w:spacing w:after="0" w:line="264"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$43 million, or 22%, increase in our gross profit on sales to the industrial market, primarily driven by a 7% increase in unit sales, favorable changes in product mix, and lower lumber costs in 2019 as most products sold to this market have fixed selling prices for a period of time.</w:t>
      </w:r>
    </w:p>
    <w:p>
      <w:pPr>
        <w:spacing w:after="0" w:line="181" w:lineRule="exact"/>
        <w:rPr>
          <w:rFonts w:ascii="Arial" w:cs="Arial" w:eastAsia="Arial" w:hAnsi="Arial"/>
          <w:sz w:val="18"/>
          <w:szCs w:val="18"/>
          <w:color w:val="auto"/>
        </w:rPr>
      </w:pPr>
    </w:p>
    <w:p>
      <w:pPr>
        <w:jc w:val="both"/>
        <w:ind w:left="680" w:hanging="320"/>
        <w:spacing w:after="0" w:line="286"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$8 million, or 3%, increase in gross profit on sales to the construction market, primarily driven by unit growth in the residential construction market and the impact of lower lumber costs on products we sell with fixed selling prices. These factors were offset by $13 million of losses incurred on a small number of construction projects.</w:t>
      </w:r>
    </w:p>
    <w:p>
      <w:pPr>
        <w:spacing w:after="0" w:line="165" w:lineRule="exact"/>
        <w:rPr>
          <w:rFonts w:ascii="Arial" w:cs="Arial" w:eastAsia="Arial" w:hAnsi="Arial"/>
          <w:sz w:val="17"/>
          <w:szCs w:val="17"/>
          <w:color w:val="auto"/>
        </w:rPr>
      </w:pPr>
    </w:p>
    <w:p>
      <w:pPr>
        <w:ind w:left="680" w:right="20" w:hanging="320"/>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remaining $10 million increase in our gross profit was due to a variety of factors including favorable labor and overhead cost variances in certain areas of our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("SG&amp;A") expenses increased by approximately $46.8 million, or 11.9%, in 2019 compared to 2018, while we reported a 6% increase in unit sales. Acquired businesses contributed $7.2 million to our increase. The remaining increase in SG&amp;A was primarily due to:</w:t>
      </w:r>
    </w:p>
    <w:p>
      <w:pPr>
        <w:spacing w:after="0" w:line="181" w:lineRule="exact"/>
        <w:rPr>
          <w:sz w:val="20"/>
          <w:szCs w:val="20"/>
          <w:color w:val="auto"/>
        </w:rPr>
      </w:pPr>
    </w:p>
    <w:p>
      <w:pPr>
        <w:ind w:left="720" w:hanging="319"/>
        <w:spacing w:after="0" w:line="342"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$21 million increase in our annual bonus expense to almost $69 million in 2019 due to an increase in our bonus rate and an increase in operating profit. Our bonus rate is tied to return on investment, which increased in 2019.</w:t>
      </w:r>
    </w:p>
    <w:p>
      <w:pPr>
        <w:spacing w:after="0" w:line="123" w:lineRule="exact"/>
        <w:rPr>
          <w:rFonts w:ascii="Arial" w:cs="Arial" w:eastAsia="Arial" w:hAnsi="Arial"/>
          <w:sz w:val="16"/>
          <w:szCs w:val="16"/>
          <w:color w:val="auto"/>
        </w:rPr>
      </w:pPr>
    </w:p>
    <w:p>
      <w:pPr>
        <w:ind w:left="720" w:right="20" w:hanging="319"/>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$8.1 million increase in compensation and benefit costs resulting primarily from annual raises and hiring additional personnel to support sales growth.</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$3.5 million increase in sales and other incentive compensation.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$3 million increase in marketing costs mostly related to our Deckorators branded product.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variety of other smaller increases.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costs were lower in 2019 compared to 2018, due to a lower outstanding balance on our revolving line of credit throughout 2019 and a decrease in variable borrowing rates.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was 24.2% in 2019 compared to 23.0% in 2018. The increase was primarily due to recording certain discrete tax benefits in 2018 related to state income taxes, which lowered the effective tax rate last year.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for the periods indicated, our net sales and earnings from operations by reportable segment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Net Sales</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20" w:type="dxa"/>
            <w:vAlign w:val="bottom"/>
            <w:gridSpan w:val="2"/>
          </w:tcPr>
          <w:p>
            <w:pPr>
              <w:jc w:val="right"/>
              <w:ind w:right="13"/>
              <w:spacing w:after="0" w:line="126" w:lineRule="exact"/>
              <w:rPr>
                <w:sz w:val="20"/>
                <w:szCs w:val="20"/>
                <w:color w:val="auto"/>
              </w:rPr>
            </w:pPr>
            <w:r>
              <w:rPr>
                <w:rFonts w:ascii="Arial" w:cs="Arial" w:eastAsia="Arial" w:hAnsi="Arial"/>
                <w:sz w:val="14"/>
                <w:szCs w:val="14"/>
                <w:b w:val="1"/>
                <w:bCs w:val="1"/>
                <w:color w:val="auto"/>
                <w:w w:val="98"/>
              </w:rPr>
              <w:t>December 28,</w:t>
            </w:r>
          </w:p>
        </w:tc>
        <w:tc>
          <w:tcPr>
            <w:tcW w:w="1160" w:type="dxa"/>
            <w:vAlign w:val="bottom"/>
            <w:gridSpan w:val="2"/>
          </w:tcPr>
          <w:p>
            <w:pPr>
              <w:jc w:val="right"/>
              <w:ind w:right="55"/>
              <w:spacing w:after="0" w:line="126" w:lineRule="exact"/>
              <w:rPr>
                <w:sz w:val="20"/>
                <w:szCs w:val="20"/>
                <w:color w:val="auto"/>
              </w:rPr>
            </w:pPr>
            <w:r>
              <w:rPr>
                <w:rFonts w:ascii="Arial" w:cs="Arial" w:eastAsia="Arial" w:hAnsi="Arial"/>
                <w:sz w:val="14"/>
                <w:szCs w:val="14"/>
                <w:b w:val="1"/>
                <w:bCs w:val="1"/>
                <w:color w:val="auto"/>
              </w:rPr>
              <w:t>December 29,</w:t>
            </w:r>
          </w:p>
        </w:tc>
        <w:tc>
          <w:tcPr>
            <w:tcW w:w="1200" w:type="dxa"/>
            <w:vAlign w:val="bottom"/>
          </w:tcPr>
          <w:p>
            <w:pPr>
              <w:jc w:val="right"/>
              <w:ind w:right="275"/>
              <w:spacing w:after="0" w:line="126"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60" w:type="dxa"/>
            <w:vAlign w:val="bottom"/>
            <w:tcBorders>
              <w:bottom w:val="single" w:sz="8" w:color="CCEEFF"/>
            </w:tcBorders>
          </w:tcPr>
          <w:p>
            <w:pPr>
              <w:spacing w:after="0"/>
              <w:rPr>
                <w:sz w:val="15"/>
                <w:szCs w:val="15"/>
                <w:color w:val="auto"/>
              </w:rPr>
            </w:pPr>
          </w:p>
        </w:tc>
        <w:tc>
          <w:tcPr>
            <w:tcW w:w="3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North</w:t>
            </w: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4"/>
              </w:rPr>
              <w:t>1,302,067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4"/>
              </w:rPr>
              <w:t>1,279,459</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South</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936,964</w:t>
            </w:r>
          </w:p>
        </w:tc>
        <w:tc>
          <w:tcPr>
            <w:tcW w:w="26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w w:val="94"/>
              </w:rPr>
              <w:t>1,024,747</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4"/>
              </w:rPr>
              <w:t>1,548,098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4"/>
              </w:rPr>
              <w:t>1,599,274</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w:t>
            </w:r>
          </w:p>
        </w:tc>
        <w:tc>
          <w:tcPr>
            <w:tcW w:w="3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628,880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585,700</w:t>
            </w:r>
          </w:p>
        </w:tc>
        <w:tc>
          <w:tcPr>
            <w:tcW w:w="120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4"/>
              </w:rPr>
              <w:t>4,416,009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4"/>
              </w:rPr>
              <w:t>4,489,180</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100" w:type="dxa"/>
            <w:vAlign w:val="bottom"/>
            <w:vMerge w:val="restart"/>
          </w:tcPr>
          <w:p>
            <w:pPr>
              <w:jc w:val="right"/>
              <w:ind w:right="97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Earnings from Operations</w:t>
            </w:r>
          </w:p>
        </w:tc>
        <w:tc>
          <w:tcPr>
            <w:tcW w:w="280" w:type="dxa"/>
            <w:vAlign w:val="bottom"/>
            <w:tcBorders>
              <w:bottom w:val="single" w:sz="8" w:color="auto"/>
            </w:tcBorders>
          </w:tcPr>
          <w:p>
            <w:pPr>
              <w:spacing w:after="0"/>
              <w:rPr>
                <w:sz w:val="15"/>
                <w:szCs w:val="15"/>
                <w:color w:val="auto"/>
              </w:rPr>
            </w:pPr>
          </w:p>
        </w:tc>
      </w:tr>
      <w:tr>
        <w:trPr>
          <w:trHeight w:val="126"/>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December 28,</w:t>
            </w:r>
          </w:p>
        </w:tc>
        <w:tc>
          <w:tcPr>
            <w:tcW w:w="1060" w:type="dxa"/>
            <w:vAlign w:val="bottom"/>
            <w:gridSpan w:val="2"/>
          </w:tcPr>
          <w:p>
            <w:pPr>
              <w:jc w:val="right"/>
              <w:ind w:right="33"/>
              <w:spacing w:after="0" w:line="126" w:lineRule="exact"/>
              <w:rPr>
                <w:sz w:val="20"/>
                <w:szCs w:val="20"/>
                <w:color w:val="auto"/>
              </w:rPr>
            </w:pPr>
            <w:r>
              <w:rPr>
                <w:rFonts w:ascii="Arial" w:cs="Arial" w:eastAsia="Arial" w:hAnsi="Arial"/>
                <w:sz w:val="14"/>
                <w:szCs w:val="14"/>
                <w:b w:val="1"/>
                <w:bCs w:val="1"/>
                <w:color w:val="auto"/>
              </w:rPr>
              <w:t>December 29,</w:t>
            </w:r>
          </w:p>
        </w:tc>
        <w:tc>
          <w:tcPr>
            <w:tcW w:w="8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3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2019 vs 2018</w:t>
            </w:r>
          </w:p>
        </w:tc>
        <w:tc>
          <w:tcPr>
            <w:tcW w:w="28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95,728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66,239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South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64,517</w:t>
            </w:r>
          </w:p>
        </w:tc>
        <w:tc>
          <w:tcPr>
            <w:tcW w:w="240" w:type="dxa"/>
            <w:vAlign w:val="bottom"/>
          </w:tcPr>
          <w:p>
            <w:pPr>
              <w:spacing w:after="0"/>
              <w:rPr>
                <w:sz w:val="18"/>
                <w:szCs w:val="18"/>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60,049</w:t>
            </w: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8"/>
              </w:rPr>
              <w:t>118,444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8"/>
              </w:rPr>
              <w:t>103,357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8,913</w:t>
            </w:r>
          </w:p>
        </w:tc>
        <w:tc>
          <w:tcPr>
            <w:tcW w:w="240" w:type="dxa"/>
            <w:vAlign w:val="bottom"/>
          </w:tcPr>
          <w:p>
            <w:pPr>
              <w:spacing w:after="0"/>
              <w:rPr>
                <w:sz w:val="18"/>
                <w:szCs w:val="18"/>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6,779</w:t>
            </w:r>
          </w:p>
        </w:tc>
        <w:tc>
          <w:tcPr>
            <w:tcW w:w="880" w:type="dxa"/>
            <w:vAlign w:val="bottom"/>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586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Corporate</w:t>
            </w:r>
            <w:r>
              <w:rPr>
                <w:rFonts w:ascii="Arial" w:cs="Arial" w:eastAsia="Arial" w:hAnsi="Arial"/>
                <w:sz w:val="25"/>
                <w:szCs w:val="25"/>
                <w:color w:val="auto"/>
                <w:vertAlign w:val="superscript"/>
              </w:rPr>
              <w:t>1</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(42,696)</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(29,161)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80" w:type="dxa"/>
            <w:vAlign w:val="bottom"/>
            <w:tcBorders>
              <w:bottom w:val="single" w:sz="8" w:color="auto"/>
            </w:tcBorders>
            <w:shd w:val="clear" w:color="auto" w:fill="CCEEFF"/>
          </w:tcPr>
          <w:p>
            <w:pPr>
              <w:spacing w:after="0"/>
              <w:rPr>
                <w:sz w:val="20"/>
                <w:szCs w:val="20"/>
                <w:color w:val="auto"/>
              </w:rPr>
            </w:pPr>
          </w:p>
        </w:tc>
      </w:tr>
      <w:tr>
        <w:trPr>
          <w:trHeight w:val="203"/>
        </w:trPr>
        <w:tc>
          <w:tcPr>
            <w:tcW w:w="5880" w:type="dxa"/>
            <w:vAlign w:val="bottom"/>
            <w:gridSpan w:val="3"/>
          </w:tcPr>
          <w:p>
            <w:pPr>
              <w:spacing w:after="0" w:line="203"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4"/>
              <w:spacing w:after="0" w:line="203" w:lineRule="exact"/>
              <w:rPr>
                <w:sz w:val="20"/>
                <w:szCs w:val="20"/>
                <w:color w:val="auto"/>
              </w:rPr>
            </w:pPr>
            <w:r>
              <w:rPr>
                <w:rFonts w:ascii="Arial" w:cs="Arial" w:eastAsia="Arial" w:hAnsi="Arial"/>
                <w:sz w:val="18"/>
                <w:szCs w:val="18"/>
                <w:color w:val="auto"/>
                <w:w w:val="98"/>
              </w:rPr>
              <w:t>244,906</w:t>
            </w:r>
          </w:p>
        </w:tc>
        <w:tc>
          <w:tcPr>
            <w:tcW w:w="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18"/>
                <w:szCs w:val="18"/>
                <w:color w:val="auto"/>
                <w:w w:val="98"/>
              </w:rPr>
              <w:t>207,263</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w:t>
            </w:r>
          </w:p>
        </w:tc>
        <w:tc>
          <w:tcPr>
            <w:tcW w:w="2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3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r>
    </w:tbl>
    <w:p>
      <w:pPr>
        <w:spacing w:after="0" w:line="76" w:lineRule="exact"/>
        <w:rPr>
          <w:sz w:val="20"/>
          <w:szCs w:val="20"/>
          <w:color w:val="auto"/>
        </w:rPr>
      </w:pPr>
    </w:p>
    <w:p>
      <w:pPr>
        <w:ind w:left="340" w:hanging="331"/>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Corporate primarily represents over (under) allocated administrative costs and certain incentive compensation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North</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rPr>
              <w:t>Net Sales of North Segment by Market</w:t>
            </w:r>
          </w:p>
        </w:tc>
        <w:tc>
          <w:tcPr>
            <w:tcW w:w="320" w:type="dxa"/>
            <w:vAlign w:val="bottom"/>
            <w:tcBorders>
              <w:bottom w:val="single" w:sz="8" w:color="auto"/>
            </w:tcBorders>
          </w:tcPr>
          <w:p>
            <w:pPr>
              <w:spacing w:after="0"/>
              <w:rPr>
                <w:sz w:val="15"/>
                <w:szCs w:val="15"/>
                <w:color w:val="auto"/>
              </w:rPr>
            </w:pPr>
          </w:p>
        </w:tc>
      </w:tr>
      <w:tr>
        <w:trPr>
          <w:trHeight w:val="156"/>
        </w:trPr>
        <w:tc>
          <w:tcPr>
            <w:tcW w:w="13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jc w:val="right"/>
              <w:ind w:right="714"/>
              <w:spacing w:after="0" w:line="149" w:lineRule="exact"/>
              <w:rPr>
                <w:sz w:val="20"/>
                <w:szCs w:val="20"/>
                <w:color w:val="auto"/>
              </w:rPr>
            </w:pPr>
            <w:r>
              <w:rPr>
                <w:rFonts w:ascii="Arial" w:cs="Arial" w:eastAsia="Arial" w:hAnsi="Arial"/>
                <w:sz w:val="14"/>
                <w:szCs w:val="14"/>
                <w:b w:val="1"/>
                <w:bCs w:val="1"/>
                <w:color w:val="auto"/>
                <w:w w:val="92"/>
              </w:rPr>
              <w:t>Twelve Months Ended</w:t>
            </w:r>
          </w:p>
        </w:tc>
        <w:tc>
          <w:tcPr>
            <w:tcW w:w="320" w:type="dxa"/>
            <w:vAlign w:val="bottom"/>
            <w:tcBorders>
              <w:bottom w:val="single" w:sz="8" w:color="auto"/>
            </w:tcBorders>
          </w:tcPr>
          <w:p>
            <w:pPr>
              <w:spacing w:after="0"/>
              <w:rPr>
                <w:sz w:val="13"/>
                <w:szCs w:val="13"/>
                <w:color w:val="auto"/>
              </w:rPr>
            </w:pPr>
          </w:p>
        </w:tc>
      </w:tr>
      <w:tr>
        <w:trPr>
          <w:trHeight w:val="126"/>
        </w:trPr>
        <w:tc>
          <w:tcPr>
            <w:tcW w:w="13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56"/>
              <w:spacing w:after="0" w:line="126" w:lineRule="exact"/>
              <w:rPr>
                <w:sz w:val="20"/>
                <w:szCs w:val="20"/>
                <w:color w:val="auto"/>
              </w:rPr>
            </w:pPr>
            <w:r>
              <w:rPr>
                <w:rFonts w:ascii="Arial" w:cs="Arial" w:eastAsia="Arial" w:hAnsi="Arial"/>
                <w:sz w:val="14"/>
                <w:szCs w:val="14"/>
                <w:b w:val="1"/>
                <w:bCs w:val="1"/>
                <w:color w:val="auto"/>
                <w:w w:val="90"/>
              </w:rPr>
              <w:t>December 28,</w:t>
            </w:r>
          </w:p>
        </w:tc>
        <w:tc>
          <w:tcPr>
            <w:tcW w:w="240" w:type="dxa"/>
            <w:vAlign w:val="bottom"/>
          </w:tcPr>
          <w:p>
            <w:pPr>
              <w:spacing w:after="0"/>
              <w:rPr>
                <w:sz w:val="10"/>
                <w:szCs w:val="10"/>
                <w:color w:val="auto"/>
              </w:rPr>
            </w:pPr>
          </w:p>
        </w:tc>
        <w:tc>
          <w:tcPr>
            <w:tcW w:w="1040" w:type="dxa"/>
            <w:vAlign w:val="bottom"/>
          </w:tcPr>
          <w:p>
            <w:pPr>
              <w:jc w:val="right"/>
              <w:ind w:right="114"/>
              <w:spacing w:after="0" w:line="126" w:lineRule="exact"/>
              <w:rPr>
                <w:sz w:val="20"/>
                <w:szCs w:val="20"/>
                <w:color w:val="auto"/>
              </w:rPr>
            </w:pPr>
            <w:r>
              <w:rPr>
                <w:rFonts w:ascii="Arial" w:cs="Arial" w:eastAsia="Arial" w:hAnsi="Arial"/>
                <w:sz w:val="14"/>
                <w:szCs w:val="14"/>
                <w:b w:val="1"/>
                <w:bCs w:val="1"/>
                <w:color w:val="auto"/>
                <w:w w:val="90"/>
              </w:rPr>
              <w:t>December 29,</w:t>
            </w:r>
          </w:p>
        </w:tc>
        <w:tc>
          <w:tcPr>
            <w:tcW w:w="900" w:type="dxa"/>
            <w:vAlign w:val="bottom"/>
          </w:tcPr>
          <w:p>
            <w:pPr>
              <w:jc w:val="right"/>
              <w:ind w:right="14"/>
              <w:spacing w:after="0" w:line="126" w:lineRule="exact"/>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0"/>
                <w:szCs w:val="10"/>
                <w:color w:val="auto"/>
              </w:rPr>
            </w:pPr>
          </w:p>
        </w:tc>
      </w:tr>
      <w:tr>
        <w:trPr>
          <w:trHeight w:val="191"/>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Market Classification</w:t>
            </w:r>
          </w:p>
        </w:tc>
        <w:tc>
          <w:tcPr>
            <w:tcW w:w="120" w:type="dxa"/>
            <w:vAlign w:val="bottom"/>
          </w:tcPr>
          <w:p>
            <w:pPr>
              <w:spacing w:after="0"/>
              <w:rPr>
                <w:sz w:val="16"/>
                <w:szCs w:val="16"/>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6"/>
                <w:szCs w:val="16"/>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8"/>
              </w:rPr>
              <w:t>2019 vs 2018</w:t>
            </w:r>
          </w:p>
        </w:tc>
        <w:tc>
          <w:tcPr>
            <w:tcW w:w="320" w:type="dxa"/>
            <w:vAlign w:val="bottom"/>
          </w:tcPr>
          <w:p>
            <w:pPr>
              <w:spacing w:after="0"/>
              <w:rPr>
                <w:sz w:val="16"/>
                <w:szCs w:val="16"/>
                <w:color w:val="auto"/>
              </w:rPr>
            </w:pPr>
          </w:p>
        </w:tc>
      </w:tr>
      <w:tr>
        <w:trPr>
          <w:trHeight w:val="203"/>
        </w:trPr>
        <w:tc>
          <w:tcPr>
            <w:tcW w:w="1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4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557,491</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94"/>
              <w:spacing w:after="0" w:line="203" w:lineRule="exact"/>
              <w:rPr>
                <w:sz w:val="20"/>
                <w:szCs w:val="20"/>
                <w:color w:val="auto"/>
              </w:rPr>
            </w:pPr>
            <w:r>
              <w:rPr>
                <w:rFonts w:ascii="Arial" w:cs="Arial" w:eastAsia="Arial" w:hAnsi="Arial"/>
                <w:sz w:val="18"/>
                <w:szCs w:val="18"/>
                <w:color w:val="auto"/>
              </w:rPr>
              <w:t>541,105</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320" w:type="dxa"/>
            <w:vAlign w:val="bottom"/>
            <w:tcBorders>
              <w:top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w w:val="74"/>
              </w:rPr>
              <w:t>%</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247,985</w:t>
            </w:r>
          </w:p>
        </w:tc>
        <w:tc>
          <w:tcPr>
            <w:tcW w:w="24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215,882</w:t>
            </w: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r>
      <w:tr>
        <w:trPr>
          <w:trHeight w:val="236"/>
        </w:trPr>
        <w:tc>
          <w:tcPr>
            <w:tcW w:w="5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522,223</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550,200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20" w:type="dxa"/>
            <w:vAlign w:val="bottom"/>
            <w:tcBorders>
              <w:bottom w:val="single" w:sz="8" w:color="auto"/>
            </w:tcBorders>
            <w:shd w:val="clear" w:color="auto" w:fill="CCEEFF"/>
          </w:tcPr>
          <w:p>
            <w:pPr>
              <w:spacing w:after="0"/>
              <w:rPr>
                <w:sz w:val="20"/>
                <w:szCs w:val="20"/>
                <w:color w:val="auto"/>
              </w:rPr>
            </w:pPr>
          </w:p>
        </w:tc>
      </w:tr>
      <w:tr>
        <w:trPr>
          <w:trHeight w:val="203"/>
        </w:trPr>
        <w:tc>
          <w:tcPr>
            <w:tcW w:w="546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1,327,699</w:t>
            </w:r>
          </w:p>
        </w:tc>
        <w:tc>
          <w:tcPr>
            <w:tcW w:w="240" w:type="dxa"/>
            <w:vAlign w:val="bottom"/>
          </w:tcPr>
          <w:p>
            <w:pPr>
              <w:spacing w:after="0"/>
              <w:rPr>
                <w:sz w:val="17"/>
                <w:szCs w:val="17"/>
                <w:color w:val="auto"/>
              </w:rPr>
            </w:pPr>
          </w:p>
        </w:tc>
        <w:tc>
          <w:tcPr>
            <w:tcW w:w="1040" w:type="dxa"/>
            <w:vAlign w:val="bottom"/>
          </w:tcPr>
          <w:p>
            <w:pPr>
              <w:jc w:val="right"/>
              <w:ind w:right="94"/>
              <w:spacing w:after="0" w:line="203" w:lineRule="exact"/>
              <w:rPr>
                <w:sz w:val="20"/>
                <w:szCs w:val="20"/>
                <w:color w:val="auto"/>
              </w:rPr>
            </w:pPr>
            <w:r>
              <w:rPr>
                <w:rFonts w:ascii="Arial" w:cs="Arial" w:eastAsia="Arial" w:hAnsi="Arial"/>
                <w:sz w:val="18"/>
                <w:szCs w:val="18"/>
                <w:color w:val="auto"/>
              </w:rPr>
              <w:t>1,307,187</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1.6</w:t>
            </w:r>
          </w:p>
        </w:tc>
        <w:tc>
          <w:tcPr>
            <w:tcW w:w="32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4"/>
              </w:rPr>
              <w:t>%</w:t>
            </w:r>
          </w:p>
        </w:tc>
      </w:tr>
      <w:tr>
        <w:trPr>
          <w:trHeight w:val="236"/>
        </w:trPr>
        <w:tc>
          <w:tcPr>
            <w:tcW w:w="5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(25,632)</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(27,728)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tcBorders>
              <w:bottom w:val="single" w:sz="8" w:color="auto"/>
            </w:tcBorders>
            <w:shd w:val="clear" w:color="auto" w:fill="CCEEFF"/>
          </w:tcPr>
          <w:p>
            <w:pPr>
              <w:spacing w:after="0"/>
              <w:rPr>
                <w:sz w:val="20"/>
                <w:szCs w:val="20"/>
                <w:color w:val="auto"/>
              </w:rPr>
            </w:pPr>
          </w:p>
        </w:tc>
      </w:tr>
      <w:tr>
        <w:trPr>
          <w:trHeight w:val="203"/>
        </w:trPr>
        <w:tc>
          <w:tcPr>
            <w:tcW w:w="546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1,302,067</w:t>
            </w:r>
          </w:p>
        </w:tc>
        <w:tc>
          <w:tcPr>
            <w:tcW w:w="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4"/>
              <w:spacing w:after="0" w:line="203" w:lineRule="exact"/>
              <w:rPr>
                <w:sz w:val="20"/>
                <w:szCs w:val="20"/>
                <w:color w:val="auto"/>
              </w:rPr>
            </w:pPr>
            <w:r>
              <w:rPr>
                <w:rFonts w:ascii="Arial" w:cs="Arial" w:eastAsia="Arial" w:hAnsi="Arial"/>
                <w:sz w:val="18"/>
                <w:szCs w:val="18"/>
                <w:color w:val="auto"/>
              </w:rPr>
              <w:t>1,279,459</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32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4"/>
              </w:rPr>
              <w:t>%</w:t>
            </w:r>
          </w:p>
        </w:tc>
      </w:tr>
      <w:tr>
        <w:trPr>
          <w:trHeight w:val="20"/>
        </w:trPr>
        <w:tc>
          <w:tcPr>
            <w:tcW w:w="1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spite of lower lumber prices, net sales attributable to the North segment increased by $22.6 million, or 1.8%, due primarily to the following factors:</w:t>
      </w:r>
    </w:p>
    <w:p>
      <w:pPr>
        <w:spacing w:after="0" w:line="170" w:lineRule="exact"/>
        <w:rPr>
          <w:sz w:val="20"/>
          <w:szCs w:val="20"/>
          <w:color w:val="auto"/>
        </w:rPr>
      </w:pPr>
    </w:p>
    <w:p>
      <w:pPr>
        <w:ind w:left="680" w:hanging="32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unit sales to retail customers due to organic growth with existing customers.</w:t>
      </w:r>
    </w:p>
    <w:p>
      <w:pPr>
        <w:spacing w:after="0" w:line="225" w:lineRule="exact"/>
        <w:rPr>
          <w:rFonts w:ascii="Arial" w:cs="Arial" w:eastAsia="Arial" w:hAnsi="Arial"/>
          <w:sz w:val="18"/>
          <w:szCs w:val="18"/>
          <w:color w:val="auto"/>
        </w:rPr>
      </w:pPr>
    </w:p>
    <w:p>
      <w:pPr>
        <w:ind w:left="680" w:hanging="320"/>
        <w:spacing w:after="0" w:line="277" w:lineRule="auto"/>
        <w:tabs>
          <w:tab w:leader="none" w:pos="7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unit sales to industrial customers due to acquired operations, which contributed $21 million of growth, new customer growth, and selling to more locations of existing customers.</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increases were offset by a decline in sales to our manufactured housing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Earnings from operations of the North segment increased in 2019 by $29.4 million, or 44.5%, due to:</w:t>
      </w:r>
    </w:p>
    <w:p>
      <w:pPr>
        <w:spacing w:after="0" w:line="225" w:lineRule="exact"/>
        <w:rPr>
          <w:sz w:val="20"/>
          <w:szCs w:val="20"/>
          <w:color w:val="auto"/>
        </w:rPr>
      </w:pPr>
    </w:p>
    <w:p>
      <w:pPr>
        <w:jc w:val="both"/>
        <w:ind w:left="720" w:hanging="319"/>
        <w:spacing w:after="0" w:line="259"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gross profit of $43.2 million, primarily consisting of increases of $11.8 million, $11.7 million, and $12 million in our retail, industrial, and construction market gross profits, respectively, and $7.7 million of favorable labor and overhead cost variances. These changes in gross profits are primarily due to the same factors discussed “Cost of Goods Sold and Gross Profits”.</w:t>
      </w:r>
    </w:p>
    <w:p>
      <w:pPr>
        <w:spacing w:after="0" w:line="186" w:lineRule="exact"/>
        <w:rPr>
          <w:rFonts w:ascii="Arial" w:cs="Arial" w:eastAsia="Arial" w:hAnsi="Arial"/>
          <w:sz w:val="18"/>
          <w:szCs w:val="18"/>
          <w:color w:val="auto"/>
        </w:rPr>
      </w:pPr>
    </w:p>
    <w:p>
      <w:pPr>
        <w:ind w:left="720" w:right="20"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$13.8 million increase in SG&amp;A expenses compared to last year. The change in SG&amp;A expenses was primarily due to the same factors discussed under “Selling,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earnings from operations of acquired operations was $1.9 million in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center"/>
              <w:ind w:right="134"/>
              <w:spacing w:after="0"/>
              <w:rPr>
                <w:sz w:val="20"/>
                <w:szCs w:val="20"/>
                <w:color w:val="auto"/>
              </w:rPr>
            </w:pPr>
            <w:r>
              <w:rPr>
                <w:rFonts w:ascii="Arial" w:cs="Arial" w:eastAsia="Arial" w:hAnsi="Arial"/>
                <w:sz w:val="14"/>
                <w:szCs w:val="14"/>
                <w:b w:val="1"/>
                <w:bCs w:val="1"/>
                <w:color w:val="auto"/>
                <w:w w:val="92"/>
              </w:rPr>
              <w:t>Net Sales of South Segment by Market</w:t>
            </w:r>
          </w:p>
        </w:tc>
      </w:tr>
      <w:tr>
        <w:trPr>
          <w:trHeight w:val="156"/>
        </w:trPr>
        <w:tc>
          <w:tcPr>
            <w:tcW w:w="13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Twelve Months Ended</w:t>
            </w:r>
          </w:p>
        </w:tc>
        <w:tc>
          <w:tcPr>
            <w:tcW w:w="1060" w:type="dxa"/>
            <w:vAlign w:val="bottom"/>
            <w:tcBorders>
              <w:bottom w:val="single" w:sz="8" w:color="auto"/>
            </w:tcBorders>
          </w:tcPr>
          <w:p>
            <w:pPr>
              <w:spacing w:after="0"/>
              <w:rPr>
                <w:sz w:val="13"/>
                <w:szCs w:val="13"/>
                <w:color w:val="auto"/>
              </w:rPr>
            </w:pPr>
          </w:p>
        </w:tc>
      </w:tr>
      <w:tr>
        <w:trPr>
          <w:trHeight w:val="126"/>
        </w:trPr>
        <w:tc>
          <w:tcPr>
            <w:tcW w:w="134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40" w:type="dxa"/>
            <w:vAlign w:val="bottom"/>
            <w:gridSpan w:val="2"/>
          </w:tcPr>
          <w:p>
            <w:pPr>
              <w:jc w:val="right"/>
              <w:ind w:right="14"/>
              <w:spacing w:after="0" w:line="126" w:lineRule="exact"/>
              <w:rPr>
                <w:sz w:val="20"/>
                <w:szCs w:val="20"/>
                <w:color w:val="auto"/>
              </w:rPr>
            </w:pPr>
            <w:r>
              <w:rPr>
                <w:rFonts w:ascii="Arial" w:cs="Arial" w:eastAsia="Arial" w:hAnsi="Arial"/>
                <w:sz w:val="14"/>
                <w:szCs w:val="14"/>
                <w:b w:val="1"/>
                <w:bCs w:val="1"/>
                <w:color w:val="auto"/>
              </w:rPr>
              <w:t>December 28,</w:t>
            </w:r>
          </w:p>
        </w:tc>
        <w:tc>
          <w:tcPr>
            <w:tcW w:w="140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December 29,</w:t>
            </w:r>
          </w:p>
        </w:tc>
        <w:tc>
          <w:tcPr>
            <w:tcW w:w="1060" w:type="dxa"/>
            <w:vAlign w:val="bottom"/>
          </w:tcPr>
          <w:p>
            <w:pPr>
              <w:jc w:val="right"/>
              <w:ind w:right="254"/>
              <w:spacing w:after="0" w:line="126" w:lineRule="exact"/>
              <w:rPr>
                <w:sz w:val="20"/>
                <w:szCs w:val="20"/>
                <w:color w:val="auto"/>
              </w:rPr>
            </w:pPr>
            <w:r>
              <w:rPr>
                <w:rFonts w:ascii="Arial" w:cs="Arial" w:eastAsia="Arial" w:hAnsi="Arial"/>
                <w:sz w:val="14"/>
                <w:szCs w:val="14"/>
                <w:b w:val="1"/>
                <w:bCs w:val="1"/>
                <w:color w:val="auto"/>
              </w:rPr>
              <w:t>% Change</w:t>
            </w:r>
          </w:p>
        </w:tc>
      </w:tr>
      <w:tr>
        <w:trPr>
          <w:trHeight w:val="191"/>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Market Classification</w:t>
            </w: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6"/>
                <w:szCs w:val="16"/>
                <w:color w:val="auto"/>
              </w:rPr>
            </w:pPr>
          </w:p>
        </w:tc>
        <w:tc>
          <w:tcPr>
            <w:tcW w:w="1040" w:type="dxa"/>
            <w:vAlign w:val="bottom"/>
          </w:tcPr>
          <w:p>
            <w:pPr>
              <w:jc w:val="center"/>
              <w:ind w:right="233"/>
              <w:spacing w:after="0"/>
              <w:rPr>
                <w:sz w:val="20"/>
                <w:szCs w:val="20"/>
                <w:color w:val="auto"/>
              </w:rPr>
            </w:pPr>
            <w:r>
              <w:rPr>
                <w:rFonts w:ascii="Arial" w:cs="Arial" w:eastAsia="Arial" w:hAnsi="Arial"/>
                <w:sz w:val="14"/>
                <w:szCs w:val="14"/>
                <w:b w:val="1"/>
                <w:bCs w:val="1"/>
                <w:color w:val="auto"/>
                <w:w w:val="89"/>
              </w:rPr>
              <w:t>2018</w:t>
            </w:r>
          </w:p>
        </w:tc>
        <w:tc>
          <w:tcPr>
            <w:tcW w:w="1060" w:type="dxa"/>
            <w:vAlign w:val="bottom"/>
          </w:tcPr>
          <w:p>
            <w:pPr>
              <w:jc w:val="right"/>
              <w:ind w:right="194"/>
              <w:spacing w:after="0"/>
              <w:rPr>
                <w:sz w:val="20"/>
                <w:szCs w:val="20"/>
                <w:color w:val="auto"/>
              </w:rPr>
            </w:pPr>
            <w:r>
              <w:rPr>
                <w:rFonts w:ascii="Arial" w:cs="Arial" w:eastAsia="Arial" w:hAnsi="Arial"/>
                <w:sz w:val="14"/>
                <w:szCs w:val="14"/>
                <w:b w:val="1"/>
                <w:bCs w:val="1"/>
                <w:color w:val="auto"/>
                <w:w w:val="88"/>
              </w:rPr>
              <w:t>2019 vs 2018</w:t>
            </w:r>
          </w:p>
        </w:tc>
      </w:tr>
      <w:tr>
        <w:trPr>
          <w:trHeight w:val="203"/>
        </w:trPr>
        <w:tc>
          <w:tcPr>
            <w:tcW w:w="1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4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6"/>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390,031</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53"/>
              <w:spacing w:after="0" w:line="203" w:lineRule="exact"/>
              <w:rPr>
                <w:sz w:val="20"/>
                <w:szCs w:val="20"/>
                <w:color w:val="auto"/>
              </w:rPr>
            </w:pPr>
            <w:r>
              <w:rPr>
                <w:rFonts w:ascii="Arial" w:cs="Arial" w:eastAsia="Arial" w:hAnsi="Arial"/>
                <w:sz w:val="18"/>
                <w:szCs w:val="18"/>
                <w:color w:val="auto"/>
              </w:rPr>
              <w:t>440,701</w:t>
            </w:r>
          </w:p>
        </w:tc>
        <w:tc>
          <w:tcPr>
            <w:tcW w:w="106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(11.5)%</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384,894</w:t>
            </w:r>
          </w:p>
        </w:tc>
        <w:tc>
          <w:tcPr>
            <w:tcW w:w="360" w:type="dxa"/>
            <w:vAlign w:val="bottom"/>
          </w:tcPr>
          <w:p>
            <w:pPr>
              <w:spacing w:after="0"/>
              <w:rPr>
                <w:sz w:val="18"/>
                <w:szCs w:val="18"/>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390,533</w:t>
            </w: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(1.4)</w:t>
            </w:r>
          </w:p>
        </w:tc>
      </w:tr>
      <w:tr>
        <w:trPr>
          <w:trHeight w:val="236"/>
        </w:trPr>
        <w:tc>
          <w:tcPr>
            <w:tcW w:w="5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180,742</w:t>
            </w:r>
          </w:p>
        </w:tc>
        <w:tc>
          <w:tcPr>
            <w:tcW w:w="3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213,000</w:t>
            </w:r>
          </w:p>
        </w:tc>
        <w:tc>
          <w:tcPr>
            <w:tcW w:w="10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(15.1)</w:t>
            </w:r>
          </w:p>
        </w:tc>
      </w:tr>
      <w:tr>
        <w:trPr>
          <w:trHeight w:val="203"/>
        </w:trPr>
        <w:tc>
          <w:tcPr>
            <w:tcW w:w="556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240" w:type="dxa"/>
            <w:vAlign w:val="bottom"/>
          </w:tcPr>
          <w:p>
            <w:pPr>
              <w:spacing w:after="0"/>
              <w:rPr>
                <w:sz w:val="17"/>
                <w:szCs w:val="17"/>
                <w:color w:val="auto"/>
              </w:rPr>
            </w:pPr>
          </w:p>
        </w:tc>
        <w:tc>
          <w:tcPr>
            <w:tcW w:w="800" w:type="dxa"/>
            <w:vAlign w:val="bottom"/>
          </w:tcPr>
          <w:p>
            <w:pPr>
              <w:jc w:val="right"/>
              <w:ind w:right="14"/>
              <w:spacing w:after="0" w:line="203" w:lineRule="exact"/>
              <w:rPr>
                <w:sz w:val="20"/>
                <w:szCs w:val="20"/>
                <w:color w:val="auto"/>
              </w:rPr>
            </w:pPr>
            <w:r>
              <w:rPr>
                <w:rFonts w:ascii="Arial" w:cs="Arial" w:eastAsia="Arial" w:hAnsi="Arial"/>
                <w:sz w:val="18"/>
                <w:szCs w:val="18"/>
                <w:color w:val="auto"/>
              </w:rPr>
              <w:t>955,667</w:t>
            </w:r>
          </w:p>
        </w:tc>
        <w:tc>
          <w:tcPr>
            <w:tcW w:w="360" w:type="dxa"/>
            <w:vAlign w:val="bottom"/>
          </w:tcPr>
          <w:p>
            <w:pPr>
              <w:spacing w:after="0"/>
              <w:rPr>
                <w:sz w:val="17"/>
                <w:szCs w:val="17"/>
                <w:color w:val="auto"/>
              </w:rPr>
            </w:pPr>
          </w:p>
        </w:tc>
        <w:tc>
          <w:tcPr>
            <w:tcW w:w="1040" w:type="dxa"/>
            <w:vAlign w:val="bottom"/>
          </w:tcPr>
          <w:p>
            <w:pPr>
              <w:jc w:val="right"/>
              <w:ind w:right="153"/>
              <w:spacing w:after="0" w:line="203" w:lineRule="exact"/>
              <w:rPr>
                <w:sz w:val="20"/>
                <w:szCs w:val="20"/>
                <w:color w:val="auto"/>
              </w:rPr>
            </w:pPr>
            <w:r>
              <w:rPr>
                <w:rFonts w:ascii="Arial" w:cs="Arial" w:eastAsia="Arial" w:hAnsi="Arial"/>
                <w:sz w:val="18"/>
                <w:szCs w:val="18"/>
                <w:color w:val="auto"/>
                <w:w w:val="97"/>
              </w:rPr>
              <w:t>1,044,234</w:t>
            </w:r>
          </w:p>
        </w:tc>
        <w:tc>
          <w:tcPr>
            <w:tcW w:w="1060" w:type="dxa"/>
            <w:vAlign w:val="bottom"/>
          </w:tcPr>
          <w:p>
            <w:pPr>
              <w:jc w:val="right"/>
              <w:ind w:right="14"/>
              <w:spacing w:after="0" w:line="203" w:lineRule="exact"/>
              <w:rPr>
                <w:sz w:val="20"/>
                <w:szCs w:val="20"/>
                <w:color w:val="auto"/>
              </w:rPr>
            </w:pPr>
            <w:r>
              <w:rPr>
                <w:rFonts w:ascii="Arial" w:cs="Arial" w:eastAsia="Arial" w:hAnsi="Arial"/>
                <w:sz w:val="18"/>
                <w:szCs w:val="18"/>
                <w:color w:val="auto"/>
              </w:rPr>
              <w:t>(8.5)%</w:t>
            </w:r>
          </w:p>
        </w:tc>
      </w:tr>
      <w:tr>
        <w:trPr>
          <w:trHeight w:val="236"/>
        </w:trPr>
        <w:tc>
          <w:tcPr>
            <w:tcW w:w="5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(18,703)</w:t>
            </w:r>
          </w:p>
        </w:tc>
        <w:tc>
          <w:tcPr>
            <w:tcW w:w="3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(19,487)</w:t>
            </w:r>
          </w:p>
        </w:tc>
        <w:tc>
          <w:tcPr>
            <w:tcW w:w="10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4.0</w:t>
            </w:r>
          </w:p>
        </w:tc>
      </w:tr>
      <w:tr>
        <w:trPr>
          <w:trHeight w:val="203"/>
        </w:trPr>
        <w:tc>
          <w:tcPr>
            <w:tcW w:w="556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auto"/>
            </w:tcBorders>
          </w:tcPr>
          <w:p>
            <w:pPr>
              <w:jc w:val="right"/>
              <w:ind w:right="56"/>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rPr>
              <w:t>936,964</w:t>
            </w:r>
          </w:p>
        </w:tc>
        <w:tc>
          <w:tcPr>
            <w:tcW w:w="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3"/>
              <w:spacing w:after="0" w:line="203" w:lineRule="exact"/>
              <w:rPr>
                <w:sz w:val="20"/>
                <w:szCs w:val="20"/>
                <w:color w:val="auto"/>
              </w:rPr>
            </w:pPr>
            <w:r>
              <w:rPr>
                <w:rFonts w:ascii="Arial" w:cs="Arial" w:eastAsia="Arial" w:hAnsi="Arial"/>
                <w:sz w:val="18"/>
                <w:szCs w:val="18"/>
                <w:color w:val="auto"/>
                <w:w w:val="97"/>
              </w:rPr>
              <w:t>1,024,747</w:t>
            </w:r>
          </w:p>
        </w:tc>
        <w:tc>
          <w:tcPr>
            <w:tcW w:w="106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rPr>
              <w:t>(8.6)%</w:t>
            </w:r>
          </w:p>
        </w:tc>
      </w:tr>
      <w:tr>
        <w:trPr>
          <w:trHeight w:val="20"/>
        </w:trPr>
        <w:tc>
          <w:tcPr>
            <w:tcW w:w="13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Net sales attributable to the South segment decreased by $88 million, or 8.6%, in 2019, primarily due to:</w:t>
      </w:r>
    </w:p>
    <w:p>
      <w:pPr>
        <w:spacing w:after="0" w:line="225" w:lineRule="exact"/>
        <w:rPr>
          <w:sz w:val="20"/>
          <w:szCs w:val="20"/>
          <w:color w:val="auto"/>
        </w:rPr>
      </w:pPr>
    </w:p>
    <w:p>
      <w:pPr>
        <w:ind w:left="720" w:right="20"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lumber prices decreased our selling prices of products sold to the retail, industrial, and construction markets, which primarily consist of or are manufactured from lumber.</w:t>
      </w:r>
    </w:p>
    <w:p>
      <w:pPr>
        <w:spacing w:after="0" w:line="170" w:lineRule="exact"/>
        <w:rPr>
          <w:rFonts w:ascii="Arial" w:cs="Arial" w:eastAsia="Arial" w:hAnsi="Arial"/>
          <w:sz w:val="18"/>
          <w:szCs w:val="18"/>
          <w:color w:val="auto"/>
        </w:rPr>
      </w:pPr>
    </w:p>
    <w:p>
      <w:pPr>
        <w:ind w:left="720"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unit sales to the industrial market due to acquired operations, which contributed $37 million of growth, offset by a decline in demand of existing customers.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Earnings from operations of the South segment increased in 2019 compared to 2018. Excluding the gain from the sale of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Medley, Florida, plant in 2018, our earnings from operations increased $11.2 million due to:</w:t>
      </w:r>
    </w:p>
    <w:p>
      <w:pPr>
        <w:spacing w:after="0" w:line="211" w:lineRule="exact"/>
        <w:rPr>
          <w:sz w:val="20"/>
          <w:szCs w:val="20"/>
          <w:color w:val="auto"/>
        </w:rPr>
      </w:pPr>
    </w:p>
    <w:p>
      <w:pPr>
        <w:jc w:val="both"/>
        <w:ind w:left="720" w:hanging="319"/>
        <w:spacing w:after="0" w:line="259"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in gross profits of $20.7 million, comprised of increases of $5.4 million, $15.1 million, and $3.3 million in our retail, industrial, and construction market gross profits, respectively, offset by $3.1 million of unfavorable labor and overhead cost variances. These changes in gross profits are primarily due to the same factors discussed “Cost of Goods Sold and Gross Profits”.</w:t>
      </w:r>
    </w:p>
    <w:p>
      <w:pPr>
        <w:spacing w:after="0" w:line="186" w:lineRule="exact"/>
        <w:rPr>
          <w:rFonts w:ascii="Arial" w:cs="Arial" w:eastAsia="Arial" w:hAnsi="Arial"/>
          <w:sz w:val="18"/>
          <w:szCs w:val="18"/>
          <w:color w:val="auto"/>
        </w:rPr>
      </w:pPr>
    </w:p>
    <w:p>
      <w:pPr>
        <w:ind w:left="720"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$9.7 million increase in SG&amp;A expenses compared to last year. The change in SG&amp;A expenses was primarily due to the same factors discussed under “Selling,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4"/>
          </w:tcPr>
          <w:p>
            <w:pPr>
              <w:jc w:val="center"/>
              <w:ind w:right="14"/>
              <w:spacing w:after="0"/>
              <w:rPr>
                <w:sz w:val="20"/>
                <w:szCs w:val="20"/>
                <w:color w:val="auto"/>
              </w:rPr>
            </w:pPr>
            <w:r>
              <w:rPr>
                <w:rFonts w:ascii="Arial" w:cs="Arial" w:eastAsia="Arial" w:hAnsi="Arial"/>
                <w:sz w:val="14"/>
                <w:szCs w:val="14"/>
                <w:b w:val="1"/>
                <w:bCs w:val="1"/>
                <w:color w:val="auto"/>
                <w:w w:val="92"/>
              </w:rPr>
              <w:t>Net Sales of West Segment by Market</w:t>
            </w:r>
          </w:p>
        </w:tc>
      </w:tr>
      <w:tr>
        <w:trPr>
          <w:trHeight w:val="156"/>
        </w:trPr>
        <w:tc>
          <w:tcPr>
            <w:tcW w:w="13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Twelve Months Ended</w:t>
            </w:r>
          </w:p>
        </w:tc>
        <w:tc>
          <w:tcPr>
            <w:tcW w:w="1160" w:type="dxa"/>
            <w:vAlign w:val="bottom"/>
            <w:tcBorders>
              <w:bottom w:val="single" w:sz="8" w:color="auto"/>
            </w:tcBorders>
          </w:tcPr>
          <w:p>
            <w:pPr>
              <w:spacing w:after="0"/>
              <w:rPr>
                <w:sz w:val="13"/>
                <w:szCs w:val="13"/>
                <w:color w:val="auto"/>
              </w:rPr>
            </w:pPr>
          </w:p>
        </w:tc>
      </w:tr>
      <w:tr>
        <w:trPr>
          <w:trHeight w:val="126"/>
        </w:trPr>
        <w:tc>
          <w:tcPr>
            <w:tcW w:w="134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right"/>
              <w:ind w:right="76"/>
              <w:spacing w:after="0" w:line="126" w:lineRule="exact"/>
              <w:rPr>
                <w:sz w:val="20"/>
                <w:szCs w:val="20"/>
                <w:color w:val="auto"/>
              </w:rPr>
            </w:pPr>
            <w:r>
              <w:rPr>
                <w:rFonts w:ascii="Arial" w:cs="Arial" w:eastAsia="Arial" w:hAnsi="Arial"/>
                <w:sz w:val="14"/>
                <w:szCs w:val="14"/>
                <w:b w:val="1"/>
                <w:bCs w:val="1"/>
                <w:color w:val="auto"/>
                <w:w w:val="92"/>
              </w:rPr>
              <w:t>December 28,</w:t>
            </w:r>
          </w:p>
        </w:tc>
        <w:tc>
          <w:tcPr>
            <w:tcW w:w="300" w:type="dxa"/>
            <w:vAlign w:val="bottom"/>
          </w:tcPr>
          <w:p>
            <w:pPr>
              <w:spacing w:after="0"/>
              <w:rPr>
                <w:sz w:val="10"/>
                <w:szCs w:val="10"/>
                <w:color w:val="auto"/>
              </w:rPr>
            </w:pPr>
          </w:p>
        </w:tc>
        <w:tc>
          <w:tcPr>
            <w:tcW w:w="1160" w:type="dxa"/>
            <w:vAlign w:val="bottom"/>
          </w:tcPr>
          <w:p>
            <w:pPr>
              <w:jc w:val="center"/>
              <w:ind w:right="194"/>
              <w:spacing w:after="0" w:line="126" w:lineRule="exact"/>
              <w:rPr>
                <w:sz w:val="20"/>
                <w:szCs w:val="20"/>
                <w:color w:val="auto"/>
              </w:rPr>
            </w:pPr>
            <w:r>
              <w:rPr>
                <w:rFonts w:ascii="Arial" w:cs="Arial" w:eastAsia="Arial" w:hAnsi="Arial"/>
                <w:sz w:val="14"/>
                <w:szCs w:val="14"/>
                <w:b w:val="1"/>
                <w:bCs w:val="1"/>
                <w:color w:val="auto"/>
                <w:w w:val="92"/>
              </w:rPr>
              <w:t>December 29,</w:t>
            </w:r>
          </w:p>
        </w:tc>
        <w:tc>
          <w:tcPr>
            <w:tcW w:w="1160" w:type="dxa"/>
            <w:vAlign w:val="bottom"/>
          </w:tcPr>
          <w:p>
            <w:pPr>
              <w:jc w:val="right"/>
              <w:ind w:right="334"/>
              <w:spacing w:after="0" w:line="126" w:lineRule="exact"/>
              <w:rPr>
                <w:sz w:val="20"/>
                <w:szCs w:val="20"/>
                <w:color w:val="auto"/>
              </w:rPr>
            </w:pPr>
            <w:r>
              <w:rPr>
                <w:rFonts w:ascii="Arial" w:cs="Arial" w:eastAsia="Arial" w:hAnsi="Arial"/>
                <w:sz w:val="14"/>
                <w:szCs w:val="14"/>
                <w:b w:val="1"/>
                <w:bCs w:val="1"/>
                <w:color w:val="auto"/>
              </w:rPr>
              <w:t>% Change</w:t>
            </w:r>
          </w:p>
        </w:tc>
      </w:tr>
      <w:tr>
        <w:trPr>
          <w:trHeight w:val="191"/>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Market Classification</w:t>
            </w:r>
          </w:p>
        </w:tc>
        <w:tc>
          <w:tcPr>
            <w:tcW w:w="100" w:type="dxa"/>
            <w:vAlign w:val="bottom"/>
          </w:tcPr>
          <w:p>
            <w:pPr>
              <w:spacing w:after="0"/>
              <w:rPr>
                <w:sz w:val="16"/>
                <w:szCs w:val="16"/>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6"/>
                <w:szCs w:val="16"/>
                <w:color w:val="auto"/>
              </w:rPr>
            </w:pPr>
          </w:p>
        </w:tc>
        <w:tc>
          <w:tcPr>
            <w:tcW w:w="1160" w:type="dxa"/>
            <w:vAlign w:val="bottom"/>
          </w:tcPr>
          <w:p>
            <w:pPr>
              <w:jc w:val="center"/>
              <w:ind w:right="174"/>
              <w:spacing w:after="0"/>
              <w:rPr>
                <w:sz w:val="20"/>
                <w:szCs w:val="20"/>
                <w:color w:val="auto"/>
              </w:rPr>
            </w:pPr>
            <w:r>
              <w:rPr>
                <w:rFonts w:ascii="Arial" w:cs="Arial" w:eastAsia="Arial" w:hAnsi="Arial"/>
                <w:sz w:val="14"/>
                <w:szCs w:val="14"/>
                <w:b w:val="1"/>
                <w:bCs w:val="1"/>
                <w:color w:val="auto"/>
                <w:w w:val="96"/>
              </w:rPr>
              <w:t>2018</w:t>
            </w:r>
          </w:p>
        </w:tc>
        <w:tc>
          <w:tcPr>
            <w:tcW w:w="1160" w:type="dxa"/>
            <w:vAlign w:val="bottom"/>
          </w:tcPr>
          <w:p>
            <w:pPr>
              <w:jc w:val="right"/>
              <w:ind w:right="274"/>
              <w:spacing w:after="0"/>
              <w:rPr>
                <w:sz w:val="20"/>
                <w:szCs w:val="20"/>
                <w:color w:val="auto"/>
              </w:rPr>
            </w:pPr>
            <w:r>
              <w:rPr>
                <w:rFonts w:ascii="Arial" w:cs="Arial" w:eastAsia="Arial" w:hAnsi="Arial"/>
                <w:sz w:val="14"/>
                <w:szCs w:val="14"/>
                <w:b w:val="1"/>
                <w:bCs w:val="1"/>
                <w:color w:val="auto"/>
                <w:w w:val="91"/>
              </w:rPr>
              <w:t>2019 vs 2018</w:t>
            </w:r>
          </w:p>
        </w:tc>
      </w:tr>
      <w:tr>
        <w:trPr>
          <w:trHeight w:val="203"/>
        </w:trPr>
        <w:tc>
          <w:tcPr>
            <w:tcW w:w="1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3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471,104</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54"/>
              <w:spacing w:after="0" w:line="203" w:lineRule="exact"/>
              <w:rPr>
                <w:sz w:val="20"/>
                <w:szCs w:val="20"/>
                <w:color w:val="auto"/>
              </w:rPr>
            </w:pPr>
            <w:r>
              <w:rPr>
                <w:rFonts w:ascii="Arial" w:cs="Arial" w:eastAsia="Arial" w:hAnsi="Arial"/>
                <w:sz w:val="18"/>
                <w:szCs w:val="18"/>
                <w:color w:val="auto"/>
              </w:rPr>
              <w:t>477,134</w:t>
            </w:r>
          </w:p>
        </w:tc>
        <w:tc>
          <w:tcPr>
            <w:tcW w:w="1160" w:type="dxa"/>
            <w:vAlign w:val="bottom"/>
            <w:tcBorders>
              <w:top w:val="single" w:sz="8" w:color="auto"/>
            </w:tcBorders>
            <w:shd w:val="clear" w:color="auto" w:fill="CCEEFF"/>
          </w:tcPr>
          <w:p>
            <w:pPr>
              <w:jc w:val="right"/>
              <w:ind w:right="74"/>
              <w:spacing w:after="0" w:line="203" w:lineRule="exact"/>
              <w:rPr>
                <w:sz w:val="20"/>
                <w:szCs w:val="20"/>
                <w:color w:val="auto"/>
              </w:rPr>
            </w:pPr>
            <w:r>
              <w:rPr>
                <w:rFonts w:ascii="Arial" w:cs="Arial" w:eastAsia="Arial" w:hAnsi="Arial"/>
                <w:sz w:val="18"/>
                <w:szCs w:val="18"/>
                <w:color w:val="auto"/>
              </w:rPr>
              <w:t>(1.3)%</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553,495</w:t>
            </w:r>
          </w:p>
        </w:tc>
        <w:tc>
          <w:tcPr>
            <w:tcW w:w="300" w:type="dxa"/>
            <w:vAlign w:val="bottom"/>
          </w:tcPr>
          <w:p>
            <w:pPr>
              <w:spacing w:after="0"/>
              <w:rPr>
                <w:sz w:val="18"/>
                <w:szCs w:val="18"/>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561,701</w:t>
            </w: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(1.5)</w:t>
            </w:r>
          </w:p>
        </w:tc>
      </w:tr>
      <w:tr>
        <w:trPr>
          <w:trHeight w:val="236"/>
        </w:trPr>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545,744</w:t>
            </w: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582,697</w:t>
            </w:r>
          </w:p>
        </w:tc>
        <w:tc>
          <w:tcPr>
            <w:tcW w:w="11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(6.3)</w:t>
            </w:r>
          </w:p>
        </w:tc>
      </w:tr>
      <w:tr>
        <w:trPr>
          <w:trHeight w:val="203"/>
        </w:trPr>
        <w:tc>
          <w:tcPr>
            <w:tcW w:w="532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00" w:type="dxa"/>
            <w:vAlign w:val="bottom"/>
          </w:tcPr>
          <w:p>
            <w:pPr>
              <w:spacing w:after="0"/>
              <w:rPr>
                <w:sz w:val="17"/>
                <w:szCs w:val="17"/>
                <w:color w:val="auto"/>
              </w:rPr>
            </w:pPr>
          </w:p>
        </w:tc>
        <w:tc>
          <w:tcPr>
            <w:tcW w:w="1020" w:type="dxa"/>
            <w:vAlign w:val="bottom"/>
          </w:tcPr>
          <w:p>
            <w:pPr>
              <w:jc w:val="right"/>
              <w:ind w:right="16"/>
              <w:spacing w:after="0" w:line="203" w:lineRule="exact"/>
              <w:rPr>
                <w:sz w:val="20"/>
                <w:szCs w:val="20"/>
                <w:color w:val="auto"/>
              </w:rPr>
            </w:pPr>
            <w:r>
              <w:rPr>
                <w:rFonts w:ascii="Arial" w:cs="Arial" w:eastAsia="Arial" w:hAnsi="Arial"/>
                <w:sz w:val="18"/>
                <w:szCs w:val="18"/>
                <w:color w:val="auto"/>
              </w:rPr>
              <w:t>1,570,343</w:t>
            </w:r>
          </w:p>
        </w:tc>
        <w:tc>
          <w:tcPr>
            <w:tcW w:w="300" w:type="dxa"/>
            <w:vAlign w:val="bottom"/>
          </w:tcPr>
          <w:p>
            <w:pPr>
              <w:spacing w:after="0"/>
              <w:rPr>
                <w:sz w:val="17"/>
                <w:szCs w:val="17"/>
                <w:color w:val="auto"/>
              </w:rPr>
            </w:pPr>
          </w:p>
        </w:tc>
        <w:tc>
          <w:tcPr>
            <w:tcW w:w="116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1,621,532</w:t>
            </w:r>
          </w:p>
        </w:tc>
        <w:tc>
          <w:tcPr>
            <w:tcW w:w="1160" w:type="dxa"/>
            <w:vAlign w:val="bottom"/>
          </w:tcPr>
          <w:p>
            <w:pPr>
              <w:jc w:val="right"/>
              <w:ind w:right="74"/>
              <w:spacing w:after="0" w:line="203" w:lineRule="exact"/>
              <w:rPr>
                <w:sz w:val="20"/>
                <w:szCs w:val="20"/>
                <w:color w:val="auto"/>
              </w:rPr>
            </w:pPr>
            <w:r>
              <w:rPr>
                <w:rFonts w:ascii="Arial" w:cs="Arial" w:eastAsia="Arial" w:hAnsi="Arial"/>
                <w:sz w:val="18"/>
                <w:szCs w:val="18"/>
                <w:color w:val="auto"/>
              </w:rPr>
              <w:t>(3.2)%</w:t>
            </w:r>
          </w:p>
        </w:tc>
      </w:tr>
      <w:tr>
        <w:trPr>
          <w:trHeight w:val="236"/>
        </w:trPr>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(22,245)</w:t>
            </w: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(22,258)</w:t>
            </w:r>
          </w:p>
        </w:tc>
        <w:tc>
          <w:tcPr>
            <w:tcW w:w="116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0.1</w:t>
            </w:r>
          </w:p>
        </w:tc>
      </w:tr>
      <w:tr>
        <w:trPr>
          <w:trHeight w:val="203"/>
        </w:trPr>
        <w:tc>
          <w:tcPr>
            <w:tcW w:w="532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6"/>
              <w:spacing w:after="0" w:line="203" w:lineRule="exact"/>
              <w:rPr>
                <w:sz w:val="20"/>
                <w:szCs w:val="20"/>
                <w:color w:val="auto"/>
              </w:rPr>
            </w:pPr>
            <w:r>
              <w:rPr>
                <w:rFonts w:ascii="Arial" w:cs="Arial" w:eastAsia="Arial" w:hAnsi="Arial"/>
                <w:sz w:val="18"/>
                <w:szCs w:val="18"/>
                <w:color w:val="auto"/>
              </w:rPr>
              <w:t>1,548,098</w:t>
            </w:r>
          </w:p>
        </w:tc>
        <w:tc>
          <w:tcPr>
            <w:tcW w:w="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54"/>
              <w:spacing w:after="0" w:line="203" w:lineRule="exact"/>
              <w:rPr>
                <w:sz w:val="20"/>
                <w:szCs w:val="20"/>
                <w:color w:val="auto"/>
              </w:rPr>
            </w:pPr>
            <w:r>
              <w:rPr>
                <w:rFonts w:ascii="Arial" w:cs="Arial" w:eastAsia="Arial" w:hAnsi="Arial"/>
                <w:sz w:val="18"/>
                <w:szCs w:val="18"/>
                <w:color w:val="auto"/>
              </w:rPr>
              <w:t>1,599,274</w:t>
            </w:r>
          </w:p>
        </w:tc>
        <w:tc>
          <w:tcPr>
            <w:tcW w:w="1160" w:type="dxa"/>
            <w:vAlign w:val="bottom"/>
            <w:tcBorders>
              <w:bottom w:val="single" w:sz="8" w:color="auto"/>
            </w:tcBorders>
          </w:tcPr>
          <w:p>
            <w:pPr>
              <w:jc w:val="right"/>
              <w:ind w:right="74"/>
              <w:spacing w:after="0" w:line="203" w:lineRule="exact"/>
              <w:rPr>
                <w:sz w:val="20"/>
                <w:szCs w:val="20"/>
                <w:color w:val="auto"/>
              </w:rPr>
            </w:pPr>
            <w:r>
              <w:rPr>
                <w:rFonts w:ascii="Arial" w:cs="Arial" w:eastAsia="Arial" w:hAnsi="Arial"/>
                <w:sz w:val="18"/>
                <w:szCs w:val="18"/>
                <w:color w:val="auto"/>
              </w:rPr>
              <w:t>(3.2)%</w:t>
            </w:r>
          </w:p>
        </w:tc>
      </w:tr>
      <w:tr>
        <w:trPr>
          <w:trHeight w:val="20"/>
        </w:trPr>
        <w:tc>
          <w:tcPr>
            <w:tcW w:w="1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Net sales of the West reportable segment decreased by $51.2 million, or 3.2%, in 2019, primarily due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lumber prices decreased our selling prices.</w:t>
      </w:r>
    </w:p>
    <w:p>
      <w:pPr>
        <w:spacing w:after="0" w:line="225" w:lineRule="exact"/>
        <w:rPr>
          <w:rFonts w:ascii="Arial" w:cs="Arial" w:eastAsia="Arial" w:hAnsi="Arial"/>
          <w:sz w:val="18"/>
          <w:szCs w:val="18"/>
          <w:color w:val="auto"/>
        </w:rPr>
      </w:pPr>
    </w:p>
    <w:p>
      <w:pPr>
        <w:ind w:left="720"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in unit sales to the retail market due to acquired operations, which contributed $6 million of growth, and an increase in demand of existing customers.</w:t>
      </w:r>
    </w:p>
    <w:p>
      <w:pPr>
        <w:spacing w:after="0" w:line="170" w:lineRule="exact"/>
        <w:rPr>
          <w:rFonts w:ascii="Arial" w:cs="Arial" w:eastAsia="Arial" w:hAnsi="Arial"/>
          <w:sz w:val="18"/>
          <w:szCs w:val="18"/>
          <w:color w:val="auto"/>
        </w:rPr>
      </w:pPr>
    </w:p>
    <w:p>
      <w:pPr>
        <w:ind w:left="720"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in unit sales to the industrial market due to organic growth of value-added products with existing customers.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in unit sales to the construction market due to new customers in our Texas region.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Earnings from operations of the West segment increased in 2019 by $15.1 million, or 14.6%, due to:</w:t>
      </w:r>
    </w:p>
    <w:p>
      <w:pPr>
        <w:spacing w:after="0" w:line="225" w:lineRule="exact"/>
        <w:rPr>
          <w:sz w:val="20"/>
          <w:szCs w:val="20"/>
          <w:color w:val="auto"/>
        </w:rPr>
      </w:pPr>
    </w:p>
    <w:p>
      <w:pPr>
        <w:jc w:val="both"/>
        <w:ind w:left="720" w:hanging="319"/>
        <w:spacing w:after="0" w:line="312"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increase in gross profit of $26.3 million, comprised of increases of $4.8 million and $16.4 million to the retail and industrial markets, respectively, and $5.1 million of favorable labor and overhead cost variances. These changes in gross profits are primarily due to the same factors discussed “Cost of Goods Sold and Gross Profits”.</w:t>
      </w:r>
    </w:p>
    <w:p>
      <w:pPr>
        <w:spacing w:after="0" w:line="146" w:lineRule="exact"/>
        <w:rPr>
          <w:rFonts w:ascii="Arial" w:cs="Arial" w:eastAsia="Arial" w:hAnsi="Arial"/>
          <w:sz w:val="16"/>
          <w:szCs w:val="16"/>
          <w:color w:val="auto"/>
        </w:rPr>
      </w:pPr>
    </w:p>
    <w:p>
      <w:pPr>
        <w:ind w:left="720" w:hanging="319"/>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$11.2 million increase in SG&amp;A expenses compared to last year. The change in SG&amp;A expenses was primarily due to the same factors discussed under “Selling,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Net Sales of All Other Segment by Market</w:t>
            </w:r>
          </w:p>
        </w:tc>
        <w:tc>
          <w:tcPr>
            <w:tcW w:w="280" w:type="dxa"/>
            <w:vAlign w:val="bottom"/>
            <w:tcBorders>
              <w:bottom w:val="single" w:sz="8" w:color="auto"/>
            </w:tcBorders>
          </w:tcPr>
          <w:p>
            <w:pPr>
              <w:spacing w:after="0"/>
              <w:rPr>
                <w:sz w:val="15"/>
                <w:szCs w:val="15"/>
                <w:color w:val="auto"/>
              </w:rPr>
            </w:pPr>
          </w:p>
        </w:tc>
      </w:tr>
      <w:tr>
        <w:trPr>
          <w:trHeight w:val="156"/>
        </w:trPr>
        <w:tc>
          <w:tcPr>
            <w:tcW w:w="13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554"/>
              <w:spacing w:after="0" w:line="149" w:lineRule="exact"/>
              <w:rPr>
                <w:sz w:val="20"/>
                <w:szCs w:val="20"/>
                <w:color w:val="auto"/>
              </w:rPr>
            </w:pPr>
            <w:r>
              <w:rPr>
                <w:rFonts w:ascii="Arial" w:cs="Arial" w:eastAsia="Arial" w:hAnsi="Arial"/>
                <w:sz w:val="14"/>
                <w:szCs w:val="14"/>
                <w:b w:val="1"/>
                <w:bCs w:val="1"/>
                <w:color w:val="auto"/>
                <w:w w:val="93"/>
              </w:rPr>
              <w:t>Twelve Months Ended</w:t>
            </w:r>
          </w:p>
        </w:tc>
        <w:tc>
          <w:tcPr>
            <w:tcW w:w="280" w:type="dxa"/>
            <w:vAlign w:val="bottom"/>
            <w:tcBorders>
              <w:bottom w:val="single" w:sz="8" w:color="auto"/>
            </w:tcBorders>
          </w:tcPr>
          <w:p>
            <w:pPr>
              <w:spacing w:after="0"/>
              <w:rPr>
                <w:sz w:val="13"/>
                <w:szCs w:val="13"/>
                <w:color w:val="auto"/>
              </w:rPr>
            </w:pPr>
          </w:p>
        </w:tc>
      </w:tr>
      <w:tr>
        <w:trPr>
          <w:trHeight w:val="126"/>
        </w:trPr>
        <w:tc>
          <w:tcPr>
            <w:tcW w:w="134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920" w:type="dxa"/>
            <w:vAlign w:val="bottom"/>
            <w:gridSpan w:val="2"/>
          </w:tcPr>
          <w:p>
            <w:pPr>
              <w:ind w:left="40"/>
              <w:spacing w:after="0" w:line="126" w:lineRule="exact"/>
              <w:rPr>
                <w:sz w:val="20"/>
                <w:szCs w:val="20"/>
                <w:color w:val="auto"/>
              </w:rPr>
            </w:pPr>
            <w:r>
              <w:rPr>
                <w:rFonts w:ascii="Arial" w:cs="Arial" w:eastAsia="Arial" w:hAnsi="Arial"/>
                <w:sz w:val="14"/>
                <w:szCs w:val="14"/>
                <w:b w:val="1"/>
                <w:bCs w:val="1"/>
                <w:color w:val="auto"/>
                <w:w w:val="94"/>
              </w:rPr>
              <w:t>December 28,</w:t>
            </w:r>
          </w:p>
        </w:tc>
        <w:tc>
          <w:tcPr>
            <w:tcW w:w="1120" w:type="dxa"/>
            <w:vAlign w:val="bottom"/>
            <w:gridSpan w:val="2"/>
          </w:tcPr>
          <w:p>
            <w:pPr>
              <w:jc w:val="right"/>
              <w:ind w:right="53"/>
              <w:spacing w:after="0" w:line="126" w:lineRule="exact"/>
              <w:rPr>
                <w:sz w:val="20"/>
                <w:szCs w:val="20"/>
                <w:color w:val="auto"/>
              </w:rPr>
            </w:pPr>
            <w:r>
              <w:rPr>
                <w:rFonts w:ascii="Arial" w:cs="Arial" w:eastAsia="Arial" w:hAnsi="Arial"/>
                <w:sz w:val="14"/>
                <w:szCs w:val="14"/>
                <w:b w:val="1"/>
                <w:bCs w:val="1"/>
                <w:color w:val="auto"/>
              </w:rPr>
              <w:t>December 29,</w:t>
            </w:r>
          </w:p>
        </w:tc>
        <w:tc>
          <w:tcPr>
            <w:tcW w:w="920" w:type="dxa"/>
            <w:vAlign w:val="bottom"/>
          </w:tcPr>
          <w:p>
            <w:pPr>
              <w:jc w:val="right"/>
              <w:ind w:right="34"/>
              <w:spacing w:after="0" w:line="126"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0"/>
                <w:szCs w:val="10"/>
                <w:color w:val="auto"/>
              </w:rPr>
            </w:pPr>
          </w:p>
        </w:tc>
      </w:tr>
      <w:tr>
        <w:trPr>
          <w:trHeight w:val="19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Market Classification</w:t>
            </w:r>
          </w:p>
        </w:tc>
        <w:tc>
          <w:tcPr>
            <w:tcW w:w="160" w:type="dxa"/>
            <w:vAlign w:val="bottom"/>
          </w:tcPr>
          <w:p>
            <w:pPr>
              <w:spacing w:after="0"/>
              <w:rPr>
                <w:sz w:val="16"/>
                <w:szCs w:val="16"/>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6"/>
                <w:szCs w:val="16"/>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8"/>
              </w:rPr>
              <w:t>2019 vs 2018</w:t>
            </w:r>
          </w:p>
        </w:tc>
        <w:tc>
          <w:tcPr>
            <w:tcW w:w="280" w:type="dxa"/>
            <w:vAlign w:val="bottom"/>
          </w:tcPr>
          <w:p>
            <w:pPr>
              <w:spacing w:after="0"/>
              <w:rPr>
                <w:sz w:val="16"/>
                <w:szCs w:val="16"/>
                <w:color w:val="auto"/>
              </w:rPr>
            </w:pPr>
          </w:p>
        </w:tc>
      </w:tr>
      <w:tr>
        <w:trPr>
          <w:trHeight w:val="203"/>
        </w:trPr>
        <w:tc>
          <w:tcPr>
            <w:tcW w:w="1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4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w w:val="98"/>
              </w:rPr>
              <w:t>220,259</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93"/>
              <w:spacing w:after="0" w:line="203" w:lineRule="exact"/>
              <w:rPr>
                <w:sz w:val="20"/>
                <w:szCs w:val="20"/>
                <w:color w:val="auto"/>
              </w:rPr>
            </w:pPr>
            <w:r>
              <w:rPr>
                <w:rFonts w:ascii="Arial" w:cs="Arial" w:eastAsia="Arial" w:hAnsi="Arial"/>
                <w:sz w:val="18"/>
                <w:szCs w:val="18"/>
                <w:color w:val="auto"/>
                <w:w w:val="98"/>
              </w:rPr>
              <w:t>200,562</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w:t>
            </w:r>
          </w:p>
        </w:tc>
        <w:tc>
          <w:tcPr>
            <w:tcW w:w="28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87"/>
              </w:rPr>
              <w:t>%</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6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8"/>
              </w:rPr>
              <w:t>142,871</w:t>
            </w:r>
          </w:p>
        </w:tc>
        <w:tc>
          <w:tcPr>
            <w:tcW w:w="28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w w:val="98"/>
              </w:rPr>
              <w:t>139,237</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r>
      <w:tr>
        <w:trPr>
          <w:trHeight w:val="236"/>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275,156</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8"/>
              </w:rPr>
              <w:t>252,999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auto"/>
            </w:tcBorders>
            <w:shd w:val="clear" w:color="auto" w:fill="CCEEFF"/>
          </w:tcPr>
          <w:p>
            <w:pPr>
              <w:spacing w:after="0"/>
              <w:rPr>
                <w:sz w:val="20"/>
                <w:szCs w:val="20"/>
                <w:color w:val="auto"/>
              </w:rPr>
            </w:pPr>
          </w:p>
        </w:tc>
      </w:tr>
      <w:tr>
        <w:trPr>
          <w:trHeight w:val="203"/>
        </w:trPr>
        <w:tc>
          <w:tcPr>
            <w:tcW w:w="582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60" w:type="dxa"/>
            <w:vAlign w:val="bottom"/>
          </w:tcPr>
          <w:p>
            <w:pPr>
              <w:spacing w:after="0"/>
              <w:rPr>
                <w:sz w:val="17"/>
                <w:szCs w:val="17"/>
                <w:color w:val="auto"/>
              </w:rPr>
            </w:pPr>
          </w:p>
        </w:tc>
        <w:tc>
          <w:tcPr>
            <w:tcW w:w="760" w:type="dxa"/>
            <w:vAlign w:val="bottom"/>
          </w:tcPr>
          <w:p>
            <w:pPr>
              <w:jc w:val="right"/>
              <w:ind w:right="14"/>
              <w:spacing w:after="0" w:line="203" w:lineRule="exact"/>
              <w:rPr>
                <w:sz w:val="20"/>
                <w:szCs w:val="20"/>
                <w:color w:val="auto"/>
              </w:rPr>
            </w:pPr>
            <w:r>
              <w:rPr>
                <w:rFonts w:ascii="Arial" w:cs="Arial" w:eastAsia="Arial" w:hAnsi="Arial"/>
                <w:sz w:val="18"/>
                <w:szCs w:val="18"/>
                <w:color w:val="auto"/>
                <w:w w:val="98"/>
              </w:rPr>
              <w:t>638,286</w:t>
            </w:r>
          </w:p>
        </w:tc>
        <w:tc>
          <w:tcPr>
            <w:tcW w:w="280" w:type="dxa"/>
            <w:vAlign w:val="bottom"/>
          </w:tcPr>
          <w:p>
            <w:pPr>
              <w:spacing w:after="0"/>
              <w:rPr>
                <w:sz w:val="17"/>
                <w:szCs w:val="17"/>
                <w:color w:val="auto"/>
              </w:rPr>
            </w:pPr>
          </w:p>
        </w:tc>
        <w:tc>
          <w:tcPr>
            <w:tcW w:w="840" w:type="dxa"/>
            <w:vAlign w:val="bottom"/>
          </w:tcPr>
          <w:p>
            <w:pPr>
              <w:jc w:val="right"/>
              <w:ind w:right="93"/>
              <w:spacing w:after="0" w:line="203" w:lineRule="exact"/>
              <w:rPr>
                <w:sz w:val="20"/>
                <w:szCs w:val="20"/>
                <w:color w:val="auto"/>
              </w:rPr>
            </w:pPr>
            <w:r>
              <w:rPr>
                <w:rFonts w:ascii="Arial" w:cs="Arial" w:eastAsia="Arial" w:hAnsi="Arial"/>
                <w:sz w:val="18"/>
                <w:szCs w:val="18"/>
                <w:color w:val="auto"/>
                <w:w w:val="98"/>
              </w:rPr>
              <w:t>592,798</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7.7</w:t>
            </w:r>
          </w:p>
        </w:tc>
        <w:tc>
          <w:tcPr>
            <w:tcW w:w="28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7"/>
              </w:rPr>
              <w:t>%</w:t>
            </w:r>
          </w:p>
        </w:tc>
      </w:tr>
      <w:tr>
        <w:trPr>
          <w:trHeight w:val="236"/>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(9,406)</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(7,098)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80" w:type="dxa"/>
            <w:vAlign w:val="bottom"/>
            <w:tcBorders>
              <w:bottom w:val="single" w:sz="8" w:color="auto"/>
            </w:tcBorders>
            <w:shd w:val="clear" w:color="auto" w:fill="CCEEFF"/>
          </w:tcPr>
          <w:p>
            <w:pPr>
              <w:spacing w:after="0"/>
              <w:rPr>
                <w:sz w:val="20"/>
                <w:szCs w:val="20"/>
                <w:color w:val="auto"/>
              </w:rPr>
            </w:pPr>
          </w:p>
        </w:tc>
      </w:tr>
      <w:tr>
        <w:trPr>
          <w:trHeight w:val="203"/>
        </w:trPr>
        <w:tc>
          <w:tcPr>
            <w:tcW w:w="582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w w:val="98"/>
              </w:rPr>
              <w:t>628,880</w:t>
            </w:r>
          </w:p>
        </w:tc>
        <w:tc>
          <w:tcPr>
            <w:tcW w:w="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3"/>
              <w:spacing w:after="0" w:line="203" w:lineRule="exact"/>
              <w:rPr>
                <w:sz w:val="20"/>
                <w:szCs w:val="20"/>
                <w:color w:val="auto"/>
              </w:rPr>
            </w:pPr>
            <w:r>
              <w:rPr>
                <w:rFonts w:ascii="Arial" w:cs="Arial" w:eastAsia="Arial" w:hAnsi="Arial"/>
                <w:sz w:val="18"/>
                <w:szCs w:val="18"/>
                <w:color w:val="auto"/>
                <w:w w:val="98"/>
              </w:rPr>
              <w:t>585,700</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w:t>
            </w:r>
          </w:p>
        </w:tc>
        <w:tc>
          <w:tcPr>
            <w:tcW w:w="2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87"/>
              </w:rPr>
              <w:t>%</w:t>
            </w:r>
          </w:p>
        </w:tc>
      </w:tr>
      <w:tr>
        <w:trPr>
          <w:trHeight w:val="20"/>
        </w:trPr>
        <w:tc>
          <w:tcPr>
            <w:tcW w:w="13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Note that prior years have been restated to reflect the reclassification of captive insurance external revenue from the sales allowances line item into the industrial market. In addition, we reclassified idX from industrial to the construction market to better align idX’s core business, design, manufacture, distribution and installation of customized interior fixtures for a variety of retail and commercial structures, with the commercial construction market. The reclassification was recorded retrospectively.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All Other consists of our Alternative Materials, International, idX, and certain other segments which are not significant.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Net sales of all other segments increased $43.2 million, or 7.4%, in 2019 primarily due to:</w:t>
      </w:r>
    </w:p>
    <w:p>
      <w:pPr>
        <w:spacing w:after="0" w:line="225" w:lineRule="exact"/>
        <w:rPr>
          <w:sz w:val="20"/>
          <w:szCs w:val="20"/>
          <w:color w:val="auto"/>
        </w:rPr>
      </w:pPr>
    </w:p>
    <w:p>
      <w:pPr>
        <w:ind w:left="720" w:hanging="319"/>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sales to the retail market primarily due to a market share gain our Alternative Materials segment achieved with our Deckorators branded product with one of our big box customers.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sales to the construction market increased primarily due to our idX business unit.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Earnings from operations for the All Other reportable segment increased in 2019 by $2.1 million, or 31.5%, due to an increase in gross profit of $5.7 million, offset by a $3.6 million increase in SG&amp;A expenses compared to last year.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CONTRACTUAL OBLIGATIONS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significant off-balance sheet commitments other than operating leases. The following table summarizes our contractual obligations as of December 28, 2019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435"/>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26"/>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760" w:type="dxa"/>
            <w:vAlign w:val="bottom"/>
            <w:gridSpan w:val="2"/>
          </w:tcPr>
          <w:p>
            <w:pPr>
              <w:jc w:val="right"/>
              <w:ind w:right="13"/>
              <w:spacing w:after="0" w:line="126" w:lineRule="exact"/>
              <w:rPr>
                <w:sz w:val="20"/>
                <w:szCs w:val="20"/>
                <w:color w:val="auto"/>
              </w:rPr>
            </w:pPr>
            <w:r>
              <w:rPr>
                <w:rFonts w:ascii="Arial" w:cs="Arial" w:eastAsia="Arial" w:hAnsi="Arial"/>
                <w:sz w:val="14"/>
                <w:szCs w:val="14"/>
                <w:b w:val="1"/>
                <w:bCs w:val="1"/>
                <w:color w:val="auto"/>
                <w:w w:val="97"/>
              </w:rPr>
              <w:t>Less than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57"/>
              <w:spacing w:after="0" w:line="126" w:lineRule="exact"/>
              <w:rPr>
                <w:sz w:val="20"/>
                <w:szCs w:val="20"/>
                <w:color w:val="auto"/>
              </w:rPr>
            </w:pPr>
            <w:r>
              <w:rPr>
                <w:rFonts w:ascii="Arial" w:cs="Arial" w:eastAsia="Arial" w:hAnsi="Arial"/>
                <w:sz w:val="14"/>
                <w:szCs w:val="14"/>
                <w:b w:val="1"/>
                <w:bCs w:val="1"/>
                <w:color w:val="auto"/>
              </w:rPr>
              <w:t>1 – 3</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155"/>
              <w:spacing w:after="0" w:line="126" w:lineRule="exact"/>
              <w:rPr>
                <w:sz w:val="20"/>
                <w:szCs w:val="20"/>
                <w:color w:val="auto"/>
              </w:rPr>
            </w:pPr>
            <w:r>
              <w:rPr>
                <w:rFonts w:ascii="Arial" w:cs="Arial" w:eastAsia="Arial" w:hAnsi="Arial"/>
                <w:sz w:val="14"/>
                <w:szCs w:val="14"/>
                <w:b w:val="1"/>
                <w:bCs w:val="1"/>
                <w:color w:val="auto"/>
              </w:rPr>
              <w:t>3 – 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195"/>
              <w:spacing w:after="0" w:line="126" w:lineRule="exact"/>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78"/>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w:t>
            </w:r>
          </w:p>
        </w:tc>
        <w:tc>
          <w:tcPr>
            <w:tcW w:w="140" w:type="dxa"/>
            <w:vAlign w:val="bottom"/>
          </w:tcPr>
          <w:p>
            <w:pPr>
              <w:spacing w:after="0"/>
              <w:rPr>
                <w:sz w:val="15"/>
                <w:szCs w:val="15"/>
                <w:color w:val="auto"/>
              </w:rPr>
            </w:pPr>
          </w:p>
        </w:tc>
        <w:tc>
          <w:tcPr>
            <w:tcW w:w="6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1 Year</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17"/>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w w:val="99"/>
              </w:rPr>
              <w:t>Years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5 Years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and capital lease obligations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38,705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43,953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163,683</w:t>
            </w: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Estimated interest on long-term debt and capital lease</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6,376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12,534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9,641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14,346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42,897</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17,633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27,698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92,728</w:t>
            </w: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 project purchase obligations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33,806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33,806</w:t>
            </w: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60,567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78,937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71,876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121,734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333,114</w:t>
            </w: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28, 2019, we also had $37.3 million in outstanding letters of credit issued during the normal course of business, as required by some vendor contracts.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28,</w:t>
            </w:r>
          </w:p>
        </w:tc>
        <w:tc>
          <w:tcPr>
            <w:tcW w:w="1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29,</w:t>
            </w:r>
          </w:p>
        </w:tc>
      </w:tr>
      <w:tr>
        <w:trPr>
          <w:trHeight w:val="178"/>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140" w:type="dxa"/>
            <w:vAlign w:val="bottom"/>
            <w:gridSpan w:val="2"/>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6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1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349,291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(142,037)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(121,232)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 from (used in) financing activities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(67,268)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482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140,468</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year</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28,198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28,816</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168,666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28,198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manage our capital structure by attempting to maintain a targeted ratio of debt to equity and debt to earnings before interest, taxes, depreciation and amortization. We believe these financial ratios are among many other important factors to maintaining a strong credit profile, which in turn helps ensure timely access to capital when needed.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August.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Due to the seasonality of our business and the effects of the Lumber Market, we believe our cash cycle (days sales are outstanding plus days supply of inventory less days payables are outstanding) is a good indicator of our working capital management. As indicated in the table below, our cash cycle increased to 56 days in 2019 from 54 days in 2018.</w:t>
      </w:r>
    </w:p>
    <w:p>
      <w:pPr>
        <w:spacing w:after="0" w:line="171" w:lineRule="exact"/>
        <w:rPr>
          <w:sz w:val="20"/>
          <w:szCs w:val="20"/>
          <w:color w:val="auto"/>
        </w:rPr>
      </w:pPr>
    </w:p>
    <w:tbl>
      <w:tblPr>
        <w:tblLayout w:type="fixed"/>
        <w:tblInd w:w="10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Twelve Months Ended</w:t>
            </w:r>
          </w:p>
        </w:tc>
      </w:tr>
      <w:tr>
        <w:trPr>
          <w:trHeight w:val="126"/>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04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December 28,</w:t>
            </w:r>
          </w:p>
        </w:tc>
        <w:tc>
          <w:tcPr>
            <w:tcW w:w="8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2"/>
              </w:rPr>
              <w:t>December 29,</w:t>
            </w:r>
          </w:p>
        </w:tc>
      </w:tr>
      <w:tr>
        <w:trPr>
          <w:trHeight w:val="178"/>
        </w:trPr>
        <w:tc>
          <w:tcPr>
            <w:tcW w:w="20" w:type="dxa"/>
            <w:vAlign w:val="bottom"/>
          </w:tcPr>
          <w:p>
            <w:pPr>
              <w:spacing w:after="0"/>
              <w:rPr>
                <w:sz w:val="15"/>
                <w:szCs w:val="15"/>
                <w:color w:val="auto"/>
              </w:rPr>
            </w:pPr>
          </w:p>
        </w:tc>
        <w:tc>
          <w:tcPr>
            <w:tcW w:w="50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6"/>
        </w:trPr>
        <w:tc>
          <w:tcPr>
            <w:tcW w:w="20" w:type="dxa"/>
            <w:vAlign w:val="bottom"/>
          </w:tcPr>
          <w:p>
            <w:pPr>
              <w:spacing w:after="0"/>
              <w:rPr>
                <w:sz w:val="20"/>
                <w:szCs w:val="20"/>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3"/>
        </w:trPr>
        <w:tc>
          <w:tcPr>
            <w:tcW w:w="5060" w:type="dxa"/>
            <w:vAlign w:val="bottom"/>
            <w:gridSpan w:val="2"/>
          </w:tcPr>
          <w:p>
            <w:pPr>
              <w:spacing w:after="0" w:line="203" w:lineRule="exact"/>
              <w:rPr>
                <w:sz w:val="20"/>
                <w:szCs w:val="20"/>
                <w:color w:val="auto"/>
              </w:rPr>
            </w:pPr>
            <w:r>
              <w:rPr>
                <w:rFonts w:ascii="Arial" w:cs="Arial" w:eastAsia="Arial" w:hAnsi="Arial"/>
                <w:sz w:val="18"/>
                <w:szCs w:val="18"/>
                <w:color w:val="auto"/>
              </w:rPr>
              <w:t>Days in cash cycle</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w:t>
            </w:r>
          </w:p>
        </w:tc>
        <w:tc>
          <w:tcPr>
            <w:tcW w:w="18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our days’ supply of inventory was primarily due to opportunistic lumber purchases in the fourth quarter of 2018 of product that was sold in the first six months of 2019 and contributed to our improved profitability.</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cash flows from operating activities in 2019 was $349.3 million, which was comprised of net earnings of $182.4 million, $77 million of non-cash expenses, and an $89.8 million decrease in working capital since the end of December 2018. Comparatively, cash generated from operating activities was approximately $116.7 million in 2018, which was comprised of net earnings of $152.4 million, $61.1 million of non-cash expenses, and a $96.8 million increase in working capital since the end of 2017. The trends in working capital discussed above were primarily due to opportunistic purchases of lumber purchases in the fourth quarter of 2018 as well as higher lumber prices in 2018 which declined in 2019. Non-cash expenses increased primarily due to depreciation and deferred income taxes.</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cash used in investing activities during 2019 was $142 million, which was comprised primarily of purchases of property, plant, and equipment totaling $84.9 million, business acquisitions totaling $39.1 million, and investments in life insurance contracts totaling $15.2 million. The decrease in our capital expenditures in 2019 was primarily due to extended lead times with contractors and equipment suppliers on capital projects. Consequently, our outstanding purchase commitments on existing capital projects totaled approximately $34 million on December 28, 2019. Our capital expenditures primarily consist of “maintenance” capital expenditures totaling approximately $54.2 million, as well as “expansionary and efficiency” capital expenditures tied to initiatives including adding capacity in South Florida to replace the Medley plant we sold last year, expanding our capacity to produce new and valued value-added products, and automation. We also purchased real estate and equipment for geographic expansion. The sale and purchase of investments totaling $9.8 million and $13.3 million, respectively, are due to investment activity in our captive insurance subsidiary.</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investments in business acquisitions and purchases of property, plant, and equipment were $54 million and $95.9 million, respectively, and proceeds from the sale of property, plant and equipment were $38.4 million, primarily due to the sale of the Medley, FL, plant for $36 million. Outstanding purchase commitments on existing capital projects totaled approximately $14.3 million on December 29, 2018.</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flows from financing activities primarily consisted of $422.1 million of borrowings under the revolving credit facilities (See Notes to Consolidated Financial Statements “Debt”), repayments under these facilities of approximately $460.1 million, and $24.5 million in dividend payments. We paid semi-annual dividends in June and December of 2019 at a semi-annual rate of $0.20 per share. Comparatively in 2018, cash flows from financing activities primarily consisted of $75 million in proceeds from the issuance of Senior A and B Notes, net borrowings under our revolving credit facility of approximately $16.1 million, $22.1 million in dividend payments at a semi-annual rate of $0.18 per share, and $24.6 million of stock repurchases at an average price of $28.62 per share.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1, 2018, we entered into a five-year, $375 million unsecured revolving credit facility with a syndicate of U.S. and Canadian banks led by JPMorgan Chase Bank, N.A., as administrative agent and Wells Fargo Bank, N.A., as syndication agent. The facilities include up to $40 million which may be advanced in the form of letters of credit, and up</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$100 million (U.S. dollar equivalent) which may be advanced in Canadian dollars, Australian dollars, pounds Sterling, Euros and such other foreign currencies as may subsequently be agreed upon among the parties. This facility replaced our $295 million unsecured revolving credit facility.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28, 2019, we had $4 million outstanding on our $375 million revolving credit facility. The revolving credit facility also supports letters of credit totaling approximately $9.8 million on December 28, 2019. As a result, we have approximately $361 million in remaining availability on our revolver. Additionally, we have $150 million in availability under a "shelf agreement" for long term debt with a current lender.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December 28,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CONSIDERATIONS AND REGULATIONS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L, “Commitments, Contingencies, and Guarantees”.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Following is a summary of our more significant accounting policies that require the use of estimates and judgments in preparing the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evaluate goodwill for indicators of impairment when events or circumstances indicate that this risk may be present. Our judgments regarding the existence of impairment are based on market conditions, operational performance and estimated future cash flows. Determining whether an impairment has occurred requires the valuation of the respective reporting unit, which the Company has consistently estimated using primarily a weighted average between income and market approach. The Company believes this approach is the most appropriate and accurate method to measure the fair value of our intangible assets. We use the discounted cash flow analysis with the following assumption: a business is worth today what it can generate in future cash flows; cash received today is worth more than an equal amount of cash received in the future; and future cash flows can be reasonably estimated. The discounted cash flow analysis is based on the present value of projected cash flows and residual values.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our annual testing date of September 28, 2019, the fair values exceed the carrying values for each of the Company’s reporting units.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carrying value of goodwill is considered impaired, an impairment charge is recorded to adjust it to its fair value. Changes in forecasted operations and changes in discount rates can materially affect these estimates. In addition, we test goodwill annually for impairment or more frequently if changes in circumstances or the occurrence of other events suggest impairments exist. The test for impairment requires us to make several estimates about fair value, most of which are based on projected future cash flows and market valuation multiples. Changes in these estimates may result in the recognition of an impairment loss.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2019, there were no indicators for impairment for any of the reporting units, but we continue to monitor the results of the idX reporting unit. They have performed below expectations through year-end; however, management believes the long-term projection for idX is still reasonable and attainable. While the risk of impairment exists, management does not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feel an impairment is necessary. Should the Company’s future analysis indicate a significant change in any of the triggering events for this reporting unit, it could result in impairment of the carrying value of goodwill to its implied fair value. There can be no assurance that the Company’s future goodwill impairment testing will not result in a charge to earnings. The goodwill and identifiable intangibles of the idX reporting unit total $10.3 million and $4.5 million, respectively, on September 28,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product sales is recognized at the time the performance obligation is satisfied, which is primarily when the goods are delivered to the carrier, Free On Board (FOB) shipping point. Generally, title passes at the time of shipment. In certain circumstances, the customer takes title when the shipment arrives at the destination. However, our shipping process is typically completed the same day.</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Performance on construction contracts is reflected in operations using percentage-of-completion accounting, under either the cost to cost or units of delivery methods,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per the contract.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GOALS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goal is to achieve long-term unit sales growth that exceeds positive U.S. GDP growth by 4 percent to 6 percent, including business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general long-term objectives also include:</w:t>
      </w:r>
    </w:p>
    <w:p>
      <w:pPr>
        <w:spacing w:after="0" w:line="225" w:lineRule="exact"/>
        <w:rPr>
          <w:sz w:val="20"/>
          <w:szCs w:val="20"/>
          <w:color w:val="auto"/>
        </w:rPr>
      </w:pPr>
    </w:p>
    <w:p>
      <w:pPr>
        <w:ind w:left="680" w:hanging="320"/>
        <w:spacing w:after="0" w:line="308"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Achieving sales growth primarily through new product introduction, international business expansion, and gaining additional market share, particularly in our core retail, industrial and commercial construction markets;</w:t>
      </w:r>
    </w:p>
    <w:p>
      <w:pPr>
        <w:spacing w:after="0" w:line="146" w:lineRule="exact"/>
        <w:rPr>
          <w:rFonts w:ascii="Arial" w:cs="Arial" w:eastAsia="Arial" w:hAnsi="Arial"/>
          <w:sz w:val="17"/>
          <w:szCs w:val="17"/>
          <w:color w:val="auto"/>
        </w:rPr>
      </w:pPr>
    </w:p>
    <w:p>
      <w:pPr>
        <w:ind w:left="680" w:right="20" w:hanging="320"/>
        <w:spacing w:after="0" w:line="277"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new growth opportunities in businesses with adjacencies to our core businesses, primarily through strategic business acquisitions;</w:t>
      </w:r>
    </w:p>
    <w:p>
      <w:pPr>
        <w:spacing w:after="0" w:line="170" w:lineRule="exact"/>
        <w:rPr>
          <w:rFonts w:ascii="Arial" w:cs="Arial" w:eastAsia="Arial" w:hAnsi="Arial"/>
          <w:sz w:val="18"/>
          <w:szCs w:val="18"/>
          <w:color w:val="auto"/>
        </w:rPr>
      </w:pPr>
    </w:p>
    <w:p>
      <w:pPr>
        <w:jc w:val="both"/>
        <w:ind w:left="680" w:hanging="320"/>
        <w:spacing w:after="0" w:line="264"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Increasing our profitability through cost reductions, productivity improvements as volume improves, and a more favorable mix of value-added products resulting in growth in earnings from operations in excess of our unit sales growth; and</w:t>
      </w:r>
    </w:p>
    <w:p>
      <w:pPr>
        <w:spacing w:after="0" w:line="181" w:lineRule="exact"/>
        <w:rPr>
          <w:rFonts w:ascii="Arial" w:cs="Arial" w:eastAsia="Arial" w:hAnsi="Arial"/>
          <w:sz w:val="18"/>
          <w:szCs w:val="18"/>
          <w:color w:val="auto"/>
        </w:rPr>
      </w:pPr>
    </w:p>
    <w:p>
      <w:pPr>
        <w:ind w:left="680" w:hanging="320"/>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Earning a return on invested capital in excess of our weighted average cost of capital.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our new structure starting January 1, 2020, the Company will be re-organized around the markets it serves (retail, construction, and industrial) rather than geography. We believe this change in segmentation will, among other factors, allow for a more specialized and consistent sales approach among all Universal operations, more efficient use of resources and capital, and quicker introduction of new products and services, which will enhance our ability to achieve the long term objectives noted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MARKET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Home Improvement Research Institute (“HIRI”) anticipates growth in home improvement spending and has forecasted a 2.7% compounded annual growth rate through 2023.</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continue to compete for market share for certain retail customers and face intense pricing pressure from other suppliers to this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long-term goal is to achieve sales growth by:</w:t>
      </w:r>
    </w:p>
    <w:p>
      <w:pPr>
        <w:spacing w:after="0" w:line="225" w:lineRule="exact"/>
        <w:rPr>
          <w:sz w:val="20"/>
          <w:szCs w:val="20"/>
          <w:color w:val="auto"/>
        </w:rPr>
      </w:pPr>
    </w:p>
    <w:p>
      <w:pPr>
        <w:ind w:left="680" w:hanging="320"/>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Increasing our market share of value-added products, including our Deckorators product line.</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Developing new products.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Adding new products and customers through strategic business acquisitions or alliances.</w:t>
      </w:r>
    </w:p>
    <w:p>
      <w:pPr>
        <w:spacing w:after="0" w:line="225" w:lineRule="exact"/>
        <w:rPr>
          <w:rFonts w:ascii="Arial" w:cs="Arial" w:eastAsia="Arial" w:hAnsi="Arial"/>
          <w:sz w:val="18"/>
          <w:szCs w:val="18"/>
          <w:color w:val="auto"/>
        </w:rPr>
      </w:pPr>
    </w:p>
    <w:p>
      <w:pPr>
        <w:ind w:left="680" w:right="20" w:hanging="320"/>
        <w:spacing w:after="0" w:line="277"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Increasing our emphasis on product innovation and product differentiation in order to counter commoditization trends and influences.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MARKET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goal is to increase our sales of wood, wood alternative, and other packaging products to a wide variety of industrial and OEM users. We believe the vast amount of hardwood and softwood lumber consumed for industrial applications, combined with the highly fragmented nature of this market, provides us with growth opportunities as a result of our competitive advantages in manufacturing, purchasing, and material utilization. In addition, purchasers of packaging products with a wide geographic footprint increasingly desire to reduce the number of suppliers they buy from, which provides an opportunity to gain market share due to our national presence. We plan to continue to obtain market share by expanding our manufacturing capacity, enhancing our capabilities and product offerings, and improving our ability to serve large regional and national customers in targeted markets. We plan to pursue acquisition opportunities that meet our strategic criteria and help us meet these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MARKET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National Association of Home Builders</w:t>
      </w:r>
      <w:r>
        <w:rPr>
          <w:rFonts w:ascii="Arial" w:cs="Arial" w:eastAsia="Arial" w:hAnsi="Arial"/>
          <w:sz w:val="18"/>
          <w:szCs w:val="18"/>
          <w:color w:val="auto"/>
        </w:rPr>
        <w:t xml:space="preserve"> forecasts a 13.8% increase in manufactured home shipments in 2020 followed by an 11.2% increase in 2021. We currently supply approximately 40% of the trusses used in manufactured housing and we will strive to maintain our market share of trusses produced for this market.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Mortgage Bankers Association of America</w:t>
      </w:r>
      <w:r>
        <w:rPr>
          <w:rFonts w:ascii="Arial" w:cs="Arial" w:eastAsia="Arial" w:hAnsi="Arial"/>
          <w:sz w:val="18"/>
          <w:szCs w:val="18"/>
          <w:color w:val="auto"/>
        </w:rPr>
        <w:t xml:space="preserve"> forecasts a 3.3% increase in national housing starts to an estimated 1.3 million starts in 2020. The </w:t>
      </w:r>
      <w:r>
        <w:rPr>
          <w:rFonts w:ascii="Arial" w:cs="Arial" w:eastAsia="Arial" w:hAnsi="Arial"/>
          <w:sz w:val="18"/>
          <w:szCs w:val="18"/>
          <w:i w:val="1"/>
          <w:iCs w:val="1"/>
          <w:color w:val="auto"/>
        </w:rPr>
        <w:t>National Association of Home Builders</w:t>
      </w:r>
      <w:r>
        <w:rPr>
          <w:rFonts w:ascii="Arial" w:cs="Arial" w:eastAsia="Arial" w:hAnsi="Arial"/>
          <w:sz w:val="18"/>
          <w:szCs w:val="18"/>
          <w:color w:val="auto"/>
        </w:rPr>
        <w:t xml:space="preserve"> forecasts starts of 1.3 million, a 1.6% increase from 2019. We believe we are well-positioned to capture our share of any increase that may occur in housing starts in the regions we operate, which is primarily Texas, Colorado, the Southeast, and the Northeast. However, due to our conservative approach to adding capacity to serve this market and focus on managing potential channel conflicts with certain customers, our growth may trail the market in future years.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factors may impact our gross profits and margins in the future:</w:t>
      </w:r>
    </w:p>
    <w:p>
      <w:pPr>
        <w:spacing w:after="0" w:line="225" w:lineRule="exact"/>
        <w:rPr>
          <w:sz w:val="20"/>
          <w:szCs w:val="20"/>
          <w:color w:val="auto"/>
        </w:rPr>
      </w:pPr>
    </w:p>
    <w:p>
      <w:pPr>
        <w:ind w:left="680" w:hanging="320"/>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End market demand and our ability to grow and leverage fixed costs.</w:t>
      </w:r>
    </w:p>
    <w:p>
      <w:pPr>
        <w:spacing w:after="0" w:line="225" w:lineRule="exact"/>
        <w:rPr>
          <w:rFonts w:ascii="Arial" w:cs="Arial" w:eastAsia="Arial" w:hAnsi="Arial"/>
          <w:sz w:val="18"/>
          <w:szCs w:val="18"/>
          <w:color w:val="auto"/>
        </w:rPr>
      </w:pPr>
    </w:p>
    <w:p>
      <w:pPr>
        <w:jc w:val="both"/>
        <w:ind w:left="680" w:hanging="320"/>
        <w:spacing w:after="0" w:line="312" w:lineRule="auto"/>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maintain market share and gross margins on products sold to our largest customers. We believe our level of service, geographic diversity, and quality of products provides an added value to our customers. However, if our customers are unwilling to pay for these advantages, our sales and gross margins may be reduced.</w:t>
      </w:r>
    </w:p>
    <w:p>
      <w:pPr>
        <w:spacing w:after="0" w:line="146" w:lineRule="exact"/>
        <w:rPr>
          <w:rFonts w:ascii="Arial" w:cs="Arial" w:eastAsia="Arial" w:hAnsi="Arial"/>
          <w:sz w:val="16"/>
          <w:szCs w:val="16"/>
          <w:color w:val="auto"/>
        </w:rPr>
      </w:pPr>
    </w:p>
    <w:p>
      <w:pPr>
        <w:ind w:left="680" w:hanging="320"/>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mix of value-added and commodity products.</w:t>
      </w:r>
    </w:p>
    <w:p>
      <w:pPr>
        <w:spacing w:after="0" w:line="225" w:lineRule="exact"/>
        <w:rPr>
          <w:rFonts w:ascii="Arial" w:cs="Arial" w:eastAsia="Arial" w:hAnsi="Arial"/>
          <w:sz w:val="18"/>
          <w:szCs w:val="18"/>
          <w:color w:val="auto"/>
        </w:rPr>
      </w:pPr>
    </w:p>
    <w:p>
      <w:pPr>
        <w:ind w:left="680" w:hanging="320"/>
        <w:spacing w:after="0" w:line="277"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the relative level of the Lumber Market and trends in the market price of lumber. (See "Impact of the Lumber Market on our Operating Results.")</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Fuel and transportation costs.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Rising labor and benefit costs.</w:t>
      </w:r>
    </w:p>
    <w:p>
      <w:pPr>
        <w:spacing w:after="0" w:line="225" w:lineRule="exact"/>
        <w:rPr>
          <w:rFonts w:ascii="Arial" w:cs="Arial" w:eastAsia="Arial" w:hAnsi="Arial"/>
          <w:sz w:val="18"/>
          <w:szCs w:val="18"/>
          <w:color w:val="auto"/>
        </w:rPr>
      </w:pPr>
    </w:p>
    <w:p>
      <w:pPr>
        <w:ind w:left="680" w:right="20" w:hanging="320"/>
        <w:spacing w:after="0" w:line="277"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continue to achieve productivity improvements as our unit sales increase and planned cost reductions through continuous improvement activities, automation, and other initiatives.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recent years, selling, general and administrative (SG&amp;A) expenses have increased as we have added personnel needed to take advantage of growth opportunities and execute our initiatives intended to increase our sales of new products and improve our sales mix of value-added products. We anticipate our trend of increases in these costs will continue in 2020; however, our objective is to reduce these costs on a per unit basis and as a percentage of gross profits as we grow through the improved productivity of our people and as a result of fixed costs. In addition, bonus and other incentive expenses for all salaried and sales employees is based on our profitability and the effective management of our assets and will continue to fluctuate based on our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On a long-term basis, we expect that our SG&amp;A expenses will primarily be impacted by:</w:t>
      </w:r>
    </w:p>
    <w:p>
      <w:pPr>
        <w:spacing w:after="0" w:line="225" w:lineRule="exact"/>
        <w:rPr>
          <w:sz w:val="20"/>
          <w:szCs w:val="20"/>
          <w:color w:val="auto"/>
        </w:rPr>
      </w:pPr>
    </w:p>
    <w:p>
      <w:pPr>
        <w:ind w:left="680" w:right="20" w:hanging="320"/>
        <w:spacing w:after="0" w:line="277"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growth in sales to the industrial market and the construction market. Our sales to these markets require a higher ratio of SG&amp;A costs due, in part, to product design and engineering requirements.</w:t>
      </w:r>
    </w:p>
    <w:p>
      <w:pPr>
        <w:spacing w:after="0" w:line="170" w:lineRule="exact"/>
        <w:rPr>
          <w:rFonts w:ascii="Arial" w:cs="Arial" w:eastAsia="Arial" w:hAnsi="Arial"/>
          <w:sz w:val="18"/>
          <w:szCs w:val="18"/>
          <w:color w:val="auto"/>
        </w:rPr>
      </w:pPr>
    </w:p>
    <w:p>
      <w:pPr>
        <w:ind w:left="680" w:right="20" w:hanging="320"/>
        <w:spacing w:after="0" w:line="277"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new products and value-added products to the retail market, which generally require higher development, marketing, advertising, and other selling costs.</w:t>
      </w:r>
    </w:p>
    <w:p>
      <w:pPr>
        <w:spacing w:after="0" w:line="170" w:lineRule="exact"/>
        <w:rPr>
          <w:rFonts w:ascii="Arial" w:cs="Arial" w:eastAsia="Arial" w:hAnsi="Arial"/>
          <w:sz w:val="18"/>
          <w:szCs w:val="18"/>
          <w:color w:val="auto"/>
        </w:rPr>
      </w:pPr>
    </w:p>
    <w:p>
      <w:pPr>
        <w:ind w:left="680" w:right="20" w:hanging="320"/>
        <w:spacing w:after="0" w:line="277"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incentive compensation programs which are tied to gross profits, pre-bonus earnings from operations and return on investment.</w:t>
      </w:r>
    </w:p>
    <w:p>
      <w:pPr>
        <w:spacing w:after="0" w:line="170" w:lineRule="exact"/>
        <w:rPr>
          <w:rFonts w:ascii="Arial" w:cs="Arial" w:eastAsia="Arial" w:hAnsi="Arial"/>
          <w:sz w:val="18"/>
          <w:szCs w:val="18"/>
          <w:color w:val="auto"/>
        </w:rPr>
      </w:pPr>
    </w:p>
    <w:p>
      <w:pPr>
        <w:ind w:left="680" w:hanging="320"/>
        <w:spacing w:after="0" w:line="277"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growth and success in achieving continuous improvement objectives designed to improve our productivity and leverage our fixed costs.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cycle will continue to be impacted in the future by our mix of sales by market. Sales to the residential and commercial construction and industrial markets require a greater investment in working capital (inventory and accounts receivable) than our sales to the retail and manufactured housing markets. Additionally, our investment in trade receivables and inventory will continue to be impacted by the level of lumber prices.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management expects to spend approximately $100 million on capital expenditures, incur depreciation of approximately $65 million, and incur amortization and other non-cash expenses of approximately $11 million in 2020.</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December 28, 2019, we had outstanding purchase commitments on capital projects of approximately $34 million. We intend to fund capital expenditures and purchase commitments through our operating cash flows and availability under our revolving credit facility which is considered sufficient to meet these commitments and working capital needs.</w:t>
      </w:r>
    </w:p>
    <w:p>
      <w:pPr>
        <w:spacing w:after="0" w:line="16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January 2020, our Board approved a plan to increase the frequency of our dividend payments from semi-annually to quarterly and increased the pro-rata rate by 25%. Our dividend rates are reviewed and approved at each of our January, April, July, and October board meetings and payments are made in March, June, September, and December of each year.</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share repurchase program approved by our Board of Directors, and as of December 28, 2019, we have authorization to buy back approximately 1.9 million shares. In the past, we have repurchased shares in order to offset the effect of issuances resulting from our employee benefit plans and at opportune times when our stock price falls to predetermined levels.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management of Universal Forest Products, Inc.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assessed the effectiveness of our internal control over financial reporting as of December 28, 2019, based on the framework in Internal Control-Integrated Framework issued by the Committee of Sponsoring Organizations of the Treadway Commission (2013 Framework) (“COSO”). Based on that evaluation, management has concluded that as of December 28, 2019, our internal control over financial reporting was effective.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has been audited by Deloitte &amp; Touche LLP, an independent registered public accounting firm, as stated in their report, which follows our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880"/>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Universal Forest Products, Inc. </w:t>
      </w:r>
      <w:r>
        <w:rPr>
          <w:rFonts w:ascii="Arial" w:cs="Arial" w:eastAsia="Arial" w:hAnsi="Arial"/>
          <w:sz w:val="18"/>
          <w:szCs w:val="18"/>
          <w:b w:val="1"/>
          <w:bCs w:val="1"/>
          <w:color w:val="auto"/>
        </w:rPr>
        <w:t>Opinion on Internal Control over Financial Reporting</w:t>
      </w:r>
    </w:p>
    <w:p>
      <w:pPr>
        <w:jc w:val="both"/>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Universal Forest Products, Inc. and subsidiaries (the “Company”) as of December 28,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28,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28, 2019, of the Company and our report dated February 26, 2020, expressed an unqualified opinion on those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880"/>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Universal Forest Products, Inc. </w:t>
      </w:r>
      <w:r>
        <w:rPr>
          <w:rFonts w:ascii="Arial" w:cs="Arial" w:eastAsia="Arial" w:hAnsi="Arial"/>
          <w:sz w:val="18"/>
          <w:szCs w:val="18"/>
          <w:b w:val="1"/>
          <w:bCs w:val="1"/>
          <w:color w:val="auto"/>
        </w:rPr>
        <w:t>Opinion on the Financial Statements</w:t>
      </w:r>
    </w:p>
    <w:p>
      <w:pPr>
        <w:jc w:val="both"/>
        <w:spacing w:after="0" w:line="291" w:lineRule="auto"/>
        <w:rPr>
          <w:sz w:val="20"/>
          <w:szCs w:val="20"/>
          <w:color w:val="auto"/>
        </w:rPr>
      </w:pPr>
      <w:r>
        <w:rPr>
          <w:rFonts w:ascii="Arial" w:cs="Arial" w:eastAsia="Arial" w:hAnsi="Arial"/>
          <w:sz w:val="16"/>
          <w:szCs w:val="16"/>
          <w:color w:val="auto"/>
        </w:rPr>
        <w:t>We have audited the accompanying consolidated balance sheets of Universal Forest Products, Inc. and subsidiaries (the "Company") as of December 28, 2019 and December 29, 2018, the related consolidated statements of earnings and comprehensive income, shareholders' equity, and cash flows, for each of the three years in the period ended December 28, 2019, and the related notes (collectively referred to as the "financial statements"). In our opinion, the financial statements present fairly, in all material respects, the financial position of the Company as of December 28, 2019 and December 29, 2018, and the results of its operations and its cash flows for each of the three years in the period ended December 28, 2019, in conformity with accounting principles generally accepted in the United States of America.</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28, 2019,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and our report dated February 26, 2020, expressed an unqualified opinion on the Company's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54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120" w:type="dxa"/>
            <w:vAlign w:val="bottom"/>
          </w:tcPr>
          <w:p>
            <w:pPr>
              <w:spacing w:after="0"/>
              <w:rPr>
                <w:sz w:val="16"/>
                <w:szCs w:val="16"/>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2"/>
              </w:rPr>
              <w:t>December 28,</w:t>
            </w:r>
          </w:p>
        </w:tc>
        <w:tc>
          <w:tcPr>
            <w:tcW w:w="120" w:type="dxa"/>
            <w:vAlign w:val="bottom"/>
          </w:tcPr>
          <w:p>
            <w:pPr>
              <w:spacing w:after="0"/>
              <w:rPr>
                <w:sz w:val="16"/>
                <w:szCs w:val="16"/>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December 29,</w:t>
            </w:r>
          </w:p>
        </w:tc>
        <w:tc>
          <w:tcPr>
            <w:tcW w:w="0" w:type="dxa"/>
            <w:vAlign w:val="bottom"/>
          </w:tcPr>
          <w:p>
            <w:pPr>
              <w:spacing w:after="0"/>
              <w:rPr>
                <w:sz w:val="1"/>
                <w:szCs w:val="1"/>
                <w:color w:val="auto"/>
              </w:rPr>
            </w:pPr>
          </w:p>
        </w:tc>
      </w:tr>
      <w:tr>
        <w:trPr>
          <w:trHeight w:val="134"/>
        </w:trPr>
        <w:tc>
          <w:tcPr>
            <w:tcW w:w="6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168,336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27,316</w:t>
            </w:r>
          </w:p>
        </w:tc>
        <w:tc>
          <w:tcPr>
            <w:tcW w:w="0" w:type="dxa"/>
            <w:vAlign w:val="bottom"/>
          </w:tcPr>
          <w:p>
            <w:pPr>
              <w:spacing w:after="0"/>
              <w:rPr>
                <w:sz w:val="1"/>
                <w:szCs w:val="1"/>
                <w:color w:val="auto"/>
              </w:rPr>
            </w:pPr>
          </w:p>
        </w:tc>
      </w:tr>
      <w:tr>
        <w:trPr>
          <w:trHeight w:val="149"/>
        </w:trPr>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Investments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14,755</w:t>
            </w:r>
          </w:p>
        </w:tc>
        <w:tc>
          <w:tcPr>
            <w:tcW w:w="0" w:type="dxa"/>
            <w:vAlign w:val="bottom"/>
          </w:tcPr>
          <w:p>
            <w:pPr>
              <w:spacing w:after="0"/>
              <w:rPr>
                <w:sz w:val="1"/>
                <w:szCs w:val="1"/>
                <w:color w:val="auto"/>
              </w:rPr>
            </w:pPr>
          </w:p>
        </w:tc>
      </w:tr>
      <w:tr>
        <w:trPr>
          <w:trHeight w:val="149"/>
        </w:trPr>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364,027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343,450</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236,283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271,871</w:t>
            </w:r>
          </w:p>
        </w:tc>
        <w:tc>
          <w:tcPr>
            <w:tcW w:w="0" w:type="dxa"/>
            <w:vAlign w:val="bottom"/>
          </w:tcPr>
          <w:p>
            <w:pPr>
              <w:spacing w:after="0"/>
              <w:rPr>
                <w:sz w:val="1"/>
                <w:szCs w:val="1"/>
                <w:color w:val="auto"/>
              </w:rPr>
            </w:pPr>
          </w:p>
        </w:tc>
      </w:tr>
      <w:tr>
        <w:trPr>
          <w:trHeight w:val="169"/>
        </w:trPr>
        <w:tc>
          <w:tcPr>
            <w:tcW w:w="654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250,591</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284,349</w:t>
            </w:r>
          </w:p>
        </w:tc>
        <w:tc>
          <w:tcPr>
            <w:tcW w:w="0" w:type="dxa"/>
            <w:vAlign w:val="bottom"/>
          </w:tcPr>
          <w:p>
            <w:pPr>
              <w:spacing w:after="0"/>
              <w:rPr>
                <w:sz w:val="1"/>
                <w:szCs w:val="1"/>
                <w:color w:val="auto"/>
              </w:rPr>
            </w:pPr>
          </w:p>
        </w:tc>
      </w:tr>
      <w:tr>
        <w:trPr>
          <w:trHeight w:val="136"/>
        </w:trPr>
        <w:tc>
          <w:tcPr>
            <w:tcW w:w="6540" w:type="dxa"/>
            <w:vAlign w:val="bottom"/>
          </w:tcPr>
          <w:p>
            <w:pPr>
              <w:ind w:left="420"/>
              <w:spacing w:after="0" w:line="136" w:lineRule="exact"/>
              <w:rPr>
                <w:sz w:val="20"/>
                <w:szCs w:val="20"/>
                <w:color w:val="auto"/>
              </w:rPr>
            </w:pPr>
            <w:r>
              <w:rPr>
                <w:rFonts w:ascii="Arial" w:cs="Arial" w:eastAsia="Arial" w:hAnsi="Arial"/>
                <w:sz w:val="14"/>
                <w:szCs w:val="14"/>
                <w:color w:val="auto"/>
              </w:rPr>
              <w:t>Total inventories</w:t>
            </w:r>
          </w:p>
        </w:tc>
        <w:tc>
          <w:tcPr>
            <w:tcW w:w="12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4"/>
                <w:szCs w:val="14"/>
                <w:color w:val="auto"/>
              </w:rPr>
              <w:t>486,874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line="136" w:lineRule="exact"/>
              <w:rPr>
                <w:sz w:val="20"/>
                <w:szCs w:val="20"/>
                <w:color w:val="auto"/>
              </w:rPr>
            </w:pPr>
            <w:r>
              <w:rPr>
                <w:rFonts w:ascii="Arial" w:cs="Arial" w:eastAsia="Arial" w:hAnsi="Arial"/>
                <w:sz w:val="14"/>
                <w:szCs w:val="14"/>
                <w:color w:val="auto"/>
              </w:rPr>
              <w:t>556,220</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Refundable income taxes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13,272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14,130</w:t>
            </w:r>
          </w:p>
        </w:tc>
        <w:tc>
          <w:tcPr>
            <w:tcW w:w="0" w:type="dxa"/>
            <w:vAlign w:val="bottom"/>
          </w:tcPr>
          <w:p>
            <w:pPr>
              <w:spacing w:after="0"/>
              <w:rPr>
                <w:sz w:val="1"/>
                <w:szCs w:val="1"/>
                <w:color w:val="auto"/>
              </w:rPr>
            </w:pPr>
          </w:p>
        </w:tc>
      </w:tr>
      <w:tr>
        <w:trPr>
          <w:trHeight w:val="156"/>
        </w:trPr>
        <w:tc>
          <w:tcPr>
            <w:tcW w:w="65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Other current assets</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41,706</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38,525</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1,093,072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995,278</w:t>
            </w:r>
          </w:p>
        </w:tc>
        <w:tc>
          <w:tcPr>
            <w:tcW w:w="0" w:type="dxa"/>
            <w:vAlign w:val="bottom"/>
          </w:tcPr>
          <w:p>
            <w:pPr>
              <w:spacing w:after="0"/>
              <w:rPr>
                <w:sz w:val="1"/>
                <w:szCs w:val="1"/>
                <w:color w:val="auto"/>
              </w:rPr>
            </w:pPr>
          </w:p>
        </w:tc>
      </w:tr>
      <w:tr>
        <w:trPr>
          <w:trHeight w:val="149"/>
        </w:trPr>
        <w:tc>
          <w:tcPr>
            <w:tcW w:w="654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2,763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2,668</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13,267</w:t>
            </w:r>
          </w:p>
        </w:tc>
        <w:tc>
          <w:tcPr>
            <w:tcW w:w="0" w:type="dxa"/>
            <w:vAlign w:val="bottom"/>
          </w:tcPr>
          <w:p>
            <w:pPr>
              <w:spacing w:after="0"/>
              <w:rPr>
                <w:sz w:val="1"/>
                <w:szCs w:val="1"/>
                <w:color w:val="auto"/>
              </w:rPr>
            </w:pPr>
          </w:p>
        </w:tc>
      </w:tr>
      <w:tr>
        <w:trPr>
          <w:trHeight w:val="149"/>
        </w:trPr>
        <w:tc>
          <w:tcPr>
            <w:tcW w:w="6540" w:type="dxa"/>
            <w:vAlign w:val="bottom"/>
          </w:tcPr>
          <w:p>
            <w:pPr>
              <w:spacing w:after="0" w:line="149" w:lineRule="exact"/>
              <w:rPr>
                <w:sz w:val="20"/>
                <w:szCs w:val="20"/>
                <w:color w:val="auto"/>
              </w:rPr>
            </w:pPr>
            <w:r>
              <w:rPr>
                <w:rFonts w:ascii="Arial" w:cs="Arial" w:eastAsia="Arial" w:hAnsi="Arial"/>
                <w:sz w:val="14"/>
                <w:szCs w:val="14"/>
                <w:color w:val="auto"/>
              </w:rPr>
              <w:t>RIGHT OF USE ASSETS</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80,167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24,884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8,662</w:t>
            </w:r>
          </w:p>
        </w:tc>
        <w:tc>
          <w:tcPr>
            <w:tcW w:w="0" w:type="dxa"/>
            <w:vAlign w:val="bottom"/>
          </w:tcPr>
          <w:p>
            <w:pPr>
              <w:spacing w:after="0"/>
              <w:rPr>
                <w:sz w:val="1"/>
                <w:szCs w:val="1"/>
                <w:color w:val="auto"/>
              </w:rPr>
            </w:pPr>
          </w:p>
        </w:tc>
      </w:tr>
      <w:tr>
        <w:trPr>
          <w:trHeight w:val="149"/>
        </w:trPr>
        <w:tc>
          <w:tcPr>
            <w:tcW w:w="65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229,536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224,117</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7,360</w:t>
            </w:r>
          </w:p>
        </w:tc>
        <w:tc>
          <w:tcPr>
            <w:tcW w:w="0" w:type="dxa"/>
            <w:vAlign w:val="bottom"/>
          </w:tcPr>
          <w:p>
            <w:pPr>
              <w:spacing w:after="0"/>
              <w:rPr>
                <w:sz w:val="1"/>
                <w:szCs w:val="1"/>
                <w:color w:val="auto"/>
              </w:rPr>
            </w:pPr>
          </w:p>
        </w:tc>
      </w:tr>
      <w:tr>
        <w:trPr>
          <w:trHeight w:val="149"/>
        </w:trPr>
        <w:tc>
          <w:tcPr>
            <w:tcW w:w="654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48,313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41,486</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Land and improvements</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125,097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120,324</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Building and improvements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253,589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239,906</w:t>
            </w:r>
          </w:p>
        </w:tc>
        <w:tc>
          <w:tcPr>
            <w:tcW w:w="0" w:type="dxa"/>
            <w:vAlign w:val="bottom"/>
          </w:tcPr>
          <w:p>
            <w:pPr>
              <w:spacing w:after="0"/>
              <w:rPr>
                <w:sz w:val="1"/>
                <w:szCs w:val="1"/>
                <w:color w:val="auto"/>
              </w:rPr>
            </w:pPr>
          </w:p>
        </w:tc>
      </w:tr>
      <w:tr>
        <w:trPr>
          <w:trHeight w:val="149"/>
        </w:trPr>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Machinery and equipment</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467,963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419,115</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Furniture and fixtures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16,972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16,960</w:t>
            </w:r>
          </w:p>
        </w:tc>
        <w:tc>
          <w:tcPr>
            <w:tcW w:w="0" w:type="dxa"/>
            <w:vAlign w:val="bottom"/>
          </w:tcPr>
          <w:p>
            <w:pPr>
              <w:spacing w:after="0"/>
              <w:rPr>
                <w:sz w:val="1"/>
                <w:szCs w:val="1"/>
                <w:color w:val="auto"/>
              </w:rPr>
            </w:pPr>
          </w:p>
        </w:tc>
      </w:tr>
      <w:tr>
        <w:trPr>
          <w:trHeight w:val="156"/>
        </w:trPr>
        <w:tc>
          <w:tcPr>
            <w:tcW w:w="65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Construction in progress</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21,342</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18,340</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PROPERTY, PLANT AND EQUIPMENT,GROSS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884,963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814,645</w:t>
            </w:r>
          </w:p>
        </w:tc>
        <w:tc>
          <w:tcPr>
            <w:tcW w:w="0" w:type="dxa"/>
            <w:vAlign w:val="bottom"/>
          </w:tcPr>
          <w:p>
            <w:pPr>
              <w:spacing w:after="0"/>
              <w:rPr>
                <w:sz w:val="1"/>
                <w:szCs w:val="1"/>
                <w:color w:val="auto"/>
              </w:rPr>
            </w:pPr>
          </w:p>
        </w:tc>
      </w:tr>
      <w:tr>
        <w:trPr>
          <w:trHeight w:val="156"/>
        </w:trPr>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120" w:type="dxa"/>
            <w:vAlign w:val="bottom"/>
          </w:tcPr>
          <w:p>
            <w:pPr>
              <w:spacing w:after="0"/>
              <w:rPr>
                <w:sz w:val="13"/>
                <w:szCs w:val="13"/>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(497,789)</w:t>
            </w:r>
          </w:p>
        </w:tc>
        <w:tc>
          <w:tcPr>
            <w:tcW w:w="120" w:type="dxa"/>
            <w:vAlign w:val="bottom"/>
          </w:tcPr>
          <w:p>
            <w:pPr>
              <w:spacing w:after="0"/>
              <w:rPr>
                <w:sz w:val="13"/>
                <w:szCs w:val="13"/>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(459,935)</w:t>
            </w:r>
          </w:p>
        </w:tc>
        <w:tc>
          <w:tcPr>
            <w:tcW w:w="0" w:type="dxa"/>
            <w:vAlign w:val="bottom"/>
          </w:tcPr>
          <w:p>
            <w:pPr>
              <w:spacing w:after="0"/>
              <w:rPr>
                <w:sz w:val="1"/>
                <w:szCs w:val="1"/>
                <w:color w:val="auto"/>
              </w:rPr>
            </w:pPr>
          </w:p>
        </w:tc>
      </w:tr>
      <w:tr>
        <w:trPr>
          <w:trHeight w:val="169"/>
        </w:trPr>
        <w:tc>
          <w:tcPr>
            <w:tcW w:w="6540" w:type="dxa"/>
            <w:vAlign w:val="bottom"/>
            <w:tcBorders>
              <w:top w:val="single" w:sz="8" w:color="CCEEFF"/>
              <w:bottom w:val="single" w:sz="8" w:color="CCEEFF"/>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PROPERTY, PLANT AND EQUIPMENT, NET</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387,174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354,710</w:t>
            </w:r>
          </w:p>
        </w:tc>
        <w:tc>
          <w:tcPr>
            <w:tcW w:w="0" w:type="dxa"/>
            <w:vAlign w:val="bottom"/>
          </w:tcPr>
          <w:p>
            <w:pPr>
              <w:spacing w:after="0"/>
              <w:rPr>
                <w:sz w:val="1"/>
                <w:szCs w:val="1"/>
                <w:color w:val="auto"/>
              </w:rPr>
            </w:pPr>
          </w:p>
        </w:tc>
      </w:tr>
      <w:tr>
        <w:trPr>
          <w:trHeight w:val="176"/>
        </w:trPr>
        <w:tc>
          <w:tcPr>
            <w:tcW w:w="6540" w:type="dxa"/>
            <w:vAlign w:val="bottom"/>
            <w:tcBorders>
              <w:bottom w:val="single" w:sz="8" w:color="CCEEFF"/>
            </w:tcBorders>
          </w:tcPr>
          <w:p>
            <w:pPr>
              <w:spacing w:after="0" w:line="136" w:lineRule="exact"/>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1,889,477</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1,647,548</w:t>
            </w:r>
          </w:p>
        </w:tc>
        <w:tc>
          <w:tcPr>
            <w:tcW w:w="0" w:type="dxa"/>
            <w:vAlign w:val="bottom"/>
          </w:tcPr>
          <w:p>
            <w:pPr>
              <w:spacing w:after="0"/>
              <w:rPr>
                <w:sz w:val="1"/>
                <w:szCs w:val="1"/>
                <w:color w:val="auto"/>
              </w:rPr>
            </w:pPr>
          </w:p>
        </w:tc>
      </w:tr>
      <w:tr>
        <w:trPr>
          <w:trHeight w:val="129"/>
        </w:trPr>
        <w:tc>
          <w:tcPr>
            <w:tcW w:w="65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LIABILITIES AND SHAREHOLDERS’ EQUITY</w:t>
            </w: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overdraft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27,367</w:t>
            </w:r>
          </w:p>
        </w:tc>
        <w:tc>
          <w:tcPr>
            <w:tcW w:w="0" w:type="dxa"/>
            <w:vAlign w:val="bottom"/>
          </w:tcPr>
          <w:p>
            <w:pPr>
              <w:spacing w:after="0"/>
              <w:rPr>
                <w:sz w:val="1"/>
                <w:szCs w:val="1"/>
                <w:color w:val="auto"/>
              </w:rPr>
            </w:pPr>
          </w:p>
        </w:tc>
      </w:tr>
      <w:tr>
        <w:trPr>
          <w:trHeight w:val="149"/>
        </w:trPr>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142,479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136,901</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Accrued liabilities: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141,892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104,109</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51,572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41,645</w:t>
            </w:r>
          </w:p>
        </w:tc>
        <w:tc>
          <w:tcPr>
            <w:tcW w:w="0" w:type="dxa"/>
            <w:vAlign w:val="bottom"/>
          </w:tcPr>
          <w:p>
            <w:pPr>
              <w:spacing w:after="0"/>
              <w:rPr>
                <w:sz w:val="1"/>
                <w:szCs w:val="1"/>
                <w:color w:val="auto"/>
              </w:rPr>
            </w:pPr>
          </w:p>
        </w:tc>
      </w:tr>
      <w:tr>
        <w:trPr>
          <w:trHeight w:val="149"/>
        </w:trPr>
        <w:tc>
          <w:tcPr>
            <w:tcW w:w="6540" w:type="dxa"/>
            <w:vAlign w:val="bottom"/>
          </w:tcPr>
          <w:p>
            <w:pPr>
              <w:ind w:left="100"/>
              <w:spacing w:after="0" w:line="149" w:lineRule="exact"/>
              <w:rPr>
                <w:sz w:val="20"/>
                <w:szCs w:val="20"/>
                <w:color w:val="auto"/>
              </w:rPr>
            </w:pPr>
            <w:r>
              <w:rPr>
                <w:rFonts w:ascii="Arial" w:cs="Arial" w:eastAsia="Arial" w:hAnsi="Arial"/>
                <w:sz w:val="14"/>
                <w:szCs w:val="14"/>
                <w:color w:val="auto"/>
              </w:rPr>
              <w:t>Current portion of lease liability</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15,283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54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portion of long-term debt</w:t>
            </w: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2,816</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36"/>
        </w:trPr>
        <w:tc>
          <w:tcPr>
            <w:tcW w:w="6540" w:type="dxa"/>
            <w:vAlign w:val="bottom"/>
          </w:tcPr>
          <w:p>
            <w:pPr>
              <w:ind w:left="420"/>
              <w:spacing w:after="0" w:line="136" w:lineRule="exact"/>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4"/>
                <w:szCs w:val="14"/>
                <w:color w:val="auto"/>
              </w:rPr>
              <w:t>354,042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line="136" w:lineRule="exact"/>
              <w:rPr>
                <w:sz w:val="20"/>
                <w:szCs w:val="20"/>
                <w:color w:val="auto"/>
              </w:rPr>
            </w:pPr>
            <w:r>
              <w:rPr>
                <w:rFonts w:ascii="Arial" w:cs="Arial" w:eastAsia="Arial" w:hAnsi="Arial"/>
                <w:sz w:val="14"/>
                <w:szCs w:val="14"/>
                <w:color w:val="auto"/>
              </w:rPr>
              <w:t>310,170</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160,867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202,130</w:t>
            </w:r>
          </w:p>
        </w:tc>
        <w:tc>
          <w:tcPr>
            <w:tcW w:w="0" w:type="dxa"/>
            <w:vAlign w:val="bottom"/>
          </w:tcPr>
          <w:p>
            <w:pPr>
              <w:spacing w:after="0"/>
              <w:rPr>
                <w:sz w:val="1"/>
                <w:szCs w:val="1"/>
                <w:color w:val="auto"/>
              </w:rPr>
            </w:pPr>
          </w:p>
        </w:tc>
      </w:tr>
      <w:tr>
        <w:trPr>
          <w:trHeight w:val="149"/>
        </w:trPr>
        <w:tc>
          <w:tcPr>
            <w:tcW w:w="6540" w:type="dxa"/>
            <w:vAlign w:val="bottom"/>
          </w:tcPr>
          <w:p>
            <w:pPr>
              <w:spacing w:after="0" w:line="149" w:lineRule="exact"/>
              <w:rPr>
                <w:sz w:val="20"/>
                <w:szCs w:val="20"/>
                <w:color w:val="auto"/>
              </w:rPr>
            </w:pPr>
            <w:r>
              <w:rPr>
                <w:rFonts w:ascii="Arial" w:cs="Arial" w:eastAsia="Arial" w:hAnsi="Arial"/>
                <w:sz w:val="14"/>
                <w:szCs w:val="14"/>
                <w:color w:val="auto"/>
              </w:rPr>
              <w:t>LEASE LIABILITY</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64,884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15,687</w:t>
            </w:r>
          </w:p>
        </w:tc>
        <w:tc>
          <w:tcPr>
            <w:tcW w:w="0" w:type="dxa"/>
            <w:vAlign w:val="bottom"/>
          </w:tcPr>
          <w:p>
            <w:pPr>
              <w:spacing w:after="0"/>
              <w:rPr>
                <w:sz w:val="1"/>
                <w:szCs w:val="1"/>
                <w:color w:val="auto"/>
              </w:rPr>
            </w:pPr>
          </w:p>
        </w:tc>
      </w:tr>
      <w:tr>
        <w:trPr>
          <w:trHeight w:val="156"/>
        </w:trPr>
        <w:tc>
          <w:tcPr>
            <w:tcW w:w="65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LIABILITIES</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29,071</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30,877</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631,744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558,864</w:t>
            </w:r>
          </w:p>
        </w:tc>
        <w:tc>
          <w:tcPr>
            <w:tcW w:w="0" w:type="dxa"/>
            <w:vAlign w:val="bottom"/>
          </w:tcPr>
          <w:p>
            <w:pPr>
              <w:spacing w:after="0"/>
              <w:rPr>
                <w:sz w:val="1"/>
                <w:szCs w:val="1"/>
                <w:color w:val="auto"/>
              </w:rPr>
            </w:pPr>
          </w:p>
        </w:tc>
      </w:tr>
      <w:tr>
        <w:trPr>
          <w:trHeight w:val="149"/>
        </w:trPr>
        <w:tc>
          <w:tcPr>
            <w:tcW w:w="654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Controlling interest shareholders’ equity:</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320"/>
              <w:spacing w:after="0" w:line="149" w:lineRule="exact"/>
              <w:rPr>
                <w:sz w:val="20"/>
                <w:szCs w:val="20"/>
                <w:color w:val="auto"/>
              </w:rPr>
            </w:pPr>
            <w:r>
              <w:rPr>
                <w:rFonts w:ascii="Arial" w:cs="Arial" w:eastAsia="Arial" w:hAnsi="Arial"/>
                <w:sz w:val="14"/>
                <w:szCs w:val="14"/>
                <w:color w:val="auto"/>
              </w:rPr>
              <w:t>Preferred stock, no par value; shares authorized 1,000,000; issued and outstanding, none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654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w w:val="98"/>
              </w:rPr>
              <w:t>Common stock, $1 par value; shares authorized 80,000,000; issued and outstanding, 61,408,589 and</w:t>
            </w: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60,883,749</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61,409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60,884</w:t>
            </w:r>
          </w:p>
        </w:tc>
        <w:tc>
          <w:tcPr>
            <w:tcW w:w="0" w:type="dxa"/>
            <w:vAlign w:val="bottom"/>
          </w:tcPr>
          <w:p>
            <w:pPr>
              <w:spacing w:after="0"/>
              <w:rPr>
                <w:sz w:val="1"/>
                <w:szCs w:val="1"/>
                <w:color w:val="auto"/>
              </w:rPr>
            </w:pPr>
          </w:p>
        </w:tc>
      </w:tr>
      <w:tr>
        <w:trPr>
          <w:trHeight w:val="149"/>
        </w:trPr>
        <w:tc>
          <w:tcPr>
            <w:tcW w:w="6540" w:type="dxa"/>
            <w:vAlign w:val="bottom"/>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192,173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178,540</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995,022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839,917</w:t>
            </w:r>
          </w:p>
        </w:tc>
        <w:tc>
          <w:tcPr>
            <w:tcW w:w="0" w:type="dxa"/>
            <w:vAlign w:val="bottom"/>
          </w:tcPr>
          <w:p>
            <w:pPr>
              <w:spacing w:after="0"/>
              <w:rPr>
                <w:sz w:val="1"/>
                <w:szCs w:val="1"/>
                <w:color w:val="auto"/>
              </w:rPr>
            </w:pPr>
          </w:p>
        </w:tc>
      </w:tr>
      <w:tr>
        <w:trPr>
          <w:trHeight w:val="156"/>
        </w:trPr>
        <w:tc>
          <w:tcPr>
            <w:tcW w:w="6540" w:type="dxa"/>
            <w:vAlign w:val="bottom"/>
          </w:tcPr>
          <w:p>
            <w:pPr>
              <w:ind w:left="320"/>
              <w:spacing w:after="0" w:line="149" w:lineRule="exact"/>
              <w:rPr>
                <w:sz w:val="20"/>
                <w:szCs w:val="20"/>
                <w:color w:val="auto"/>
              </w:rPr>
            </w:pPr>
            <w:r>
              <w:rPr>
                <w:rFonts w:ascii="Arial" w:cs="Arial" w:eastAsia="Arial" w:hAnsi="Arial"/>
                <w:sz w:val="14"/>
                <w:szCs w:val="14"/>
                <w:color w:val="auto"/>
              </w:rPr>
              <w:t>Accumulated other comprehensive income</w:t>
            </w:r>
          </w:p>
        </w:tc>
        <w:tc>
          <w:tcPr>
            <w:tcW w:w="120" w:type="dxa"/>
            <w:vAlign w:val="bottom"/>
          </w:tcPr>
          <w:p>
            <w:pPr>
              <w:spacing w:after="0"/>
              <w:rPr>
                <w:sz w:val="13"/>
                <w:szCs w:val="13"/>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(4,889)</w:t>
            </w:r>
          </w:p>
        </w:tc>
        <w:tc>
          <w:tcPr>
            <w:tcW w:w="120" w:type="dxa"/>
            <w:vAlign w:val="bottom"/>
          </w:tcPr>
          <w:p>
            <w:pPr>
              <w:spacing w:after="0"/>
              <w:rPr>
                <w:sz w:val="13"/>
                <w:szCs w:val="13"/>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(5,938)</w:t>
            </w:r>
          </w:p>
        </w:tc>
        <w:tc>
          <w:tcPr>
            <w:tcW w:w="0" w:type="dxa"/>
            <w:vAlign w:val="bottom"/>
          </w:tcPr>
          <w:p>
            <w:pPr>
              <w:spacing w:after="0"/>
              <w:rPr>
                <w:sz w:val="1"/>
                <w:szCs w:val="1"/>
                <w:color w:val="auto"/>
              </w:rPr>
            </w:pPr>
          </w:p>
        </w:tc>
      </w:tr>
      <w:tr>
        <w:trPr>
          <w:trHeight w:val="149"/>
        </w:trPr>
        <w:tc>
          <w:tcPr>
            <w:tcW w:w="6540" w:type="dxa"/>
            <w:vAlign w:val="bottom"/>
            <w:tcBorders>
              <w:top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controlling interest shareholders’ equity</w:t>
            </w: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1,243,715</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1,073,403</w:t>
            </w:r>
          </w:p>
        </w:tc>
        <w:tc>
          <w:tcPr>
            <w:tcW w:w="0" w:type="dxa"/>
            <w:vAlign w:val="bottom"/>
          </w:tcPr>
          <w:p>
            <w:pPr>
              <w:spacing w:after="0"/>
              <w:rPr>
                <w:sz w:val="1"/>
                <w:szCs w:val="1"/>
                <w:color w:val="auto"/>
              </w:rPr>
            </w:pPr>
          </w:p>
        </w:tc>
      </w:tr>
      <w:tr>
        <w:trPr>
          <w:trHeight w:val="156"/>
        </w:trPr>
        <w:tc>
          <w:tcPr>
            <w:tcW w:w="65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Noncontrolling interest</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14,018</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15,281</w:t>
            </w:r>
          </w:p>
        </w:tc>
        <w:tc>
          <w:tcPr>
            <w:tcW w:w="0" w:type="dxa"/>
            <w:vAlign w:val="bottom"/>
          </w:tcPr>
          <w:p>
            <w:pPr>
              <w:spacing w:after="0"/>
              <w:rPr>
                <w:sz w:val="1"/>
                <w:szCs w:val="1"/>
                <w:color w:val="auto"/>
              </w:rPr>
            </w:pPr>
          </w:p>
        </w:tc>
      </w:tr>
      <w:tr>
        <w:trPr>
          <w:trHeight w:val="169"/>
        </w:trPr>
        <w:tc>
          <w:tcPr>
            <w:tcW w:w="6540" w:type="dxa"/>
            <w:vAlign w:val="bottom"/>
            <w:tcBorders>
              <w:bottom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SHAREHOLDERS’ EQUITY</w:t>
            </w: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1,257,733</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1,088,684</w:t>
            </w:r>
          </w:p>
        </w:tc>
        <w:tc>
          <w:tcPr>
            <w:tcW w:w="0" w:type="dxa"/>
            <w:vAlign w:val="bottom"/>
          </w:tcPr>
          <w:p>
            <w:pPr>
              <w:spacing w:after="0"/>
              <w:rPr>
                <w:sz w:val="1"/>
                <w:szCs w:val="1"/>
                <w:color w:val="auto"/>
              </w:rPr>
            </w:pPr>
          </w:p>
        </w:tc>
      </w:tr>
      <w:tr>
        <w:trPr>
          <w:trHeight w:val="136"/>
        </w:trPr>
        <w:tc>
          <w:tcPr>
            <w:tcW w:w="6540" w:type="dxa"/>
            <w:vAlign w:val="bottom"/>
          </w:tcPr>
          <w:p>
            <w:pPr>
              <w:spacing w:after="0" w:line="136" w:lineRule="exact"/>
              <w:rPr>
                <w:sz w:val="20"/>
                <w:szCs w:val="20"/>
                <w:color w:val="auto"/>
              </w:rPr>
            </w:pPr>
            <w:r>
              <w:rPr>
                <w:rFonts w:ascii="Arial" w:cs="Arial" w:eastAsia="Arial" w:hAnsi="Arial"/>
                <w:sz w:val="14"/>
                <w:szCs w:val="14"/>
                <w:color w:val="auto"/>
              </w:rPr>
              <w:t>TOTAL LIABILITIES AND SHAREHOLDERS’ EQUITY</w:t>
            </w:r>
          </w:p>
        </w:tc>
        <w:tc>
          <w:tcPr>
            <w:tcW w:w="1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1,889,477</w:t>
            </w:r>
          </w:p>
        </w:tc>
        <w:tc>
          <w:tcPr>
            <w:tcW w:w="22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1,647,548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COMPREHENSIVE INCOME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per share data)</w:t>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6"/>
              </w:rPr>
              <w:t>Year Ended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11"/>
              <w:spacing w:after="0" w:line="126" w:lineRule="exact"/>
              <w:rPr>
                <w:sz w:val="20"/>
                <w:szCs w:val="20"/>
                <w:color w:val="auto"/>
              </w:rPr>
            </w:pPr>
            <w:r>
              <w:rPr>
                <w:rFonts w:ascii="Arial" w:cs="Arial" w:eastAsia="Arial" w:hAnsi="Arial"/>
                <w:sz w:val="14"/>
                <w:szCs w:val="14"/>
                <w:b w:val="1"/>
                <w:bCs w:val="1"/>
                <w:color w:val="auto"/>
                <w:w w:val="87"/>
              </w:rPr>
              <w:t>December 28,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12"/>
              <w:spacing w:after="0" w:line="126" w:lineRule="exact"/>
              <w:rPr>
                <w:sz w:val="20"/>
                <w:szCs w:val="20"/>
                <w:color w:val="auto"/>
              </w:rPr>
            </w:pPr>
            <w:r>
              <w:rPr>
                <w:rFonts w:ascii="Arial" w:cs="Arial" w:eastAsia="Arial" w:hAnsi="Arial"/>
                <w:sz w:val="14"/>
                <w:szCs w:val="14"/>
                <w:b w:val="1"/>
                <w:bCs w:val="1"/>
                <w:color w:val="auto"/>
                <w:w w:val="92"/>
              </w:rPr>
              <w:t>December 29,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11"/>
              <w:spacing w:after="0" w:line="126" w:lineRule="exact"/>
              <w:rPr>
                <w:sz w:val="20"/>
                <w:szCs w:val="20"/>
                <w:color w:val="auto"/>
              </w:rPr>
            </w:pPr>
            <w:r>
              <w:rPr>
                <w:rFonts w:ascii="Arial" w:cs="Arial" w:eastAsia="Arial" w:hAnsi="Arial"/>
                <w:sz w:val="14"/>
                <w:szCs w:val="14"/>
                <w:b w:val="1"/>
                <w:bCs w:val="1"/>
                <w:color w:val="auto"/>
                <w:w w:val="90"/>
              </w:rPr>
              <w:t>December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4,416,009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4,489,180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3,941,182</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6"/>
                <w:szCs w:val="16"/>
                <w:color w:val="auto"/>
              </w:rPr>
              <w:t>COST OF GOODS SOLD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3,730,491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3,896,286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685,518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592,894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542,826</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439,047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392,235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362,220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NET (GAIN) LOSS ON DISPOSITION OF ASSETS AND IMPAIRMENT OF</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ASSETS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60" w:type="dxa"/>
            <w:vAlign w:val="bottom"/>
            <w:gridSpan w:val="2"/>
          </w:tcPr>
          <w:p>
            <w:pPr>
              <w:spacing w:after="0"/>
              <w:rPr>
                <w:sz w:val="20"/>
                <w:szCs w:val="20"/>
                <w:color w:val="auto"/>
              </w:rPr>
            </w:pPr>
            <w:r>
              <w:rPr>
                <w:rFonts w:ascii="Arial" w:cs="Arial" w:eastAsia="Arial" w:hAnsi="Arial"/>
                <w:sz w:val="16"/>
                <w:szCs w:val="16"/>
                <w:color w:val="auto"/>
              </w:rPr>
              <w:t>EARNINGS FROM OPERATIONS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244,906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207,263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181,469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UNREALIZED LOSS (GAIN) ON INVESTMENTS AND OTHER</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176,007</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6"/>
                <w:szCs w:val="16"/>
                <w:color w:val="auto"/>
              </w:rPr>
              <w:t>INCOME TAXES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58,270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182,404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6"/>
                <w:szCs w:val="16"/>
                <w:color w:val="auto"/>
                <w:w w:val="99"/>
              </w:rPr>
              <w:t>LESS NET EARNINGS ATTRIBUTABLE TO NONCONTROLLING INTEREST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 ATTRIBUTABLE TO CONTROLLING INTEREST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119,512</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6"/>
                <w:szCs w:val="16"/>
                <w:color w:val="auto"/>
              </w:rPr>
              <w:t>EARNINGS PER SHARE - DILUTED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gridSpan w:val="2"/>
          </w:tcPr>
          <w:p>
            <w:pPr>
              <w:spacing w:after="0"/>
              <w:rPr>
                <w:sz w:val="20"/>
                <w:szCs w:val="20"/>
                <w:color w:val="auto"/>
              </w:rPr>
            </w:pPr>
            <w:r>
              <w:rPr>
                <w:rFonts w:ascii="Arial" w:cs="Arial" w:eastAsia="Arial" w:hAnsi="Arial"/>
                <w:sz w:val="16"/>
                <w:szCs w:val="16"/>
                <w:color w:val="auto"/>
              </w:rPr>
              <w:t>OTHER COMPREHENSIVE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152,412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124,040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6"/>
                <w:szCs w:val="16"/>
                <w:color w:val="auto"/>
              </w:rPr>
              <w:t>OTHER COMPREHENSIVE GAIN (LOSS)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183,917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130,170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tcPr>
          <w:p>
            <w:pPr>
              <w:spacing w:after="0"/>
              <w:rPr>
                <w:sz w:val="20"/>
                <w:szCs w:val="20"/>
                <w:color w:val="auto"/>
              </w:rPr>
            </w:pPr>
            <w:r>
              <w:rPr>
                <w:rFonts w:ascii="Arial" w:cs="Arial" w:eastAsia="Arial" w:hAnsi="Arial"/>
                <w:sz w:val="16"/>
                <w:szCs w:val="16"/>
                <w:color w:val="auto"/>
              </w:rPr>
              <w:t>LESS COMPREHENSIVE INCOME ATTRIBUTABLE TO</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(3,218)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(3,873)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199"/>
        </w:trPr>
        <w:tc>
          <w:tcPr>
            <w:tcW w:w="5560" w:type="dxa"/>
            <w:vAlign w:val="bottom"/>
            <w:gridSpan w:val="2"/>
          </w:tcPr>
          <w:p>
            <w:pPr>
              <w:spacing w:after="0"/>
              <w:rPr>
                <w:sz w:val="20"/>
                <w:szCs w:val="20"/>
                <w:color w:val="auto"/>
              </w:rPr>
            </w:pPr>
            <w:r>
              <w:rPr>
                <w:rFonts w:ascii="Arial" w:cs="Arial" w:eastAsia="Arial" w:hAnsi="Arial"/>
                <w:sz w:val="16"/>
                <w:szCs w:val="16"/>
                <w:color w:val="auto"/>
              </w:rPr>
              <w:t>NONCONTROLLING INTEREST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COMPREHENSIVE INCOME ATTRIBUTABLE TO CONTROLLING</w:t>
            </w: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5540" w:type="dxa"/>
            <w:vAlign w:val="bottom"/>
            <w:vMerge w:val="continue"/>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180,699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143,463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125,286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INTEREST</w:t>
            </w:r>
          </w:p>
        </w:tc>
        <w:tc>
          <w:tcPr>
            <w:tcW w:w="1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 thousands, except share and per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7"/>
          </w:tcPr>
          <w:p>
            <w:pPr>
              <w:jc w:val="right"/>
              <w:spacing w:after="0"/>
              <w:rPr>
                <w:sz w:val="20"/>
                <w:szCs w:val="20"/>
                <w:color w:val="auto"/>
              </w:rPr>
            </w:pPr>
            <w:r>
              <w:rPr>
                <w:rFonts w:ascii="Arial" w:cs="Arial" w:eastAsia="Arial" w:hAnsi="Arial"/>
                <w:sz w:val="11"/>
                <w:szCs w:val="11"/>
                <w:b w:val="1"/>
                <w:bCs w:val="1"/>
                <w:color w:val="auto"/>
                <w:w w:val="89"/>
              </w:rPr>
              <w:t>Controlling Interest Shareholders’ Equity</w:t>
            </w: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08"/>
        </w:trPr>
        <w:tc>
          <w:tcPr>
            <w:tcW w:w="3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9"/>
              </w:rPr>
              <w:t>Accumulated</w:t>
            </w: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22"/>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2"/>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w w:val="92"/>
              </w:rPr>
              <w:t>Common</w:t>
            </w:r>
          </w:p>
        </w:tc>
        <w:tc>
          <w:tcPr>
            <w:tcW w:w="100" w:type="dxa"/>
            <w:vAlign w:val="bottom"/>
          </w:tcPr>
          <w:p>
            <w:pPr>
              <w:spacing w:after="0"/>
              <w:rPr>
                <w:sz w:val="10"/>
                <w:szCs w:val="10"/>
                <w:color w:val="auto"/>
              </w:rPr>
            </w:pPr>
          </w:p>
        </w:tc>
        <w:tc>
          <w:tcPr>
            <w:tcW w:w="80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Retained</w:t>
            </w:r>
          </w:p>
        </w:tc>
        <w:tc>
          <w:tcPr>
            <w:tcW w:w="90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920" w:type="dxa"/>
            <w:vAlign w:val="bottom"/>
            <w:gridSpan w:val="3"/>
          </w:tcPr>
          <w:p>
            <w:pPr>
              <w:jc w:val="right"/>
              <w:ind w:right="180"/>
              <w:spacing w:after="0" w:line="122" w:lineRule="exact"/>
              <w:rPr>
                <w:sz w:val="20"/>
                <w:szCs w:val="20"/>
                <w:color w:val="auto"/>
              </w:rPr>
            </w:pPr>
            <w:r>
              <w:rPr>
                <w:rFonts w:ascii="Arial" w:cs="Arial" w:eastAsia="Arial" w:hAnsi="Arial"/>
                <w:sz w:val="11"/>
                <w:szCs w:val="11"/>
                <w:b w:val="1"/>
                <w:bCs w:val="1"/>
                <w:color w:val="auto"/>
                <w:w w:val="91"/>
              </w:rPr>
              <w:t>Noncontrolling</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2"/>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Earnings</w:t>
            </w:r>
          </w:p>
        </w:tc>
        <w:tc>
          <w:tcPr>
            <w:tcW w:w="18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0"/>
              </w:rPr>
              <w:t>Interest</w:t>
            </w:r>
          </w:p>
        </w:tc>
        <w:tc>
          <w:tcPr>
            <w:tcW w:w="220" w:type="dxa"/>
            <w:vAlign w:val="bottom"/>
          </w:tcPr>
          <w:p>
            <w:pPr>
              <w:spacing w:after="0"/>
              <w:rPr>
                <w:sz w:val="12"/>
                <w:szCs w:val="12"/>
                <w:color w:val="auto"/>
              </w:rPr>
            </w:pPr>
          </w:p>
        </w:tc>
        <w:tc>
          <w:tcPr>
            <w:tcW w:w="820" w:type="dxa"/>
            <w:vAlign w:val="bottom"/>
          </w:tcPr>
          <w:p>
            <w:pPr>
              <w:jc w:val="right"/>
              <w:ind w:right="337"/>
              <w:spacing w:after="0"/>
              <w:rPr>
                <w:sz w:val="20"/>
                <w:szCs w:val="20"/>
                <w:color w:val="auto"/>
              </w:rPr>
            </w:pPr>
            <w:r>
              <w:rPr>
                <w:rFonts w:ascii="Arial" w:cs="Arial" w:eastAsia="Arial" w:hAnsi="Arial"/>
                <w:sz w:val="11"/>
                <w:szCs w:val="11"/>
                <w:b w:val="1"/>
                <w:bCs w:val="1"/>
                <w:color w:val="auto"/>
              </w:rPr>
              <w:t>Total</w:t>
            </w:r>
          </w:p>
        </w:tc>
      </w:tr>
      <w:tr>
        <w:trPr>
          <w:trHeight w:val="135"/>
        </w:trPr>
        <w:tc>
          <w:tcPr>
            <w:tcW w:w="350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December 31, 2016</w:t>
            </w: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61,026</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144,649</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649,135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(5,630)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39"/>
              <w:spacing w:after="0" w:line="135"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11,286</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8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860,466</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Net earnings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119,512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4,528</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124,040</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5,070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356</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5,426</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Unrealized gain (loss) on investment &amp; foreign currency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704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704</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(4,032)</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(4,032)</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Additional purchase of noncontrolling interest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2,409</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2,409</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dividends - $0.150 &amp; $0.170 per share - semiannually</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(19,607)</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(19,607)</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Issuance of 23,691 shares under employee stock plans</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637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661</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428,622 shares under stock grant programs</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5,769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6,198</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w w:val="94"/>
              </w:rPr>
              <w:t>Issuance of 159,108 shares under deferred compensation plans</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159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445,740 shares</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(446)</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297</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(12,828)</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(12,977)</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w w:val="89"/>
              </w:rPr>
              <w:t>Expense associated with share-based compensation arrangements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3,618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3,618</w:t>
            </w:r>
          </w:p>
        </w:tc>
      </w:tr>
      <w:tr>
        <w:trPr>
          <w:trHeight w:val="155"/>
        </w:trPr>
        <w:tc>
          <w:tcPr>
            <w:tcW w:w="350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7,117</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7,117</w:t>
            </w:r>
          </w:p>
        </w:tc>
      </w:tr>
      <w:tr>
        <w:trPr>
          <w:trHeight w:val="122"/>
        </w:trPr>
        <w:tc>
          <w:tcPr>
            <w:tcW w:w="3500" w:type="dxa"/>
            <w:vAlign w:val="bottom"/>
          </w:tcPr>
          <w:p>
            <w:pPr>
              <w:spacing w:after="0" w:line="122" w:lineRule="exact"/>
              <w:rPr>
                <w:sz w:val="20"/>
                <w:szCs w:val="20"/>
                <w:color w:val="auto"/>
              </w:rPr>
            </w:pPr>
            <w:r>
              <w:rPr>
                <w:rFonts w:ascii="Arial" w:cs="Arial" w:eastAsia="Arial" w:hAnsi="Arial"/>
                <w:sz w:val="13"/>
                <w:szCs w:val="13"/>
                <w:b w:val="1"/>
                <w:bCs w:val="1"/>
                <w:color w:val="auto"/>
              </w:rPr>
              <w:t>Balance at December 30, 2017</w:t>
            </w: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61,192</w:t>
            </w:r>
          </w:p>
        </w:tc>
        <w:tc>
          <w:tcPr>
            <w:tcW w:w="16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161,928</w:t>
            </w:r>
          </w:p>
        </w:tc>
        <w:tc>
          <w:tcPr>
            <w:tcW w:w="16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9"/>
                <w:szCs w:val="9"/>
                <w:b w:val="1"/>
                <w:bCs w:val="1"/>
                <w:color w:val="auto"/>
                <w:w w:val="78"/>
              </w:rPr>
              <w:t>$</w:t>
            </w:r>
          </w:p>
        </w:tc>
        <w:tc>
          <w:tcPr>
            <w:tcW w:w="6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736,212</w:t>
            </w:r>
          </w:p>
        </w:tc>
        <w:tc>
          <w:tcPr>
            <w:tcW w:w="14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144</w:t>
            </w:r>
          </w:p>
        </w:tc>
        <w:tc>
          <w:tcPr>
            <w:tcW w:w="140" w:type="dxa"/>
            <w:vAlign w:val="bottom"/>
          </w:tcPr>
          <w:p>
            <w:pPr>
              <w:spacing w:after="0"/>
              <w:rPr>
                <w:sz w:val="10"/>
                <w:szCs w:val="10"/>
                <w:color w:val="auto"/>
              </w:rPr>
            </w:pPr>
          </w:p>
        </w:tc>
        <w:tc>
          <w:tcPr>
            <w:tcW w:w="180" w:type="dxa"/>
            <w:vAlign w:val="bottom"/>
          </w:tcPr>
          <w:p>
            <w:pPr>
              <w:jc w:val="right"/>
              <w:ind w:right="39"/>
              <w:spacing w:after="0" w:line="122" w:lineRule="exact"/>
              <w:rPr>
                <w:sz w:val="20"/>
                <w:szCs w:val="20"/>
                <w:color w:val="auto"/>
              </w:rPr>
            </w:pPr>
            <w:r>
              <w:rPr>
                <w:rFonts w:ascii="Arial" w:cs="Arial" w:eastAsia="Arial" w:hAnsi="Arial"/>
                <w:sz w:val="13"/>
                <w:szCs w:val="13"/>
                <w:b w:val="1"/>
                <w:bCs w:val="1"/>
                <w:color w:val="auto"/>
                <w:w w:val="82"/>
              </w:rPr>
              <w:t>$</w:t>
            </w:r>
          </w:p>
        </w:tc>
        <w:tc>
          <w:tcPr>
            <w:tcW w:w="5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14,547</w:t>
            </w:r>
          </w:p>
        </w:tc>
        <w:tc>
          <w:tcPr>
            <w:tcW w:w="160" w:type="dxa"/>
            <w:vAlign w:val="bottom"/>
          </w:tcPr>
          <w:p>
            <w:pPr>
              <w:spacing w:after="0"/>
              <w:rPr>
                <w:sz w:val="10"/>
                <w:szCs w:val="10"/>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8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974,023</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earnings</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148,598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3,814</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152,412</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(4,973)</w:t>
            </w:r>
          </w:p>
        </w:tc>
        <w:tc>
          <w:tcPr>
            <w:tcW w:w="1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59</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(4,914)</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gain (loss) on investment &amp; foreign currency</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(1,109)</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(162)</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(3,139)</w:t>
            </w: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(3,139)</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dividends - $0.180 per share - semiannually</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(22,072)</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(22,072)</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Issuance of 37,794 shares under employee stock plans</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988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1,026</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348,208 shares under stock grant programs</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4,827</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5,175</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w w:val="94"/>
              </w:rPr>
              <w:t>Issuance of 166,528 shares under deferred compensation plans</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167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(167)</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860,669 shares</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(861)</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(23,768)</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(24,629)</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w w:val="89"/>
              </w:rPr>
              <w:t>Expense associated with share-based compensation arrangements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3,379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3,379</w:t>
            </w:r>
          </w:p>
        </w:tc>
      </w:tr>
      <w:tr>
        <w:trPr>
          <w:trHeight w:val="155"/>
        </w:trPr>
        <w:tc>
          <w:tcPr>
            <w:tcW w:w="350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7,585</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7,585</w:t>
            </w:r>
          </w:p>
        </w:tc>
      </w:tr>
      <w:tr>
        <w:trPr>
          <w:trHeight w:val="122"/>
        </w:trPr>
        <w:tc>
          <w:tcPr>
            <w:tcW w:w="3500" w:type="dxa"/>
            <w:vAlign w:val="bottom"/>
          </w:tcPr>
          <w:p>
            <w:pPr>
              <w:spacing w:after="0" w:line="122" w:lineRule="exact"/>
              <w:rPr>
                <w:sz w:val="20"/>
                <w:szCs w:val="20"/>
                <w:color w:val="auto"/>
              </w:rPr>
            </w:pPr>
            <w:r>
              <w:rPr>
                <w:rFonts w:ascii="Arial" w:cs="Arial" w:eastAsia="Arial" w:hAnsi="Arial"/>
                <w:sz w:val="13"/>
                <w:szCs w:val="13"/>
                <w:b w:val="1"/>
                <w:bCs w:val="1"/>
                <w:color w:val="auto"/>
              </w:rPr>
              <w:t>Balance at December 29, 2018</w:t>
            </w: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60,884</w:t>
            </w:r>
          </w:p>
        </w:tc>
        <w:tc>
          <w:tcPr>
            <w:tcW w:w="16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178,540</w:t>
            </w:r>
          </w:p>
        </w:tc>
        <w:tc>
          <w:tcPr>
            <w:tcW w:w="16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9"/>
                <w:szCs w:val="9"/>
                <w:b w:val="1"/>
                <w:bCs w:val="1"/>
                <w:color w:val="auto"/>
                <w:w w:val="78"/>
              </w:rPr>
              <w:t>$</w:t>
            </w:r>
          </w:p>
        </w:tc>
        <w:tc>
          <w:tcPr>
            <w:tcW w:w="6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839,917</w:t>
            </w:r>
          </w:p>
        </w:tc>
        <w:tc>
          <w:tcPr>
            <w:tcW w:w="14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(5,938)</w:t>
            </w:r>
          </w:p>
        </w:tc>
        <w:tc>
          <w:tcPr>
            <w:tcW w:w="140" w:type="dxa"/>
            <w:vAlign w:val="bottom"/>
          </w:tcPr>
          <w:p>
            <w:pPr>
              <w:spacing w:after="0"/>
              <w:rPr>
                <w:sz w:val="10"/>
                <w:szCs w:val="10"/>
                <w:color w:val="auto"/>
              </w:rPr>
            </w:pPr>
          </w:p>
        </w:tc>
        <w:tc>
          <w:tcPr>
            <w:tcW w:w="180" w:type="dxa"/>
            <w:vAlign w:val="bottom"/>
          </w:tcPr>
          <w:p>
            <w:pPr>
              <w:jc w:val="right"/>
              <w:ind w:right="39"/>
              <w:spacing w:after="0" w:line="122" w:lineRule="exact"/>
              <w:rPr>
                <w:sz w:val="20"/>
                <w:szCs w:val="20"/>
                <w:color w:val="auto"/>
              </w:rPr>
            </w:pPr>
            <w:r>
              <w:rPr>
                <w:rFonts w:ascii="Arial" w:cs="Arial" w:eastAsia="Arial" w:hAnsi="Arial"/>
                <w:sz w:val="13"/>
                <w:szCs w:val="13"/>
                <w:b w:val="1"/>
                <w:bCs w:val="1"/>
                <w:color w:val="auto"/>
                <w:w w:val="82"/>
              </w:rPr>
              <w:t>$</w:t>
            </w:r>
          </w:p>
        </w:tc>
        <w:tc>
          <w:tcPr>
            <w:tcW w:w="5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15,281</w:t>
            </w:r>
          </w:p>
        </w:tc>
        <w:tc>
          <w:tcPr>
            <w:tcW w:w="160" w:type="dxa"/>
            <w:vAlign w:val="bottom"/>
          </w:tcPr>
          <w:p>
            <w:pPr>
              <w:spacing w:after="0"/>
              <w:rPr>
                <w:sz w:val="10"/>
                <w:szCs w:val="10"/>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8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1,088,684</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earnings</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179,650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2,754</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182,404</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568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464</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1,032</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gain on debt securities</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481</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(2,143)</w:t>
            </w: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(2,143)</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Additional purchase of noncontrolling interest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(4,737)</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(2,338)</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(7,075)</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Cash dividends - $0.200 per share - semiannually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(24,549)</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(24,549)</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33,647 shares under employee stock plans</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1,093</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Issuance of 309,628 shares under stock grant programs</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310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5,654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5,968</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Issuance of 181,565 shares under deferred compensation plans</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w w:val="89"/>
              </w:rPr>
              <w:t>Expense associated with share-based compensation arrangements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3,843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3,843</w:t>
            </w:r>
          </w:p>
        </w:tc>
      </w:tr>
      <w:tr>
        <w:trPr>
          <w:trHeight w:val="155"/>
        </w:trPr>
        <w:tc>
          <w:tcPr>
            <w:tcW w:w="350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7,995</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7,995</w:t>
            </w:r>
          </w:p>
        </w:tc>
      </w:tr>
      <w:tr>
        <w:trPr>
          <w:trHeight w:val="122"/>
        </w:trPr>
        <w:tc>
          <w:tcPr>
            <w:tcW w:w="3500" w:type="dxa"/>
            <w:vAlign w:val="bottom"/>
          </w:tcPr>
          <w:p>
            <w:pPr>
              <w:spacing w:after="0" w:line="122" w:lineRule="exact"/>
              <w:rPr>
                <w:sz w:val="20"/>
                <w:szCs w:val="20"/>
                <w:color w:val="auto"/>
              </w:rPr>
            </w:pPr>
            <w:r>
              <w:rPr>
                <w:rFonts w:ascii="Arial" w:cs="Arial" w:eastAsia="Arial" w:hAnsi="Arial"/>
                <w:sz w:val="13"/>
                <w:szCs w:val="13"/>
                <w:b w:val="1"/>
                <w:bCs w:val="1"/>
                <w:color w:val="auto"/>
              </w:rPr>
              <w:t>Balance at December 28, 2019</w:t>
            </w: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61,409</w:t>
            </w:r>
          </w:p>
        </w:tc>
        <w:tc>
          <w:tcPr>
            <w:tcW w:w="16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192,173</w:t>
            </w:r>
          </w:p>
        </w:tc>
        <w:tc>
          <w:tcPr>
            <w:tcW w:w="160" w:type="dxa"/>
            <w:vAlign w:val="bottom"/>
          </w:tcPr>
          <w:p>
            <w:pPr>
              <w:spacing w:after="0"/>
              <w:rPr>
                <w:sz w:val="10"/>
                <w:szCs w:val="10"/>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995,022</w:t>
            </w:r>
          </w:p>
        </w:tc>
        <w:tc>
          <w:tcPr>
            <w:tcW w:w="14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(4,889)</w:t>
            </w:r>
          </w:p>
        </w:tc>
        <w:tc>
          <w:tcPr>
            <w:tcW w:w="140" w:type="dxa"/>
            <w:vAlign w:val="bottom"/>
          </w:tcPr>
          <w:p>
            <w:pPr>
              <w:spacing w:after="0"/>
              <w:rPr>
                <w:sz w:val="10"/>
                <w:szCs w:val="10"/>
                <w:color w:val="auto"/>
              </w:rPr>
            </w:pPr>
          </w:p>
        </w:tc>
        <w:tc>
          <w:tcPr>
            <w:tcW w:w="180" w:type="dxa"/>
            <w:vAlign w:val="bottom"/>
            <w:tcBorders>
              <w:bottom w:val="single" w:sz="8" w:color="auto"/>
            </w:tcBorders>
          </w:tcPr>
          <w:p>
            <w:pPr>
              <w:jc w:val="right"/>
              <w:ind w:right="39"/>
              <w:spacing w:after="0" w:line="122"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14,018</w:t>
            </w:r>
          </w:p>
        </w:tc>
        <w:tc>
          <w:tcPr>
            <w:tcW w:w="160" w:type="dxa"/>
            <w:vAlign w:val="bottom"/>
          </w:tcPr>
          <w:p>
            <w:pPr>
              <w:spacing w:after="0"/>
              <w:rPr>
                <w:sz w:val="10"/>
                <w:szCs w:val="10"/>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8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1,257,733</w:t>
            </w: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0563C1"/>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6900" w:type="dxa"/>
            <w:vAlign w:val="bottom"/>
          </w:tcPr>
          <w:p>
            <w:pPr>
              <w:spacing w:after="0"/>
              <w:rPr>
                <w:sz w:val="10"/>
                <w:szCs w:val="10"/>
                <w:color w:val="auto"/>
              </w:rPr>
            </w:pPr>
          </w:p>
        </w:tc>
        <w:tc>
          <w:tcPr>
            <w:tcW w:w="112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December 28,</w:t>
            </w:r>
          </w:p>
        </w:tc>
        <w:tc>
          <w:tcPr>
            <w:tcW w:w="102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December 29,</w:t>
            </w:r>
          </w:p>
        </w:tc>
        <w:tc>
          <w:tcPr>
            <w:tcW w:w="10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30,</w:t>
            </w:r>
          </w:p>
        </w:tc>
        <w:tc>
          <w:tcPr>
            <w:tcW w:w="20" w:type="dxa"/>
            <w:vAlign w:val="bottom"/>
          </w:tcPr>
          <w:p>
            <w:pPr>
              <w:spacing w:after="0"/>
              <w:rPr>
                <w:sz w:val="10"/>
                <w:szCs w:val="10"/>
                <w:color w:val="auto"/>
              </w:rPr>
            </w:pPr>
          </w:p>
        </w:tc>
      </w:tr>
      <w:tr>
        <w:trPr>
          <w:trHeight w:val="178"/>
        </w:trPr>
        <w:tc>
          <w:tcPr>
            <w:tcW w:w="6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90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182,404</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152,412</w:t>
            </w:r>
          </w:p>
        </w:tc>
        <w:tc>
          <w:tcPr>
            <w:tcW w:w="100" w:type="dxa"/>
            <w:vAlign w:val="bottom"/>
          </w:tcPr>
          <w:p>
            <w:pPr>
              <w:spacing w:after="0"/>
              <w:rPr>
                <w:sz w:val="12"/>
                <w:szCs w:val="12"/>
                <w:color w:val="auto"/>
              </w:rPr>
            </w:pPr>
          </w:p>
        </w:tc>
        <w:tc>
          <w:tcPr>
            <w:tcW w:w="280" w:type="dxa"/>
            <w:vAlign w:val="bottom"/>
            <w:gridSpan w:val="2"/>
          </w:tcPr>
          <w:p>
            <w:pPr>
              <w:jc w:val="right"/>
              <w:ind w:right="65"/>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124,040</w:t>
            </w: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900" w:type="dxa"/>
            <w:vAlign w:val="bottom"/>
          </w:tcPr>
          <w:p>
            <w:pPr>
              <w:ind w:left="120"/>
              <w:spacing w:after="0" w:line="149" w:lineRule="exact"/>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60,494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54,949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48,536</w:t>
            </w: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intangibles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4,860</w:t>
            </w:r>
          </w:p>
        </w:tc>
        <w:tc>
          <w:tcPr>
            <w:tcW w:w="20" w:type="dxa"/>
            <w:vAlign w:val="bottom"/>
          </w:tcPr>
          <w:p>
            <w:pPr>
              <w:spacing w:after="0"/>
              <w:rPr>
                <w:sz w:val="12"/>
                <w:szCs w:val="12"/>
                <w:color w:val="auto"/>
              </w:rPr>
            </w:pPr>
          </w:p>
        </w:tc>
      </w:tr>
      <w:tr>
        <w:trPr>
          <w:trHeight w:val="149"/>
        </w:trPr>
        <w:tc>
          <w:tcPr>
            <w:tcW w:w="6900" w:type="dxa"/>
            <w:vAlign w:val="bottom"/>
          </w:tcPr>
          <w:p>
            <w:pPr>
              <w:ind w:left="12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3,574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3,805</w:t>
            </w: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taxes credits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(8,629)</w:t>
            </w:r>
          </w:p>
        </w:tc>
        <w:tc>
          <w:tcPr>
            <w:tcW w:w="20" w:type="dxa"/>
            <w:vAlign w:val="bottom"/>
          </w:tcPr>
          <w:p>
            <w:pPr>
              <w:spacing w:after="0"/>
              <w:rPr>
                <w:sz w:val="12"/>
                <w:szCs w:val="12"/>
                <w:color w:val="auto"/>
              </w:rPr>
            </w:pPr>
          </w:p>
        </w:tc>
      </w:tr>
      <w:tr>
        <w:trPr>
          <w:trHeight w:val="149"/>
        </w:trPr>
        <w:tc>
          <w:tcPr>
            <w:tcW w:w="6900" w:type="dxa"/>
            <w:vAlign w:val="bottom"/>
          </w:tcPr>
          <w:p>
            <w:pPr>
              <w:ind w:left="120"/>
              <w:spacing w:after="0" w:line="149" w:lineRule="exact"/>
              <w:rPr>
                <w:sz w:val="20"/>
                <w:szCs w:val="20"/>
                <w:color w:val="auto"/>
              </w:rPr>
            </w:pPr>
            <w:r>
              <w:rPr>
                <w:rFonts w:ascii="Arial" w:cs="Arial" w:eastAsia="Arial" w:hAnsi="Arial"/>
                <w:sz w:val="14"/>
                <w:szCs w:val="14"/>
                <w:color w:val="auto"/>
              </w:rPr>
              <w:t>Unrealized (gain) loss on investments</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(2,523)</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(gain) loss on disposition of assets and impairment of assets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(6,604)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w:t>
            </w:r>
          </w:p>
        </w:tc>
        <w:tc>
          <w:tcPr>
            <w:tcW w:w="20" w:type="dxa"/>
            <w:vAlign w:val="bottom"/>
          </w:tcPr>
          <w:p>
            <w:pPr>
              <w:spacing w:after="0"/>
              <w:rPr>
                <w:sz w:val="12"/>
                <w:szCs w:val="12"/>
                <w:color w:val="auto"/>
              </w:rPr>
            </w:pPr>
          </w:p>
        </w:tc>
      </w:tr>
      <w:tr>
        <w:trPr>
          <w:trHeight w:val="149"/>
        </w:trPr>
        <w:tc>
          <w:tcPr>
            <w:tcW w:w="6900" w:type="dxa"/>
            <w:vAlign w:val="bottom"/>
          </w:tcPr>
          <w:p>
            <w:pPr>
              <w:ind w:left="120"/>
              <w:spacing w:after="0" w:line="149" w:lineRule="exact"/>
              <w:rPr>
                <w:sz w:val="20"/>
                <w:szCs w:val="20"/>
                <w:color w:val="auto"/>
              </w:rPr>
            </w:pPr>
            <w:r>
              <w:rPr>
                <w:rFonts w:ascii="Arial" w:cs="Arial" w:eastAsia="Arial" w:hAnsi="Arial"/>
                <w:sz w:val="14"/>
                <w:szCs w:val="14"/>
                <w:color w:val="auto"/>
              </w:rPr>
              <w:t>Changes in:</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(16,872)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(8,512)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(30,787)</w:t>
            </w:r>
          </w:p>
        </w:tc>
        <w:tc>
          <w:tcPr>
            <w:tcW w:w="20" w:type="dxa"/>
            <w:vAlign w:val="bottom"/>
          </w:tcPr>
          <w:p>
            <w:pPr>
              <w:spacing w:after="0"/>
              <w:rPr>
                <w:sz w:val="12"/>
                <w:szCs w:val="12"/>
                <w:color w:val="auto"/>
              </w:rPr>
            </w:pPr>
          </w:p>
        </w:tc>
      </w:tr>
      <w:tr>
        <w:trPr>
          <w:trHeight w:val="149"/>
        </w:trPr>
        <w:tc>
          <w:tcPr>
            <w:tcW w:w="690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73,120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(84,304)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(49,262)</w:t>
            </w: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cash overdraft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(24,132)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(5,213)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21,159</w:t>
            </w:r>
          </w:p>
        </w:tc>
        <w:tc>
          <w:tcPr>
            <w:tcW w:w="20" w:type="dxa"/>
            <w:vAlign w:val="bottom"/>
          </w:tcPr>
          <w:p>
            <w:pPr>
              <w:spacing w:after="0"/>
              <w:rPr>
                <w:sz w:val="12"/>
                <w:szCs w:val="12"/>
                <w:color w:val="auto"/>
              </w:rPr>
            </w:pPr>
          </w:p>
        </w:tc>
      </w:tr>
      <w:tr>
        <w:trPr>
          <w:trHeight w:val="156"/>
        </w:trPr>
        <w:tc>
          <w:tcPr>
            <w:tcW w:w="6900" w:type="dxa"/>
            <w:vAlign w:val="bottom"/>
            <w:tcBorders>
              <w:bottom w:val="single" w:sz="8" w:color="CCEEFF"/>
            </w:tcBorders>
          </w:tcPr>
          <w:p>
            <w:pPr>
              <w:ind w:left="320"/>
              <w:spacing w:after="0" w:line="149" w:lineRule="exact"/>
              <w:rPr>
                <w:sz w:val="20"/>
                <w:szCs w:val="20"/>
                <w:color w:val="auto"/>
              </w:rPr>
            </w:pPr>
            <w:r>
              <w:rPr>
                <w:rFonts w:ascii="Arial" w:cs="Arial" w:eastAsia="Arial" w:hAnsi="Arial"/>
                <w:sz w:val="14"/>
                <w:szCs w:val="14"/>
                <w:color w:val="auto"/>
              </w:rPr>
              <w:t>Accrued liabilities and other</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57,727</w:t>
            </w: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23,749</w:t>
            </w:r>
          </w:p>
        </w:tc>
        <w:tc>
          <w:tcPr>
            <w:tcW w:w="20" w:type="dxa"/>
            <w:vAlign w:val="bottom"/>
          </w:tcPr>
          <w:p>
            <w:pPr>
              <w:spacing w:after="0"/>
              <w:rPr>
                <w:sz w:val="13"/>
                <w:szCs w:val="13"/>
                <w:color w:val="auto"/>
              </w:rPr>
            </w:pPr>
          </w:p>
        </w:tc>
      </w:tr>
      <w:tr>
        <w:trPr>
          <w:trHeight w:val="149"/>
        </w:trPr>
        <w:tc>
          <w:tcPr>
            <w:tcW w:w="6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349,291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116,685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136,583</w:t>
            </w:r>
          </w:p>
        </w:tc>
        <w:tc>
          <w:tcPr>
            <w:tcW w:w="20" w:type="dxa"/>
            <w:vAlign w:val="bottom"/>
          </w:tcPr>
          <w:p>
            <w:pPr>
              <w:spacing w:after="0"/>
              <w:rPr>
                <w:sz w:val="12"/>
                <w:szCs w:val="12"/>
                <w:color w:val="auto"/>
              </w:rPr>
            </w:pPr>
          </w:p>
        </w:tc>
      </w:tr>
      <w:tr>
        <w:trPr>
          <w:trHeight w:val="149"/>
        </w:trPr>
        <w:tc>
          <w:tcPr>
            <w:tcW w:w="690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(84,933)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(95,862)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(71,116)</w:t>
            </w:r>
          </w:p>
        </w:tc>
        <w:tc>
          <w:tcPr>
            <w:tcW w:w="20" w:type="dxa"/>
            <w:vAlign w:val="bottom"/>
          </w:tcPr>
          <w:p>
            <w:pPr>
              <w:spacing w:after="0"/>
              <w:rPr>
                <w:sz w:val="12"/>
                <w:szCs w:val="12"/>
                <w:color w:val="auto"/>
              </w:rPr>
            </w:pPr>
          </w:p>
        </w:tc>
      </w:tr>
      <w:tr>
        <w:trPr>
          <w:trHeight w:val="149"/>
        </w:trPr>
        <w:tc>
          <w:tcPr>
            <w:tcW w:w="690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1,777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38,373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2,919</w:t>
            </w: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and purchases of non-controlling interest, net of cash received</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(39,122)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(54,017)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(60,587)</w:t>
            </w:r>
          </w:p>
        </w:tc>
        <w:tc>
          <w:tcPr>
            <w:tcW w:w="20" w:type="dxa"/>
            <w:vAlign w:val="bottom"/>
          </w:tcPr>
          <w:p>
            <w:pPr>
              <w:spacing w:after="0"/>
              <w:rPr>
                <w:sz w:val="12"/>
                <w:szCs w:val="12"/>
                <w:color w:val="auto"/>
              </w:rPr>
            </w:pPr>
          </w:p>
        </w:tc>
      </w:tr>
      <w:tr>
        <w:trPr>
          <w:trHeight w:val="149"/>
        </w:trPr>
        <w:tc>
          <w:tcPr>
            <w:tcW w:w="6900" w:type="dxa"/>
            <w:vAlign w:val="bottom"/>
          </w:tcPr>
          <w:p>
            <w:pPr>
              <w:spacing w:after="0" w:line="149" w:lineRule="exact"/>
              <w:rPr>
                <w:sz w:val="20"/>
                <w:szCs w:val="20"/>
                <w:color w:val="auto"/>
              </w:rPr>
            </w:pPr>
            <w:r>
              <w:rPr>
                <w:rFonts w:ascii="Arial" w:cs="Arial" w:eastAsia="Arial" w:hAnsi="Arial"/>
                <w:sz w:val="14"/>
                <w:szCs w:val="14"/>
                <w:color w:val="auto"/>
              </w:rPr>
              <w:t>Investment in life insurance contracts</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(15,253)</w:t>
            </w: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investments</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(13,352)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(13,338)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(13,518)</w:t>
            </w:r>
          </w:p>
        </w:tc>
        <w:tc>
          <w:tcPr>
            <w:tcW w:w="20" w:type="dxa"/>
            <w:vAlign w:val="bottom"/>
          </w:tcPr>
          <w:p>
            <w:pPr>
              <w:spacing w:after="0"/>
              <w:rPr>
                <w:sz w:val="12"/>
                <w:szCs w:val="12"/>
                <w:color w:val="auto"/>
              </w:rPr>
            </w:pPr>
          </w:p>
        </w:tc>
      </w:tr>
      <w:tr>
        <w:trPr>
          <w:trHeight w:val="149"/>
        </w:trPr>
        <w:tc>
          <w:tcPr>
            <w:tcW w:w="6900" w:type="dxa"/>
            <w:vAlign w:val="bottom"/>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9,828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5,103</w:t>
            </w:r>
          </w:p>
        </w:tc>
        <w:tc>
          <w:tcPr>
            <w:tcW w:w="20" w:type="dxa"/>
            <w:vAlign w:val="bottom"/>
          </w:tcPr>
          <w:p>
            <w:pPr>
              <w:spacing w:after="0"/>
              <w:rPr>
                <w:sz w:val="12"/>
                <w:szCs w:val="12"/>
                <w:color w:val="auto"/>
              </w:rPr>
            </w:pPr>
          </w:p>
        </w:tc>
      </w:tr>
      <w:tr>
        <w:trPr>
          <w:trHeight w:val="16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20" w:type="dxa"/>
            <w:vAlign w:val="bottom"/>
          </w:tcPr>
          <w:p>
            <w:pPr>
              <w:spacing w:after="0"/>
              <w:rPr>
                <w:sz w:val="14"/>
                <w:szCs w:val="14"/>
                <w:color w:val="auto"/>
              </w:rPr>
            </w:pPr>
          </w:p>
        </w:tc>
      </w:tr>
      <w:tr>
        <w:trPr>
          <w:trHeight w:val="136"/>
        </w:trPr>
        <w:tc>
          <w:tcPr>
            <w:tcW w:w="6900" w:type="dxa"/>
            <w:vAlign w:val="bottom"/>
            <w:tcBorders>
              <w:top w:val="single" w:sz="8" w:color="CCEEFF"/>
            </w:tcBorders>
          </w:tcPr>
          <w:p>
            <w:pPr>
              <w:ind w:left="120"/>
              <w:spacing w:after="0" w:line="136" w:lineRule="exact"/>
              <w:rPr>
                <w:sz w:val="20"/>
                <w:szCs w:val="20"/>
                <w:color w:val="auto"/>
              </w:rPr>
            </w:pPr>
            <w:r>
              <w:rPr>
                <w:rFonts w:ascii="Arial" w:cs="Arial" w:eastAsia="Arial" w:hAnsi="Arial"/>
                <w:sz w:val="14"/>
                <w:szCs w:val="14"/>
                <w:color w:val="auto"/>
              </w:rPr>
              <w:t>NET CASH USED IN INVESTING ACTIVITIES</w:t>
            </w: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(142,037)</w:t>
            </w:r>
          </w:p>
        </w:tc>
        <w:tc>
          <w:tcPr>
            <w:tcW w:w="2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(121,232)</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(137,659)</w:t>
            </w:r>
          </w:p>
        </w:tc>
        <w:tc>
          <w:tcPr>
            <w:tcW w:w="20" w:type="dxa"/>
            <w:vAlign w:val="bottom"/>
          </w:tcPr>
          <w:p>
            <w:pPr>
              <w:spacing w:after="0"/>
              <w:rPr>
                <w:sz w:val="11"/>
                <w:szCs w:val="11"/>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900" w:type="dxa"/>
            <w:vAlign w:val="bottom"/>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422,057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732,370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758,287</w:t>
            </w: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(460,537)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(748,496)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(722,725)</w:t>
            </w:r>
          </w:p>
        </w:tc>
        <w:tc>
          <w:tcPr>
            <w:tcW w:w="20" w:type="dxa"/>
            <w:vAlign w:val="bottom"/>
          </w:tcPr>
          <w:p>
            <w:pPr>
              <w:spacing w:after="0"/>
              <w:rPr>
                <w:sz w:val="12"/>
                <w:szCs w:val="12"/>
                <w:color w:val="auto"/>
              </w:rPr>
            </w:pPr>
          </w:p>
        </w:tc>
      </w:tr>
      <w:tr>
        <w:trPr>
          <w:trHeight w:val="149"/>
        </w:trPr>
        <w:tc>
          <w:tcPr>
            <w:tcW w:w="6900" w:type="dxa"/>
            <w:vAlign w:val="bottom"/>
          </w:tcPr>
          <w:p>
            <w:pPr>
              <w:spacing w:after="0" w:line="149" w:lineRule="exact"/>
              <w:rPr>
                <w:sz w:val="20"/>
                <w:szCs w:val="20"/>
                <w:color w:val="auto"/>
              </w:rPr>
            </w:pPr>
            <w:r>
              <w:rPr>
                <w:rFonts w:ascii="Arial" w:cs="Arial" w:eastAsia="Arial" w:hAnsi="Arial"/>
                <w:sz w:val="14"/>
                <w:szCs w:val="14"/>
                <w:color w:val="auto"/>
              </w:rPr>
              <w:t>Borrowings of debt</w:t>
            </w: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8,525</w:t>
            </w: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debt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(3,136)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(5,540)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(13,347)</w:t>
            </w:r>
          </w:p>
        </w:tc>
        <w:tc>
          <w:tcPr>
            <w:tcW w:w="20" w:type="dxa"/>
            <w:vAlign w:val="bottom"/>
          </w:tcPr>
          <w:p>
            <w:pPr>
              <w:spacing w:after="0"/>
              <w:rPr>
                <w:sz w:val="12"/>
                <w:szCs w:val="12"/>
                <w:color w:val="auto"/>
              </w:rPr>
            </w:pPr>
          </w:p>
        </w:tc>
      </w:tr>
      <w:tr>
        <w:trPr>
          <w:trHeight w:val="149"/>
        </w:trPr>
        <w:tc>
          <w:tcPr>
            <w:tcW w:w="6900" w:type="dxa"/>
            <w:vAlign w:val="bottom"/>
          </w:tcPr>
          <w:p>
            <w:pPr>
              <w:spacing w:after="0" w:line="149" w:lineRule="exact"/>
              <w:rPr>
                <w:sz w:val="20"/>
                <w:szCs w:val="20"/>
                <w:color w:val="auto"/>
              </w:rPr>
            </w:pPr>
            <w:r>
              <w:rPr>
                <w:rFonts w:ascii="Arial" w:cs="Arial" w:eastAsia="Arial" w:hAnsi="Arial"/>
                <w:sz w:val="14"/>
                <w:szCs w:val="14"/>
                <w:color w:val="auto"/>
              </w:rPr>
              <w:t>Issuance of long-term debt</w:t>
            </w: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w:t>
            </w:r>
          </w:p>
        </w:tc>
        <w:tc>
          <w:tcPr>
            <w:tcW w:w="20" w:type="dxa"/>
            <w:vAlign w:val="bottom"/>
          </w:tcPr>
          <w:p>
            <w:pPr>
              <w:spacing w:after="0"/>
              <w:rPr>
                <w:sz w:val="12"/>
                <w:szCs w:val="12"/>
                <w:color w:val="auto"/>
              </w:rPr>
            </w:pPr>
          </w:p>
        </w:tc>
      </w:tr>
      <w:tr>
        <w:trPr>
          <w:trHeight w:val="149"/>
        </w:trPr>
        <w:tc>
          <w:tcPr>
            <w:tcW w:w="6900" w:type="dxa"/>
            <w:vAlign w:val="bottom"/>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(24,549)</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(22,072)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(19,607)</w:t>
            </w: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(2,216)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(3,139)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(4,032)</w:t>
            </w:r>
          </w:p>
        </w:tc>
        <w:tc>
          <w:tcPr>
            <w:tcW w:w="20" w:type="dxa"/>
            <w:vAlign w:val="bottom"/>
          </w:tcPr>
          <w:p>
            <w:pPr>
              <w:spacing w:after="0"/>
              <w:rPr>
                <w:sz w:val="12"/>
                <w:szCs w:val="12"/>
                <w:color w:val="auto"/>
              </w:rPr>
            </w:pPr>
          </w:p>
        </w:tc>
      </w:tr>
      <w:tr>
        <w:trPr>
          <w:trHeight w:val="149"/>
        </w:trPr>
        <w:tc>
          <w:tcPr>
            <w:tcW w:w="690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(24,629)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(12,977)</w:t>
            </w:r>
          </w:p>
        </w:tc>
        <w:tc>
          <w:tcPr>
            <w:tcW w:w="20" w:type="dxa"/>
            <w:vAlign w:val="bottom"/>
          </w:tcPr>
          <w:p>
            <w:pPr>
              <w:spacing w:after="0"/>
              <w:rPr>
                <w:sz w:val="12"/>
                <w:szCs w:val="12"/>
                <w:color w:val="auto"/>
              </w:rPr>
            </w:pPr>
          </w:p>
        </w:tc>
      </w:tr>
      <w:tr>
        <w:trPr>
          <w:trHeight w:val="16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4"/>
                <w:szCs w:val="14"/>
                <w:color w:val="auto"/>
              </w:rPr>
            </w:pPr>
          </w:p>
        </w:tc>
      </w:tr>
      <w:tr>
        <w:trPr>
          <w:trHeight w:val="136"/>
        </w:trPr>
        <w:tc>
          <w:tcPr>
            <w:tcW w:w="6900" w:type="dxa"/>
            <w:vAlign w:val="bottom"/>
            <w:tcBorders>
              <w:top w:val="single" w:sz="8" w:color="CCEEFF"/>
            </w:tcBorders>
          </w:tcPr>
          <w:p>
            <w:pPr>
              <w:ind w:left="120"/>
              <w:spacing w:after="0" w:line="136" w:lineRule="exact"/>
              <w:rPr>
                <w:sz w:val="20"/>
                <w:szCs w:val="20"/>
                <w:color w:val="auto"/>
              </w:rPr>
            </w:pPr>
            <w:r>
              <w:rPr>
                <w:rFonts w:ascii="Arial" w:cs="Arial" w:eastAsia="Arial" w:hAnsi="Arial"/>
                <w:sz w:val="14"/>
                <w:szCs w:val="14"/>
                <w:color w:val="auto"/>
              </w:rPr>
              <w:t>NET CASH (USED IN) PROVIDED BY FINANCING ACTIVITIES</w:t>
            </w: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(67,268)</w:t>
            </w:r>
          </w:p>
        </w:tc>
        <w:tc>
          <w:tcPr>
            <w:tcW w:w="2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4,393</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(5,247)</w:t>
            </w:r>
          </w:p>
        </w:tc>
        <w:tc>
          <w:tcPr>
            <w:tcW w:w="20" w:type="dxa"/>
            <w:vAlign w:val="bottom"/>
          </w:tcPr>
          <w:p>
            <w:pPr>
              <w:spacing w:after="0"/>
              <w:rPr>
                <w:sz w:val="11"/>
                <w:szCs w:val="11"/>
                <w:color w:val="auto"/>
              </w:rPr>
            </w:pPr>
          </w:p>
        </w:tc>
      </w:tr>
      <w:tr>
        <w:trPr>
          <w:trHeight w:val="16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w:t>
            </w:r>
          </w:p>
        </w:tc>
        <w:tc>
          <w:tcPr>
            <w:tcW w:w="20" w:type="dxa"/>
            <w:vAlign w:val="bottom"/>
          </w:tcPr>
          <w:p>
            <w:pPr>
              <w:spacing w:after="0"/>
              <w:rPr>
                <w:sz w:val="14"/>
                <w:szCs w:val="14"/>
                <w:color w:val="auto"/>
              </w:rPr>
            </w:pPr>
          </w:p>
        </w:tc>
      </w:tr>
      <w:tr>
        <w:trPr>
          <w:trHeight w:val="136"/>
        </w:trPr>
        <w:tc>
          <w:tcPr>
            <w:tcW w:w="6900" w:type="dxa"/>
            <w:vAlign w:val="bottom"/>
            <w:tcBorders>
              <w:top w:val="single" w:sz="8" w:color="CCEEFF"/>
            </w:tcBorders>
          </w:tcPr>
          <w:p>
            <w:pPr>
              <w:spacing w:after="0" w:line="136" w:lineRule="exact"/>
              <w:rPr>
                <w:sz w:val="20"/>
                <w:szCs w:val="20"/>
                <w:color w:val="auto"/>
              </w:rPr>
            </w:pPr>
            <w:r>
              <w:rPr>
                <w:rFonts w:ascii="Arial" w:cs="Arial" w:eastAsia="Arial" w:hAnsi="Arial"/>
                <w:sz w:val="14"/>
                <w:szCs w:val="14"/>
                <w:color w:val="auto"/>
              </w:rPr>
              <w:t>NET CHANGE IN CASH AND CASH EQUIVALENTS</w:t>
            </w: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140,468</w:t>
            </w:r>
          </w:p>
        </w:tc>
        <w:tc>
          <w:tcPr>
            <w:tcW w:w="2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(618)</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(5,673)</w:t>
            </w:r>
          </w:p>
        </w:tc>
        <w:tc>
          <w:tcPr>
            <w:tcW w:w="20" w:type="dxa"/>
            <w:vAlign w:val="bottom"/>
          </w:tcPr>
          <w:p>
            <w:pPr>
              <w:spacing w:after="0"/>
              <w:rPr>
                <w:sz w:val="11"/>
                <w:szCs w:val="11"/>
                <w:color w:val="auto"/>
              </w:rPr>
            </w:pPr>
          </w:p>
        </w:tc>
      </w:tr>
      <w:tr>
        <w:trPr>
          <w:trHeight w:val="169"/>
        </w:trPr>
        <w:tc>
          <w:tcPr>
            <w:tcW w:w="69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28,198</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28,816</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34,489</w:t>
            </w:r>
          </w:p>
        </w:tc>
        <w:tc>
          <w:tcPr>
            <w:tcW w:w="20" w:type="dxa"/>
            <w:vAlign w:val="bottom"/>
          </w:tcPr>
          <w:p>
            <w:pPr>
              <w:spacing w:after="0"/>
              <w:rPr>
                <w:sz w:val="14"/>
                <w:szCs w:val="14"/>
                <w:color w:val="auto"/>
              </w:rPr>
            </w:pPr>
          </w:p>
        </w:tc>
      </w:tr>
      <w:tr>
        <w:trPr>
          <w:trHeight w:val="176"/>
        </w:trPr>
        <w:tc>
          <w:tcPr>
            <w:tcW w:w="6900" w:type="dxa"/>
            <w:vAlign w:val="bottom"/>
            <w:tcBorders>
              <w:bottom w:val="single" w:sz="8" w:color="CCEEFF"/>
            </w:tcBorders>
          </w:tcPr>
          <w:p>
            <w:pPr>
              <w:spacing w:after="0" w:line="136" w:lineRule="exact"/>
              <w:rPr>
                <w:sz w:val="20"/>
                <w:szCs w:val="20"/>
                <w:color w:val="auto"/>
              </w:rPr>
            </w:pPr>
            <w:r>
              <w:rPr>
                <w:rFonts w:ascii="Arial" w:cs="Arial" w:eastAsia="Arial" w:hAnsi="Arial"/>
                <w:sz w:val="14"/>
                <w:szCs w:val="14"/>
                <w:color w:val="auto"/>
              </w:rPr>
              <w:t>CASH, CASH EQUIVALENTS, AND RESTRICTED CASH, END OF PERIOD</w:t>
            </w:r>
          </w:p>
        </w:tc>
        <w:tc>
          <w:tcPr>
            <w:tcW w:w="180" w:type="dxa"/>
            <w:vAlign w:val="bottom"/>
            <w:tcBorders>
              <w:bottom w:val="single" w:sz="8" w:color="auto"/>
            </w:tcBorders>
          </w:tcPr>
          <w:p>
            <w:pPr>
              <w:jc w:val="right"/>
              <w:ind w:right="67"/>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168,666</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28,198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28,816</w:t>
            </w:r>
          </w:p>
        </w:tc>
        <w:tc>
          <w:tcPr>
            <w:tcW w:w="20" w:type="dxa"/>
            <w:vAlign w:val="bottom"/>
          </w:tcPr>
          <w:p>
            <w:pPr>
              <w:spacing w:after="0"/>
              <w:rPr>
                <w:sz w:val="15"/>
                <w:szCs w:val="15"/>
                <w:color w:val="auto"/>
              </w:rPr>
            </w:pPr>
          </w:p>
        </w:tc>
      </w:tr>
      <w:tr>
        <w:trPr>
          <w:trHeight w:val="62"/>
        </w:trPr>
        <w:tc>
          <w:tcPr>
            <w:tcW w:w="69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149"/>
        </w:trPr>
        <w:tc>
          <w:tcPr>
            <w:tcW w:w="6900" w:type="dxa"/>
            <w:vAlign w:val="bottom"/>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28,339</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65"/>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34,091</w:t>
            </w:r>
          </w:p>
        </w:tc>
        <w:tc>
          <w:tcPr>
            <w:tcW w:w="20" w:type="dxa"/>
            <w:vAlign w:val="bottom"/>
          </w:tcPr>
          <w:p>
            <w:pPr>
              <w:spacing w:after="0"/>
              <w:rPr>
                <w:sz w:val="12"/>
                <w:szCs w:val="12"/>
                <w:color w:val="auto"/>
              </w:rPr>
            </w:pPr>
          </w:p>
        </w:tc>
      </w:tr>
      <w:tr>
        <w:trPr>
          <w:trHeight w:val="149"/>
        </w:trPr>
        <w:tc>
          <w:tcPr>
            <w:tcW w:w="69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882</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477</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398</w:t>
            </w:r>
          </w:p>
        </w:tc>
        <w:tc>
          <w:tcPr>
            <w:tcW w:w="20" w:type="dxa"/>
            <w:vAlign w:val="bottom"/>
          </w:tcPr>
          <w:p>
            <w:pPr>
              <w:spacing w:after="0"/>
              <w:rPr>
                <w:sz w:val="12"/>
                <w:szCs w:val="12"/>
                <w:color w:val="auto"/>
              </w:rPr>
            </w:pPr>
          </w:p>
        </w:tc>
      </w:tr>
      <w:tr>
        <w:trPr>
          <w:trHeight w:val="142"/>
        </w:trPr>
        <w:tc>
          <w:tcPr>
            <w:tcW w:w="69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28,198</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28,816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34,489</w:t>
            </w:r>
          </w:p>
        </w:tc>
        <w:tc>
          <w:tcPr>
            <w:tcW w:w="20" w:type="dxa"/>
            <w:vAlign w:val="bottom"/>
          </w:tcPr>
          <w:p>
            <w:pPr>
              <w:spacing w:after="0"/>
              <w:rPr>
                <w:sz w:val="12"/>
                <w:szCs w:val="12"/>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
        </w:trPr>
        <w:tc>
          <w:tcPr>
            <w:tcW w:w="6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168,336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27,316</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65"/>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28,339</w:t>
            </w:r>
          </w:p>
        </w:tc>
        <w:tc>
          <w:tcPr>
            <w:tcW w:w="20" w:type="dxa"/>
            <w:vAlign w:val="bottom"/>
          </w:tcPr>
          <w:p>
            <w:pPr>
              <w:spacing w:after="0"/>
              <w:rPr>
                <w:sz w:val="12"/>
                <w:szCs w:val="12"/>
                <w:color w:val="auto"/>
              </w:rPr>
            </w:pPr>
          </w:p>
        </w:tc>
      </w:tr>
      <w:tr>
        <w:trPr>
          <w:trHeight w:val="149"/>
        </w:trPr>
        <w:tc>
          <w:tcPr>
            <w:tcW w:w="69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477</w:t>
            </w:r>
          </w:p>
        </w:tc>
        <w:tc>
          <w:tcPr>
            <w:tcW w:w="20" w:type="dxa"/>
            <w:vAlign w:val="bottom"/>
          </w:tcPr>
          <w:p>
            <w:pPr>
              <w:spacing w:after="0"/>
              <w:rPr>
                <w:sz w:val="12"/>
                <w:szCs w:val="12"/>
                <w:color w:val="auto"/>
              </w:rPr>
            </w:pPr>
          </w:p>
        </w:tc>
      </w:tr>
      <w:tr>
        <w:trPr>
          <w:trHeight w:val="142"/>
        </w:trPr>
        <w:tc>
          <w:tcPr>
            <w:tcW w:w="69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168,666</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28,198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28,816</w:t>
            </w:r>
          </w:p>
        </w:tc>
        <w:tc>
          <w:tcPr>
            <w:tcW w:w="20" w:type="dxa"/>
            <w:vAlign w:val="bottom"/>
          </w:tcPr>
          <w:p>
            <w:pPr>
              <w:spacing w:after="0"/>
              <w:rPr>
                <w:sz w:val="12"/>
                <w:szCs w:val="12"/>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
        </w:trPr>
        <w:tc>
          <w:tcPr>
            <w:tcW w:w="6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INFORMATION:</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900" w:type="dxa"/>
            <w:vAlign w:val="bottom"/>
          </w:tcPr>
          <w:p>
            <w:pPr>
              <w:ind w:left="120"/>
              <w:spacing w:after="0" w:line="149" w:lineRule="exact"/>
              <w:rPr>
                <w:sz w:val="20"/>
                <w:szCs w:val="20"/>
                <w:color w:val="auto"/>
              </w:rPr>
            </w:pPr>
            <w:r>
              <w:rPr>
                <w:rFonts w:ascii="Arial" w:cs="Arial" w:eastAsia="Arial" w:hAnsi="Arial"/>
                <w:sz w:val="14"/>
                <w:szCs w:val="14"/>
                <w:color w:val="auto"/>
              </w:rPr>
              <w:t>Interest paid</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8,763</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8,860</w:t>
            </w:r>
          </w:p>
        </w:tc>
        <w:tc>
          <w:tcPr>
            <w:tcW w:w="100" w:type="dxa"/>
            <w:vAlign w:val="bottom"/>
          </w:tcPr>
          <w:p>
            <w:pPr>
              <w:spacing w:after="0"/>
              <w:rPr>
                <w:sz w:val="12"/>
                <w:szCs w:val="12"/>
                <w:color w:val="auto"/>
              </w:rPr>
            </w:pPr>
          </w:p>
        </w:tc>
        <w:tc>
          <w:tcPr>
            <w:tcW w:w="280" w:type="dxa"/>
            <w:vAlign w:val="bottom"/>
            <w:gridSpan w:val="2"/>
          </w:tcPr>
          <w:p>
            <w:pPr>
              <w:jc w:val="right"/>
              <w:ind w:right="65"/>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6,020</w:t>
            </w: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taxes paid</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51,578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56,663</w:t>
            </w:r>
          </w:p>
        </w:tc>
        <w:tc>
          <w:tcPr>
            <w:tcW w:w="20" w:type="dxa"/>
            <w:vAlign w:val="bottom"/>
          </w:tcPr>
          <w:p>
            <w:pPr>
              <w:spacing w:after="0"/>
              <w:rPr>
                <w:sz w:val="12"/>
                <w:szCs w:val="12"/>
                <w:color w:val="auto"/>
              </w:rPr>
            </w:pPr>
          </w:p>
        </w:tc>
      </w:tr>
      <w:tr>
        <w:trPr>
          <w:trHeight w:val="149"/>
        </w:trPr>
        <w:tc>
          <w:tcPr>
            <w:tcW w:w="6900" w:type="dxa"/>
            <w:vAlign w:val="bottom"/>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under deferred compensation plans</w:t>
            </w: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5,837</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65"/>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5,116</w:t>
            </w:r>
          </w:p>
        </w:tc>
        <w:tc>
          <w:tcPr>
            <w:tcW w:w="20" w:type="dxa"/>
            <w:vAlign w:val="bottom"/>
          </w:tcPr>
          <w:p>
            <w:pPr>
              <w:spacing w:after="0"/>
              <w:rPr>
                <w:sz w:val="12"/>
                <w:szCs w:val="12"/>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60" w:right="3700" w:hanging="651"/>
        <w:spacing w:after="0" w:line="503" w:lineRule="auto"/>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b w:val="1"/>
          <w:bCs w:val="1"/>
          <w:color w:val="auto"/>
        </w:rPr>
        <w:t>OPERATIONS</w:t>
      </w:r>
    </w:p>
    <w:p>
      <w:pPr>
        <w:spacing w:after="0" w:line="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primarily design, manufacture and market wood and wood-alternative products for national home centers and other retailers, structural lumber and other products for the manufactured housing industry, engineered wood components for residential and commercial construction, customized interior fixtures used in a variety of retail stores, commercial and other structures, and specialty wood packaging, components and other packing materials for various industries.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consolidated financial statements include our accounts and those of our wholly-owned and majority-owned subsidiaries and partnerships. In addition, we consolidate any entity which we own 50% or more and exercise control. Intercompany transactions and balances have been eliminated.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 IN SUBSIDIARIES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Noncontrolling interest in results of operations of consolidated subsidiaries represents the noncontrolling shareholders’ share of the income or loss of various consolidated subsidiaries. The noncontrolling interest reflects the original investment by these noncontrolling shareholders combined with their proportional share of the earnings or losses of these subsidiaries, net of distributions paid.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fiscal year is a 52 or 53 week period, ending on the last Saturday of December. Unless otherwise stated, references to 2019, 2018, and 2017 relate to the fiscal years ended December 28, 2019, December 29, 2018, and December 30, 2017, respectively. Fiscal years 2019, 2018, and 2017 were comprised of 52 weeks.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follow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provides a consistent definition of fair value, focuses on exit price, prioritizes the use of market-based inputs over entity-specific inputs for measuring fair value and establishes a three-tier hierarchy for fair value measurements. This topic requires fair value measurements to be classified and disclosed in one of the following three categories:</w:t>
      </w:r>
    </w:p>
    <w:p>
      <w:pPr>
        <w:spacing w:after="0" w:line="187" w:lineRule="exact"/>
        <w:rPr>
          <w:sz w:val="20"/>
          <w:szCs w:val="20"/>
          <w:color w:val="auto"/>
        </w:rPr>
      </w:pPr>
    </w:p>
    <w:p>
      <w:pPr>
        <w:ind w:left="680" w:hanging="320"/>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1 — Financial instruments with unadjusted, quoted prices listed on active market exchanges.</w:t>
      </w:r>
    </w:p>
    <w:p>
      <w:pPr>
        <w:spacing w:after="0" w:line="225" w:lineRule="exact"/>
        <w:rPr>
          <w:rFonts w:ascii="Arial" w:cs="Arial" w:eastAsia="Arial" w:hAnsi="Arial"/>
          <w:sz w:val="18"/>
          <w:szCs w:val="18"/>
          <w:color w:val="auto"/>
        </w:rPr>
      </w:pPr>
    </w:p>
    <w:p>
      <w:pPr>
        <w:jc w:val="both"/>
        <w:ind w:left="680" w:hanging="320"/>
        <w:spacing w:after="0" w:line="259"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2 — Financial instruments lacking unadjusted, quoted prices from active market exchanges, including over-the-counter traded financial instruments. Financial instrument values are determined using prices for recently traded financial instruments with similar underlying terms and direct or indirect observational inputs, such as interest rates and yield curves at commonly quoted intervals.</w:t>
      </w:r>
    </w:p>
    <w:p>
      <w:pPr>
        <w:spacing w:after="0" w:line="186" w:lineRule="exact"/>
        <w:rPr>
          <w:rFonts w:ascii="Arial" w:cs="Arial" w:eastAsia="Arial" w:hAnsi="Arial"/>
          <w:sz w:val="18"/>
          <w:szCs w:val="18"/>
          <w:color w:val="auto"/>
        </w:rPr>
      </w:pPr>
    </w:p>
    <w:p>
      <w:pPr>
        <w:ind w:left="680" w:right="20" w:hanging="320"/>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3 — Financial instruments not actively traded on a market exchange and there is little, if any, market activity. Values are determined using significant unobservable inputs or valuation techniques.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Cash and cash equivalents consist of cash and highly liquid investments purchased with an original maturity of three months or less.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Investments are deemed to be "available for sale" and are, accordingly, carried at fair value being the quoted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2016, the FASB issued ASU No. 2016-01, Recognition and Measurement of Financial Assets and Financial Liabilities, which amends ASC 825-10, Financial Instruments – Overall, this ASU changes the treatment for available-for-sale equity investments by recognizing unrealized fair value changes directly in net income and no longer in other comprehensive income. For public entities, the amendment is effective for fiscal years beginning after December 15, 2017. The ASU was adopted during fiscal 2018 with a cumulative-effect adjustment to retained earnings of $0.9 million at the beginning of 2018. The available-for-sale equity securities balance at December 28, 2019, and December 29, 2018 was $14.7 million and $11.0 million, respectively. The adoption of ASU No. 2016-01 resulted in an unrealized gain recorded as a non-operating income of $2.5 million in 2019, and an unrealized loss of $1.9 million recorded in non-operating expense in 2018.</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ACCOUNTS RECEIVABLE AND ALLOWANCES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perform periodic credit evaluations of our customers and generally do not require collateral. Accounts receivable are due under a range of terms we offer to our customers. Discounts are offered, in most instances, as an incentive for early payment.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base our allowances related to receivables on historical credit and collections experience, and the specific identification of other potential problems, including the general economic climate. Actual collections can differ, requiring adjustments to the allowances. Individual accounts receivable balances are evaluated on a monthly basis, and those balances considered uncollectible are charged to the allowance.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activity in our accounts receivable allowances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5"/>
              </w:rPr>
              <w:t>Additions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58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Costs and</w:t>
            </w:r>
          </w:p>
        </w:tc>
        <w:tc>
          <w:tcPr>
            <w:tcW w:w="160" w:type="dxa"/>
            <w:vAlign w:val="bottom"/>
          </w:tcPr>
          <w:p>
            <w:pPr>
              <w:spacing w:after="0"/>
              <w:rPr>
                <w:sz w:val="12"/>
                <w:szCs w:val="12"/>
                <w:color w:val="auto"/>
              </w:rPr>
            </w:pP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2"/>
              </w:rPr>
              <w:t>Deductions*</w:t>
            </w: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900" w:type="dxa"/>
            <w:vAlign w:val="bottom"/>
            <w:gridSpan w:val="3"/>
            <w:vMerge w:val="restart"/>
          </w:tcPr>
          <w:p>
            <w:pPr>
              <w:jc w:val="right"/>
              <w:ind w:right="2540"/>
              <w:spacing w:after="0"/>
              <w:rPr>
                <w:sz w:val="20"/>
                <w:szCs w:val="20"/>
                <w:color w:val="auto"/>
              </w:rPr>
            </w:pPr>
            <w:r>
              <w:rPr>
                <w:rFonts w:ascii="Arial" w:cs="Arial" w:eastAsia="Arial" w:hAnsi="Arial"/>
                <w:sz w:val="18"/>
                <w:szCs w:val="18"/>
                <w:color w:val="auto"/>
                <w:w w:val="88"/>
              </w:rPr>
              <w:t>Year Ended December 28, 2019:</w:t>
            </w:r>
          </w:p>
        </w:tc>
        <w:tc>
          <w:tcPr>
            <w:tcW w:w="960" w:type="dxa"/>
            <w:vAlign w:val="bottom"/>
          </w:tcPr>
          <w:p>
            <w:pPr>
              <w:spacing w:after="0"/>
              <w:rPr>
                <w:sz w:val="15"/>
                <w:szCs w:val="15"/>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1"/>
              </w:rPr>
              <w:t>Expenses</w:t>
            </w:r>
          </w:p>
        </w:tc>
        <w:tc>
          <w:tcPr>
            <w:tcW w:w="16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216"/>
        </w:trPr>
        <w:tc>
          <w:tcPr>
            <w:tcW w:w="4900" w:type="dxa"/>
            <w:vAlign w:val="bottom"/>
            <w:gridSpan w:val="3"/>
            <w:vMerge w:val="continue"/>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1"/>
              </w:rPr>
              <w:t>Allowance for possible losses on accounts receivable</w:t>
            </w:r>
          </w:p>
        </w:tc>
        <w:tc>
          <w:tcPr>
            <w:tcW w:w="15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$ 2,601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$ 39,481</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 (37,642)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jc w:val="right"/>
              <w:ind w:right="2540"/>
              <w:spacing w:after="0"/>
              <w:rPr>
                <w:sz w:val="20"/>
                <w:szCs w:val="20"/>
                <w:color w:val="auto"/>
              </w:rPr>
            </w:pPr>
            <w:r>
              <w:rPr>
                <w:rFonts w:ascii="Arial" w:cs="Arial" w:eastAsia="Arial" w:hAnsi="Arial"/>
                <w:sz w:val="18"/>
                <w:szCs w:val="18"/>
                <w:color w:val="auto"/>
                <w:w w:val="88"/>
              </w:rPr>
              <w:t>Year Ended December 29, 2018:</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1"/>
              </w:rPr>
              <w:t>Allowance for possible losses on accounts receivable</w:t>
            </w:r>
          </w:p>
        </w:tc>
        <w:tc>
          <w:tcPr>
            <w:tcW w:w="15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$ 2,424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$ 38,963</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 (38,786)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jc w:val="right"/>
              <w:ind w:right="2540"/>
              <w:spacing w:after="0"/>
              <w:rPr>
                <w:sz w:val="20"/>
                <w:szCs w:val="20"/>
                <w:color w:val="auto"/>
              </w:rPr>
            </w:pPr>
            <w:r>
              <w:rPr>
                <w:rFonts w:ascii="Arial" w:cs="Arial" w:eastAsia="Arial" w:hAnsi="Arial"/>
                <w:sz w:val="18"/>
                <w:szCs w:val="18"/>
                <w:color w:val="auto"/>
                <w:w w:val="88"/>
              </w:rPr>
              <w:t>Year Ended December 30, 2017:</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1"/>
              </w:rPr>
              <w:t>Allowance for possible losses on accounts receivable</w:t>
            </w:r>
          </w:p>
        </w:tc>
        <w:tc>
          <w:tcPr>
            <w:tcW w:w="15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$ 2,845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$ 28,102</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 (28,523)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$ 2,424</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1"/>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accounts charged off, discounts given to customers and actual customer returns and allowances.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record estimated sales returns, discounts, and other applicable adjustments as a reduction of net sales in the same period revenue is recognized.</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Accounts receivable retainage amounts related to long term construction contracts totaled $7.4 million and $5.5 million as of December 28, 2019 and December 29, 2018, respectively. All amounts are expected to be collected within 18 months. Concentration of accounts receivable related to our largest customer totaled $42.8 million and $44.5 million as of December 28, 2019 and December 29, 2018, respectively.</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2016, the FASB issued ASU 2016-13, Financial Instrument-Credit Losses (Topic 326): Measurement of Credit Losses on Financial Instruments (ASU 2016-13), which changes the current incurred loss model to a forward looking expected credit loss model for most financial assets, such as trade and other receivables, loans and other instruments. The ASU is effective for fiscal years beginning December 15, 2019, with early adoption permitted. Entities are required to apply the provisions of the standard through a cumulative-effect adjustment to retained earnings as 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date. The Company evaluated the impact of the standard on its consolidated statements, particularly over accounts receivable, and does not expect the standard to have a material impact on its consolidated financial statements and disclosures, accounting processes, and internal controls.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Inventories are stated at the lower of cost or market. The cost of inventories includes raw materials, direct labor, and manufacturing overhead. Cost is determined on a weighted average basis. Raw materials consist primarily of unfinished wood products expected to be manufactured or treated prior to sale, while finished goods represent various manufactured and treated wood products ready for sale. We have inventory on consignment at customer locations valued at $20.2 million as of December 28, 2019 and $16.8 million as of December 29, 2018.</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Property, plant, and equipment are stated at cost. Expenditures for renewals and betterments are capitalized, and maintenance and repairs are expensed as incurred. Amortization of assets held under capital leases is included in depreciation and amortized over the shorter of the estimated useful life of the asset or the lease term. Depreciation is computed principally by the straight-line method over the estimated useful lives of the assets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15 years</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540" w:type="dxa"/>
            <w:vAlign w:val="bottom"/>
          </w:tcPr>
          <w:p>
            <w:pPr>
              <w:jc w:val="right"/>
              <w:spacing w:after="0"/>
              <w:rPr>
                <w:sz w:val="20"/>
                <w:szCs w:val="20"/>
                <w:color w:val="auto"/>
              </w:rPr>
            </w:pPr>
            <w:r>
              <w:rPr>
                <w:rFonts w:ascii="Arial" w:cs="Arial" w:eastAsia="Arial" w:hAnsi="Arial"/>
                <w:sz w:val="18"/>
                <w:szCs w:val="18"/>
                <w:color w:val="auto"/>
              </w:rPr>
              <w:t>10 to 32 years</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office furniture</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20 years</w:t>
            </w: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Software costs are included in machinery and equipment on the balance sheet with gross amounts and accumulated amortization totaling $6.1 million and $5.2 million as of December 28, 2019, and $7.3 million and $5.7 million as of December 29, 2018, respectively.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(“ASC 360”), when an indicator of potential impairment exists, we evaluate the recoverability of our long-lived assets by determining whether unamortized balances could be recovered through undiscounted future operating cash flows over the remaining lives of the assets. If the sum of the expected future cash flows was less than the carrying value of the assets, an impairment loss would be recognized for the excess of the carrying value over the fair value.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of acquired businesses. Goodwill and intangible assets deemed to have indefinite lives are not amortized and are subject to impairment tests at least annually in accordance with ASC 350, Intangibles-Goodwill and Other. We review the carrying amounts of goodwill and other non-amortizable intangibles by reporting unit to determine if such assets may be impaired. As the carrying amount of these assets are recoverable based upon a discounted cash flow and market approach analysis, no impairment was recognized.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annual testing date for evaluating goodwill and indefinite-lived intangible asset impairment is the first day of the Company’s fourth fiscal quarter for all reporting units. Additionally, the Company reviews various triggering events throughout the year to ensure that a mid-year impairment analysis is not required.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foreign operations use the local currency as their functional currency. Accordingly, assets and liabilities are translated at exchange rates as of the balance sheet date and revenues and expenses are translated using weighted average rates, with translation adjustments included as a separate component of shareholders’ equity. Gains and losses arising from re-measuring foreign currency transactions are included in earnings.</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wholly-owned insurance company, Ardellis Insurance Ltd.(“Ardellis”), was incorporated on April 21, 2001 under the laws of Bermuda and is licensed as a Class 3A insurer under the Insurance Act 1978 of Bermuda. On April 14, 2017 the U.S. Branch of Ardellis Insurance Ltd. was granted its Certificate of Authority to transact property and casualty insurance lines as an admitted carrier in the State of Michigan.</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Ardellis; the related assets and liabilities of which are included in the consolidated financial statements as of December 28, 2019 and December 29, 2018. Our policy is to accrue amounts equal to actuarially determined or internally computed liabilities. The actuarial and internal valuations are based on historical information along with certain assumptions about future events. Changes in assumptions for such matters as legal actions, medical cost trends, and changes in claims experience could cause these estimates to change in the future.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providing coverage for the Company, Ardellis provides Excess Loss Insurance (primarily medical and prescription drug) to certain third parties. As of December 28, 2019, Ardellis had 42 such contracts in place. Reserves associated with these contracts were $5.7 million at December 28, 2019 and $4.9 million at December 29, 2018 and are accrued based on third party actuarial valuations of the expected future liabilities.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income tax assets to the amounts expected to be realized. Income tax expense is the tax payable or refundable for the period plus or minus the change during the period in deferred income tax assets and liabilities.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May 28, 2014, the FASB issued ASU No. 2014-09 (Accounting Standard Codification 606), Revenue from Contracts with Customers. Topic 606 supersedes the revenue recognition requirements in Accounting Standards Codification Topic 605, Revenue Recognition, and requires the recognition of revenue when promised goods or services are transferred to customers in an amount that reflects the considerations to which the entity expects to be entitled to in exchange for those goods or services. The ASU requires additional disclosure about the nature, amount, timing and uncertainty of revenue and cash flows arising from customer contracts, including significant judgments and changes in judgments. The Company has adopted the requirements of the new standard as of January 1, 2018, and utilized the modified retrospective method of transition which was applied to all contracts.</w:t>
      </w:r>
    </w:p>
    <w:p>
      <w:pPr>
        <w:spacing w:after="0" w:line="179"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The Company completed the new revenue recognition standard assessment and determined that there was no material impact to our consolidated financial statements, aside from additional required disclosures, thus no needed adjustment to the opening retained earnings for the annual reporting period.</w:t>
      </w:r>
    </w:p>
    <w:p>
      <w:pPr>
        <w:spacing w:after="0" w:line="18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Within the three markets (retail, industrial, and construction) that the Company operates, there are a variety of written and oral contracts that are utilized to generate revenue from the sale of wood, wood composite and other products.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Certain customer products that we provide require installation by the Company or a 3rd party. Installation revenue is recognized upon completion, which is typically 2-3 days after receipt. If it is determined to utilize a 3rd party for installation, the party will act as an agent to the Company until completion of the installation. Installation revenue represents an immaterial share of the Company’s total sales.</w:t>
      </w:r>
    </w:p>
    <w:p>
      <w:pPr>
        <w:spacing w:after="0" w:line="18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utilizes rebates, credits, discounts and/or cash-based incentives with certain customers which are accounted for as variable consideration. We estimate these amounts based on historical and anticipated customer sales and reduce recognized revenues accordingly. We believe that there will not be significant changes to our estimates of variable consideration. Our estimates of variable consideration are considered not constrained as the likelihood and magnitude of a significant reversal are not probable. The allocation of these costs are applied at the invoice level and recognized in conjunction with revenue. Additionally, the volume returns and refunds are estimated on a historical and expected basis which is a reduction of revenue recognized.</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Our construction contracts are generally entered into with a fixed price and completion of the projects and performance obligations can range from 6 to 18 months in duration. Therefore, our operating results are impacted by, among many other things, labor rates and commodity costs. Invoices are issued routinely throughout the projects’ life and payments are primarily due 45-60 days after invoice date. During the year, we update our estimated costs to complete our projects using current labor and commodity costs and recognize losses to the extent that they exist.</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gross revenues disaggregated by revenue source: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28,</w:t>
            </w:r>
          </w:p>
        </w:tc>
        <w:tc>
          <w:tcPr>
            <w:tcW w:w="26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29,</w:t>
            </w:r>
          </w:p>
        </w:tc>
        <w:tc>
          <w:tcPr>
            <w:tcW w:w="1100" w:type="dxa"/>
            <w:vAlign w:val="bottom"/>
          </w:tcPr>
          <w:p>
            <w:pPr>
              <w:spacing w:after="0"/>
              <w:rPr>
                <w:sz w:val="14"/>
                <w:szCs w:val="14"/>
                <w:color w:val="auto"/>
              </w:rPr>
            </w:pPr>
          </w:p>
        </w:tc>
      </w:tr>
      <w:tr>
        <w:trPr>
          <w:trHeight w:val="171"/>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Market Classification</w:t>
            </w:r>
          </w:p>
        </w:tc>
        <w:tc>
          <w:tcPr>
            <w:tcW w:w="260" w:type="dxa"/>
            <w:vAlign w:val="bottom"/>
          </w:tcPr>
          <w:p>
            <w:pPr>
              <w:spacing w:after="0"/>
              <w:rPr>
                <w:sz w:val="14"/>
                <w:szCs w:val="14"/>
                <w:color w:val="auto"/>
              </w:rPr>
            </w:pPr>
          </w:p>
        </w:tc>
        <w:tc>
          <w:tcPr>
            <w:tcW w:w="1420" w:type="dxa"/>
            <w:vAlign w:val="bottom"/>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595"/>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rPr>
              <w:t>% Change</w:t>
            </w:r>
          </w:p>
        </w:tc>
      </w:tr>
      <w:tr>
        <w:trPr>
          <w:trHeight w:val="20"/>
        </w:trPr>
        <w:tc>
          <w:tcPr>
            <w:tcW w:w="13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142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14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4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FOB Shipping Point Revenue</w:t>
            </w:r>
          </w:p>
        </w:tc>
        <w:tc>
          <w:tcPr>
            <w:tcW w:w="26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4,348,757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4,440,098</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r>
      <w:tr>
        <w:trPr>
          <w:trHeight w:val="223"/>
        </w:trPr>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Construction Contract Revenue</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143,426</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125,651</w:t>
            </w: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4,492,183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4,565,749</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Sales Allowances</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(76,174)</w:t>
            </w:r>
          </w:p>
        </w:tc>
        <w:tc>
          <w:tcPr>
            <w:tcW w:w="2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(76,569)</w:t>
            </w: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4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4,416,009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4,489,180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2019, $100.5 million and $42.9 million of our construction contract revenue was attributable to our North and West segments, respectively. Construction contract revenue is primarily made up of site-built and framing customers.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balances of percentage-of-completion accounts on December 28, 2019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29, 2018 which are included in other current assets and other accrued liabilities, respectively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28,</w:t>
            </w:r>
          </w:p>
        </w:tc>
        <w:tc>
          <w:tcPr>
            <w:tcW w:w="2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29,</w:t>
            </w:r>
          </w:p>
        </w:tc>
      </w:tr>
      <w:tr>
        <w:trPr>
          <w:trHeight w:val="178"/>
        </w:trPr>
        <w:tc>
          <w:tcPr>
            <w:tcW w:w="20" w:type="dxa"/>
            <w:vAlign w:val="bottom"/>
          </w:tcPr>
          <w:p>
            <w:pPr>
              <w:spacing w:after="0"/>
              <w:rPr>
                <w:sz w:val="15"/>
                <w:szCs w:val="15"/>
                <w:color w:val="auto"/>
              </w:rPr>
            </w:pPr>
          </w:p>
        </w:tc>
        <w:tc>
          <w:tcPr>
            <w:tcW w:w="68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w:t>
            </w: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6,622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3,245</w:t>
            </w:r>
          </w:p>
        </w:tc>
      </w:tr>
    </w:tbl>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SHIPPING AND HANDLING OF PRODUCT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costs that are charged to and reimbursed by the customer are recognized as revenue. Costs incurred related to the shipment and handling of products are classified in cost of goods sold.</w:t>
      </w:r>
    </w:p>
    <w:p>
      <w:pPr>
        <w:sectPr>
          <w:pgSz w:w="11900" w:h="16838" w:orient="portrait"/>
          <w:cols w:equalWidth="0" w:num="1">
            <w:col w:w="9060"/>
          </w:cols>
          <w:pgMar w:left="1420" w:top="517"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computation of earnings per share (“EPS”) is as follows (in thousands), which incorporate the retroactive effect of the Company’s 3 for 1 stock split: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28,</w:t>
            </w: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29,</w:t>
            </w: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30,</w:t>
            </w:r>
          </w:p>
        </w:tc>
        <w:tc>
          <w:tcPr>
            <w:tcW w:w="0" w:type="dxa"/>
            <w:vAlign w:val="bottom"/>
          </w:tcPr>
          <w:p>
            <w:pPr>
              <w:spacing w:after="0"/>
              <w:rPr>
                <w:sz w:val="1"/>
                <w:szCs w:val="1"/>
                <w:color w:val="auto"/>
              </w:rPr>
            </w:pPr>
          </w:p>
        </w:tc>
      </w:tr>
      <w:tr>
        <w:trPr>
          <w:trHeight w:val="178"/>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6"/>
        </w:trPr>
        <w:tc>
          <w:tcPr>
            <w:tcW w:w="56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earnings attributable to controlling interest</w:t>
            </w: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179,650</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148,598</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4"/>
              </w:rPr>
              <w:t>Adjustment for earnings allocated to non-vested restricted common stock</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earnings for calculating EPS</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175,154</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145,202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117,287</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Adjustment for non-vested restricted common stock</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for calculating basic EPS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Effect of dilutive restricted common stock</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Shares for calculating diluted EPS</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60,433</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60,363</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share:</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10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2.91</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2.40</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options were excluded from the computation of diluted EPS for 2019, 2018, or 2017.</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ACCOUNTING ESTIMATES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 We believe our estimates to be reasonable; however,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3" w:name="page54"/>
    <w:bookmarkEnd w:id="53"/>
    <w:p>
      <w:pPr>
        <w:ind w:left="20"/>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80" w:hanging="651"/>
        <w:spacing w:after="0"/>
        <w:tabs>
          <w:tab w:leader="none" w:pos="6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w:t>
      </w:r>
    </w:p>
    <w:p>
      <w:pPr>
        <w:spacing w:after="0" w:line="229" w:lineRule="exact"/>
        <w:rPr>
          <w:sz w:val="20"/>
          <w:szCs w:val="20"/>
          <w:color w:val="auto"/>
        </w:rPr>
      </w:pPr>
    </w:p>
    <w:p>
      <w:pPr>
        <w:jc w:val="both"/>
        <w:ind w:left="20" w:right="40" w:firstLine="648"/>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 assets and liabilities measured at fair value. Assets and liabilities measured at fair value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December 28, 2019</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December 29, 2018</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100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3"/>
              </w:rPr>
              <w:t>Quoted</w:t>
            </w:r>
          </w:p>
        </w:tc>
        <w:tc>
          <w:tcPr>
            <w:tcW w:w="720" w:type="dxa"/>
            <w:vAlign w:val="bottom"/>
            <w:gridSpan w:val="2"/>
          </w:tcPr>
          <w:p>
            <w:pPr>
              <w:ind w:left="2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Prices with</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76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Prices with</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Prices in</w:t>
            </w: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Prices in</w:t>
            </w:r>
          </w:p>
        </w:tc>
        <w:tc>
          <w:tcPr>
            <w:tcW w:w="80" w:type="dxa"/>
            <w:vAlign w:val="bottom"/>
          </w:tcPr>
          <w:p>
            <w:pPr>
              <w:spacing w:after="0"/>
              <w:rPr>
                <w:sz w:val="12"/>
                <w:szCs w:val="12"/>
                <w:color w:val="auto"/>
              </w:rPr>
            </w:pPr>
          </w:p>
        </w:tc>
        <w:tc>
          <w:tcPr>
            <w:tcW w:w="6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6"/>
              </w:rPr>
              <w:t>Other</w:t>
            </w: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Active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Active</w:t>
            </w:r>
          </w:p>
        </w:tc>
        <w:tc>
          <w:tcPr>
            <w:tcW w:w="18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Observable Unobservable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Markets</w:t>
            </w: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w:t>
            </w:r>
          </w:p>
        </w:tc>
        <w:tc>
          <w:tcPr>
            <w:tcW w:w="80" w:type="dxa"/>
            <w:vAlign w:val="bottom"/>
          </w:tcPr>
          <w:p>
            <w:pPr>
              <w:spacing w:after="0"/>
              <w:rPr>
                <w:sz w:val="12"/>
                <w:szCs w:val="12"/>
                <w:color w:val="auto"/>
              </w:rPr>
            </w:pPr>
          </w:p>
        </w:tc>
        <w:tc>
          <w:tcPr>
            <w:tcW w:w="6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5"/>
              </w:rPr>
              <w:t>Inputs</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5"/>
                <w:szCs w:val="15"/>
                <w:color w:val="auto"/>
              </w:rPr>
            </w:pPr>
          </w:p>
        </w:tc>
        <w:tc>
          <w:tcPr>
            <w:tcW w:w="640" w:type="dxa"/>
            <w:vAlign w:val="bottom"/>
          </w:tcPr>
          <w:p>
            <w:pPr>
              <w:jc w:val="center"/>
              <w:ind w:right="14"/>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5"/>
                <w:szCs w:val="15"/>
                <w:color w:val="auto"/>
              </w:rPr>
            </w:pPr>
          </w:p>
        </w:tc>
        <w:tc>
          <w:tcPr>
            <w:tcW w:w="680" w:type="dxa"/>
            <w:vAlign w:val="bottom"/>
          </w:tcPr>
          <w:p>
            <w:pPr>
              <w:jc w:val="center"/>
              <w:ind w:right="14"/>
              <w:spacing w:after="0"/>
              <w:rPr>
                <w:sz w:val="20"/>
                <w:szCs w:val="20"/>
                <w:color w:val="auto"/>
              </w:rPr>
            </w:pPr>
            <w:r>
              <w:rPr>
                <w:rFonts w:ascii="Arial" w:cs="Arial" w:eastAsia="Arial" w:hAnsi="Arial"/>
                <w:sz w:val="14"/>
                <w:szCs w:val="14"/>
                <w:b w:val="1"/>
                <w:bCs w:val="1"/>
                <w:color w:val="auto"/>
                <w:w w:val="94"/>
              </w:rPr>
              <w:t>(Level 2)</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5"/>
                <w:szCs w:val="15"/>
                <w:color w:val="auto"/>
              </w:rPr>
            </w:pPr>
          </w:p>
        </w:tc>
        <w:tc>
          <w:tcPr>
            <w:tcW w:w="620" w:type="dxa"/>
            <w:vAlign w:val="bottom"/>
          </w:tcPr>
          <w:p>
            <w:pPr>
              <w:jc w:val="right"/>
              <w:ind w:right="1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1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$ 162,626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$ 163,188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Fixed income funds</w:t>
            </w:r>
          </w:p>
        </w:tc>
        <w:tc>
          <w:tcPr>
            <w:tcW w:w="80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15,495</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9,738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13,125</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color w:val="auto"/>
              </w:rPr>
              <w:t>Alternative</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investments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1,941</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60" w:type="dxa"/>
            <w:vAlign w:val="bottom"/>
          </w:tcPr>
          <w:p>
            <w:pPr>
              <w:ind w:left="100"/>
              <w:spacing w:after="0" w:line="201" w:lineRule="exact"/>
              <w:rPr>
                <w:sz w:val="20"/>
                <w:szCs w:val="20"/>
                <w:color w:val="auto"/>
              </w:rPr>
            </w:pPr>
            <w:r>
              <w:rPr>
                <w:rFonts w:ascii="Arial" w:cs="Arial" w:eastAsia="Arial" w:hAnsi="Arial"/>
                <w:sz w:val="18"/>
                <w:szCs w:val="18"/>
                <w:color w:val="auto"/>
              </w:rPr>
              <w:t>Domestic stock</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00"/>
              <w:spacing w:after="0"/>
              <w:rPr>
                <w:sz w:val="20"/>
                <w:szCs w:val="20"/>
                <w:color w:val="auto"/>
              </w:rPr>
            </w:pPr>
            <w:r>
              <w:rPr>
                <w:rFonts w:ascii="Arial" w:cs="Arial" w:eastAsia="Arial" w:hAnsi="Arial"/>
                <w:sz w:val="18"/>
                <w:szCs w:val="18"/>
                <w:color w:val="auto"/>
              </w:rPr>
              <w:t>funds</w:t>
            </w:r>
          </w:p>
        </w:tc>
        <w:tc>
          <w:tcPr>
            <w:tcW w:w="800" w:type="dxa"/>
            <w:vAlign w:val="bottom"/>
          </w:tcPr>
          <w:p>
            <w:pPr>
              <w:jc w:val="right"/>
              <w:spacing w:after="0"/>
              <w:rPr>
                <w:sz w:val="20"/>
                <w:szCs w:val="20"/>
                <w:color w:val="auto"/>
              </w:rPr>
            </w:pPr>
            <w:r>
              <w:rPr>
                <w:rFonts w:ascii="Arial" w:cs="Arial" w:eastAsia="Arial" w:hAnsi="Arial"/>
                <w:sz w:val="18"/>
                <w:szCs w:val="18"/>
                <w:color w:val="auto"/>
              </w:rPr>
              <w:t>3,308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International stock</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funds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1760" w:type="dxa"/>
            <w:vAlign w:val="bottom"/>
          </w:tcPr>
          <w:p>
            <w:pPr>
              <w:ind w:left="100"/>
              <w:spacing w:after="0"/>
              <w:rPr>
                <w:sz w:val="20"/>
                <w:szCs w:val="20"/>
                <w:color w:val="auto"/>
              </w:rPr>
            </w:pPr>
            <w:r>
              <w:rPr>
                <w:rFonts w:ascii="Arial" w:cs="Arial" w:eastAsia="Arial" w:hAnsi="Arial"/>
                <w:sz w:val="18"/>
                <w:szCs w:val="18"/>
                <w:color w:val="auto"/>
              </w:rPr>
              <w:t>Target funds</w:t>
            </w:r>
          </w:p>
        </w:tc>
        <w:tc>
          <w:tcPr>
            <w:tcW w:w="80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Bond funds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23"/>
        </w:trPr>
        <w:tc>
          <w:tcPr>
            <w:tcW w:w="1760" w:type="dxa"/>
            <w:vAlign w:val="bottom"/>
          </w:tcPr>
          <w:p>
            <w:pPr>
              <w:ind w:left="100"/>
              <w:spacing w:after="0"/>
              <w:rPr>
                <w:sz w:val="20"/>
                <w:szCs w:val="20"/>
                <w:color w:val="auto"/>
              </w:rPr>
            </w:pPr>
            <w:r>
              <w:rPr>
                <w:rFonts w:ascii="Arial" w:cs="Arial" w:eastAsia="Arial" w:hAnsi="Arial"/>
                <w:sz w:val="18"/>
                <w:szCs w:val="18"/>
                <w:color w:val="auto"/>
              </w:rPr>
              <w:t>Alternative funds</w:t>
            </w:r>
          </w:p>
        </w:tc>
        <w:tc>
          <w:tcPr>
            <w:tcW w:w="800" w:type="dxa"/>
            <w:vAlign w:val="bottom"/>
          </w:tcPr>
          <w:p>
            <w:pPr>
              <w:jc w:val="right"/>
              <w:spacing w:after="0"/>
              <w:rPr>
                <w:sz w:val="20"/>
                <w:szCs w:val="20"/>
                <w:color w:val="auto"/>
              </w:rPr>
            </w:pPr>
            <w:r>
              <w:rPr>
                <w:rFonts w:ascii="Arial" w:cs="Arial" w:eastAsia="Arial" w:hAnsi="Arial"/>
                <w:sz w:val="18"/>
                <w:szCs w:val="18"/>
                <w:color w:val="auto"/>
              </w:rPr>
              <w:t>1,747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6"/>
        </w:trPr>
        <w:tc>
          <w:tcPr>
            <w:tcW w:w="1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mutual funds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0" w:type="dxa"/>
            <w:vAlign w:val="bottom"/>
          </w:tcPr>
          <w:p>
            <w:pPr>
              <w:spacing w:after="0"/>
              <w:rPr>
                <w:sz w:val="1"/>
                <w:szCs w:val="1"/>
                <w:color w:val="auto"/>
              </w:rPr>
            </w:pPr>
          </w:p>
        </w:tc>
      </w:tr>
      <w:tr>
        <w:trPr>
          <w:trHeight w:val="203"/>
        </w:trPr>
        <w:tc>
          <w:tcPr>
            <w:tcW w:w="176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9"/>
              </w:rPr>
              <w:t>$ 180,521</w:t>
            </w:r>
          </w:p>
        </w:tc>
        <w:tc>
          <w:tcPr>
            <w:tcW w:w="20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16,057</w:t>
            </w:r>
          </w:p>
        </w:tc>
        <w:tc>
          <w:tcPr>
            <w:tcW w:w="1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1,941</w:t>
            </w:r>
          </w:p>
        </w:tc>
        <w:tc>
          <w:tcPr>
            <w:tcW w:w="1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2"/>
              </w:rPr>
              <w:t>$ 198,519</w:t>
            </w:r>
          </w:p>
        </w:tc>
        <w:tc>
          <w:tcPr>
            <w:tcW w:w="1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w w:val="98"/>
              </w:rPr>
              <w:t>16,839</w:t>
            </w:r>
          </w:p>
        </w:tc>
        <w:tc>
          <w:tcPr>
            <w:tcW w:w="20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15,005</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1,756</w:t>
            </w:r>
          </w:p>
        </w:tc>
        <w:tc>
          <w:tcPr>
            <w:tcW w:w="1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w w:val="98"/>
              </w:rPr>
              <w:t>33,600</w:t>
            </w:r>
          </w:p>
        </w:tc>
        <w:tc>
          <w:tcPr>
            <w:tcW w:w="0" w:type="dxa"/>
            <w:vAlign w:val="bottom"/>
          </w:tcPr>
          <w:p>
            <w:pPr>
              <w:spacing w:after="0"/>
              <w:rPr>
                <w:sz w:val="1"/>
                <w:szCs w:val="1"/>
                <w:color w:val="auto"/>
              </w:rPr>
            </w:pPr>
          </w:p>
        </w:tc>
      </w:tr>
      <w:tr>
        <w:trPr>
          <w:trHeight w:val="216"/>
        </w:trPr>
        <w:tc>
          <w:tcPr>
            <w:tcW w:w="1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Assets at fair value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$ 180,521</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16,057</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$ 198,519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16,839</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33,600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right="20" w:firstLine="648"/>
        <w:spacing w:after="0" w:line="257" w:lineRule="auto"/>
        <w:rPr>
          <w:sz w:val="20"/>
          <w:szCs w:val="20"/>
          <w:color w:val="auto"/>
        </w:rPr>
      </w:pPr>
      <w:r>
        <w:rPr>
          <w:rFonts w:ascii="Arial" w:cs="Arial" w:eastAsia="Arial" w:hAnsi="Arial"/>
          <w:sz w:val="18"/>
          <w:szCs w:val="18"/>
          <w:color w:val="auto"/>
        </w:rPr>
        <w:t>From the assets measured at fair value as of December 28, 2019, listed in the table above, $162.6 million of money market funds are held in Cash and Cash Equivalents, $18.5 million of mutual funds, equity securities, and alternative investments are held in Investments, $1.1 million of money market and mutual funds are held in Other Assets for our deferred compensation plan, and $15.7 million of fixed income funds and $0.6 million of money market funds are held in Restricted Investments.</w:t>
      </w:r>
    </w:p>
    <w:p>
      <w:pPr>
        <w:spacing w:after="0" w:line="188" w:lineRule="exact"/>
        <w:rPr>
          <w:sz w:val="20"/>
          <w:szCs w:val="20"/>
          <w:color w:val="auto"/>
        </w:rPr>
      </w:pPr>
    </w:p>
    <w:p>
      <w:pPr>
        <w:jc w:val="both"/>
        <w:ind w:left="20" w:right="20" w:firstLine="648"/>
        <w:spacing w:after="0" w:line="276" w:lineRule="auto"/>
        <w:rPr>
          <w:sz w:val="20"/>
          <w:szCs w:val="20"/>
          <w:color w:val="auto"/>
        </w:rPr>
      </w:pPr>
      <w:r>
        <w:rPr>
          <w:rFonts w:ascii="Arial" w:cs="Arial" w:eastAsia="Arial" w:hAnsi="Arial"/>
          <w:sz w:val="17"/>
          <w:szCs w:val="17"/>
          <w:color w:val="auto"/>
        </w:rPr>
        <w:t xml:space="preserve">We maintain money market, mutual funds, bonds, and/or stocks in our non-qualified deferred compensation plan and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to any of our financial instruments except for those expressly required by U.S. GAAP.</w:t>
      </w:r>
    </w:p>
    <w:p>
      <w:pPr>
        <w:spacing w:after="0" w:line="173" w:lineRule="exact"/>
        <w:rPr>
          <w:sz w:val="20"/>
          <w:szCs w:val="20"/>
          <w:color w:val="auto"/>
        </w:rPr>
      </w:pPr>
    </w:p>
    <w:p>
      <w:pPr>
        <w:jc w:val="both"/>
        <w:ind w:left="20" w:right="20" w:firstLine="648"/>
        <w:spacing w:after="0" w:line="277" w:lineRule="auto"/>
        <w:rPr>
          <w:sz w:val="20"/>
          <w:szCs w:val="20"/>
          <w:color w:val="auto"/>
        </w:rPr>
      </w:pPr>
      <w:r>
        <w:rPr>
          <w:rFonts w:ascii="Arial" w:cs="Arial" w:eastAsia="Arial" w:hAnsi="Arial"/>
          <w:sz w:val="18"/>
          <w:szCs w:val="18"/>
          <w:color w:val="auto"/>
        </w:rPr>
        <w:t>During 2018, we purchased a private real estate income trust which is valued as a Level 3 asset and is categorized as an “Alternative Investment.”</w:t>
      </w:r>
    </w:p>
    <w:p>
      <w:pPr>
        <w:spacing w:after="0" w:line="170" w:lineRule="exact"/>
        <w:rPr>
          <w:sz w:val="20"/>
          <w:szCs w:val="20"/>
          <w:color w:val="auto"/>
        </w:rPr>
      </w:pPr>
    </w:p>
    <w:p>
      <w:pPr>
        <w:jc w:val="both"/>
        <w:ind w:left="20" w:right="20" w:firstLine="648"/>
        <w:spacing w:after="0" w:line="264" w:lineRule="auto"/>
        <w:rPr>
          <w:sz w:val="20"/>
          <w:szCs w:val="20"/>
          <w:color w:val="auto"/>
        </w:rPr>
      </w:pPr>
      <w:r>
        <w:rPr>
          <w:rFonts w:ascii="Arial" w:cs="Arial" w:eastAsia="Arial" w:hAnsi="Arial"/>
          <w:sz w:val="18"/>
          <w:szCs w:val="18"/>
          <w:color w:val="auto"/>
        </w:rPr>
        <w:t>In accordance with our investment policy, our wholly-owned company, Ardellis Insurance Ltd. ("Ardellis"), maintains an investment portfolio, totaling $34.3 million as of December 28, 2019, consisting of domestic and international stocks, alternative investments, and fixed income bonds.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60" w:right="20" w:hanging="647"/>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ind w:right="596"/>
              <w:spacing w:after="0"/>
              <w:rPr>
                <w:sz w:val="20"/>
                <w:szCs w:val="20"/>
                <w:color w:val="auto"/>
              </w:rPr>
            </w:pPr>
            <w:r>
              <w:rPr>
                <w:rFonts w:ascii="Arial" w:cs="Arial" w:eastAsia="Arial" w:hAnsi="Arial"/>
                <w:sz w:val="14"/>
                <w:szCs w:val="14"/>
                <w:b w:val="1"/>
                <w:bCs w:val="1"/>
                <w:color w:val="auto"/>
                <w:w w:val="91"/>
              </w:rPr>
              <w:t>December 28, 2019</w:t>
            </w: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right"/>
              <w:ind w:right="636"/>
              <w:spacing w:after="0"/>
              <w:rPr>
                <w:sz w:val="20"/>
                <w:szCs w:val="20"/>
                <w:color w:val="auto"/>
              </w:rPr>
            </w:pPr>
            <w:r>
              <w:rPr>
                <w:rFonts w:ascii="Arial" w:cs="Arial" w:eastAsia="Arial" w:hAnsi="Arial"/>
                <w:sz w:val="14"/>
                <w:szCs w:val="14"/>
                <w:b w:val="1"/>
                <w:bCs w:val="1"/>
                <w:color w:val="auto"/>
                <w:w w:val="93"/>
              </w:rPr>
              <w:t>December 29,2018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0"/>
                <w:szCs w:val="10"/>
                <w:color w:val="auto"/>
              </w:rPr>
            </w:pPr>
          </w:p>
        </w:tc>
        <w:tc>
          <w:tcPr>
            <w:tcW w:w="6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Gain/(Loss)</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Gain/(Loss)</w:t>
            </w: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$ 15,376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$ 15,729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$ 13,301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Equity</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7,958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9,734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7,141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1,811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1,941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1,722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$ 31,713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$ 34,256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$ 27,979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$ 27,391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alternative investments consist of the private real estate income trust which is valued as a Level 3 asset. The net pre-tax unrealized gain was $2.5 million for the year ended December 28, 2019. Carrying amounts above are recorded in the investments and restricted investments line items within the balance sheet as of December 28, 2019.</w:t>
      </w:r>
    </w:p>
    <w:p>
      <w:pPr>
        <w:spacing w:after="0" w:line="189" w:lineRule="exact"/>
        <w:rPr>
          <w:sz w:val="20"/>
          <w:szCs w:val="20"/>
          <w:color w:val="auto"/>
        </w:rPr>
      </w:pPr>
    </w:p>
    <w:p>
      <w:pPr>
        <w:ind w:left="660" w:hanging="651"/>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completed the following business combinations in fiscal 2019 and 2018, which were accounted for using the purchase method (in thousands).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680" w:type="dxa"/>
            <w:vAlign w:val="bottom"/>
            <w:tcBorders>
              <w:top w:val="single" w:sz="8" w:color="auto"/>
              <w:left w:val="single" w:sz="8" w:color="auto"/>
              <w:right w:val="single" w:sz="8" w:color="auto"/>
            </w:tcBorders>
          </w:tcPr>
          <w:p>
            <w:pPr>
              <w:spacing w:after="0"/>
              <w:rPr>
                <w:sz w:val="17"/>
                <w:szCs w:val="17"/>
                <w:color w:val="auto"/>
              </w:rPr>
            </w:pPr>
          </w:p>
        </w:tc>
        <w:tc>
          <w:tcPr>
            <w:tcW w:w="1500" w:type="dxa"/>
            <w:vAlign w:val="bottom"/>
            <w:tcBorders>
              <w:top w:val="single" w:sz="8" w:color="auto"/>
              <w:right w:val="single" w:sz="8" w:color="auto"/>
            </w:tcBorders>
          </w:tcPr>
          <w:p>
            <w:pPr>
              <w:spacing w:after="0"/>
              <w:rPr>
                <w:sz w:val="17"/>
                <w:szCs w:val="17"/>
                <w:color w:val="auto"/>
              </w:rPr>
            </w:pPr>
          </w:p>
        </w:tc>
        <w:tc>
          <w:tcPr>
            <w:tcW w:w="184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2"/>
              </w:rPr>
              <w:t>Net</w:t>
            </w:r>
          </w:p>
        </w:tc>
        <w:tc>
          <w:tcPr>
            <w:tcW w:w="20" w:type="dxa"/>
            <w:vAlign w:val="bottom"/>
            <w:tcBorders>
              <w:top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500" w:type="dxa"/>
            <w:vAlign w:val="bottom"/>
            <w:tcBorders>
              <w:right w:val="single" w:sz="8" w:color="auto"/>
            </w:tcBorders>
          </w:tcPr>
          <w:p>
            <w:pPr>
              <w:ind w:left="320"/>
              <w:spacing w:after="0"/>
              <w:rPr>
                <w:sz w:val="20"/>
                <w:szCs w:val="20"/>
                <w:color w:val="auto"/>
              </w:rPr>
            </w:pPr>
            <w:r>
              <w:rPr>
                <w:rFonts w:ascii="Arial" w:cs="Arial" w:eastAsia="Arial" w:hAnsi="Arial"/>
                <w:sz w:val="16"/>
                <w:szCs w:val="16"/>
                <w:b w:val="1"/>
                <w:bCs w:val="1"/>
                <w:color w:val="auto"/>
              </w:rPr>
              <w:t>Acquisition</w:t>
            </w:r>
          </w:p>
        </w:tc>
        <w:tc>
          <w:tcPr>
            <w:tcW w:w="18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Intangible</w:t>
            </w:r>
          </w:p>
        </w:tc>
        <w:tc>
          <w:tcPr>
            <w:tcW w:w="140" w:type="dxa"/>
            <w:vAlign w:val="bottom"/>
          </w:tcPr>
          <w:p>
            <w:pPr>
              <w:spacing w:after="0"/>
              <w:rPr>
                <w:sz w:val="17"/>
                <w:szCs w:val="17"/>
                <w:color w:val="auto"/>
              </w:rPr>
            </w:pPr>
          </w:p>
        </w:tc>
        <w:tc>
          <w:tcPr>
            <w:tcW w:w="100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Tangible</w:t>
            </w:r>
          </w:p>
        </w:tc>
        <w:tc>
          <w:tcPr>
            <w:tcW w:w="20" w:type="dxa"/>
            <w:vAlign w:val="bottom"/>
          </w:tcPr>
          <w:p>
            <w:pPr>
              <w:spacing w:after="0"/>
              <w:rPr>
                <w:sz w:val="17"/>
                <w:szCs w:val="17"/>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3"/>
              </w:rPr>
              <w:t>Assets</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00" w:type="dxa"/>
            <w:vAlign w:val="bottom"/>
            <w:tcBorders>
              <w:right w:val="single" w:sz="8" w:color="auto"/>
            </w:tcBorders>
            <w:shd w:val="clear" w:color="auto" w:fill="CCEBFF"/>
          </w:tcPr>
          <w:p>
            <w:pPr>
              <w:spacing w:after="0"/>
              <w:rPr>
                <w:sz w:val="16"/>
                <w:szCs w:val="16"/>
                <w:color w:val="auto"/>
              </w:rPr>
            </w:pPr>
          </w:p>
        </w:tc>
        <w:tc>
          <w:tcPr>
            <w:tcW w:w="1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$12,422</w:t>
            </w:r>
          </w:p>
        </w:tc>
        <w:tc>
          <w:tcPr>
            <w:tcW w:w="120" w:type="dxa"/>
            <w:vAlign w:val="bottom"/>
            <w:shd w:val="clear" w:color="auto" w:fill="CCEBFF"/>
          </w:tcPr>
          <w:p>
            <w:pPr>
              <w:spacing w:after="0"/>
              <w:rPr>
                <w:sz w:val="16"/>
                <w:szCs w:val="16"/>
                <w:color w:val="auto"/>
              </w:rPr>
            </w:pPr>
          </w:p>
        </w:tc>
        <w:tc>
          <w:tcPr>
            <w:tcW w:w="104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20" w:type="dxa"/>
            <w:vAlign w:val="bottom"/>
            <w:shd w:val="clear" w:color="auto" w:fill="CCEBFF"/>
          </w:tcPr>
          <w:p>
            <w:pPr>
              <w:spacing w:after="0"/>
              <w:rPr>
                <w:sz w:val="16"/>
                <w:szCs w:val="16"/>
                <w:color w:val="auto"/>
              </w:rPr>
            </w:pPr>
          </w:p>
        </w:tc>
        <w:tc>
          <w:tcPr>
            <w:tcW w:w="7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15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September 16, 2019</w:t>
            </w:r>
          </w:p>
        </w:tc>
        <w:tc>
          <w:tcPr>
            <w:tcW w:w="1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B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shd w:val="clear" w:color="auto" w:fill="CCEBFF"/>
          </w:tcPr>
          <w:p>
            <w:pPr>
              <w:jc w:val="right"/>
              <w:ind w:right="19"/>
              <w:spacing w:after="0"/>
              <w:rPr>
                <w:sz w:val="20"/>
                <w:szCs w:val="20"/>
                <w:color w:val="auto"/>
              </w:rPr>
            </w:pPr>
            <w:r>
              <w:rPr>
                <w:rFonts w:ascii="Arial" w:cs="Arial" w:eastAsia="Arial" w:hAnsi="Arial"/>
                <w:sz w:val="16"/>
                <w:szCs w:val="16"/>
                <w:color w:val="auto"/>
              </w:rPr>
              <w:t>7,464</w:t>
            </w:r>
          </w:p>
        </w:tc>
        <w:tc>
          <w:tcPr>
            <w:tcW w:w="140" w:type="dxa"/>
            <w:vAlign w:val="bottom"/>
            <w:shd w:val="clear" w:color="auto" w:fill="CCEB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4,958</w:t>
            </w:r>
          </w:p>
        </w:tc>
        <w:tc>
          <w:tcPr>
            <w:tcW w:w="20" w:type="dxa"/>
            <w:vAlign w:val="bottom"/>
            <w:shd w:val="clear" w:color="auto" w:fill="CCEBFF"/>
          </w:tcPr>
          <w:p>
            <w:pPr>
              <w:spacing w:after="0"/>
              <w:rPr>
                <w:sz w:val="17"/>
                <w:szCs w:val="17"/>
                <w:color w:val="auto"/>
              </w:rPr>
            </w:pPr>
          </w:p>
        </w:tc>
        <w:tc>
          <w:tcPr>
            <w:tcW w:w="7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7"/>
              </w:rPr>
              <w:t>North</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7"/>
              </w:rPr>
              <w:t>Pallet USA, LLC ("Pallet USA")</w:t>
            </w:r>
          </w:p>
        </w:tc>
        <w:tc>
          <w:tcPr>
            <w:tcW w:w="1500" w:type="dxa"/>
            <w:vAlign w:val="bottom"/>
            <w:tcBorders>
              <w:bottom w:val="single" w:sz="8" w:color="auto"/>
              <w:right w:val="single" w:sz="8" w:color="auto"/>
            </w:tcBorders>
            <w:shd w:val="clear" w:color="auto" w:fill="CCEBFF"/>
          </w:tcPr>
          <w:p>
            <w:pPr>
              <w:spacing w:after="0"/>
              <w:rPr>
                <w:sz w:val="18"/>
                <w:szCs w:val="18"/>
                <w:color w:val="auto"/>
              </w:rPr>
            </w:pPr>
          </w:p>
        </w:tc>
        <w:tc>
          <w:tcPr>
            <w:tcW w:w="184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4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20" w:type="dxa"/>
            <w:vAlign w:val="bottom"/>
            <w:tcBorders>
              <w:bottom w:val="single" w:sz="8" w:color="auto"/>
            </w:tcBorders>
            <w:shd w:val="clear" w:color="auto" w:fill="CCEBFF"/>
          </w:tcPr>
          <w:p>
            <w:pPr>
              <w:spacing w:after="0"/>
              <w:rPr>
                <w:sz w:val="18"/>
                <w:szCs w:val="18"/>
                <w:color w:val="auto"/>
              </w:rPr>
            </w:pPr>
          </w:p>
        </w:tc>
        <w:tc>
          <w:tcPr>
            <w:tcW w:w="7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40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3"/>
              </w:rPr>
              <w:t>A manufacturer and recycler of wood pallet and crating products in the Midwest. Pallet USA had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3"/>
              </w:rPr>
              <w:t>annual sales of approximately $18 million. The acquisition of Pallet USA allows us to expand our</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7"/>
              </w:rPr>
              <w:t>capacity to manufacture wood-based industrial packaging products and offer new services to</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46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customers in the Midwest.</w:t>
            </w:r>
          </w:p>
        </w:tc>
        <w:tc>
          <w:tcPr>
            <w:tcW w:w="104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20" w:type="dxa"/>
            <w:vAlign w:val="bottom"/>
            <w:tcBorders>
              <w:bottom w:val="single" w:sz="8" w:color="auto"/>
            </w:tcBorders>
            <w:shd w:val="clear" w:color="auto" w:fill="CCEBFF"/>
          </w:tcPr>
          <w:p>
            <w:pPr>
              <w:spacing w:after="0"/>
              <w:rPr>
                <w:sz w:val="19"/>
                <w:szCs w:val="19"/>
                <w:color w:val="auto"/>
              </w:rPr>
            </w:pPr>
          </w:p>
        </w:tc>
        <w:tc>
          <w:tcPr>
            <w:tcW w:w="7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$17,809</w:t>
            </w:r>
          </w:p>
        </w:tc>
        <w:tc>
          <w:tcPr>
            <w:tcW w:w="1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8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August 12, 2019</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8,089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9,720</w:t>
            </w:r>
          </w:p>
        </w:tc>
        <w:tc>
          <w:tcPr>
            <w:tcW w:w="20" w:type="dxa"/>
            <w:vAlign w:val="bottom"/>
          </w:tcPr>
          <w:p>
            <w:pPr>
              <w:spacing w:after="0"/>
              <w:rPr>
                <w:sz w:val="21"/>
                <w:szCs w:val="21"/>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West</w:t>
            </w:r>
          </w:p>
        </w:tc>
        <w:tc>
          <w:tcPr>
            <w:tcW w:w="0" w:type="dxa"/>
            <w:vAlign w:val="bottom"/>
          </w:tcPr>
          <w:p>
            <w:pPr>
              <w:spacing w:after="0"/>
              <w:rPr>
                <w:sz w:val="1"/>
                <w:szCs w:val="1"/>
                <w:color w:val="auto"/>
              </w:rPr>
            </w:pPr>
          </w:p>
        </w:tc>
      </w:tr>
      <w:tr>
        <w:trPr>
          <w:trHeight w:val="152"/>
        </w:trPr>
        <w:tc>
          <w:tcPr>
            <w:tcW w:w="2680" w:type="dxa"/>
            <w:vAlign w:val="bottom"/>
            <w:tcBorders>
              <w:left w:val="single" w:sz="8" w:color="auto"/>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12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Northwest Painting, Inc. ("Northwest")</w:t>
            </w:r>
          </w:p>
        </w:tc>
        <w:tc>
          <w:tcPr>
            <w:tcW w:w="15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earnout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vMerge w:val="continue"/>
          </w:tcPr>
          <w:p>
            <w:pPr>
              <w:spacing w:after="0"/>
              <w:rPr>
                <w:sz w:val="16"/>
                <w:szCs w:val="16"/>
                <w:color w:val="auto"/>
              </w:rPr>
            </w:pPr>
          </w:p>
        </w:tc>
        <w:tc>
          <w:tcPr>
            <w:tcW w:w="640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7"/>
              </w:rPr>
              <w:t>A supplier of pre-painted building materials, including composite lap siding, soffit, panels and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rPr>
              <w:t>trim to the Western U.S. Northwest had annual sales of approximately $14 million.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rPr>
              <w:t>acquisition of Northwest will expand our capacity to produce coated siding and trim for</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464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customers in the Northwest and Mountain West regions.</w:t>
            </w: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00" w:type="dxa"/>
            <w:vAlign w:val="bottom"/>
            <w:tcBorders>
              <w:right w:val="single" w:sz="8" w:color="auto"/>
            </w:tcBorders>
            <w:shd w:val="clear" w:color="auto" w:fill="CCEBFF"/>
          </w:tcPr>
          <w:p>
            <w:pPr>
              <w:spacing w:after="0"/>
              <w:rPr>
                <w:sz w:val="16"/>
                <w:szCs w:val="16"/>
                <w:color w:val="auto"/>
              </w:rPr>
            </w:pPr>
          </w:p>
        </w:tc>
        <w:tc>
          <w:tcPr>
            <w:tcW w:w="1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$7,168</w:t>
            </w:r>
          </w:p>
        </w:tc>
        <w:tc>
          <w:tcPr>
            <w:tcW w:w="120" w:type="dxa"/>
            <w:vAlign w:val="bottom"/>
            <w:shd w:val="clear" w:color="auto" w:fill="CCEBFF"/>
          </w:tcPr>
          <w:p>
            <w:pPr>
              <w:spacing w:after="0"/>
              <w:rPr>
                <w:sz w:val="16"/>
                <w:szCs w:val="16"/>
                <w:color w:val="auto"/>
              </w:rPr>
            </w:pPr>
          </w:p>
        </w:tc>
        <w:tc>
          <w:tcPr>
            <w:tcW w:w="104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20" w:type="dxa"/>
            <w:vAlign w:val="bottom"/>
            <w:shd w:val="clear" w:color="auto" w:fill="CCEBFF"/>
          </w:tcPr>
          <w:p>
            <w:pPr>
              <w:spacing w:after="0"/>
              <w:rPr>
                <w:sz w:val="16"/>
                <w:szCs w:val="16"/>
                <w:color w:val="auto"/>
              </w:rPr>
            </w:pPr>
          </w:p>
        </w:tc>
        <w:tc>
          <w:tcPr>
            <w:tcW w:w="7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80" w:type="dxa"/>
            <w:vAlign w:val="bottom"/>
            <w:tcBorders>
              <w:left w:val="single" w:sz="8" w:color="auto"/>
              <w:right w:val="single" w:sz="8" w:color="auto"/>
            </w:tcBorders>
            <w:shd w:val="clear" w:color="auto" w:fill="CCEBFF"/>
          </w:tcPr>
          <w:p>
            <w:pPr>
              <w:spacing w:after="0"/>
              <w:rPr>
                <w:sz w:val="21"/>
                <w:szCs w:val="21"/>
                <w:color w:val="auto"/>
              </w:rPr>
            </w:pPr>
          </w:p>
        </w:tc>
        <w:tc>
          <w:tcPr>
            <w:tcW w:w="15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5"/>
              </w:rPr>
              <w:t>May 1, 2019</w:t>
            </w:r>
          </w:p>
        </w:tc>
        <w:tc>
          <w:tcPr>
            <w:tcW w:w="1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B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shd w:val="clear" w:color="auto" w:fill="CCEBFF"/>
          </w:tcPr>
          <w:p>
            <w:pPr>
              <w:jc w:val="right"/>
              <w:ind w:right="19"/>
              <w:spacing w:after="0"/>
              <w:rPr>
                <w:sz w:val="20"/>
                <w:szCs w:val="20"/>
                <w:color w:val="auto"/>
              </w:rPr>
            </w:pPr>
            <w:r>
              <w:rPr>
                <w:rFonts w:ascii="Arial" w:cs="Arial" w:eastAsia="Arial" w:hAnsi="Arial"/>
                <w:sz w:val="16"/>
                <w:szCs w:val="16"/>
                <w:color w:val="auto"/>
              </w:rPr>
              <w:t>6,180</w:t>
            </w:r>
          </w:p>
        </w:tc>
        <w:tc>
          <w:tcPr>
            <w:tcW w:w="140" w:type="dxa"/>
            <w:vAlign w:val="bottom"/>
            <w:shd w:val="clear" w:color="auto" w:fill="CCEB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988</w:t>
            </w:r>
          </w:p>
        </w:tc>
        <w:tc>
          <w:tcPr>
            <w:tcW w:w="20" w:type="dxa"/>
            <w:vAlign w:val="bottom"/>
            <w:shd w:val="clear" w:color="auto" w:fill="CCEBFF"/>
          </w:tcPr>
          <w:p>
            <w:pPr>
              <w:spacing w:after="0"/>
              <w:rPr>
                <w:sz w:val="21"/>
                <w:szCs w:val="21"/>
                <w:color w:val="auto"/>
              </w:rPr>
            </w:pPr>
          </w:p>
        </w:tc>
        <w:tc>
          <w:tcPr>
            <w:tcW w:w="7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7"/>
              </w:rPr>
              <w:t>North</w:t>
            </w:r>
          </w:p>
        </w:tc>
        <w:tc>
          <w:tcPr>
            <w:tcW w:w="0" w:type="dxa"/>
            <w:vAlign w:val="bottom"/>
          </w:tcPr>
          <w:p>
            <w:pPr>
              <w:spacing w:after="0"/>
              <w:rPr>
                <w:sz w:val="1"/>
                <w:szCs w:val="1"/>
                <w:color w:val="auto"/>
              </w:rPr>
            </w:pPr>
          </w:p>
        </w:tc>
      </w:tr>
      <w:tr>
        <w:trPr>
          <w:trHeight w:val="152"/>
        </w:trPr>
        <w:tc>
          <w:tcPr>
            <w:tcW w:w="2680" w:type="dxa"/>
            <w:vAlign w:val="bottom"/>
            <w:tcBorders>
              <w:left w:val="single" w:sz="8" w:color="auto"/>
              <w:right w:val="single" w:sz="8" w:color="auto"/>
            </w:tcBorders>
            <w:shd w:val="clear" w:color="auto" w:fill="CCEBFF"/>
          </w:tcPr>
          <w:p>
            <w:pPr>
              <w:spacing w:after="0"/>
              <w:rPr>
                <w:sz w:val="13"/>
                <w:szCs w:val="13"/>
                <w:color w:val="auto"/>
              </w:rPr>
            </w:pPr>
          </w:p>
        </w:tc>
        <w:tc>
          <w:tcPr>
            <w:tcW w:w="1500" w:type="dxa"/>
            <w:vAlign w:val="bottom"/>
            <w:tcBorders>
              <w:right w:val="single" w:sz="8" w:color="auto"/>
            </w:tcBorders>
            <w:shd w:val="clear" w:color="auto" w:fill="CCEBFF"/>
          </w:tcPr>
          <w:p>
            <w:pPr>
              <w:spacing w:after="0"/>
              <w:rPr>
                <w:sz w:val="13"/>
                <w:szCs w:val="13"/>
                <w:color w:val="auto"/>
              </w:rPr>
            </w:pPr>
          </w:p>
        </w:tc>
        <w:tc>
          <w:tcPr>
            <w:tcW w:w="184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120" w:type="dxa"/>
            <w:vAlign w:val="bottom"/>
            <w:shd w:val="clear" w:color="auto" w:fill="CCEBFF"/>
          </w:tcPr>
          <w:p>
            <w:pPr>
              <w:spacing w:after="0"/>
              <w:rPr>
                <w:sz w:val="13"/>
                <w:szCs w:val="13"/>
                <w:color w:val="auto"/>
              </w:rPr>
            </w:pPr>
          </w:p>
        </w:tc>
        <w:tc>
          <w:tcPr>
            <w:tcW w:w="104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1000" w:type="dxa"/>
            <w:vAlign w:val="bottom"/>
            <w:tcBorders>
              <w:right w:val="single" w:sz="8" w:color="auto"/>
            </w:tcBorders>
            <w:shd w:val="clear" w:color="auto" w:fill="CCEBFF"/>
          </w:tcPr>
          <w:p>
            <w:pPr>
              <w:spacing w:after="0"/>
              <w:rPr>
                <w:sz w:val="13"/>
                <w:szCs w:val="13"/>
                <w:color w:val="auto"/>
              </w:rPr>
            </w:pPr>
          </w:p>
        </w:tc>
        <w:tc>
          <w:tcPr>
            <w:tcW w:w="20" w:type="dxa"/>
            <w:vAlign w:val="bottom"/>
            <w:shd w:val="clear" w:color="auto" w:fill="CCEBFF"/>
          </w:tcPr>
          <w:p>
            <w:pPr>
              <w:spacing w:after="0"/>
              <w:rPr>
                <w:sz w:val="13"/>
                <w:szCs w:val="13"/>
                <w:color w:val="auto"/>
              </w:rPr>
            </w:pPr>
          </w:p>
        </w:tc>
        <w:tc>
          <w:tcPr>
            <w:tcW w:w="74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1"/>
              </w:rPr>
              <w:t>Wolverine Wood Products, Inc.</w:t>
            </w:r>
          </w:p>
        </w:tc>
        <w:tc>
          <w:tcPr>
            <w:tcW w:w="1500" w:type="dxa"/>
            <w:vAlign w:val="bottom"/>
            <w:tcBorders>
              <w:bottom w:val="single" w:sz="8" w:color="auto"/>
              <w:right w:val="single" w:sz="8" w:color="auto"/>
            </w:tcBorders>
            <w:shd w:val="clear" w:color="auto" w:fill="CCEBFF"/>
          </w:tcPr>
          <w:p>
            <w:pPr>
              <w:spacing w:after="0"/>
              <w:rPr>
                <w:sz w:val="18"/>
                <w:szCs w:val="18"/>
                <w:color w:val="auto"/>
              </w:rPr>
            </w:pPr>
          </w:p>
        </w:tc>
        <w:tc>
          <w:tcPr>
            <w:tcW w:w="184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earnout</w:t>
            </w:r>
          </w:p>
        </w:tc>
        <w:tc>
          <w:tcPr>
            <w:tcW w:w="120" w:type="dxa"/>
            <w:vAlign w:val="bottom"/>
            <w:tcBorders>
              <w:bottom w:val="single" w:sz="8" w:color="auto"/>
            </w:tcBorders>
            <w:shd w:val="clear" w:color="auto" w:fill="CCEBFF"/>
          </w:tcPr>
          <w:p>
            <w:pPr>
              <w:spacing w:after="0"/>
              <w:rPr>
                <w:sz w:val="18"/>
                <w:szCs w:val="18"/>
                <w:color w:val="auto"/>
              </w:rPr>
            </w:pPr>
          </w:p>
        </w:tc>
        <w:tc>
          <w:tcPr>
            <w:tcW w:w="104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20" w:type="dxa"/>
            <w:vAlign w:val="bottom"/>
            <w:tcBorders>
              <w:bottom w:val="single" w:sz="8" w:color="auto"/>
            </w:tcBorders>
            <w:shd w:val="clear" w:color="auto" w:fill="CCEBFF"/>
          </w:tcPr>
          <w:p>
            <w:pPr>
              <w:spacing w:after="0"/>
              <w:rPr>
                <w:sz w:val="18"/>
                <w:szCs w:val="18"/>
                <w:color w:val="auto"/>
              </w:rPr>
            </w:pPr>
          </w:p>
        </w:tc>
        <w:tc>
          <w:tcPr>
            <w:tcW w:w="7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8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5660" w:type="dxa"/>
            <w:vAlign w:val="bottom"/>
            <w:gridSpan w:val="7"/>
            <w:shd w:val="clear" w:color="auto" w:fill="CCEBFF"/>
          </w:tcPr>
          <w:p>
            <w:pPr>
              <w:spacing w:after="0" w:line="176" w:lineRule="exact"/>
              <w:rPr>
                <w:sz w:val="20"/>
                <w:szCs w:val="20"/>
                <w:color w:val="auto"/>
              </w:rPr>
            </w:pPr>
            <w:r>
              <w:rPr>
                <w:rFonts w:ascii="Arial" w:cs="Arial" w:eastAsia="Arial" w:hAnsi="Arial"/>
                <w:sz w:val="16"/>
                <w:szCs w:val="16"/>
                <w:color w:val="auto"/>
                <w:w w:val="91"/>
              </w:rPr>
              <w:t>A manufacturer of wood panel components for furniture, store fixtures and case goods.</w:t>
            </w:r>
          </w:p>
        </w:tc>
        <w:tc>
          <w:tcPr>
            <w:tcW w:w="740" w:type="dxa"/>
            <w:vAlign w:val="bottom"/>
            <w:tcBorders>
              <w:right w:val="single" w:sz="8" w:color="auto"/>
            </w:tcBorders>
            <w:shd w:val="clear" w:color="auto" w:fill="CCEB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6"/>
              </w:rPr>
              <w:t>("Wolverine")</w:t>
            </w:r>
          </w:p>
        </w:tc>
        <w:tc>
          <w:tcPr>
            <w:tcW w:w="640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4"/>
              </w:rPr>
              <w:t>Wolverine had annual sales of approximately $5 million. The acquisition of Wolverine allows us</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6400" w:type="dxa"/>
            <w:vAlign w:val="bottom"/>
            <w:tcBorders>
              <w:bottom w:val="single" w:sz="8" w:color="auto"/>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7"/>
              </w:rPr>
              <w:t>to expand capacity to produce value-added wood components for customers in the Midwest.</w:t>
            </w: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$15,115</w:t>
            </w:r>
          </w:p>
        </w:tc>
        <w:tc>
          <w:tcPr>
            <w:tcW w:w="1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October 22, 2018</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8,592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6,523</w:t>
            </w:r>
          </w:p>
        </w:tc>
        <w:tc>
          <w:tcPr>
            <w:tcW w:w="20" w:type="dxa"/>
            <w:vAlign w:val="bottom"/>
          </w:tcPr>
          <w:p>
            <w:pPr>
              <w:spacing w:after="0"/>
              <w:rPr>
                <w:sz w:val="17"/>
                <w:szCs w:val="17"/>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North</w:t>
            </w:r>
          </w:p>
        </w:tc>
        <w:tc>
          <w:tcPr>
            <w:tcW w:w="0" w:type="dxa"/>
            <w:vAlign w:val="bottom"/>
          </w:tcPr>
          <w:p>
            <w:pPr>
              <w:spacing w:after="0"/>
              <w:rPr>
                <w:sz w:val="1"/>
                <w:szCs w:val="1"/>
                <w:color w:val="auto"/>
              </w:rPr>
            </w:pPr>
          </w:p>
        </w:tc>
      </w:tr>
      <w:tr>
        <w:trPr>
          <w:trHeight w:val="206"/>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Pak-Rite, LTD ("Pak-Rite")</w:t>
            </w:r>
          </w:p>
        </w:tc>
        <w:tc>
          <w:tcPr>
            <w:tcW w:w="15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680" w:type="dxa"/>
            <w:vAlign w:val="bottom"/>
            <w:tcBorders>
              <w:left w:val="single" w:sz="8" w:color="auto"/>
              <w:right w:val="single" w:sz="8" w:color="auto"/>
            </w:tcBorders>
            <w:vMerge w:val="continue"/>
          </w:tcPr>
          <w:p>
            <w:pPr>
              <w:spacing w:after="0"/>
              <w:rPr>
                <w:sz w:val="16"/>
                <w:szCs w:val="16"/>
                <w:color w:val="auto"/>
              </w:rPr>
            </w:pPr>
          </w:p>
        </w:tc>
        <w:tc>
          <w:tcPr>
            <w:tcW w:w="640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4"/>
              </w:rPr>
              <w:t>A designer and manufacturer of packaging for high-value products, such as medical, aerospace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rPr>
              <w:t>and automation equipment. Pak-Rite had annual sales of approximately $15 million.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9"/>
              </w:rPr>
              <w:t>acquisition of Pak-Rite allows us to grow our portfolio of packaging products and customer</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9"/>
              </w:rPr>
              <w:t>markets, and expand our presence in this region.</w:t>
            </w: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680" w:type="dxa"/>
            <w:vAlign w:val="bottom"/>
            <w:tcBorders>
              <w:top w:val="single" w:sz="8" w:color="auto"/>
              <w:left w:val="single" w:sz="8" w:color="auto"/>
              <w:right w:val="single" w:sz="8" w:color="auto"/>
            </w:tcBorders>
          </w:tcPr>
          <w:p>
            <w:pPr>
              <w:spacing w:after="0"/>
              <w:rPr>
                <w:sz w:val="17"/>
                <w:szCs w:val="17"/>
                <w:color w:val="auto"/>
              </w:rPr>
            </w:pPr>
          </w:p>
        </w:tc>
        <w:tc>
          <w:tcPr>
            <w:tcW w:w="1500" w:type="dxa"/>
            <w:vAlign w:val="bottom"/>
            <w:tcBorders>
              <w:top w:val="single" w:sz="8" w:color="auto"/>
              <w:right w:val="single" w:sz="8" w:color="auto"/>
            </w:tcBorders>
          </w:tcPr>
          <w:p>
            <w:pPr>
              <w:spacing w:after="0"/>
              <w:rPr>
                <w:sz w:val="17"/>
                <w:szCs w:val="17"/>
                <w:color w:val="auto"/>
              </w:rPr>
            </w:pPr>
          </w:p>
        </w:tc>
        <w:tc>
          <w:tcPr>
            <w:tcW w:w="184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Net</w:t>
            </w:r>
          </w:p>
        </w:tc>
        <w:tc>
          <w:tcPr>
            <w:tcW w:w="7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500" w:type="dxa"/>
            <w:vAlign w:val="bottom"/>
            <w:tcBorders>
              <w:right w:val="single" w:sz="8" w:color="auto"/>
            </w:tcBorders>
          </w:tcPr>
          <w:p>
            <w:pPr>
              <w:ind w:left="320"/>
              <w:spacing w:after="0"/>
              <w:rPr>
                <w:sz w:val="20"/>
                <w:szCs w:val="20"/>
                <w:color w:val="auto"/>
              </w:rPr>
            </w:pPr>
            <w:r>
              <w:rPr>
                <w:rFonts w:ascii="Arial" w:cs="Arial" w:eastAsia="Arial" w:hAnsi="Arial"/>
                <w:sz w:val="16"/>
                <w:szCs w:val="16"/>
                <w:b w:val="1"/>
                <w:bCs w:val="1"/>
                <w:color w:val="auto"/>
              </w:rPr>
              <w:t>Acquisition</w:t>
            </w:r>
          </w:p>
        </w:tc>
        <w:tc>
          <w:tcPr>
            <w:tcW w:w="18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Intangible</w:t>
            </w:r>
          </w:p>
        </w:tc>
        <w:tc>
          <w:tcPr>
            <w:tcW w:w="140" w:type="dxa"/>
            <w:vAlign w:val="bottom"/>
          </w:tcPr>
          <w:p>
            <w:pPr>
              <w:spacing w:after="0"/>
              <w:rPr>
                <w:sz w:val="17"/>
                <w:szCs w:val="17"/>
                <w:color w:val="auto"/>
              </w:rPr>
            </w:pPr>
          </w:p>
        </w:tc>
        <w:tc>
          <w:tcPr>
            <w:tcW w:w="100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Tangible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Assets</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00" w:type="dxa"/>
            <w:vAlign w:val="bottom"/>
            <w:tcBorders>
              <w:right w:val="single" w:sz="8" w:color="auto"/>
            </w:tcBorders>
            <w:shd w:val="clear" w:color="auto" w:fill="CCEBFF"/>
          </w:tcPr>
          <w:p>
            <w:pPr>
              <w:spacing w:after="0"/>
              <w:rPr>
                <w:sz w:val="16"/>
                <w:szCs w:val="16"/>
                <w:color w:val="auto"/>
              </w:rPr>
            </w:pPr>
          </w:p>
        </w:tc>
        <w:tc>
          <w:tcPr>
            <w:tcW w:w="1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$1,016</w:t>
            </w:r>
          </w:p>
        </w:tc>
        <w:tc>
          <w:tcPr>
            <w:tcW w:w="120" w:type="dxa"/>
            <w:vAlign w:val="bottom"/>
            <w:shd w:val="clear" w:color="auto" w:fill="CCEBFF"/>
          </w:tcPr>
          <w:p>
            <w:pPr>
              <w:spacing w:after="0"/>
              <w:rPr>
                <w:sz w:val="16"/>
                <w:szCs w:val="16"/>
                <w:color w:val="auto"/>
              </w:rPr>
            </w:pPr>
          </w:p>
        </w:tc>
        <w:tc>
          <w:tcPr>
            <w:tcW w:w="104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7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15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July 31, 2018</w:t>
            </w:r>
          </w:p>
        </w:tc>
        <w:tc>
          <w:tcPr>
            <w:tcW w:w="1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B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shd w:val="clear" w:color="auto" w:fill="CCEBFF"/>
          </w:tcPr>
          <w:p>
            <w:pPr>
              <w:jc w:val="right"/>
              <w:ind w:right="19"/>
              <w:spacing w:after="0"/>
              <w:rPr>
                <w:sz w:val="20"/>
                <w:szCs w:val="20"/>
                <w:color w:val="auto"/>
              </w:rPr>
            </w:pPr>
            <w:r>
              <w:rPr>
                <w:rFonts w:ascii="Arial" w:cs="Arial" w:eastAsia="Arial" w:hAnsi="Arial"/>
                <w:sz w:val="16"/>
                <w:szCs w:val="16"/>
                <w:color w:val="auto"/>
              </w:rPr>
              <w:t>250</w:t>
            </w:r>
          </w:p>
        </w:tc>
        <w:tc>
          <w:tcPr>
            <w:tcW w:w="140" w:type="dxa"/>
            <w:vAlign w:val="bottom"/>
            <w:shd w:val="clear" w:color="auto" w:fill="CCEB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766</w:t>
            </w:r>
          </w:p>
        </w:tc>
        <w:tc>
          <w:tcPr>
            <w:tcW w:w="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7"/>
              </w:rPr>
              <w:t>West</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3"/>
              </w:rPr>
              <w:t>The Pallet Place, LLC ("Pallet Place")</w:t>
            </w:r>
          </w:p>
        </w:tc>
        <w:tc>
          <w:tcPr>
            <w:tcW w:w="1500" w:type="dxa"/>
            <w:vAlign w:val="bottom"/>
            <w:tcBorders>
              <w:bottom w:val="single" w:sz="8" w:color="auto"/>
              <w:right w:val="single" w:sz="8" w:color="auto"/>
            </w:tcBorders>
            <w:shd w:val="clear" w:color="auto" w:fill="CCEBFF"/>
          </w:tcPr>
          <w:p>
            <w:pPr>
              <w:spacing w:after="0"/>
              <w:rPr>
                <w:sz w:val="18"/>
                <w:szCs w:val="18"/>
                <w:color w:val="auto"/>
              </w:rPr>
            </w:pPr>
          </w:p>
        </w:tc>
        <w:tc>
          <w:tcPr>
            <w:tcW w:w="184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4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7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5"/>
              </w:rPr>
              <w:t>A manufacturer and distributor of total packaging solutions in timber, crates, skids, and pallets.</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Pallet Place had annual sales of approximately $5 million. The acquisition of Pallet Place allows</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0"/>
              </w:rPr>
              <w:t>us to increase our industrial business and creates operating leverage by consolidating with another</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500" w:type="dxa"/>
            <w:vAlign w:val="bottom"/>
            <w:tcBorders>
              <w:bottom w:val="single" w:sz="8" w:color="auto"/>
              <w:right w:val="single" w:sz="8" w:color="CCEBFF"/>
            </w:tcBorders>
            <w:shd w:val="clear" w:color="auto" w:fill="CCEBFF"/>
          </w:tcPr>
          <w:p>
            <w:pPr>
              <w:spacing w:after="0"/>
              <w:rPr>
                <w:sz w:val="20"/>
                <w:szCs w:val="20"/>
                <w:color w:val="auto"/>
              </w:rPr>
            </w:pPr>
            <w:r>
              <w:rPr>
                <w:rFonts w:ascii="Arial" w:cs="Arial" w:eastAsia="Arial" w:hAnsi="Arial"/>
                <w:sz w:val="16"/>
                <w:szCs w:val="16"/>
                <w:color w:val="auto"/>
              </w:rPr>
              <w:t>regional operation.</w:t>
            </w:r>
          </w:p>
        </w:tc>
        <w:tc>
          <w:tcPr>
            <w:tcW w:w="1840" w:type="dxa"/>
            <w:vAlign w:val="bottom"/>
            <w:tcBorders>
              <w:bottom w:val="single" w:sz="8" w:color="auto"/>
              <w:right w:val="single" w:sz="8" w:color="CCEBFF"/>
            </w:tcBorders>
            <w:shd w:val="clear" w:color="auto" w:fill="CCEBFF"/>
          </w:tcPr>
          <w:p>
            <w:pPr>
              <w:spacing w:after="0"/>
              <w:rPr>
                <w:sz w:val="19"/>
                <w:szCs w:val="19"/>
                <w:color w:val="auto"/>
              </w:rPr>
            </w:pPr>
          </w:p>
        </w:tc>
        <w:tc>
          <w:tcPr>
            <w:tcW w:w="120" w:type="dxa"/>
            <w:vAlign w:val="bottom"/>
            <w:tcBorders>
              <w:bottom w:val="single" w:sz="8" w:color="auto"/>
            </w:tcBorders>
            <w:shd w:val="clear" w:color="auto" w:fill="CCEBFF"/>
          </w:tcPr>
          <w:p>
            <w:pPr>
              <w:spacing w:after="0"/>
              <w:rPr>
                <w:sz w:val="19"/>
                <w:szCs w:val="19"/>
                <w:color w:val="auto"/>
              </w:rPr>
            </w:pPr>
          </w:p>
        </w:tc>
        <w:tc>
          <w:tcPr>
            <w:tcW w:w="104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7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$25,866</w:t>
            </w:r>
          </w:p>
        </w:tc>
        <w:tc>
          <w:tcPr>
            <w:tcW w:w="1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8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June 1, 2018</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9,496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16,370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South</w:t>
            </w:r>
          </w:p>
        </w:tc>
        <w:tc>
          <w:tcPr>
            <w:tcW w:w="0" w:type="dxa"/>
            <w:vAlign w:val="bottom"/>
          </w:tcPr>
          <w:p>
            <w:pPr>
              <w:spacing w:after="0"/>
              <w:rPr>
                <w:sz w:val="1"/>
                <w:szCs w:val="1"/>
                <w:color w:val="auto"/>
              </w:rPr>
            </w:pPr>
          </w:p>
        </w:tc>
      </w:tr>
      <w:tr>
        <w:trPr>
          <w:trHeight w:val="152"/>
        </w:trPr>
        <w:tc>
          <w:tcPr>
            <w:tcW w:w="2680" w:type="dxa"/>
            <w:vAlign w:val="bottom"/>
            <w:tcBorders>
              <w:left w:val="single" w:sz="8" w:color="auto"/>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12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North American Container Corporation</w:t>
            </w:r>
          </w:p>
        </w:tc>
        <w:tc>
          <w:tcPr>
            <w:tcW w:w="15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earnout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80" w:type="dxa"/>
            <w:vAlign w:val="bottom"/>
            <w:tcBorders>
              <w:left w:val="single" w:sz="8" w:color="auto"/>
              <w:right w:val="single" w:sz="8" w:color="auto"/>
            </w:tcBorders>
            <w:vMerge w:val="continue"/>
          </w:tcPr>
          <w:p>
            <w:pPr>
              <w:spacing w:after="0"/>
              <w:rPr>
                <w:sz w:val="15"/>
                <w:szCs w:val="15"/>
                <w:color w:val="auto"/>
              </w:rPr>
            </w:pPr>
          </w:p>
        </w:tc>
        <w:tc>
          <w:tcPr>
            <w:tcW w:w="6400" w:type="dxa"/>
            <w:vAlign w:val="bottom"/>
            <w:tcBorders>
              <w:right w:val="single" w:sz="8" w:color="auto"/>
            </w:tcBorders>
            <w:gridSpan w:val="7"/>
          </w:tcPr>
          <w:p>
            <w:pPr>
              <w:spacing w:after="0" w:line="176" w:lineRule="exact"/>
              <w:rPr>
                <w:sz w:val="20"/>
                <w:szCs w:val="20"/>
                <w:color w:val="auto"/>
              </w:rPr>
            </w:pPr>
            <w:r>
              <w:rPr>
                <w:rFonts w:ascii="Arial" w:cs="Arial" w:eastAsia="Arial" w:hAnsi="Arial"/>
                <w:sz w:val="16"/>
                <w:szCs w:val="16"/>
                <w:color w:val="auto"/>
                <w:w w:val="99"/>
              </w:rPr>
              <w:t>A manufacturer of structural packaging products, including steel, corrugated and hardwood</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("NACC")</w:t>
            </w: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9"/>
              </w:rPr>
              <w:t>packaging. NACC had annual sales of approximately $71 million. The acquisition of NACC</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allows us to enhance our presence in this region, expand our product offering, and serve</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customers more cost effectively.</w:t>
            </w: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00" w:type="dxa"/>
            <w:vAlign w:val="bottom"/>
            <w:tcBorders>
              <w:right w:val="single" w:sz="8" w:color="auto"/>
            </w:tcBorders>
            <w:shd w:val="clear" w:color="auto" w:fill="CCEBFF"/>
          </w:tcPr>
          <w:p>
            <w:pPr>
              <w:spacing w:after="0"/>
              <w:rPr>
                <w:sz w:val="16"/>
                <w:szCs w:val="16"/>
                <w:color w:val="auto"/>
              </w:rPr>
            </w:pPr>
          </w:p>
        </w:tc>
        <w:tc>
          <w:tcPr>
            <w:tcW w:w="1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$3,890</w:t>
            </w:r>
          </w:p>
        </w:tc>
        <w:tc>
          <w:tcPr>
            <w:tcW w:w="120" w:type="dxa"/>
            <w:vAlign w:val="bottom"/>
            <w:shd w:val="clear" w:color="auto" w:fill="CCEBFF"/>
          </w:tcPr>
          <w:p>
            <w:pPr>
              <w:spacing w:after="0"/>
              <w:rPr>
                <w:sz w:val="16"/>
                <w:szCs w:val="16"/>
                <w:color w:val="auto"/>
              </w:rPr>
            </w:pPr>
          </w:p>
        </w:tc>
        <w:tc>
          <w:tcPr>
            <w:tcW w:w="104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7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15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7"/>
              </w:rPr>
              <w:t>April 9, 2018</w:t>
            </w:r>
          </w:p>
        </w:tc>
        <w:tc>
          <w:tcPr>
            <w:tcW w:w="1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B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shd w:val="clear" w:color="auto" w:fill="CCEBFF"/>
          </w:tcPr>
          <w:p>
            <w:pPr>
              <w:jc w:val="right"/>
              <w:ind w:right="19"/>
              <w:spacing w:after="0"/>
              <w:rPr>
                <w:sz w:val="20"/>
                <w:szCs w:val="20"/>
                <w:color w:val="auto"/>
              </w:rPr>
            </w:pPr>
            <w:r>
              <w:rPr>
                <w:rFonts w:ascii="Arial" w:cs="Arial" w:eastAsia="Arial" w:hAnsi="Arial"/>
                <w:sz w:val="16"/>
                <w:szCs w:val="16"/>
                <w:color w:val="auto"/>
              </w:rPr>
              <w:t>2,235</w:t>
            </w:r>
          </w:p>
        </w:tc>
        <w:tc>
          <w:tcPr>
            <w:tcW w:w="140" w:type="dxa"/>
            <w:vAlign w:val="bottom"/>
            <w:shd w:val="clear" w:color="auto" w:fill="CCEB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1,655</w:t>
            </w:r>
          </w:p>
        </w:tc>
        <w:tc>
          <w:tcPr>
            <w:tcW w:w="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7"/>
              </w:rPr>
              <w:t>West</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1"/>
              </w:rPr>
              <w:t>Fontana Wood Products ("Fontana")</w:t>
            </w:r>
          </w:p>
        </w:tc>
        <w:tc>
          <w:tcPr>
            <w:tcW w:w="1500" w:type="dxa"/>
            <w:vAlign w:val="bottom"/>
            <w:tcBorders>
              <w:bottom w:val="single" w:sz="8" w:color="auto"/>
              <w:right w:val="single" w:sz="8" w:color="auto"/>
            </w:tcBorders>
            <w:shd w:val="clear" w:color="auto" w:fill="CCEBFF"/>
          </w:tcPr>
          <w:p>
            <w:pPr>
              <w:spacing w:after="0"/>
              <w:rPr>
                <w:sz w:val="18"/>
                <w:szCs w:val="18"/>
                <w:color w:val="auto"/>
              </w:rPr>
            </w:pPr>
          </w:p>
        </w:tc>
        <w:tc>
          <w:tcPr>
            <w:tcW w:w="184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4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7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A manufacturer and distributor of lumber and trusses in the Southern California region. Fontana</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5"/>
              </w:rPr>
              <w:t>had annual sales of approximately $12 million. The acquisition of Fontana allows us to expand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2"/>
              </w:rPr>
              <w:t>our manufactured housing business and creates operating leverage by consolidating with another</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500" w:type="dxa"/>
            <w:vAlign w:val="bottom"/>
            <w:tcBorders>
              <w:bottom w:val="single" w:sz="8" w:color="auto"/>
              <w:right w:val="single" w:sz="8" w:color="CCEBFF"/>
            </w:tcBorders>
            <w:shd w:val="clear" w:color="auto" w:fill="CCEBFF"/>
          </w:tcPr>
          <w:p>
            <w:pPr>
              <w:spacing w:after="0"/>
              <w:rPr>
                <w:sz w:val="20"/>
                <w:szCs w:val="20"/>
                <w:color w:val="auto"/>
              </w:rPr>
            </w:pPr>
            <w:r>
              <w:rPr>
                <w:rFonts w:ascii="Arial" w:cs="Arial" w:eastAsia="Arial" w:hAnsi="Arial"/>
                <w:sz w:val="16"/>
                <w:szCs w:val="16"/>
                <w:color w:val="auto"/>
              </w:rPr>
              <w:t>regional operation.</w:t>
            </w:r>
          </w:p>
        </w:tc>
        <w:tc>
          <w:tcPr>
            <w:tcW w:w="1840" w:type="dxa"/>
            <w:vAlign w:val="bottom"/>
            <w:tcBorders>
              <w:bottom w:val="single" w:sz="8" w:color="auto"/>
              <w:right w:val="single" w:sz="8" w:color="CCEBFF"/>
            </w:tcBorders>
            <w:shd w:val="clear" w:color="auto" w:fill="CCEBFF"/>
          </w:tcPr>
          <w:p>
            <w:pPr>
              <w:spacing w:after="0"/>
              <w:rPr>
                <w:sz w:val="19"/>
                <w:szCs w:val="19"/>
                <w:color w:val="auto"/>
              </w:rPr>
            </w:pPr>
          </w:p>
        </w:tc>
        <w:tc>
          <w:tcPr>
            <w:tcW w:w="120" w:type="dxa"/>
            <w:vAlign w:val="bottom"/>
            <w:tcBorders>
              <w:bottom w:val="single" w:sz="8" w:color="auto"/>
            </w:tcBorders>
            <w:shd w:val="clear" w:color="auto" w:fill="CCEBFF"/>
          </w:tcPr>
          <w:p>
            <w:pPr>
              <w:spacing w:after="0"/>
              <w:rPr>
                <w:sz w:val="19"/>
                <w:szCs w:val="19"/>
                <w:color w:val="auto"/>
              </w:rPr>
            </w:pPr>
          </w:p>
        </w:tc>
        <w:tc>
          <w:tcPr>
            <w:tcW w:w="104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7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$1,347</w:t>
            </w:r>
          </w:p>
        </w:tc>
        <w:tc>
          <w:tcPr>
            <w:tcW w:w="1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April 3, 2018</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1,287</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All Other</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Expert Packaging ("Expert")</w:t>
            </w:r>
          </w:p>
        </w:tc>
        <w:tc>
          <w:tcPr>
            <w:tcW w:w="15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vMerge w:val="continue"/>
          </w:tcPr>
          <w:p>
            <w:pPr>
              <w:spacing w:after="0"/>
              <w:rPr>
                <w:sz w:val="16"/>
                <w:szCs w:val="16"/>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5"/>
              </w:rPr>
              <w:t>A manufacturer and distributor of total packaging solutions in timber, crates, pallets, and skids.</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7"/>
              </w:rPr>
              <w:t>Expert had annual sales of approximately $3.6 million. The acquisition of Expert allows us to</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5640" w:type="dxa"/>
            <w:vAlign w:val="bottom"/>
            <w:tcBorders>
              <w:bottom w:val="single" w:sz="8" w:color="auto"/>
            </w:tcBorders>
            <w:gridSpan w:val="6"/>
          </w:tcPr>
          <w:p>
            <w:pPr>
              <w:spacing w:after="0"/>
              <w:rPr>
                <w:sz w:val="20"/>
                <w:szCs w:val="20"/>
                <w:color w:val="auto"/>
              </w:rPr>
            </w:pPr>
            <w:r>
              <w:rPr>
                <w:rFonts w:ascii="Arial" w:cs="Arial" w:eastAsia="Arial" w:hAnsi="Arial"/>
                <w:sz w:val="16"/>
                <w:szCs w:val="16"/>
                <w:color w:val="auto"/>
                <w:w w:val="97"/>
              </w:rPr>
              <w:t>make progress on our goal of becoming a global provider of packaging solutions.</w:t>
            </w:r>
          </w:p>
        </w:tc>
        <w:tc>
          <w:tcPr>
            <w:tcW w:w="7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00" w:type="dxa"/>
            <w:vAlign w:val="bottom"/>
            <w:tcBorders>
              <w:right w:val="single" w:sz="8" w:color="auto"/>
            </w:tcBorders>
            <w:shd w:val="clear" w:color="auto" w:fill="CCEBFF"/>
          </w:tcPr>
          <w:p>
            <w:pPr>
              <w:spacing w:after="0"/>
              <w:rPr>
                <w:sz w:val="16"/>
                <w:szCs w:val="16"/>
                <w:color w:val="auto"/>
              </w:rPr>
            </w:pPr>
          </w:p>
        </w:tc>
        <w:tc>
          <w:tcPr>
            <w:tcW w:w="1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$2,942</w:t>
            </w:r>
          </w:p>
        </w:tc>
        <w:tc>
          <w:tcPr>
            <w:tcW w:w="120" w:type="dxa"/>
            <w:vAlign w:val="bottom"/>
            <w:shd w:val="clear" w:color="auto" w:fill="CCEBFF"/>
          </w:tcPr>
          <w:p>
            <w:pPr>
              <w:spacing w:after="0"/>
              <w:rPr>
                <w:sz w:val="16"/>
                <w:szCs w:val="16"/>
                <w:color w:val="auto"/>
              </w:rPr>
            </w:pPr>
          </w:p>
        </w:tc>
        <w:tc>
          <w:tcPr>
            <w:tcW w:w="104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7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15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January 23, 2018</w:t>
            </w:r>
          </w:p>
        </w:tc>
        <w:tc>
          <w:tcPr>
            <w:tcW w:w="1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B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shd w:val="clear" w:color="auto" w:fill="CCEBFF"/>
          </w:tcPr>
          <w:p>
            <w:pPr>
              <w:jc w:val="right"/>
              <w:ind w:right="19"/>
              <w:spacing w:after="0"/>
              <w:rPr>
                <w:sz w:val="20"/>
                <w:szCs w:val="20"/>
                <w:color w:val="auto"/>
              </w:rPr>
            </w:pPr>
            <w:r>
              <w:rPr>
                <w:rFonts w:ascii="Arial" w:cs="Arial" w:eastAsia="Arial" w:hAnsi="Arial"/>
                <w:sz w:val="16"/>
                <w:szCs w:val="16"/>
                <w:color w:val="auto"/>
              </w:rPr>
              <w:t>850</w:t>
            </w:r>
          </w:p>
        </w:tc>
        <w:tc>
          <w:tcPr>
            <w:tcW w:w="140" w:type="dxa"/>
            <w:vAlign w:val="bottom"/>
            <w:shd w:val="clear" w:color="auto" w:fill="CCEB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2,092</w:t>
            </w:r>
          </w:p>
        </w:tc>
        <w:tc>
          <w:tcPr>
            <w:tcW w:w="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7"/>
              </w:rPr>
              <w:t>West</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2"/>
              </w:rPr>
              <w:t>Spinner Wood Products, LLC</w:t>
            </w:r>
          </w:p>
        </w:tc>
        <w:tc>
          <w:tcPr>
            <w:tcW w:w="1500" w:type="dxa"/>
            <w:vAlign w:val="bottom"/>
            <w:tcBorders>
              <w:bottom w:val="single" w:sz="8" w:color="auto"/>
              <w:right w:val="single" w:sz="8" w:color="auto"/>
            </w:tcBorders>
            <w:shd w:val="clear" w:color="auto" w:fill="CCEBFF"/>
          </w:tcPr>
          <w:p>
            <w:pPr>
              <w:spacing w:after="0"/>
              <w:rPr>
                <w:sz w:val="18"/>
                <w:szCs w:val="18"/>
                <w:color w:val="auto"/>
              </w:rPr>
            </w:pPr>
          </w:p>
        </w:tc>
        <w:tc>
          <w:tcPr>
            <w:tcW w:w="184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4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7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8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40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4"/>
              </w:rPr>
              <w:t>A manufacturer and distributor of agricultural bin and various industrial packaging. Spinner had</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5"/>
              </w:rPr>
              <w:t>("Spinner")</w:t>
            </w:r>
          </w:p>
        </w:tc>
        <w:tc>
          <w:tcPr>
            <w:tcW w:w="64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7"/>
              </w:rPr>
              <w:t>annual sales of approximately $8 million. The acquisition of Spinner allows us to expand our</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industrial packaging product offering and creates operating leverage by consolidating with other</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500" w:type="dxa"/>
            <w:vAlign w:val="bottom"/>
            <w:tcBorders>
              <w:bottom w:val="single" w:sz="8" w:color="auto"/>
              <w:right w:val="single" w:sz="8" w:color="CCEBFF"/>
            </w:tcBorders>
            <w:shd w:val="clear" w:color="auto" w:fill="CCEBFF"/>
          </w:tcPr>
          <w:p>
            <w:pPr>
              <w:spacing w:after="0"/>
              <w:rPr>
                <w:sz w:val="20"/>
                <w:szCs w:val="20"/>
                <w:color w:val="auto"/>
              </w:rPr>
            </w:pPr>
            <w:r>
              <w:rPr>
                <w:rFonts w:ascii="Arial" w:cs="Arial" w:eastAsia="Arial" w:hAnsi="Arial"/>
                <w:sz w:val="16"/>
                <w:szCs w:val="16"/>
                <w:color w:val="auto"/>
              </w:rPr>
              <w:t>regional operations.</w:t>
            </w:r>
          </w:p>
        </w:tc>
        <w:tc>
          <w:tcPr>
            <w:tcW w:w="1840" w:type="dxa"/>
            <w:vAlign w:val="bottom"/>
            <w:tcBorders>
              <w:bottom w:val="single" w:sz="8" w:color="auto"/>
              <w:right w:val="single" w:sz="8" w:color="CCEBFF"/>
            </w:tcBorders>
            <w:shd w:val="clear" w:color="auto" w:fill="CCEBFF"/>
          </w:tcPr>
          <w:p>
            <w:pPr>
              <w:spacing w:after="0"/>
              <w:rPr>
                <w:sz w:val="19"/>
                <w:szCs w:val="19"/>
                <w:color w:val="auto"/>
              </w:rPr>
            </w:pPr>
          </w:p>
        </w:tc>
        <w:tc>
          <w:tcPr>
            <w:tcW w:w="120" w:type="dxa"/>
            <w:vAlign w:val="bottom"/>
            <w:tcBorders>
              <w:bottom w:val="single" w:sz="8" w:color="auto"/>
            </w:tcBorders>
            <w:shd w:val="clear" w:color="auto" w:fill="CCEBFF"/>
          </w:tcPr>
          <w:p>
            <w:pPr>
              <w:spacing w:after="0"/>
              <w:rPr>
                <w:sz w:val="19"/>
                <w:szCs w:val="19"/>
                <w:color w:val="auto"/>
              </w:rPr>
            </w:pPr>
          </w:p>
        </w:tc>
        <w:tc>
          <w:tcPr>
            <w:tcW w:w="104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7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$5,784</w:t>
            </w:r>
          </w:p>
        </w:tc>
        <w:tc>
          <w:tcPr>
            <w:tcW w:w="1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January 15, 2018</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5,734</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North</w:t>
            </w:r>
          </w:p>
        </w:tc>
        <w:tc>
          <w:tcPr>
            <w:tcW w:w="0" w:type="dxa"/>
            <w:vAlign w:val="bottom"/>
          </w:tcPr>
          <w:p>
            <w:pPr>
              <w:spacing w:after="0"/>
              <w:rPr>
                <w:sz w:val="1"/>
                <w:szCs w:val="1"/>
                <w:color w:val="auto"/>
              </w:rPr>
            </w:pPr>
          </w:p>
        </w:tc>
      </w:tr>
      <w:tr>
        <w:trPr>
          <w:trHeight w:val="206"/>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Great Northern Lumber, LLC</w:t>
            </w:r>
          </w:p>
        </w:tc>
        <w:tc>
          <w:tcPr>
            <w:tcW w:w="15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680" w:type="dxa"/>
            <w:vAlign w:val="bottom"/>
            <w:tcBorders>
              <w:left w:val="single" w:sz="8" w:color="auto"/>
              <w:right w:val="single" w:sz="8" w:color="auto"/>
            </w:tcBorders>
            <w:vMerge w:val="continue"/>
          </w:tcPr>
          <w:p>
            <w:pPr>
              <w:spacing w:after="0"/>
              <w:rPr>
                <w:sz w:val="16"/>
                <w:szCs w:val="16"/>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9"/>
              </w:rPr>
              <w:t>A manufacturer of industrial products as well as serving the concrete forming market in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Chicago area. Great Northern Lumber had annual sales of approximately $25 million.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2"/>
              </w:rPr>
              <w:t>acquisition of Great Northern Lumber enables us to expand our concrete forming product offering</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and regional coverage.</w:t>
            </w:r>
          </w:p>
        </w:tc>
        <w:tc>
          <w:tcPr>
            <w:tcW w:w="1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intangible assets for each acquisition were finalized and allocated to their respective identifiable intangible asset and goodwill accounts during 2019, except for our Wolverine, Northwest, and Pallet USA acquisitions. In aggregate, acquisitions not consolidated with other operations contributed approximately $70.3 million in revenue and $4.1 million in operating profit during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6" w:name="page57"/>
    <w:bookmarkEnd w:id="56"/>
    <w:p>
      <w:pPr>
        <w:ind w:left="40"/>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right="40" w:firstLine="648"/>
        <w:spacing w:after="0" w:line="277" w:lineRule="auto"/>
        <w:rPr>
          <w:sz w:val="20"/>
          <w:szCs w:val="20"/>
          <w:color w:val="auto"/>
        </w:rPr>
      </w:pPr>
      <w:r>
        <w:rPr>
          <w:rFonts w:ascii="Arial" w:cs="Arial" w:eastAsia="Arial" w:hAnsi="Arial"/>
          <w:sz w:val="18"/>
          <w:szCs w:val="18"/>
          <w:color w:val="auto"/>
        </w:rPr>
        <w:t>At December 28, 2019, the amounts assigned to major intangible classes for the business combinations mentioned above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Intangibles -</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Compete</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Tradename</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Goodwill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0"/>
              </w:rPr>
              <w:t>Tax</w:t>
            </w:r>
          </w:p>
        </w:tc>
        <w:tc>
          <w:tcPr>
            <w:tcW w:w="0" w:type="dxa"/>
            <w:vAlign w:val="bottom"/>
          </w:tcPr>
          <w:p>
            <w:pPr>
              <w:spacing w:after="0"/>
              <w:rPr>
                <w:sz w:val="1"/>
                <w:szCs w:val="1"/>
                <w:color w:val="auto"/>
              </w:rPr>
            </w:pPr>
          </w:p>
        </w:tc>
      </w:tr>
      <w:tr>
        <w:trPr>
          <w:trHeight w:val="178"/>
        </w:trPr>
        <w:tc>
          <w:tcPr>
            <w:tcW w:w="484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Agreements</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Relationships</w:t>
            </w: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Deductible</w:t>
            </w:r>
          </w:p>
        </w:tc>
        <w:tc>
          <w:tcPr>
            <w:tcW w:w="0" w:type="dxa"/>
            <w:vAlign w:val="bottom"/>
          </w:tcPr>
          <w:p>
            <w:pPr>
              <w:spacing w:after="0"/>
              <w:rPr>
                <w:sz w:val="1"/>
                <w:szCs w:val="1"/>
                <w:color w:val="auto"/>
              </w:rPr>
            </w:pP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Pallet USA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$ 4,166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Northwest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4,500</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2,589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8,089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Wolverine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Pak-Rite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8,592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Pallet Place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NACC</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9,496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Fontana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Expert Packaging</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Spinner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Great Northern Lumber</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40"/>
        <w:spacing w:after="0"/>
        <w:rPr>
          <w:sz w:val="20"/>
          <w:szCs w:val="20"/>
          <w:color w:val="auto"/>
        </w:rPr>
      </w:pPr>
      <w:r>
        <w:rPr>
          <w:rFonts w:ascii="Arial" w:cs="Arial" w:eastAsia="Arial" w:hAnsi="Arial"/>
          <w:sz w:val="14"/>
          <w:szCs w:val="14"/>
          <w:color w:val="auto"/>
        </w:rPr>
        <w:t>*(estimate)</w:t>
      </w:r>
    </w:p>
    <w:p>
      <w:pPr>
        <w:spacing w:after="0" w:line="141" w:lineRule="exact"/>
        <w:rPr>
          <w:sz w:val="20"/>
          <w:szCs w:val="20"/>
          <w:color w:val="auto"/>
        </w:rPr>
      </w:pPr>
    </w:p>
    <w:p>
      <w:pPr>
        <w:ind w:left="40" w:right="40" w:firstLine="648"/>
        <w:spacing w:after="0" w:line="277" w:lineRule="auto"/>
        <w:rPr>
          <w:sz w:val="20"/>
          <w:szCs w:val="20"/>
          <w:color w:val="auto"/>
        </w:rPr>
      </w:pPr>
      <w:r>
        <w:rPr>
          <w:rFonts w:ascii="Arial" w:cs="Arial" w:eastAsia="Arial" w:hAnsi="Arial"/>
          <w:sz w:val="18"/>
          <w:szCs w:val="18"/>
          <w:color w:val="auto"/>
        </w:rPr>
        <w:t>The business combinations mentioned above were not significant to our operating results individually or in aggregate, and thus pro forma results for 2019 and 2018 are not presented.</w:t>
      </w:r>
    </w:p>
    <w:p>
      <w:pPr>
        <w:spacing w:after="0" w:line="166" w:lineRule="exact"/>
        <w:rPr>
          <w:sz w:val="20"/>
          <w:szCs w:val="20"/>
          <w:color w:val="auto"/>
        </w:rPr>
      </w:pPr>
    </w:p>
    <w:p>
      <w:pPr>
        <w:ind w:left="700" w:hanging="651"/>
        <w:spacing w:after="0"/>
        <w:tabs>
          <w:tab w:leader="none" w:pos="7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229" w:lineRule="exact"/>
        <w:rPr>
          <w:sz w:val="20"/>
          <w:szCs w:val="20"/>
          <w:color w:val="auto"/>
        </w:rPr>
      </w:pPr>
    </w:p>
    <w:p>
      <w:pPr>
        <w:ind w:left="40" w:right="40" w:firstLine="648"/>
        <w:spacing w:after="0" w:line="277" w:lineRule="auto"/>
        <w:rPr>
          <w:sz w:val="20"/>
          <w:szCs w:val="20"/>
          <w:color w:val="auto"/>
        </w:rPr>
      </w:pPr>
      <w:r>
        <w:rPr>
          <w:rFonts w:ascii="Arial" w:cs="Arial" w:eastAsia="Arial" w:hAnsi="Arial"/>
          <w:sz w:val="18"/>
          <w:szCs w:val="18"/>
          <w:color w:val="auto"/>
        </w:rPr>
        <w:t>The changes in the net carrying amount of goodwill by reporting segment for the years ended December 28, 2019 and December 29, 2018, are as follows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North</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South</w:t>
            </w: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West</w:t>
            </w: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All Other</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30, 2017</w:t>
            </w: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87,730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212,644</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2018 Acquisitions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4,292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8,996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13,288</w:t>
            </w:r>
          </w:p>
        </w:tc>
      </w:tr>
      <w:tr>
        <w:trPr>
          <w:trHeight w:val="236"/>
        </w:trPr>
        <w:tc>
          <w:tcPr>
            <w:tcW w:w="20" w:type="dxa"/>
            <w:vAlign w:val="bottom"/>
          </w:tcPr>
          <w:p>
            <w:pPr>
              <w:spacing w:after="0"/>
              <w:rPr>
                <w:sz w:val="20"/>
                <w:szCs w:val="20"/>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Net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(1,815)</w:t>
            </w:r>
          </w:p>
        </w:tc>
      </w:tr>
      <w:tr>
        <w:trPr>
          <w:trHeight w:val="203"/>
        </w:trPr>
        <w:tc>
          <w:tcPr>
            <w:tcW w:w="20" w:type="dxa"/>
            <w:vAlign w:val="bottom"/>
          </w:tcPr>
          <w:p>
            <w:pPr>
              <w:spacing w:after="0"/>
              <w:rPr>
                <w:sz w:val="17"/>
                <w:szCs w:val="17"/>
                <w:color w:val="auto"/>
              </w:rPr>
            </w:pPr>
          </w:p>
        </w:tc>
        <w:tc>
          <w:tcPr>
            <w:tcW w:w="3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as of December 29, 2018</w:t>
            </w:r>
          </w:p>
        </w:tc>
        <w:tc>
          <w:tcPr>
            <w:tcW w:w="118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55,054</w:t>
            </w:r>
          </w:p>
        </w:tc>
        <w:tc>
          <w:tcPr>
            <w:tcW w:w="14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55,734</w:t>
            </w:r>
          </w:p>
        </w:tc>
        <w:tc>
          <w:tcPr>
            <w:tcW w:w="16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87,730</w:t>
            </w:r>
          </w:p>
        </w:tc>
        <w:tc>
          <w:tcPr>
            <w:tcW w:w="16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25,599</w:t>
            </w: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224,117</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2019 Acquisitions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5,219</w:t>
            </w: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Foreign Exchange, Net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28, 2019</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$ 60,946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$ 52,654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$ 90,319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$ 25,617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$ 229,536</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40" w:firstLine="648"/>
        <w:spacing w:after="0" w:line="308" w:lineRule="auto"/>
        <w:rPr>
          <w:sz w:val="20"/>
          <w:szCs w:val="20"/>
          <w:color w:val="auto"/>
        </w:rPr>
      </w:pPr>
      <w:r>
        <w:rPr>
          <w:rFonts w:ascii="Arial" w:cs="Arial" w:eastAsia="Arial" w:hAnsi="Arial"/>
          <w:sz w:val="17"/>
          <w:szCs w:val="17"/>
          <w:color w:val="auto"/>
        </w:rPr>
        <w:t>Indefinite-lived intangible assets totaled $7.4 million as of December 28, 2019 and December 29, 2018 related to the idX, International, and Consumer Products reporting units which is included in the All Other reportable segment.</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amounts were included in other amortizable intangible assets, net as of December 28, 2019 and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29, 2018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7"/>
              </w:rPr>
              <w:t>Assets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20"/>
              <w:spacing w:after="0" w:line="126"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Net Value</w:t>
            </w:r>
          </w:p>
        </w:tc>
        <w:tc>
          <w:tcPr>
            <w:tcW w:w="160" w:type="dxa"/>
            <w:vAlign w:val="bottom"/>
          </w:tcPr>
          <w:p>
            <w:pPr>
              <w:spacing w:after="0"/>
              <w:rPr>
                <w:sz w:val="10"/>
                <w:szCs w:val="10"/>
                <w:color w:val="auto"/>
              </w:rPr>
            </w:pPr>
          </w:p>
        </w:tc>
        <w:tc>
          <w:tcPr>
            <w:tcW w:w="7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0"/>
                <w:szCs w:val="10"/>
                <w:color w:val="auto"/>
              </w:rPr>
            </w:pPr>
          </w:p>
        </w:tc>
        <w:tc>
          <w:tcPr>
            <w:tcW w:w="84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$ 10,232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48,084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(10,079)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38,005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40,307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Patents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w:t>
            </w: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3"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66,645</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(18,332)</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48,313</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$ 58,799</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(17,313)</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41,486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gridSpan w:val="3"/>
          </w:tcPr>
          <w:p>
            <w:pPr>
              <w:jc w:val="right"/>
              <w:ind w:right="59"/>
              <w:spacing w:after="0"/>
              <w:rPr>
                <w:sz w:val="20"/>
                <w:szCs w:val="20"/>
                <w:color w:val="auto"/>
              </w:rPr>
            </w:pPr>
            <w:r>
              <w:rPr>
                <w:rFonts w:ascii="Arial" w:cs="Arial" w:eastAsia="Arial" w:hAnsi="Arial"/>
                <w:sz w:val="18"/>
                <w:szCs w:val="18"/>
                <w:color w:val="auto"/>
                <w:w w:val="89"/>
              </w:rPr>
              <w:t>38</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40"/>
          </w:cols>
          <w:pgMar w:left="1380" w:top="517" w:right="1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is computed principally by the straight-line method over the estimated useful lives of the intangible assets as follows: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 Type</w:t>
            </w: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Estimated Useful Life</w:t>
            </w:r>
          </w:p>
        </w:tc>
        <w:tc>
          <w:tcPr>
            <w:tcW w:w="132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78"/>
        </w:trPr>
        <w:tc>
          <w:tcPr>
            <w:tcW w:w="440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16"/>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to 15 years</w:t>
            </w: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 years</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Customer relationship</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 to 15 years</w:t>
            </w:r>
          </w:p>
        </w:tc>
        <w:tc>
          <w:tcPr>
            <w:tcW w:w="1320" w:type="dxa"/>
            <w:vAlign w:val="bottom"/>
          </w:tcPr>
          <w:p>
            <w:pPr>
              <w:jc w:val="right"/>
              <w:spacing w:after="0"/>
              <w:rPr>
                <w:sz w:val="20"/>
                <w:szCs w:val="20"/>
                <w:color w:val="auto"/>
              </w:rPr>
            </w:pPr>
            <w:r>
              <w:rPr>
                <w:rFonts w:ascii="Arial" w:cs="Arial" w:eastAsia="Arial" w:hAnsi="Arial"/>
                <w:sz w:val="18"/>
                <w:szCs w:val="18"/>
                <w:color w:val="auto"/>
              </w:rPr>
              <w:t>10.5 years</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Tradename (amortizable)</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 to 15 years</w:t>
            </w:r>
          </w:p>
        </w:tc>
        <w:tc>
          <w:tcPr>
            <w:tcW w:w="1320" w:type="dxa"/>
            <w:vAlign w:val="bottom"/>
          </w:tcPr>
          <w:p>
            <w:pPr>
              <w:jc w:val="right"/>
              <w:spacing w:after="0"/>
              <w:rPr>
                <w:sz w:val="20"/>
                <w:szCs w:val="20"/>
                <w:color w:val="auto"/>
              </w:rPr>
            </w:pPr>
            <w:r>
              <w:rPr>
                <w:rFonts w:ascii="Arial" w:cs="Arial" w:eastAsia="Arial" w:hAnsi="Arial"/>
                <w:sz w:val="18"/>
                <w:szCs w:val="18"/>
                <w:color w:val="auto"/>
              </w:rPr>
              <w:t>11.5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Amortization expense of intangibles totaled $6.3 million, $6.4 million and $4.9 million in 2019, 2018 and 2017, respectively. The estimated amortization expense for intangibles for each of the five succeeding fiscal years is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9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2021</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5,572</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2023</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4,497</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23,134</w:t>
            </w: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48,313</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hanging="651"/>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June 14, 2018, we entered into an unsecured Note Purchase Agreement (the "Agreement") under which we issued our 4.20% Series 2018 C Senior Notes, due June 14, 2028, in the aggregate principal amount of $40 million and our 4.27% Series 2018 D Senior Notes, due June 14, 2030, in the aggregate principal amount of $35 million. Proceeds from the sale of the Series C Senior Notes and Series D Senior Notes were used to pay down our revolving credit facility.</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December 17, 2012, we entered into an unsecured Note Purchase Agreement (the "Agreement") under which we issued our 3.89% Series 2012 A Senior Notes, due December 17, 2022, in the aggregate principal amount of $35 million and our 3.98% Series 2012 B Senior Notes, due December 17, 2024, in the aggregate principal amount of $40 million. Proceeds from the sale of the Series A Senior Notes and Series B Senior Notes were used to repay amounts due on our existing Series 2002-A Senior Notes, Tranche B totaling $40 million and our revolving credit facility.</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1, 2018, we entered into a five-year, $375 million unsecured revolving credit facility with a syndicate of U.S. banks led by JPMorgan Chase Bank, N.A., as administrative agent and Wells Fargo Bank, N.A., as syndication agent. The facilities include up to $40 million which may be advanced in the form of letters of credit, and up to $100 million (U.S. dollar equivalent) which may be advanced in Canadian dollars, Australian dollars, pounds Sterling, Euros and such other foreign currencies as may subsequently be agreed upon among the parties. This facility replaced our $295 million unsecured revolving credit facility. Cash borrowings are charged interest based upon an index selected by the Company, plus a margin that is determined based upon the index selected and upon the financial performance of the Company and certain of its subsidiaries. The Company is charged a facility fee on the entire amount of the lending commitment, at a per annum rate ranging from 12.5 to 30.0 basis points, also determined based upon the Company’s performance. The facility fee is payable quarterly in arrears.</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Outstanding letters of credit extended on our behalf on December 28, 2019 and December 29, 2018 aggregated $37.3 million and $30.3 million; respectively, which includes approximately $9.8 million related to industrial development revenue bonds. The Company had an outstanding balance of $4.0 million and $42.5 million, which includes foreign subsidiary borrowings, on its revolver at December 28, 2019, and December 29, 2018, respectively. After considering letters of credit, the Company had $361.2 million and $322.7 million in remaining availability on its revolver on December 28, 2019, and December 29, 2018, respectively. Additionally, we have $150 million in availability under a "shelf agreement" for long term debt with a current lender. Letters of credit have one year terms and include an automatic renewal clause. The letters of credit related to industrial development revenue bonds are charged an annual interest rate of 112.5</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basis points, based upon our financial performance. The letters of credit related to workers’ compensation are charged an annual interest rate of 75 basis points.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Long-term debt obligations are summarized as follows on December 28, 2019 and December 29, 2018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w w:val="96"/>
              </w:rPr>
              <w:t>Series 2018 Senior Notes C, due on June 14, 2028, interest payable semi-annually at 4.20%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7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w w:val="95"/>
              </w:rPr>
              <w:t>Series 2018 Senior Notes D, due on June 14, 2030, interest payable semi-annually at 4.27%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spacing w:after="0" w:line="201" w:lineRule="exact"/>
              <w:rPr>
                <w:sz w:val="20"/>
                <w:szCs w:val="20"/>
                <w:color w:val="auto"/>
              </w:rPr>
            </w:pPr>
            <w:r>
              <w:rPr>
                <w:rFonts w:ascii="Arial" w:cs="Arial" w:eastAsia="Arial" w:hAnsi="Arial"/>
                <w:sz w:val="18"/>
                <w:szCs w:val="18"/>
                <w:color w:val="auto"/>
                <w:w w:val="91"/>
              </w:rPr>
              <w:t>Series 2012 Senior Notes Tranche A, due on December 17, 2022, interest payable semi-annually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at 3.89%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2012 Senior Notes Tranche B, due on December 17, 2024, interest payable semi-annually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at 3.98%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spacing w:after="0" w:line="201" w:lineRule="exact"/>
              <w:rPr>
                <w:sz w:val="20"/>
                <w:szCs w:val="20"/>
                <w:color w:val="auto"/>
              </w:rPr>
            </w:pPr>
            <w:r>
              <w:rPr>
                <w:rFonts w:ascii="Arial" w:cs="Arial" w:eastAsia="Arial" w:hAnsi="Arial"/>
                <w:sz w:val="18"/>
                <w:szCs w:val="18"/>
                <w:color w:val="auto"/>
              </w:rPr>
              <w:t>Revolving credit facility totaling $375 million due on November 1, 2023, interest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w w:val="94"/>
              </w:rPr>
              <w:t>payable monthly at a floating rate (2.54% on December 28, 2019 and 3.39% on December 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jc w:val="right"/>
              <w:ind w:right="6590"/>
              <w:spacing w:after="0"/>
              <w:rPr>
                <w:sz w:val="20"/>
                <w:szCs w:val="20"/>
                <w:color w:val="auto"/>
              </w:rPr>
            </w:pPr>
            <w:r>
              <w:rPr>
                <w:rFonts w:ascii="Arial" w:cs="Arial" w:eastAsia="Arial" w:hAnsi="Arial"/>
                <w:sz w:val="18"/>
                <w:szCs w:val="18"/>
                <w:color w:val="auto"/>
                <w:w w:val="86"/>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Foreign subsidiary borrowings under revolving credit facility, due on November 1, 2023, interest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w w:val="94"/>
              </w:rPr>
              <w:t>payable monthly at a floating rate (1.88% on December 28, 2019 and 2.94% on December 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shd w:val="clear" w:color="auto" w:fill="CCEEFF"/>
          </w:tcPr>
          <w:p>
            <w:pPr>
              <w:jc w:val="right"/>
              <w:ind w:right="6590"/>
              <w:spacing w:after="0"/>
              <w:rPr>
                <w:sz w:val="20"/>
                <w:szCs w:val="20"/>
                <w:color w:val="auto"/>
              </w:rPr>
            </w:pPr>
            <w:r>
              <w:rPr>
                <w:rFonts w:ascii="Arial" w:cs="Arial" w:eastAsia="Arial" w:hAnsi="Arial"/>
                <w:sz w:val="18"/>
                <w:szCs w:val="18"/>
                <w:color w:val="auto"/>
                <w:w w:val="82"/>
              </w:rPr>
              <w:t>2018)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spacing w:after="0" w:line="201" w:lineRule="exact"/>
              <w:rPr>
                <w:sz w:val="20"/>
                <w:szCs w:val="20"/>
                <w:color w:val="auto"/>
              </w:rPr>
            </w:pPr>
            <w:r>
              <w:rPr>
                <w:rFonts w:ascii="Arial" w:cs="Arial" w:eastAsia="Arial" w:hAnsi="Arial"/>
                <w:sz w:val="18"/>
                <w:szCs w:val="18"/>
                <w:color w:val="auto"/>
              </w:rPr>
              <w:t>Series 1999 Industrial Development Revenue Bonds, due on August 1, 2029, interest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w w:val="94"/>
              </w:rPr>
              <w:t>payable monthly at a floating rate (1.14% on December 28, 2019 and 1.94% on December 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jc w:val="right"/>
              <w:ind w:right="6590"/>
              <w:spacing w:after="0"/>
              <w:rPr>
                <w:sz w:val="20"/>
                <w:szCs w:val="20"/>
                <w:color w:val="auto"/>
              </w:rPr>
            </w:pPr>
            <w:r>
              <w:rPr>
                <w:rFonts w:ascii="Arial" w:cs="Arial" w:eastAsia="Arial" w:hAnsi="Arial"/>
                <w:sz w:val="18"/>
                <w:szCs w:val="18"/>
                <w:color w:val="auto"/>
                <w:w w:val="86"/>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2000 Industrial Development Revenue Bonds, due on October 1, 2020, interest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w w:val="94"/>
              </w:rPr>
              <w:t>payable monthly at a floating rate (1.57% on December 28, 2019 and 2.00% on December 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shd w:val="clear" w:color="auto" w:fill="CCEEFF"/>
          </w:tcPr>
          <w:p>
            <w:pPr>
              <w:jc w:val="right"/>
              <w:ind w:right="6590"/>
              <w:spacing w:after="0"/>
              <w:rPr>
                <w:sz w:val="20"/>
                <w:szCs w:val="20"/>
                <w:color w:val="auto"/>
              </w:rPr>
            </w:pPr>
            <w:r>
              <w:rPr>
                <w:rFonts w:ascii="Arial" w:cs="Arial" w:eastAsia="Arial" w:hAnsi="Arial"/>
                <w:sz w:val="18"/>
                <w:szCs w:val="18"/>
                <w:color w:val="auto"/>
                <w:w w:val="82"/>
              </w:rPr>
              <w:t>2018)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spacing w:after="0" w:line="201" w:lineRule="exact"/>
              <w:rPr>
                <w:sz w:val="20"/>
                <w:szCs w:val="20"/>
                <w:color w:val="auto"/>
              </w:rPr>
            </w:pPr>
            <w:r>
              <w:rPr>
                <w:rFonts w:ascii="Arial" w:cs="Arial" w:eastAsia="Arial" w:hAnsi="Arial"/>
                <w:sz w:val="18"/>
                <w:szCs w:val="18"/>
                <w:color w:val="auto"/>
              </w:rPr>
              <w:t>Series 2002 Industrial Development Revenue Bonds, due on December 1, 2022, interest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w w:val="94"/>
              </w:rPr>
              <w:t>payable monthly at a floating rate (1.79% on December 28, 2019 and 1.99% on December 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jc w:val="right"/>
              <w:ind w:right="6590"/>
              <w:spacing w:after="0"/>
              <w:rPr>
                <w:sz w:val="20"/>
                <w:szCs w:val="20"/>
                <w:color w:val="auto"/>
              </w:rPr>
            </w:pPr>
            <w:r>
              <w:rPr>
                <w:rFonts w:ascii="Arial" w:cs="Arial" w:eastAsia="Arial" w:hAnsi="Arial"/>
                <w:sz w:val="18"/>
                <w:szCs w:val="18"/>
                <w:color w:val="auto"/>
                <w:w w:val="86"/>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leases and foreign affiliate debt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163,850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debt issuance costs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160,867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Financial covenants on the unsecured revolving credit facility and unsecured notes include minimum interest coverage tests and a maximum leverage ratio. The agreements also restrict the amount of additional indebtedness we may incur and the amount of assets which may be sold among other industry standard covenants. We were within all of our lending requirements on December 28, 2019 and December 29, 2018.</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28, 2019, the principal maturities of long-term debt and capital lease obligations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8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2021</w:t>
            </w: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38,700</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2023</w:t>
            </w: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3,976</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78,300</w:t>
            </w: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163,850</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On December 28, 2019, the estimated fair value of our long-term debt, including the current portion, was $170.8 million, which was $7.0 million more than the carrying value. The estimated fair value is based on rates anticipated to be available to us for debt with similar terms and maturities. We consider the valuations of our long-term debt, including the</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current portion, to be Level 2 liabilities which rely on quoted prices in markets that are not active or observable inputs over the full term of the liability.</w:t>
      </w:r>
    </w:p>
    <w:p>
      <w:pPr>
        <w:spacing w:after="0" w:line="166" w:lineRule="exact"/>
        <w:rPr>
          <w:sz w:val="20"/>
          <w:szCs w:val="20"/>
          <w:color w:val="auto"/>
        </w:rPr>
      </w:pPr>
    </w:p>
    <w:p>
      <w:pPr>
        <w:ind w:left="660" w:hanging="651"/>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February 2016, the Financial Accounting Standards Board (FASB) issued Accounting Standard Update (ASU) No. 2016-02, “Leases (Topic 842)” (ASU 2016-02). Under ASU 2016-02, an entity will be required to recognize assets and liabilities for the rights and obligations created by leases on the entity’s balance sheet for both finance and operating leases. For leases with a term of 12 months or less, an entity can elect to not recognize lease assets and lease liabilities and expense the lease over a straight-line basis for the term of the lease. ASU 2016-02 requires new disclosures that depict the amount, timing, and uncertainty of cash flows pertaining to an entity’s leases. Companies are required to adopt the new standard for annual and interim periods beginning after December 15, 2018. Early adoption of ASU 2016-02 is permitted. The FASB decided to amend certain aspects of its new leasing standard in an attempt to provide a relief from implementation costs. Specifically, entities may elect not to restate their comparative periods in the period of adoption when transitioning to the new standard.</w:t>
      </w:r>
    </w:p>
    <w:p>
      <w:pPr>
        <w:spacing w:after="0" w:line="178" w:lineRule="exact"/>
        <w:rPr>
          <w:sz w:val="20"/>
          <w:szCs w:val="20"/>
          <w:color w:val="auto"/>
        </w:rPr>
      </w:pPr>
    </w:p>
    <w:p>
      <w:pPr>
        <w:jc w:val="both"/>
        <w:ind w:firstLine="492"/>
        <w:spacing w:after="0" w:line="264" w:lineRule="auto"/>
        <w:rPr>
          <w:sz w:val="20"/>
          <w:szCs w:val="20"/>
          <w:color w:val="auto"/>
        </w:rPr>
      </w:pPr>
      <w:r>
        <w:rPr>
          <w:rFonts w:ascii="Arial" w:cs="Arial" w:eastAsia="Arial" w:hAnsi="Arial"/>
          <w:sz w:val="18"/>
          <w:szCs w:val="18"/>
          <w:color w:val="auto"/>
        </w:rPr>
        <w:t>Upon adoption of ASC 842 on December 30, 2018, the Company recognized right-of-use assets and lease liabilities of approximately $69 million. As a result of the adoption of ASC 842, there was no cumulative effect adjustment to beginning retained earnings.</w:t>
      </w:r>
    </w:p>
    <w:p>
      <w:pPr>
        <w:spacing w:after="0" w:line="181" w:lineRule="exact"/>
        <w:rPr>
          <w:sz w:val="20"/>
          <w:szCs w:val="20"/>
          <w:color w:val="auto"/>
        </w:rPr>
      </w:pPr>
    </w:p>
    <w:p>
      <w:pPr>
        <w:jc w:val="both"/>
        <w:ind w:firstLine="492"/>
        <w:spacing w:after="0" w:line="291" w:lineRule="auto"/>
        <w:rPr>
          <w:sz w:val="20"/>
          <w:szCs w:val="20"/>
          <w:color w:val="auto"/>
        </w:rPr>
      </w:pPr>
      <w:r>
        <w:rPr>
          <w:rFonts w:ascii="Arial" w:cs="Arial" w:eastAsia="Arial" w:hAnsi="Arial"/>
          <w:sz w:val="16"/>
          <w:szCs w:val="16"/>
          <w:color w:val="auto"/>
        </w:rPr>
        <w:t>We elected the package of practical expedients whereby we are not required to 1) reassess whether any expired or existing contracts contain leases, 2) reassess the lease classification of existing leases, and 3) reassess initial direct costs for any existing leases. Additionally, we did not elect the hindsight practical expedient to determine the reasonably certain lease term for existing leases. We did elect to account for lease and related non-lease components as a single lease component. We elected to not recognize leases with an original term of 12 months or less as they are not significant to our consolidated balance sheet and income statement. We have assessed and updated our business processes, systems, and controls to ensure compliance with the new accounting and disclosure requirements in accordance with the new standard.</w:t>
      </w:r>
    </w:p>
    <w:p>
      <w:pPr>
        <w:spacing w:after="0" w:line="167"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auto"/>
        </w:rPr>
        <w:t>We determine if an arrangement is a lease at inception. We lease certain real estate under non-cancelable operating lease agreements with typical original terms ranging from one to ten years. We are required to pay real estate taxes and other occupancy costs under certain leases, which are variable in nature and not included in the right of use asset or lease liability. Certain leases carry renewal options of five to fifteen years. We believe that future leases will likely have similar terms. We also lease motor vehicles, equipment, and an aircraft under operating lease agreements for periods of one to ten years. We do not typically enter into leases with residual value guarantees. There were no restrictions or covenants imposed by any lease agreements.</w:t>
      </w:r>
    </w:p>
    <w:p>
      <w:pPr>
        <w:spacing w:after="0" w:line="189" w:lineRule="exact"/>
        <w:rPr>
          <w:sz w:val="20"/>
          <w:szCs w:val="20"/>
          <w:color w:val="auto"/>
        </w:rPr>
      </w:pPr>
    </w:p>
    <w:p>
      <w:pPr>
        <w:jc w:val="both"/>
        <w:ind w:right="20" w:firstLine="492"/>
        <w:spacing w:after="0" w:line="277" w:lineRule="auto"/>
        <w:rPr>
          <w:sz w:val="20"/>
          <w:szCs w:val="20"/>
          <w:color w:val="auto"/>
        </w:rPr>
      </w:pPr>
      <w:r>
        <w:rPr>
          <w:rFonts w:ascii="Arial" w:cs="Arial" w:eastAsia="Arial" w:hAnsi="Arial"/>
          <w:sz w:val="18"/>
          <w:szCs w:val="18"/>
          <w:color w:val="auto"/>
        </w:rPr>
        <w:t>We believe finance leases have no significant impact to our consolidated balance sheet and income statement as of December 28, 2019.</w:t>
      </w:r>
    </w:p>
    <w:p>
      <w:pPr>
        <w:spacing w:after="0" w:line="170" w:lineRule="exact"/>
        <w:rPr>
          <w:sz w:val="20"/>
          <w:szCs w:val="20"/>
          <w:color w:val="auto"/>
        </w:rPr>
      </w:pPr>
    </w:p>
    <w:p>
      <w:pPr>
        <w:jc w:val="both"/>
        <w:ind w:firstLine="492"/>
        <w:spacing w:after="0" w:line="277" w:lineRule="auto"/>
        <w:rPr>
          <w:sz w:val="20"/>
          <w:szCs w:val="20"/>
          <w:color w:val="auto"/>
        </w:rPr>
      </w:pPr>
      <w:r>
        <w:rPr>
          <w:rFonts w:ascii="Arial" w:cs="Arial" w:eastAsia="Arial" w:hAnsi="Arial"/>
          <w:sz w:val="18"/>
          <w:szCs w:val="18"/>
          <w:color w:val="auto"/>
        </w:rPr>
        <w:t>As of December 28, 2019, we have no leases that have not yet commenced that would significantly impact the rights, obligations, and financial position of the Company.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lease transactions between related parties as of December 28, 2019.</w:t>
      </w:r>
    </w:p>
    <w:p>
      <w:pPr>
        <w:spacing w:after="0" w:line="225"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The rates implicit in our leases are primarily not readily available. To determine the discount rate used to present value the lease payments, the Company utilized the 7-year treasury note rate plus a blend of rate spreads associated with our revolver and 10-12-year senior notes along with estimated spreads based on current market conditions. We feel the determined rate is a reasonable representation of our lease population.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Lease costs under non-cancelable operating leases on December 28, 2019 are as follows (in thousands):</w:t>
      </w:r>
    </w:p>
    <w:p>
      <w:pPr>
        <w:spacing w:after="0" w:line="230" w:lineRule="exact"/>
        <w:rPr>
          <w:sz w:val="20"/>
          <w:szCs w:val="20"/>
          <w:color w:val="auto"/>
        </w:rPr>
      </w:pPr>
    </w:p>
    <w:p>
      <w:pPr>
        <w:jc w:val="center"/>
        <w:ind w:left="8140"/>
        <w:spacing w:after="0"/>
        <w:rPr>
          <w:sz w:val="20"/>
          <w:szCs w:val="20"/>
          <w:color w:val="auto"/>
        </w:rPr>
      </w:pPr>
      <w:r>
        <w:rPr>
          <w:rFonts w:ascii="Arial" w:cs="Arial" w:eastAsia="Arial" w:hAnsi="Arial"/>
          <w:sz w:val="13"/>
          <w:szCs w:val="13"/>
          <w:b w:val="1"/>
          <w:bCs w:val="1"/>
          <w:color w:val="auto"/>
        </w:rPr>
        <w:t>Operating</w:t>
      </w:r>
    </w:p>
    <w:p>
      <w:pPr>
        <w:spacing w:after="0" w:line="15"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4611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5746115" cy="15430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cost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Short-term lease cost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574611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5746115"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74611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5746115" cy="1631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ind w:left="361" w:hanging="361"/>
        <w:spacing w:after="0"/>
        <w:tabs>
          <w:tab w:leader="none" w:pos="3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20,771</w:t>
      </w:r>
    </w:p>
    <w:p>
      <w:pPr>
        <w:spacing w:after="0" w:line="21" w:lineRule="exact"/>
        <w:rPr>
          <w:rFonts w:ascii="Arial" w:cs="Arial" w:eastAsia="Arial" w:hAnsi="Arial"/>
          <w:sz w:val="18"/>
          <w:szCs w:val="18"/>
          <w:color w:val="auto"/>
        </w:rPr>
      </w:pPr>
    </w:p>
    <w:p>
      <w:pPr>
        <w:ind w:left="581"/>
        <w:spacing w:after="0"/>
        <w:rPr>
          <w:rFonts w:ascii="Arial" w:cs="Arial" w:eastAsia="Arial" w:hAnsi="Arial"/>
          <w:sz w:val="18"/>
          <w:szCs w:val="18"/>
          <w:color w:val="auto"/>
        </w:rPr>
      </w:pPr>
      <w:r>
        <w:rPr>
          <w:rFonts w:ascii="Arial" w:cs="Arial" w:eastAsia="Arial" w:hAnsi="Arial"/>
          <w:sz w:val="18"/>
          <w:szCs w:val="18"/>
          <w:color w:val="auto"/>
        </w:rPr>
        <w:t>110</w:t>
      </w:r>
    </w:p>
    <w:p>
      <w:pPr>
        <w:spacing w:after="0" w:line="9" w:lineRule="exact"/>
        <w:rPr>
          <w:sz w:val="20"/>
          <w:szCs w:val="20"/>
          <w:color w:val="auto"/>
        </w:rPr>
      </w:pPr>
    </w:p>
    <w:p>
      <w:pPr>
        <w:ind w:left="441"/>
        <w:spacing w:after="0"/>
        <w:rPr>
          <w:sz w:val="20"/>
          <w:szCs w:val="20"/>
          <w:color w:val="auto"/>
        </w:rPr>
      </w:pPr>
      <w:r>
        <w:rPr>
          <w:rFonts w:ascii="Arial" w:cs="Arial" w:eastAsia="Arial" w:hAnsi="Arial"/>
          <w:sz w:val="18"/>
          <w:szCs w:val="18"/>
          <w:color w:val="auto"/>
        </w:rPr>
        <w:t>1,484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(676)</w:t>
      </w:r>
    </w:p>
    <w:p>
      <w:pPr>
        <w:spacing w:after="0" w:line="22" w:lineRule="exact"/>
        <w:rPr>
          <w:sz w:val="20"/>
          <w:szCs w:val="20"/>
          <w:color w:val="auto"/>
        </w:rPr>
      </w:pPr>
    </w:p>
    <w:p>
      <w:pPr>
        <w:ind w:left="361" w:hanging="361"/>
        <w:spacing w:after="0"/>
        <w:tabs>
          <w:tab w:leader="none" w:pos="361" w:val="left"/>
        </w:tabs>
        <w:numPr>
          <w:ilvl w:val="0"/>
          <w:numId w:val="5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21,689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5829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419" w:space="720"/>
            <w:col w:w="921"/>
          </w:cols>
          <w:pgMar w:left="1420" w:top="517" w:right="1419" w:bottom="1440" w:gutter="0" w:footer="0" w:header="0"/>
          <w:type w:val="continuous"/>
        </w:sectPr>
      </w:pPr>
    </w:p>
    <w:p>
      <w:pPr>
        <w:spacing w:after="0" w:line="52" w:lineRule="exact"/>
        <w:rPr>
          <w:sz w:val="20"/>
          <w:szCs w:val="20"/>
          <w:color w:val="auto"/>
        </w:rPr>
      </w:pPr>
    </w:p>
    <w:p>
      <w:pPr>
        <w:jc w:val="both"/>
        <w:ind w:right="400" w:firstLine="492"/>
        <w:spacing w:after="0" w:line="264" w:lineRule="auto"/>
        <w:rPr>
          <w:sz w:val="20"/>
          <w:szCs w:val="20"/>
          <w:color w:val="auto"/>
        </w:rPr>
      </w:pPr>
      <w:r>
        <w:rPr>
          <w:rFonts w:ascii="Arial" w:cs="Arial" w:eastAsia="Arial" w:hAnsi="Arial"/>
          <w:sz w:val="18"/>
          <w:szCs w:val="18"/>
          <w:color w:val="auto"/>
        </w:rPr>
        <w:t>The amounts paid for operating leases, included in the measurement of lease liabilities, were $20 million for year ended December 28, 2019. In addition, right-of-use assets obtained in exchange for new operating leases liabilities were approximately $33.4 million for year ended December 29, 2019.</w:t>
      </w:r>
    </w:p>
    <w:p>
      <w:pPr>
        <w:spacing w:after="0" w:line="181" w:lineRule="exact"/>
        <w:rPr>
          <w:sz w:val="20"/>
          <w:szCs w:val="20"/>
          <w:color w:val="auto"/>
        </w:rPr>
      </w:pPr>
    </w:p>
    <w:p>
      <w:pPr>
        <w:jc w:val="both"/>
        <w:ind w:firstLine="492"/>
        <w:spacing w:after="0" w:line="277" w:lineRule="auto"/>
        <w:rPr>
          <w:sz w:val="20"/>
          <w:szCs w:val="20"/>
          <w:color w:val="auto"/>
        </w:rPr>
      </w:pPr>
      <w:r>
        <w:rPr>
          <w:rFonts w:ascii="Arial" w:cs="Arial" w:eastAsia="Arial" w:hAnsi="Arial"/>
          <w:sz w:val="18"/>
          <w:szCs w:val="18"/>
          <w:color w:val="auto"/>
        </w:rPr>
        <w:t>Future minimum payments under non-cancelable operating leases on December 28, 2019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Operating</w:t>
            </w:r>
          </w:p>
        </w:tc>
      </w:tr>
      <w:tr>
        <w:trPr>
          <w:trHeight w:val="178"/>
        </w:trPr>
        <w:tc>
          <w:tcPr>
            <w:tcW w:w="20" w:type="dxa"/>
            <w:vAlign w:val="bottom"/>
          </w:tcPr>
          <w:p>
            <w:pPr>
              <w:spacing w:after="0"/>
              <w:rPr>
                <w:sz w:val="15"/>
                <w:szCs w:val="15"/>
                <w:color w:val="auto"/>
              </w:rPr>
            </w:pPr>
          </w:p>
        </w:tc>
        <w:tc>
          <w:tcPr>
            <w:tcW w:w="518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Leases</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17,633</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2021</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15,074</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2023</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10,434</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w:t>
            </w: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9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29,115</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92,728</w:t>
            </w: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2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(12,561)</w:t>
            </w: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liability</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80,167</w:t>
            </w: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92"/>
        <w:spacing w:after="0" w:line="277" w:lineRule="auto"/>
        <w:rPr>
          <w:sz w:val="20"/>
          <w:szCs w:val="20"/>
          <w:color w:val="auto"/>
        </w:rPr>
      </w:pPr>
      <w:r>
        <w:rPr>
          <w:rFonts w:ascii="Arial" w:cs="Arial" w:eastAsia="Arial" w:hAnsi="Arial"/>
          <w:sz w:val="18"/>
          <w:szCs w:val="18"/>
          <w:color w:val="auto"/>
        </w:rPr>
        <w:t>Rent expense was approximately $29.9 million, $28.1 million, and $24.2 million in 2019, 2018, and 2017, respectively.</w:t>
      </w:r>
    </w:p>
    <w:p>
      <w:pPr>
        <w:spacing w:after="0" w:line="170"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During the first quarter of 2018, the Company completed a sale and leaseback transaction related to one facility in Medley, Florida. The sale price for the property was approximately $36 million and created a $7 million pre-tax gain, which was entirely recognized in 2018. The Company leased back the facility for two years as it executes its long-term plan for Florida and the Southeast region.</w:t>
      </w:r>
    </w:p>
    <w:p>
      <w:pPr>
        <w:spacing w:after="0" w:line="187" w:lineRule="exact"/>
        <w:rPr>
          <w:sz w:val="20"/>
          <w:szCs w:val="20"/>
          <w:color w:val="auto"/>
        </w:rPr>
      </w:pPr>
    </w:p>
    <w:p>
      <w:pPr>
        <w:jc w:val="both"/>
        <w:ind w:right="20" w:firstLine="492"/>
        <w:spacing w:after="0" w:line="277" w:lineRule="auto"/>
        <w:rPr>
          <w:sz w:val="20"/>
          <w:szCs w:val="20"/>
          <w:color w:val="auto"/>
        </w:rPr>
      </w:pPr>
      <w:r>
        <w:rPr>
          <w:rFonts w:ascii="Arial" w:cs="Arial" w:eastAsia="Arial" w:hAnsi="Arial"/>
          <w:sz w:val="18"/>
          <w:szCs w:val="18"/>
          <w:color w:val="auto"/>
        </w:rPr>
        <w:t>As of December 28, 2019, the weighted average lease term for operating leases is 7.29 years. Similarly, the weighted average discount rate for operating leases is 3.10%.</w:t>
      </w:r>
    </w:p>
    <w:p>
      <w:pPr>
        <w:spacing w:after="0" w:line="166" w:lineRule="exact"/>
        <w:rPr>
          <w:sz w:val="20"/>
          <w:szCs w:val="20"/>
          <w:color w:val="auto"/>
        </w:rPr>
      </w:pPr>
    </w:p>
    <w:p>
      <w:pPr>
        <w:ind w:left="660" w:hanging="651"/>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DEFERRED COMPENSATION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 program whereby certain executives irrevocably elected to defer receipt of certain compensation in 1985 through 1988. Deferred compensation payments to these executives will commence upon their retirement. We purchased life insurance on these executives, payable to us in amounts which, if assumptions made as to mortality experience, policy dividends, and other factors are realized, will accumulate cash values adequate to reimburse us for all payments for insurance and deferred compensation obligations. In the event cash values are not sufficient to fund such obligations, the program allows us to reduce benefit payments to such amounts as may be funded by accumulated cash values. Premiums payments, deferred compensation obligations, and accrued interest payments were funded through policy and premium loans provided by the insurer. The deferred compensation liabilities and related cash surrender value of life insurance policies totaled $2.0 million on December 29, 2018 and December 30, 2017 and are included in "Other Liabilities" and "Other Assets," respectively. During 2019, the Company settled with the program participants and paid out the remaining cash value due to them, with the exception of two participants who chose to take the settlement payment over a five-year period. The deferred compensation liability related to the remaining participant payouts on the balance</w:t>
      </w:r>
    </w:p>
    <w:p>
      <w:pPr>
        <w:sectPr>
          <w:pgSz w:w="11900" w:h="16838" w:orient="portrait"/>
          <w:cols w:equalWidth="0" w:num="1">
            <w:col w:w="9060"/>
          </w:cols>
          <w:pgMar w:left="1420" w:top="517" w:right="1419" w:bottom="1440" w:gutter="0" w:footer="0" w:header="0"/>
          <w:type w:val="continuous"/>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sheet as of December 28, 2019, was $0.3 million. Also, during 2019, the Company increased its investment in life insurance contracts by $15.3 million to $16.6 million by extinguishing the previously mentioned policy and premium loans.</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also maintain a non-qualified deferred compensation plan (the "Plan") for the benefit of senior management employees who may elect to defer a portion of their annual bonus payments and salaries. The Plan provides investment options similar to our 401(k) plan, including our stock. The investment in our stock is funded by the issuance of shares to a Rabbi trust, and may only be distributed in kind. Assets held by the Plan totaled approximately $1.1 million and $1 million on December 28, 2019 and December 29, 2018, respectively, and are included in "Other Assets." Related liabilities totaled $33.1 million and $27.8 million on December 28, 2019 and December 29, 2018, respectively, and are included in "Other Liabilities" and "Shareholders’ Equity." Assets associated with the Plan are recorded at fair market value. The related liabilities are recorded at fair market value, with the exception of obligations associated with investments in our stock which are recorded at the market value on the date of deferral.</w:t>
      </w:r>
    </w:p>
    <w:p>
      <w:pPr>
        <w:spacing w:after="0" w:line="178" w:lineRule="exact"/>
        <w:rPr>
          <w:sz w:val="20"/>
          <w:szCs w:val="20"/>
          <w:color w:val="auto"/>
        </w:rPr>
      </w:pPr>
    </w:p>
    <w:p>
      <w:pPr>
        <w:ind w:left="660" w:hanging="651"/>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and administer our shareholder approved Employee Stock Purchase Plan ("Stock Purchase Plan"). The Stock Purchase Plan allows eligible employees to purchase shares of our stock at a share price equal to 85% of fair market value on the purchase date. We have expensed the fair value of the compensation associated with these awards, which approximates the discount. The amount of expense is nominal.</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maintain and administer our shareholder approved Directors’ Retainer Stock Plan ("Stock Retainer Plan"). The Stock Retainer Plan allows eligible members of the Board of Directors to defer the cash portion of their retainer and committee fees and receive shares of our stock at the time of or following their retirement, disability or death. The number of shares to be received is equal to the amount of the cash portion of their retainer and committee fees deferred multiplied by 110%, divided by the fair market value of a share of our stock at the time of deferral. The number of shares is increased by the amount of dividends paid on the Company’s common stock. We recognized expense for this plan of $1.8 million in 2019, $1.7 million in 2018, and $1.7 million in 2017. Effective January 1, 2017, this plan was amended to allow directors to defer payment of the annual retainer paid in the form of our common stock. The number of shares to be received for their portion of the retainer that is deferred is equal to the amount of shares plus the number of shares attributable to cash dividends payable on those deferred shares.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Finally, we maintain and administer our shareholder approved Long Term Stock Incentive Plan (the "LTSIP”). The LTSIP provides for the grant of stock options, stock appreciation rights, restricted stock, performance shares and other stock-based awards.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18, 2017, the Board of Directors approved a three-for-one split of the Company's outstanding shares of common stock effected as a stock dividend. On November 14, 2017, shareholders of record as of October 31, 2017, received two additional shares for each share held on the record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is no unrecognized compensation expense remaining for stock options in 2019, 2018, and 2017.</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common stock issuances for 2019 and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December 28,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1820" w:type="dxa"/>
            <w:vAlign w:val="bottom"/>
            <w:gridSpan w:val="2"/>
            <w:vMerge w:val="restart"/>
          </w:tcPr>
          <w:p>
            <w:pPr>
              <w:spacing w:after="0" w:line="192" w:lineRule="exact"/>
              <w:rPr>
                <w:sz w:val="20"/>
                <w:szCs w:val="20"/>
                <w:color w:val="auto"/>
              </w:rPr>
            </w:pPr>
            <w:r>
              <w:rPr>
                <w:rFonts w:ascii="Arial" w:cs="Arial" w:eastAsia="Arial" w:hAnsi="Arial"/>
                <w:sz w:val="18"/>
                <w:szCs w:val="18"/>
                <w:b w:val="1"/>
                <w:bCs w:val="1"/>
                <w:color w:val="auto"/>
                <w:w w:val="89"/>
              </w:rPr>
              <w:t>Share Issuance Activity</w:t>
            </w:r>
          </w:p>
        </w:tc>
        <w:tc>
          <w:tcPr>
            <w:tcW w:w="3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820" w:type="dxa"/>
            <w:vAlign w:val="bottom"/>
            <w:tcBorders>
              <w:bottom w:val="single" w:sz="8" w:color="auto"/>
            </w:tcBorders>
            <w:gridSpan w:val="2"/>
            <w:vMerge w:val="continue"/>
          </w:tcPr>
          <w:p>
            <w:pPr>
              <w:spacing w:after="0"/>
              <w:rPr>
                <w:sz w:val="11"/>
                <w:szCs w:val="11"/>
                <w:color w:val="auto"/>
              </w:rPr>
            </w:pPr>
          </w:p>
        </w:tc>
        <w:tc>
          <w:tcPr>
            <w:tcW w:w="3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issued under the employee stock gift program</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160"/>
              <w:spacing w:after="0"/>
              <w:rPr>
                <w:sz w:val="20"/>
                <w:szCs w:val="20"/>
                <w:color w:val="auto"/>
              </w:rPr>
            </w:pPr>
            <w:r>
              <w:rPr>
                <w:rFonts w:ascii="Arial" w:cs="Arial" w:eastAsia="Arial" w:hAnsi="Arial"/>
                <w:sz w:val="18"/>
                <w:szCs w:val="18"/>
                <w:color w:val="auto"/>
              </w:rPr>
              <w:t>Shares issued under the director retainer stock program</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38.44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issued under the long term stock incentive plan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160"/>
              <w:spacing w:after="0"/>
              <w:rPr>
                <w:sz w:val="20"/>
                <w:szCs w:val="20"/>
                <w:color w:val="auto"/>
              </w:rPr>
            </w:pPr>
            <w:r>
              <w:rPr>
                <w:rFonts w:ascii="Arial" w:cs="Arial" w:eastAsia="Arial" w:hAnsi="Arial"/>
                <w:sz w:val="18"/>
                <w:szCs w:val="18"/>
                <w:color w:val="auto"/>
              </w:rPr>
              <w:t>Shares issued under the executive stock match grants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109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31.57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Forfeitures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060" w:type="dxa"/>
            <w:vAlign w:val="bottom"/>
            <w:gridSpan w:val="3"/>
          </w:tcPr>
          <w:p>
            <w:pPr>
              <w:spacing w:after="0"/>
              <w:rPr>
                <w:sz w:val="20"/>
                <w:szCs w:val="20"/>
                <w:color w:val="auto"/>
              </w:rPr>
            </w:pPr>
            <w:r>
              <w:rPr>
                <w:rFonts w:ascii="Arial" w:cs="Arial" w:eastAsia="Arial" w:hAnsi="Arial"/>
                <w:sz w:val="18"/>
                <w:szCs w:val="18"/>
                <w:color w:val="auto"/>
              </w:rPr>
              <w:t>Total shares issued under stock grant programs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310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31.25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Shares issued under the deferred compensation plans</w:t>
            </w: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181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34.31</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525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December 29,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1820" w:type="dxa"/>
            <w:vAlign w:val="bottom"/>
            <w:gridSpan w:val="2"/>
            <w:vMerge w:val="restart"/>
          </w:tcPr>
          <w:p>
            <w:pPr>
              <w:spacing w:after="0" w:line="192" w:lineRule="exact"/>
              <w:rPr>
                <w:sz w:val="20"/>
                <w:szCs w:val="20"/>
                <w:color w:val="auto"/>
              </w:rPr>
            </w:pPr>
            <w:r>
              <w:rPr>
                <w:rFonts w:ascii="Arial" w:cs="Arial" w:eastAsia="Arial" w:hAnsi="Arial"/>
                <w:sz w:val="18"/>
                <w:szCs w:val="18"/>
                <w:b w:val="1"/>
                <w:bCs w:val="1"/>
                <w:color w:val="auto"/>
                <w:w w:val="89"/>
              </w:rPr>
              <w:t>Share Issuance Activity</w:t>
            </w:r>
          </w:p>
        </w:tc>
        <w:tc>
          <w:tcPr>
            <w:tcW w:w="3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820" w:type="dxa"/>
            <w:vAlign w:val="bottom"/>
            <w:tcBorders>
              <w:bottom w:val="single" w:sz="8" w:color="auto"/>
            </w:tcBorders>
            <w:gridSpan w:val="2"/>
            <w:vMerge w:val="continue"/>
          </w:tcPr>
          <w:p>
            <w:pPr>
              <w:spacing w:after="0"/>
              <w:rPr>
                <w:sz w:val="11"/>
                <w:szCs w:val="11"/>
                <w:color w:val="auto"/>
              </w:rPr>
            </w:pPr>
          </w:p>
        </w:tc>
        <w:tc>
          <w:tcPr>
            <w:tcW w:w="3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issued under the employee stock gift program</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160"/>
              <w:spacing w:after="0"/>
              <w:rPr>
                <w:sz w:val="20"/>
                <w:szCs w:val="20"/>
                <w:color w:val="auto"/>
              </w:rPr>
            </w:pPr>
            <w:r>
              <w:rPr>
                <w:rFonts w:ascii="Arial" w:cs="Arial" w:eastAsia="Arial" w:hAnsi="Arial"/>
                <w:sz w:val="18"/>
                <w:szCs w:val="18"/>
                <w:color w:val="auto"/>
              </w:rPr>
              <w:t>Shares issued under the director retainer stock program</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17.17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issued under the long term stock incentive plan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160"/>
              <w:spacing w:after="0"/>
              <w:rPr>
                <w:sz w:val="20"/>
                <w:szCs w:val="20"/>
                <w:color w:val="auto"/>
              </w:rPr>
            </w:pPr>
            <w:r>
              <w:rPr>
                <w:rFonts w:ascii="Arial" w:cs="Arial" w:eastAsia="Arial" w:hAnsi="Arial"/>
                <w:sz w:val="18"/>
                <w:szCs w:val="18"/>
                <w:color w:val="auto"/>
              </w:rPr>
              <w:t>Shares issued under the executive stock match grants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32.94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Forfeitures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060" w:type="dxa"/>
            <w:vAlign w:val="bottom"/>
            <w:gridSpan w:val="3"/>
          </w:tcPr>
          <w:p>
            <w:pPr>
              <w:spacing w:after="0"/>
              <w:rPr>
                <w:sz w:val="20"/>
                <w:szCs w:val="20"/>
                <w:color w:val="auto"/>
              </w:rPr>
            </w:pPr>
            <w:r>
              <w:rPr>
                <w:rFonts w:ascii="Arial" w:cs="Arial" w:eastAsia="Arial" w:hAnsi="Arial"/>
                <w:sz w:val="18"/>
                <w:szCs w:val="18"/>
                <w:color w:val="auto"/>
              </w:rPr>
              <w:t>Total shares issued under stock grant programs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348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29.37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Shares issued under the deferred compensation plans</w:t>
            </w: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167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36.98</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553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7280" w:type="dxa"/>
            <w:vAlign w:val="bottom"/>
            <w:gridSpan w:val="7"/>
          </w:tcPr>
          <w:p>
            <w:pPr>
              <w:ind w:left="640"/>
              <w:spacing w:after="0"/>
              <w:rPr>
                <w:sz w:val="20"/>
                <w:szCs w:val="20"/>
                <w:color w:val="auto"/>
              </w:rPr>
            </w:pPr>
            <w:r>
              <w:rPr>
                <w:rFonts w:ascii="Arial" w:cs="Arial" w:eastAsia="Arial" w:hAnsi="Arial"/>
                <w:sz w:val="18"/>
                <w:szCs w:val="18"/>
                <w:color w:val="auto"/>
                <w:w w:val="91"/>
              </w:rPr>
              <w:t>A summary of the nonvested restricted stock awards granted under the LTSIP is as follows: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0"/>
              </w:rPr>
              <w:t>Unrecognized</w:t>
            </w:r>
          </w:p>
        </w:tc>
        <w:tc>
          <w:tcPr>
            <w:tcW w:w="1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center"/>
              <w:ind w:right="111"/>
              <w:spacing w:after="0"/>
              <w:rPr>
                <w:sz w:val="20"/>
                <w:szCs w:val="20"/>
                <w:color w:val="auto"/>
              </w:rPr>
            </w:pPr>
            <w:r>
              <w:rPr>
                <w:rFonts w:ascii="Arial" w:cs="Arial" w:eastAsia="Arial" w:hAnsi="Arial"/>
                <w:sz w:val="14"/>
                <w:szCs w:val="14"/>
                <w:b w:val="1"/>
                <w:bCs w:val="1"/>
                <w:color w:val="auto"/>
                <w:w w:val="94"/>
              </w:rPr>
              <w:t>Weighted-</w:t>
            </w:r>
          </w:p>
        </w:tc>
        <w:tc>
          <w:tcPr>
            <w:tcW w:w="10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Restricted</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Period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Recognize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Awards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Date Fair Value</w:t>
            </w: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2016</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791,532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19.32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1.51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388,248</w:t>
            </w:r>
          </w:p>
        </w:tc>
        <w:tc>
          <w:tcPr>
            <w:tcW w:w="2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32.03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(141,111)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30.14</w:t>
            </w: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30, 2017</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4"/>
              </w:rPr>
              <w:t>1,033,626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24.24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1.31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247,068</w:t>
            </w:r>
          </w:p>
        </w:tc>
        <w:tc>
          <w:tcPr>
            <w:tcW w:w="2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36.52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18.11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(12,750)</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24.19</w:t>
            </w: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29, 2018</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4"/>
              </w:rPr>
              <w:t>1,160,079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23.32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1.12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318,496</w:t>
            </w:r>
          </w:p>
        </w:tc>
        <w:tc>
          <w:tcPr>
            <w:tcW w:w="2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32.60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(224,894)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23.42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(50,786)</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24.18</w:t>
            </w: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at December 28, 2019</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1,202,895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29.68</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0.86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Stock Purchase Plan and LTSIP, we recognized share-based compensation expense of $4.0 million, $3.6 million, and $3.6 million and the related total income tax benefits of $0.8 million, $0.7 million, and $1.0 million in 2019, 2018 and 2017, respectively.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2019, 2018 and 2017, cash received from share issuances under our plans was $1.1 million, $1.0 million and $0.7 million, respectively.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existing share repurchase program. We repurchased no shares in 2019 and 860,669 shares under this program in 2018. As of December 28, 2019, the cumulative total authorized shares available for repurchase is approximately 1.9 million shares.</w:t>
      </w:r>
    </w:p>
    <w:p>
      <w:pPr>
        <w:spacing w:after="0" w:line="184" w:lineRule="exact"/>
        <w:rPr>
          <w:sz w:val="20"/>
          <w:szCs w:val="20"/>
          <w:color w:val="auto"/>
        </w:rPr>
      </w:pPr>
    </w:p>
    <w:p>
      <w:pPr>
        <w:ind w:left="660" w:hanging="651"/>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 PLANS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profit sharing and 401(k) plan for the benefit of substantially all of our employees, excluding the employees of certain wholly-owned subsidiaries. Amounts contributed to the plan are made at the discretion of the Board of Directors. We matched 25%of employee contributions in 2019, 2018, and 2017, on a discretionary basis, totaling $6.5 million, $3.4 million, and $4.8 million respectively. For years 2019 and 2017, hourly employee contributions included additional matched contributions of $2.6 million and $1.9 million for 2019 and 2017, respectively, based on meeting certain performance goals during those years. The basis for matching contributions may not exceed the lesser of 6% of the employee’s annual compensation or the IRS limitation.</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maintains a retirement plan for certain officers of the Company, excluding the Company’s CEO, (who have at least 20 years of service with the Company and at least 10 years of service as an officer) whereby we will pay, upon retirement, benefits totaling 150% of the officer’s highest base salary in the three years immediately preceding separation from service plus health care benefits for a specified period of time if certain eligibility requirements are met. Approximately $10.6 million and $9.1 million are accrued in “Other Liabilities” for this plan at December 28, 2019 and December 29, 2018, respectively.</w:t>
      </w:r>
    </w:p>
    <w:p>
      <w:pPr>
        <w:spacing w:after="0" w:line="189" w:lineRule="exact"/>
        <w:rPr>
          <w:sz w:val="20"/>
          <w:szCs w:val="20"/>
          <w:color w:val="auto"/>
        </w:rPr>
      </w:pPr>
    </w:p>
    <w:p>
      <w:pPr>
        <w:ind w:left="660" w:hanging="651"/>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Income tax provisions for the years ended December 28, 2019, December 29, 2018, and December 30, 2017 are summarized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00" w:type="dxa"/>
            <w:vAlign w:val="bottom"/>
            <w:vMerge w:val="restart"/>
          </w:tcPr>
          <w:p>
            <w:pPr>
              <w:spacing w:after="0"/>
              <w:rPr>
                <w:sz w:val="20"/>
                <w:szCs w:val="20"/>
                <w:color w:val="auto"/>
              </w:rPr>
            </w:pPr>
            <w:r>
              <w:rPr>
                <w:rFonts w:ascii="Arial" w:cs="Arial" w:eastAsia="Arial" w:hAnsi="Arial"/>
                <w:sz w:val="18"/>
                <w:szCs w:val="18"/>
                <w:color w:val="auto"/>
              </w:rPr>
              <w:t>Currently Payable:</w:t>
            </w:r>
          </w:p>
        </w:tc>
        <w:tc>
          <w:tcPr>
            <w:tcW w:w="9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9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6"/>
        </w:trPr>
        <w:tc>
          <w:tcPr>
            <w:tcW w:w="6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$ 35,267</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$ 31,492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44,413</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State and local</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10,071</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7,544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3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5,527</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03"/>
        </w:trPr>
        <w:tc>
          <w:tcPr>
            <w:tcW w:w="63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51,172</w:t>
            </w:r>
          </w:p>
        </w:tc>
        <w:tc>
          <w:tcPr>
            <w:tcW w:w="920" w:type="dxa"/>
            <w:vAlign w:val="bottom"/>
            <w:tcBorders>
              <w:top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44,563</w:t>
            </w: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59,232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Deferred: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Federal</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6,895</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2,965</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(7,681)</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and local</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3"/>
        </w:trPr>
        <w:tc>
          <w:tcPr>
            <w:tcW w:w="6300" w:type="dxa"/>
            <w:vAlign w:val="bottom"/>
          </w:tcPr>
          <w:p>
            <w:pPr>
              <w:ind w:left="120"/>
              <w:spacing w:after="0"/>
              <w:rPr>
                <w:sz w:val="20"/>
                <w:szCs w:val="20"/>
                <w:color w:val="auto"/>
              </w:rPr>
            </w:pPr>
            <w:r>
              <w:rPr>
                <w:rFonts w:ascii="Arial" w:cs="Arial" w:eastAsia="Arial" w:hAnsi="Arial"/>
                <w:sz w:val="18"/>
                <w:szCs w:val="18"/>
                <w:color w:val="auto"/>
              </w:rPr>
              <w:t>Foreign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920" w:type="dxa"/>
            <w:vAlign w:val="bottom"/>
          </w:tcPr>
          <w:p>
            <w:pPr>
              <w:jc w:val="right"/>
              <w:spacing w:after="0"/>
              <w:rPr>
                <w:sz w:val="20"/>
                <w:szCs w:val="20"/>
                <w:color w:val="auto"/>
              </w:rPr>
            </w:pPr>
            <w:r>
              <w:rPr>
                <w:rFonts w:ascii="Arial" w:cs="Arial" w:eastAsia="Arial" w:hAnsi="Arial"/>
                <w:sz w:val="18"/>
                <w:szCs w:val="18"/>
                <w:color w:val="auto"/>
              </w:rPr>
              <w:t>(1,565)</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6"/>
        </w:trPr>
        <w:tc>
          <w:tcPr>
            <w:tcW w:w="63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9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878</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$ 58,270</w:t>
            </w:r>
          </w:p>
        </w:tc>
        <w:tc>
          <w:tcPr>
            <w:tcW w:w="92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$ 45,441</w:t>
            </w:r>
          </w:p>
        </w:tc>
        <w:tc>
          <w:tcPr>
            <w:tcW w:w="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51,967</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660"/>
              <w:spacing w:after="0"/>
              <w:rPr>
                <w:sz w:val="20"/>
                <w:szCs w:val="20"/>
                <w:color w:val="auto"/>
              </w:rPr>
            </w:pPr>
            <w:r>
              <w:rPr>
                <w:rFonts w:ascii="Arial" w:cs="Arial" w:eastAsia="Arial" w:hAnsi="Arial"/>
                <w:sz w:val="18"/>
                <w:szCs w:val="18"/>
                <w:color w:val="auto"/>
                <w:w w:val="95"/>
              </w:rPr>
              <w:t>The components of earnings before income taxes consist of the following:</w:t>
            </w: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vMerge w:val="continue"/>
          </w:tcPr>
          <w:p>
            <w:pPr>
              <w:spacing w:after="0"/>
              <w:rPr>
                <w:sz w:val="17"/>
                <w:szCs w:val="17"/>
                <w:color w:val="auto"/>
              </w:rPr>
            </w:pPr>
          </w:p>
        </w:tc>
        <w:tc>
          <w:tcPr>
            <w:tcW w:w="96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2019</w:t>
            </w: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85"/>
        </w:trPr>
        <w:tc>
          <w:tcPr>
            <w:tcW w:w="63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gridSpan w:val="2"/>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2"/>
              </w:rPr>
              <w:t>$ 220,532</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2"/>
              </w:rPr>
              <w:t>$ 180,261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151,395</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20,142</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17,592</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24,612</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2"/>
              </w:rPr>
              <w:t>$ 240,674</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2"/>
              </w:rPr>
              <w:t>$ 197,853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176,007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effective income tax rates are different from the statutory federal income tax rates for the following reasons: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State and local taxes (net of federal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Effect of noncontrolling owned interest in earnings of partnerships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Manufacturing deduction</w:t>
            </w: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Tax credits, including foreign tax credit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Change in uncertain tax positions reserve</w:t>
            </w: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Other, net</w:t>
            </w: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(0.6)</w:t>
            </w:r>
          </w:p>
        </w:tc>
      </w:tr>
      <w:tr>
        <w:trPr>
          <w:trHeight w:val="23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Impact of Tax Act and reduction of corporate tax rate (a)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r>
      <w:tr>
        <w:trPr>
          <w:trHeight w:val="203"/>
        </w:trPr>
        <w:tc>
          <w:tcPr>
            <w:tcW w:w="66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Effective income tax rate</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w:t>
            </w:r>
          </w:p>
        </w:tc>
        <w:tc>
          <w:tcPr>
            <w:tcW w:w="28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w:t>
            </w:r>
          </w:p>
        </w:tc>
        <w:tc>
          <w:tcPr>
            <w:tcW w:w="26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0"/>
        </w:trPr>
        <w:tc>
          <w:tcPr>
            <w:tcW w:w="6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44" w:lineRule="exact"/>
        <w:rPr>
          <w:sz w:val="20"/>
          <w:szCs w:val="20"/>
          <w:color w:val="auto"/>
        </w:rPr>
      </w:pPr>
    </w:p>
    <w:p>
      <w:pPr>
        <w:jc w:val="both"/>
        <w:ind w:left="680" w:hanging="320"/>
        <w:spacing w:after="0" w:line="269" w:lineRule="auto"/>
        <w:tabs>
          <w:tab w:leader="none" w:pos="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On December 22, 2017, the U.S government enacted comprehensive tax legislation commonly referred to as the Tax Cut and Jobs Act (the “Tax Act”). The Tax Act makes broad and complex changes to the U.S. tax code, including, but not limited to reducing the U.S. federal corporate tax rate from 35 percent to 21 percent, effective January 1, 2018. Shortly after the Tax Act was enacted, the SEC issued accounting guidance, which provided a one-year measurement period during which a company may complete its accounting for the impacts of the Tax Act. As a result of the U.S. federal corporate rate reduction, the Company recorded a tax benefit of $6.1 million for the period ending December 30, 2017, and an additional tax benefit of $0.3 million for the period ending December 29, 2018.</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Temporary differences which give rise to deferred income tax assets and (liabilities) on December 28,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2018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22,420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20,914</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Lease liability</w:t>
            </w:r>
          </w:p>
        </w:tc>
        <w:tc>
          <w:tcPr>
            <w:tcW w:w="160" w:type="dxa"/>
            <w:vAlign w:val="bottom"/>
          </w:tcPr>
          <w:p>
            <w:pPr>
              <w:spacing w:after="0"/>
              <w:rPr>
                <w:sz w:val="18"/>
                <w:szCs w:val="18"/>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20,255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6,411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Foreign subsidiary capital loss carryforward</w:t>
            </w:r>
          </w:p>
        </w:tc>
        <w:tc>
          <w:tcPr>
            <w:tcW w:w="160" w:type="dxa"/>
            <w:vAlign w:val="bottom"/>
          </w:tcPr>
          <w:p>
            <w:pPr>
              <w:spacing w:after="0"/>
              <w:rPr>
                <w:sz w:val="18"/>
                <w:szCs w:val="18"/>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tax credits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620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993</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Reserves on receivables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1,266</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2,318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1,593</w:t>
            </w:r>
          </w:p>
        </w:tc>
      </w:tr>
      <w:tr>
        <w:trPr>
          <w:trHeight w:val="236"/>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3,159</w:t>
            </w:r>
          </w:p>
        </w:tc>
        <w:tc>
          <w:tcPr>
            <w:tcW w:w="2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r>
      <w:tr>
        <w:trPr>
          <w:trHeight w:val="203"/>
        </w:trPr>
        <w:tc>
          <w:tcPr>
            <w:tcW w:w="7240" w:type="dxa"/>
            <w:vAlign w:val="bottom"/>
          </w:tcPr>
          <w:p>
            <w:pPr>
              <w:spacing w:after="0" w:line="203" w:lineRule="exact"/>
              <w:rPr>
                <w:sz w:val="20"/>
                <w:szCs w:val="20"/>
                <w:color w:val="auto"/>
              </w:rPr>
            </w:pPr>
            <w:r>
              <w:rPr>
                <w:rFonts w:ascii="Arial" w:cs="Arial" w:eastAsia="Arial" w:hAnsi="Arial"/>
                <w:sz w:val="18"/>
                <w:szCs w:val="18"/>
                <w:color w:val="auto"/>
              </w:rPr>
              <w:t>Gross deferred income tax assets</w:t>
            </w:r>
          </w:p>
        </w:tc>
        <w:tc>
          <w:tcPr>
            <w:tcW w:w="160" w:type="dxa"/>
            <w:vAlign w:val="bottom"/>
          </w:tcPr>
          <w:p>
            <w:pPr>
              <w:spacing w:after="0"/>
              <w:rPr>
                <w:sz w:val="17"/>
                <w:szCs w:val="17"/>
                <w:color w:val="auto"/>
              </w:rPr>
            </w:pPr>
          </w:p>
        </w:tc>
        <w:tc>
          <w:tcPr>
            <w:tcW w:w="740" w:type="dxa"/>
            <w:vAlign w:val="bottom"/>
          </w:tcPr>
          <w:p>
            <w:pPr>
              <w:jc w:val="right"/>
              <w:ind w:right="51"/>
              <w:spacing w:after="0" w:line="203" w:lineRule="exact"/>
              <w:rPr>
                <w:sz w:val="20"/>
                <w:szCs w:val="20"/>
                <w:color w:val="auto"/>
              </w:rPr>
            </w:pPr>
            <w:r>
              <w:rPr>
                <w:rFonts w:ascii="Arial" w:cs="Arial" w:eastAsia="Arial" w:hAnsi="Arial"/>
                <w:sz w:val="18"/>
                <w:szCs w:val="18"/>
                <w:color w:val="auto"/>
              </w:rPr>
              <w:t>57,961</w:t>
            </w:r>
          </w:p>
        </w:tc>
        <w:tc>
          <w:tcPr>
            <w:tcW w:w="2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34,794</w:t>
            </w:r>
          </w:p>
        </w:tc>
      </w:tr>
      <w:tr>
        <w:trPr>
          <w:trHeight w:val="236"/>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2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r>
      <w:tr>
        <w:trPr>
          <w:trHeight w:val="203"/>
        </w:trPr>
        <w:tc>
          <w:tcPr>
            <w:tcW w:w="7240" w:type="dxa"/>
            <w:vAlign w:val="bottom"/>
          </w:tcPr>
          <w:p>
            <w:pPr>
              <w:spacing w:after="0" w:line="203" w:lineRule="exact"/>
              <w:rPr>
                <w:sz w:val="20"/>
                <w:szCs w:val="20"/>
                <w:color w:val="auto"/>
              </w:rPr>
            </w:pPr>
            <w:r>
              <w:rPr>
                <w:rFonts w:ascii="Arial" w:cs="Arial" w:eastAsia="Arial" w:hAnsi="Arial"/>
                <w:sz w:val="18"/>
                <w:szCs w:val="18"/>
                <w:color w:val="auto"/>
              </w:rPr>
              <w:t>Deferred income tax assets</w:t>
            </w:r>
          </w:p>
        </w:tc>
        <w:tc>
          <w:tcPr>
            <w:tcW w:w="160" w:type="dxa"/>
            <w:vAlign w:val="bottom"/>
          </w:tcPr>
          <w:p>
            <w:pPr>
              <w:spacing w:after="0"/>
              <w:rPr>
                <w:sz w:val="17"/>
                <w:szCs w:val="17"/>
                <w:color w:val="auto"/>
              </w:rPr>
            </w:pPr>
          </w:p>
        </w:tc>
        <w:tc>
          <w:tcPr>
            <w:tcW w:w="740" w:type="dxa"/>
            <w:vAlign w:val="bottom"/>
          </w:tcPr>
          <w:p>
            <w:pPr>
              <w:jc w:val="right"/>
              <w:ind w:right="51"/>
              <w:spacing w:after="0" w:line="203" w:lineRule="exact"/>
              <w:rPr>
                <w:sz w:val="20"/>
                <w:szCs w:val="20"/>
                <w:color w:val="auto"/>
              </w:rPr>
            </w:pPr>
            <w:r>
              <w:rPr>
                <w:rFonts w:ascii="Arial" w:cs="Arial" w:eastAsia="Arial" w:hAnsi="Arial"/>
                <w:sz w:val="18"/>
                <w:szCs w:val="18"/>
                <w:color w:val="auto"/>
              </w:rPr>
              <w:t>55,514</w:t>
            </w:r>
          </w:p>
        </w:tc>
        <w:tc>
          <w:tcPr>
            <w:tcW w:w="2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32,087</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(34,001)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(24,881)</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Intangibles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(21,375)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(20,225)</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(20,255)</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(75,631)</w:t>
            </w:r>
          </w:p>
        </w:tc>
        <w:tc>
          <w:tcPr>
            <w:tcW w:w="2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(45,106)</w:t>
            </w:r>
          </w:p>
        </w:tc>
      </w:tr>
      <w:tr>
        <w:trPr>
          <w:trHeight w:val="203"/>
        </w:trPr>
        <w:tc>
          <w:tcPr>
            <w:tcW w:w="7240" w:type="dxa"/>
            <w:vAlign w:val="bottom"/>
          </w:tcPr>
          <w:p>
            <w:pPr>
              <w:spacing w:after="0" w:line="203" w:lineRule="exact"/>
              <w:rPr>
                <w:sz w:val="20"/>
                <w:szCs w:val="20"/>
                <w:color w:val="auto"/>
              </w:rPr>
            </w:pPr>
            <w:r>
              <w:rPr>
                <w:rFonts w:ascii="Arial" w:cs="Arial" w:eastAsia="Arial" w:hAnsi="Arial"/>
                <w:sz w:val="18"/>
                <w:szCs w:val="18"/>
                <w:color w:val="auto"/>
              </w:rPr>
              <w:t>Net deferred income tax liability</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(20,117)</w:t>
            </w:r>
          </w:p>
        </w:tc>
        <w:tc>
          <w:tcPr>
            <w:tcW w:w="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(13,019)</w:t>
            </w: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28, 2019, the company had federal, state and foreign net operating loss carryforwards of $6.4 million and state tax credit carryforwards of $0.6 million, which will expire at various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NOL and credit carryforwards expire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6"/>
          </w:tcPr>
          <w:p>
            <w:pPr>
              <w:ind w:left="300"/>
              <w:spacing w:after="0"/>
              <w:rPr>
                <w:sz w:val="20"/>
                <w:szCs w:val="20"/>
                <w:color w:val="auto"/>
              </w:rPr>
            </w:pPr>
            <w:r>
              <w:rPr>
                <w:rFonts w:ascii="Arial" w:cs="Arial" w:eastAsia="Arial" w:hAnsi="Arial"/>
                <w:sz w:val="14"/>
                <w:szCs w:val="14"/>
                <w:b w:val="1"/>
                <w:bCs w:val="1"/>
                <w:color w:val="auto"/>
              </w:rPr>
              <w:t>Net Operating Losses</w:t>
            </w:r>
          </w:p>
        </w:tc>
        <w:tc>
          <w:tcPr>
            <w:tcW w:w="140" w:type="dxa"/>
            <w:vAlign w:val="bottom"/>
          </w:tcPr>
          <w:p>
            <w:pPr>
              <w:spacing w:after="0"/>
              <w:rPr>
                <w:sz w:val="15"/>
                <w:szCs w:val="15"/>
                <w:color w:val="auto"/>
              </w:rPr>
            </w:pPr>
          </w:p>
        </w:tc>
        <w:tc>
          <w:tcPr>
            <w:tcW w:w="122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rPr>
              <w:t>Tax Credits</w:t>
            </w:r>
          </w:p>
        </w:tc>
      </w:tr>
      <w:tr>
        <w:trPr>
          <w:trHeight w:val="156"/>
        </w:trPr>
        <w:tc>
          <w:tcPr>
            <w:tcW w:w="54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4"/>
              <w:spacing w:after="0" w:line="149" w:lineRule="exact"/>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3"/>
              <w:spacing w:after="0" w:line="149" w:lineRule="exact"/>
              <w:rPr>
                <w:sz w:val="20"/>
                <w:szCs w:val="20"/>
                <w:color w:val="auto"/>
              </w:rPr>
            </w:pPr>
            <w:r>
              <w:rPr>
                <w:rFonts w:ascii="Arial" w:cs="Arial" w:eastAsia="Arial" w:hAnsi="Arial"/>
                <w:sz w:val="14"/>
                <w:szCs w:val="14"/>
                <w:b w:val="1"/>
                <w:bCs w:val="1"/>
                <w:color w:val="auto"/>
                <w:w w:val="99"/>
              </w:rPr>
              <w:t>State</w:t>
            </w:r>
          </w:p>
        </w:tc>
        <w:tc>
          <w:tcPr>
            <w:tcW w:w="7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Foreign</w:t>
            </w:r>
          </w:p>
        </w:tc>
        <w:tc>
          <w:tcPr>
            <w:tcW w:w="1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3"/>
              <w:spacing w:after="0" w:line="149" w:lineRule="exact"/>
              <w:rPr>
                <w:sz w:val="20"/>
                <w:szCs w:val="20"/>
                <w:color w:val="auto"/>
              </w:rPr>
            </w:pPr>
            <w:r>
              <w:rPr>
                <w:rFonts w:ascii="Arial" w:cs="Arial" w:eastAsia="Arial" w:hAnsi="Arial"/>
                <w:sz w:val="14"/>
                <w:szCs w:val="14"/>
                <w:b w:val="1"/>
                <w:bCs w:val="1"/>
                <w:color w:val="auto"/>
                <w:w w:val="93"/>
              </w:rPr>
              <w:t>State</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2019 - 2023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2024 - 2028</w:t>
            </w:r>
          </w:p>
        </w:tc>
        <w:tc>
          <w:tcPr>
            <w:tcW w:w="12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2029 - 2033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3"/>
              </w:rPr>
              <w:t>2,124</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2034 - 2038</w:t>
            </w:r>
          </w:p>
        </w:tc>
        <w:tc>
          <w:tcPr>
            <w:tcW w:w="12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854</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243</w:t>
            </w:r>
          </w:p>
        </w:tc>
        <w:tc>
          <w:tcPr>
            <w:tcW w:w="2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2,152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
              <w:spacing w:after="0"/>
              <w:rPr>
                <w:sz w:val="20"/>
                <w:szCs w:val="20"/>
                <w:color w:val="auto"/>
              </w:rPr>
            </w:pPr>
            <w:r>
              <w:rPr>
                <w:rFonts w:ascii="Arial" w:cs="Arial" w:eastAsia="Arial" w:hAnsi="Arial"/>
                <w:sz w:val="18"/>
                <w:szCs w:val="18"/>
                <w:color w:val="auto"/>
                <w:w w:val="93"/>
              </w:rPr>
              <w:t>2,303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1,956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620</w:t>
            </w:r>
          </w:p>
        </w:tc>
      </w:tr>
    </w:tbl>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28, 2019, we believe that it is more likely than not that the benefit from certain state and foreign NOL carryforwards as well as certain state tax credit carryforwards will not be realized. In recognition of this risk, we have provided a valuation allowance against various NOL and tax credit carryforwards. Furthermore, there is a valuation allowance of $0.5 million against a capital loss carryforward we have for a wholly-owned subsidiary, UFP Canada, Inc. Based upon the business activity and the nature of the assets of this subsidiary, our ability to realize a future benefit from this carryforward is doubtful. The capital loss has an unlimited carryforward and therefore will not expire unless there is a change in control of the subsidiary.</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early adopted FASB ASU No. 2018-02, which allows a reclassification from accumulated other comprehensive income to retained earnings for stranded tax effects resulting from the Tax Cuts and Jobs Act of 2017. The adoption of this update resulted in a reclassification between accumulative other comprehensive income and accumulated earnings in 2018.</w:t>
      </w:r>
    </w:p>
    <w:p>
      <w:pPr>
        <w:spacing w:after="0" w:line="399" w:lineRule="exact"/>
        <w:rPr>
          <w:sz w:val="20"/>
          <w:szCs w:val="20"/>
          <w:color w:val="auto"/>
        </w:rPr>
      </w:pPr>
    </w:p>
    <w:p>
      <w:pPr>
        <w:ind w:left="660" w:hanging="651"/>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FOR UNCERTAINTY IN INCOME TAXES</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clarifies the accounting for income taxes by prescribing the minimum recognition threshold a tax position is required to meet before being recognized in the financial statements. ASC 740 also provides guidance on derecognition, measurement, classification, interest and penalties, and disclosure requirements.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beginning of year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Increase in tax positions for prior years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Increase in tax positions due to acquisitions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Increase in tax positions for current year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1,107</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Settlements with taxing authorities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Lapse in statute of limitations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unrecognized tax benefits end of year</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effective tax rate would have been affected by the unrecognized tax benefits had this amount been recognized as a reduction to income tax expense.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recognized interest and penalties for unrecognized tax benefits in our provision for income taxes. The liability for unrecognized tax benefits included accrued interest and penalties of $0.5 million, $0.5 million, and $0.7 million at December 28, 2019, December 29, 2018, and December 30, 2017, respectively.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file income tax returns in the United States and in various state, local and foreign jurisdictions. The federal and a majority of state and foreign jurisdictions are no longer subject to income tax examinations for years before 2016. A number of routine state and local examinations are currently ongoing. Due to the potential for resolution of state examinations, and the expiration of various statutes of limitation, and new positions that may be taken, it is reasonably possible that the amounts of unrecognized tax benefits could change in the next twelve months is $0.9 million.</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hanging="651"/>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CONTINGENCIES, AND GUARANTEES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and Auburndale, FL. In addition, a reserve was established for our facility in Thornton, CA to remove certain lead containing materials which existed on the property at the time of purchase.</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 consolidated basis, we have reserved approximately $2.0 million and $2.1 million on December 28, 2019 and December 29, 2018, respectively, representing the estimated costs to complete future remediation efforts. These amounts have not been reduced by an insurance receivable.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on December 28, 2019,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28, 2019, we had outstanding purchase commitments on commenced capital projects of approximately $33.8 million.</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December 28, 2019, we had approximately $10.8 million in outstanding payment and performance bonds for open projects. We had approximately $9.2 million in payment and performance bonds outstanding for completed projects which are still under warranty.</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28, 2019, we had outstanding letters of credit totaling $37.3 million, primarily related to certain insurance contracts and industrial development revenue bonds described further below.</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lieu of cash deposits, we provide irrevocable letters of credit in favor of our insurers to guarantee our performance under certain insurance contracts. We currently have irrevocable letters of credit outstanding totaling approximately $27.5 million for these types of insurance arrangements. We have reserves recorded on our balance sheet, in accrued liabilities, that reflect our expected future liabilities under these insurance arrangements.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2012 Senior Notes, the Series 2018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did not enter into any new guarantee arrangements during 2019 which would require us to recognize a liability on our balance sheet.</w:t>
      </w:r>
    </w:p>
    <w:p>
      <w:pPr>
        <w:spacing w:after="0" w:line="166" w:lineRule="exact"/>
        <w:rPr>
          <w:sz w:val="20"/>
          <w:szCs w:val="20"/>
          <w:color w:val="auto"/>
        </w:rPr>
      </w:pPr>
    </w:p>
    <w:p>
      <w:pPr>
        <w:ind w:left="660" w:hanging="651"/>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operates manufacturing, treating and distribution facilities throughout North America, Europe, Asia and Australia, but primarily in the United States. The Company manages the operations of its individual locations primarily through a geographic reporting structure under which each location is included in a region and regions are included in our North, South, West, and International divisions. The exceptions to this geographic reporting and management structure are</w:t>
      </w:r>
    </w:p>
    <w:p>
      <w:pPr>
        <w:spacing w:after="0" w:line="2" w:lineRule="exact"/>
        <w:rPr>
          <w:sz w:val="20"/>
          <w:szCs w:val="20"/>
          <w:color w:val="auto"/>
        </w:rPr>
      </w:pPr>
    </w:p>
    <w:p>
      <w:pPr>
        <w:jc w:val="both"/>
        <w:ind w:firstLine="9"/>
        <w:spacing w:after="0" w:line="253" w:lineRule="auto"/>
        <w:tabs>
          <w:tab w:leader="none" w:pos="27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Alternative Materials Division, which offers a portfolio of non-wood products and distributes those products nation-wide and is accounted for as an operating segment within the All Other segment, (b) the Company’s distribution unit (referred to as UFPD) which distributes a variety of products to the manufactured housing industry and is accounted for as a reporting unit within the North segment, and (c) idX division, which designs, manufactures, and installs customized interior fixtures and is accounted for within the All Other segment.</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the facilities in the north, south, and west segments, these facilities generally supply the three markets the Company serves nationally - Retail, Industrial, and Construction. Also, substantially all of our facilities support customers in the immediate geographical region surrounding the facility. One customer, The Home Depot, accounted for approximately 19% of our total sales in fiscal 2019, 2018 and 2017.</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Alternative Materials, International, and idX divisions have been included in the “All Other” column of the table below. The “Corporate” column includes unallocated administrative costs and certain incentive compensation expense.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2100" w:type="dxa"/>
            <w:vAlign w:val="bottom"/>
            <w:tcBorders>
              <w:top w:val="single" w:sz="8" w:color="auto"/>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North</w:t>
            </w:r>
          </w:p>
        </w:tc>
        <w:tc>
          <w:tcPr>
            <w:tcW w:w="9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South</w:t>
            </w:r>
          </w:p>
        </w:tc>
        <w:tc>
          <w:tcPr>
            <w:tcW w:w="11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West</w:t>
            </w:r>
          </w:p>
        </w:tc>
        <w:tc>
          <w:tcPr>
            <w:tcW w:w="1000" w:type="dxa"/>
            <w:vAlign w:val="bottom"/>
          </w:tcPr>
          <w:p>
            <w:pPr>
              <w:jc w:val="right"/>
              <w:ind w:right="314"/>
              <w:spacing w:after="0" w:line="126" w:lineRule="exact"/>
              <w:rPr>
                <w:sz w:val="20"/>
                <w:szCs w:val="20"/>
                <w:color w:val="auto"/>
              </w:rPr>
            </w:pPr>
            <w:r>
              <w:rPr>
                <w:rFonts w:ascii="Arial" w:cs="Arial" w:eastAsia="Arial" w:hAnsi="Arial"/>
                <w:sz w:val="14"/>
                <w:szCs w:val="14"/>
                <w:b w:val="1"/>
                <w:bCs w:val="1"/>
                <w:color w:val="auto"/>
              </w:rPr>
              <w:t>All</w:t>
            </w:r>
          </w:p>
        </w:tc>
        <w:tc>
          <w:tcPr>
            <w:tcW w:w="160" w:type="dxa"/>
            <w:vAlign w:val="bottom"/>
          </w:tcPr>
          <w:p>
            <w:pPr>
              <w:spacing w:after="0"/>
              <w:rPr>
                <w:sz w:val="10"/>
                <w:szCs w:val="10"/>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Corporate</w:t>
            </w:r>
          </w:p>
        </w:tc>
        <w:tc>
          <w:tcPr>
            <w:tcW w:w="11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00" w:type="dxa"/>
            <w:vAlign w:val="bottom"/>
          </w:tcPr>
          <w:p>
            <w:pPr>
              <w:jc w:val="right"/>
              <w:ind w:right="214"/>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0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0"/>
              </w:rPr>
              <w:t>$ 1,302,067</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$ 936,964</w:t>
            </w:r>
          </w:p>
        </w:tc>
        <w:tc>
          <w:tcPr>
            <w:tcW w:w="11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$ 1,548,098</w:t>
            </w:r>
          </w:p>
        </w:tc>
        <w:tc>
          <w:tcPr>
            <w:tcW w:w="10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$ 628,880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$ 4,416,009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57,675</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81,875</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52,601</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225,913</w:t>
            </w:r>
          </w:p>
        </w:tc>
        <w:tc>
          <w:tcPr>
            <w:tcW w:w="16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418,064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10,577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Amortization expense</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1,217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1,200</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2,049</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1,859</w:t>
            </w:r>
          </w:p>
        </w:tc>
        <w:tc>
          <w:tcPr>
            <w:tcW w:w="16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13,624</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9,310</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17,062</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10,254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10,244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Segment earnings from operations</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95,728</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64,517</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118,444</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8,913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(42,696)</w:t>
            </w:r>
          </w:p>
        </w:tc>
        <w:tc>
          <w:tcPr>
            <w:tcW w:w="1040" w:type="dxa"/>
            <w:vAlign w:val="bottom"/>
          </w:tcPr>
          <w:p>
            <w:pPr>
              <w:jc w:val="right"/>
              <w:spacing w:after="0"/>
              <w:rPr>
                <w:sz w:val="20"/>
                <w:szCs w:val="20"/>
                <w:color w:val="auto"/>
              </w:rPr>
            </w:pPr>
            <w:r>
              <w:rPr>
                <w:rFonts w:ascii="Arial" w:cs="Arial" w:eastAsia="Arial" w:hAnsi="Arial"/>
                <w:sz w:val="18"/>
                <w:szCs w:val="18"/>
                <w:color w:val="auto"/>
              </w:rPr>
              <w:t>244,906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396,010</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249,053</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485,674</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513,081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8"/>
              </w:rPr>
              <w:t>245,659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Capital expenditures</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21,292</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18,051</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19,682</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23,576</w:t>
            </w:r>
          </w:p>
        </w:tc>
        <w:tc>
          <w:tcPr>
            <w:tcW w:w="16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2,332</w:t>
            </w:r>
          </w:p>
        </w:tc>
        <w:tc>
          <w:tcPr>
            <w:tcW w:w="1040" w:type="dxa"/>
            <w:vAlign w:val="bottom"/>
          </w:tcPr>
          <w:p>
            <w:pPr>
              <w:jc w:val="right"/>
              <w:spacing w:after="0"/>
              <w:rPr>
                <w:sz w:val="20"/>
                <w:szCs w:val="20"/>
                <w:color w:val="auto"/>
              </w:rPr>
            </w:pPr>
            <w:r>
              <w:rPr>
                <w:rFonts w:ascii="Arial" w:cs="Arial" w:eastAsia="Arial" w:hAnsi="Arial"/>
                <w:sz w:val="18"/>
                <w:szCs w:val="18"/>
                <w:color w:val="auto"/>
              </w:rPr>
              <w:t>84,933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49</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North</w:t>
            </w: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South</w:t>
            </w:r>
          </w:p>
        </w:tc>
        <w:tc>
          <w:tcPr>
            <w:tcW w:w="240" w:type="dxa"/>
            <w:vAlign w:val="bottom"/>
          </w:tcPr>
          <w:p>
            <w:pPr>
              <w:spacing w:after="0"/>
              <w:rPr>
                <w:sz w:val="10"/>
                <w:szCs w:val="10"/>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West</w:t>
            </w:r>
          </w:p>
        </w:tc>
        <w:tc>
          <w:tcPr>
            <w:tcW w:w="200" w:type="dxa"/>
            <w:vAlign w:val="bottom"/>
          </w:tcPr>
          <w:p>
            <w:pPr>
              <w:spacing w:after="0"/>
              <w:rPr>
                <w:sz w:val="10"/>
                <w:szCs w:val="10"/>
                <w:color w:val="auto"/>
              </w:rPr>
            </w:pPr>
          </w:p>
        </w:tc>
        <w:tc>
          <w:tcPr>
            <w:tcW w:w="780" w:type="dxa"/>
            <w:vAlign w:val="bottom"/>
          </w:tcPr>
          <w:p>
            <w:pPr>
              <w:jc w:val="right"/>
              <w:ind w:right="354"/>
              <w:spacing w:after="0" w:line="126" w:lineRule="exact"/>
              <w:rPr>
                <w:sz w:val="20"/>
                <w:szCs w:val="20"/>
                <w:color w:val="auto"/>
              </w:rPr>
            </w:pPr>
            <w:r>
              <w:rPr>
                <w:rFonts w:ascii="Arial" w:cs="Arial" w:eastAsia="Arial" w:hAnsi="Arial"/>
                <w:sz w:val="14"/>
                <w:szCs w:val="14"/>
                <w:b w:val="1"/>
                <w:bCs w:val="1"/>
                <w:color w:val="auto"/>
              </w:rPr>
              <w:t>All</w:t>
            </w:r>
          </w:p>
        </w:tc>
        <w:tc>
          <w:tcPr>
            <w:tcW w:w="98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0"/>
                <w:szCs w:val="10"/>
                <w:color w:val="auto"/>
              </w:rPr>
            </w:pPr>
          </w:p>
        </w:tc>
        <w:tc>
          <w:tcPr>
            <w:tcW w:w="8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Other</w:t>
            </w:r>
          </w:p>
        </w:tc>
        <w:tc>
          <w:tcPr>
            <w:tcW w:w="9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w w:val="92"/>
              </w:rPr>
              <w:t>$ 1,279,459</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6"/>
              </w:rPr>
              <w:t>$ 1,024,747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2"/>
              </w:rPr>
              <w:t>1,599,274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2"/>
              </w:rPr>
              <w:t>585,700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4,489,180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200" w:type="dxa"/>
            <w:vAlign w:val="bottom"/>
            <w:gridSpan w:val="3"/>
          </w:tcPr>
          <w:p>
            <w:pPr>
              <w:jc w:val="right"/>
              <w:ind w:right="122"/>
              <w:spacing w:after="0"/>
              <w:rPr>
                <w:sz w:val="20"/>
                <w:szCs w:val="20"/>
                <w:color w:val="auto"/>
              </w:rPr>
            </w:pPr>
            <w:r>
              <w:rPr>
                <w:rFonts w:ascii="Arial" w:cs="Arial" w:eastAsia="Arial" w:hAnsi="Arial"/>
                <w:sz w:val="18"/>
                <w:szCs w:val="18"/>
                <w:color w:val="auto"/>
              </w:rPr>
              <w:t>56,682</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76,297</w:t>
            </w:r>
          </w:p>
        </w:tc>
        <w:tc>
          <w:tcPr>
            <w:tcW w:w="240" w:type="dxa"/>
            <w:vAlign w:val="bottom"/>
          </w:tcPr>
          <w:p>
            <w:pPr>
              <w:spacing w:after="0"/>
              <w:rPr>
                <w:sz w:val="18"/>
                <w:szCs w:val="18"/>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56,004</w:t>
            </w:r>
          </w:p>
        </w:tc>
        <w:tc>
          <w:tcPr>
            <w:tcW w:w="200" w:type="dxa"/>
            <w:vAlign w:val="bottom"/>
          </w:tcPr>
          <w:p>
            <w:pPr>
              <w:spacing w:after="0"/>
              <w:rPr>
                <w:sz w:val="18"/>
                <w:szCs w:val="18"/>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w w:val="92"/>
              </w:rPr>
              <w:t>235,905</w:t>
            </w:r>
          </w:p>
        </w:tc>
        <w:tc>
          <w:tcPr>
            <w:tcW w:w="2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58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10,130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Amortization expense</w:t>
            </w:r>
          </w:p>
        </w:tc>
        <w:tc>
          <w:tcPr>
            <w:tcW w:w="1200" w:type="dxa"/>
            <w:vAlign w:val="bottom"/>
            <w:gridSpan w:val="3"/>
          </w:tcPr>
          <w:p>
            <w:pPr>
              <w:jc w:val="right"/>
              <w:ind w:right="122"/>
              <w:spacing w:after="0"/>
              <w:rPr>
                <w:sz w:val="20"/>
                <w:szCs w:val="20"/>
                <w:color w:val="auto"/>
              </w:rPr>
            </w:pPr>
            <w:r>
              <w:rPr>
                <w:rFonts w:ascii="Arial" w:cs="Arial" w:eastAsia="Arial" w:hAnsi="Arial"/>
                <w:sz w:val="18"/>
                <w:szCs w:val="18"/>
                <w:color w:val="auto"/>
              </w:rPr>
              <w:t>830</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1,292</w:t>
            </w:r>
          </w:p>
        </w:tc>
        <w:tc>
          <w:tcPr>
            <w:tcW w:w="240" w:type="dxa"/>
            <w:vAlign w:val="bottom"/>
          </w:tcPr>
          <w:p>
            <w:pPr>
              <w:spacing w:after="0"/>
              <w:rPr>
                <w:sz w:val="18"/>
                <w:szCs w:val="18"/>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1,998</w:t>
            </w:r>
          </w:p>
        </w:tc>
        <w:tc>
          <w:tcPr>
            <w:tcW w:w="200" w:type="dxa"/>
            <w:vAlign w:val="bottom"/>
          </w:tcPr>
          <w:p>
            <w:pPr>
              <w:spacing w:after="0"/>
              <w:rPr>
                <w:sz w:val="18"/>
                <w:szCs w:val="18"/>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2,273</w:t>
            </w:r>
          </w:p>
        </w:tc>
        <w:tc>
          <w:tcPr>
            <w:tcW w:w="2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12,062</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8,244</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14,836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10,341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9,466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w w:val="91"/>
              </w:rPr>
              <w:t>Segment earnings from operations</w:t>
            </w:r>
          </w:p>
        </w:tc>
        <w:tc>
          <w:tcPr>
            <w:tcW w:w="1200" w:type="dxa"/>
            <w:vAlign w:val="bottom"/>
            <w:gridSpan w:val="3"/>
          </w:tcPr>
          <w:p>
            <w:pPr>
              <w:jc w:val="right"/>
              <w:ind w:right="122"/>
              <w:spacing w:after="0"/>
              <w:rPr>
                <w:sz w:val="20"/>
                <w:szCs w:val="20"/>
                <w:color w:val="auto"/>
              </w:rPr>
            </w:pPr>
            <w:r>
              <w:rPr>
                <w:rFonts w:ascii="Arial" w:cs="Arial" w:eastAsia="Arial" w:hAnsi="Arial"/>
                <w:sz w:val="18"/>
                <w:szCs w:val="18"/>
                <w:color w:val="auto"/>
              </w:rPr>
              <w:t>66,239</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60,049</w:t>
            </w:r>
          </w:p>
        </w:tc>
        <w:tc>
          <w:tcPr>
            <w:tcW w:w="240" w:type="dxa"/>
            <w:vAlign w:val="bottom"/>
          </w:tcPr>
          <w:p>
            <w:pPr>
              <w:spacing w:after="0"/>
              <w:rPr>
                <w:sz w:val="18"/>
                <w:szCs w:val="18"/>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103,357</w:t>
            </w:r>
          </w:p>
        </w:tc>
        <w:tc>
          <w:tcPr>
            <w:tcW w:w="200" w:type="dxa"/>
            <w:vAlign w:val="bottom"/>
          </w:tcPr>
          <w:p>
            <w:pPr>
              <w:spacing w:after="0"/>
              <w:rPr>
                <w:sz w:val="18"/>
                <w:szCs w:val="18"/>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6,779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(29,161)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20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386,483</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266,503</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496,939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2"/>
              </w:rPr>
              <w:t>395,727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2"/>
              </w:rPr>
              <w:t>101,896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1,647,548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0" w:type="dxa"/>
            <w:vAlign w:val="bottom"/>
            <w:gridSpan w:val="3"/>
          </w:tcPr>
          <w:p>
            <w:pPr>
              <w:jc w:val="right"/>
              <w:ind w:right="122"/>
              <w:spacing w:after="0"/>
              <w:rPr>
                <w:sz w:val="20"/>
                <w:szCs w:val="20"/>
                <w:color w:val="auto"/>
              </w:rPr>
            </w:pPr>
            <w:r>
              <w:rPr>
                <w:rFonts w:ascii="Arial" w:cs="Arial" w:eastAsia="Arial" w:hAnsi="Arial"/>
                <w:sz w:val="18"/>
                <w:szCs w:val="18"/>
                <w:color w:val="auto"/>
              </w:rPr>
              <w:t>17,820</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9,185</w:t>
            </w:r>
          </w:p>
        </w:tc>
        <w:tc>
          <w:tcPr>
            <w:tcW w:w="240" w:type="dxa"/>
            <w:vAlign w:val="bottom"/>
          </w:tcPr>
          <w:p>
            <w:pPr>
              <w:spacing w:after="0"/>
              <w:rPr>
                <w:sz w:val="20"/>
                <w:szCs w:val="20"/>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26,024</w:t>
            </w:r>
          </w:p>
        </w:tc>
        <w:tc>
          <w:tcPr>
            <w:tcW w:w="200" w:type="dxa"/>
            <w:vAlign w:val="bottom"/>
          </w:tcPr>
          <w:p>
            <w:pPr>
              <w:spacing w:after="0"/>
              <w:rPr>
                <w:sz w:val="20"/>
                <w:szCs w:val="20"/>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39,168</w:t>
            </w:r>
          </w:p>
        </w:tc>
        <w:tc>
          <w:tcPr>
            <w:tcW w:w="22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3,665</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95,862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North</w:t>
            </w:r>
          </w:p>
        </w:tc>
        <w:tc>
          <w:tcPr>
            <w:tcW w:w="10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South</w:t>
            </w:r>
          </w:p>
        </w:tc>
        <w:tc>
          <w:tcPr>
            <w:tcW w:w="240" w:type="dxa"/>
            <w:vAlign w:val="bottom"/>
          </w:tcPr>
          <w:p>
            <w:pPr>
              <w:spacing w:after="0"/>
              <w:rPr>
                <w:sz w:val="10"/>
                <w:szCs w:val="10"/>
                <w:color w:val="auto"/>
              </w:rPr>
            </w:pPr>
          </w:p>
        </w:tc>
        <w:tc>
          <w:tcPr>
            <w:tcW w:w="9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West</w:t>
            </w:r>
          </w:p>
        </w:tc>
        <w:tc>
          <w:tcPr>
            <w:tcW w:w="200" w:type="dxa"/>
            <w:vAlign w:val="bottom"/>
          </w:tcPr>
          <w:p>
            <w:pPr>
              <w:spacing w:after="0"/>
              <w:rPr>
                <w:sz w:val="10"/>
                <w:szCs w:val="10"/>
                <w:color w:val="auto"/>
              </w:rPr>
            </w:pPr>
          </w:p>
        </w:tc>
        <w:tc>
          <w:tcPr>
            <w:tcW w:w="780" w:type="dxa"/>
            <w:vAlign w:val="bottom"/>
          </w:tcPr>
          <w:p>
            <w:pPr>
              <w:jc w:val="right"/>
              <w:ind w:right="314"/>
              <w:spacing w:after="0" w:line="126" w:lineRule="exact"/>
              <w:rPr>
                <w:sz w:val="20"/>
                <w:szCs w:val="20"/>
                <w:color w:val="auto"/>
              </w:rPr>
            </w:pPr>
            <w:r>
              <w:rPr>
                <w:rFonts w:ascii="Arial" w:cs="Arial" w:eastAsia="Arial" w:hAnsi="Arial"/>
                <w:sz w:val="14"/>
                <w:szCs w:val="14"/>
                <w:b w:val="1"/>
                <w:bCs w:val="1"/>
                <w:color w:val="auto"/>
              </w:rPr>
              <w:t>All</w:t>
            </w:r>
          </w:p>
        </w:tc>
        <w:tc>
          <w:tcPr>
            <w:tcW w:w="9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0"/>
                <w:szCs w:val="10"/>
                <w:color w:val="auto"/>
              </w:rPr>
            </w:pPr>
          </w:p>
        </w:tc>
        <w:tc>
          <w:tcPr>
            <w:tcW w:w="8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Other</w:t>
            </w:r>
          </w:p>
        </w:tc>
        <w:tc>
          <w:tcPr>
            <w:tcW w:w="9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60" w:type="dxa"/>
            <w:vAlign w:val="bottom"/>
            <w:gridSpan w:val="2"/>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$ 1,133,656</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$ 837,370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1,417,924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8"/>
              </w:rPr>
              <w:t>552,232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3,941,182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67,161</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74,566</w:t>
            </w:r>
          </w:p>
        </w:tc>
        <w:tc>
          <w:tcPr>
            <w:tcW w:w="24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83,245</w:t>
            </w:r>
          </w:p>
        </w:tc>
        <w:tc>
          <w:tcPr>
            <w:tcW w:w="20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w w:val="98"/>
              </w:rPr>
              <w:t>167,568</w:t>
            </w:r>
          </w:p>
        </w:tc>
        <w:tc>
          <w:tcPr>
            <w:tcW w:w="2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6,234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Amortization expense</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559</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1,723</w:t>
            </w:r>
          </w:p>
        </w:tc>
        <w:tc>
          <w:tcPr>
            <w:tcW w:w="20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1,971</w:t>
            </w:r>
          </w:p>
        </w:tc>
        <w:tc>
          <w:tcPr>
            <w:tcW w:w="2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10,511</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6,880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14,116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8,586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8,443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w w:val="91"/>
              </w:rPr>
              <w:t>Segment earnings from operations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61,326</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46,646</w:t>
            </w:r>
          </w:p>
        </w:tc>
        <w:tc>
          <w:tcPr>
            <w:tcW w:w="24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82,465</w:t>
            </w:r>
          </w:p>
        </w:tc>
        <w:tc>
          <w:tcPr>
            <w:tcW w:w="20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17,296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(26,264)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351,270</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240,661</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462,311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8"/>
              </w:rPr>
              <w:t>356,264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54,171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1,464,677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23,026</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12,286</w:t>
            </w:r>
          </w:p>
        </w:tc>
        <w:tc>
          <w:tcPr>
            <w:tcW w:w="24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23,212</w:t>
            </w:r>
          </w:p>
        </w:tc>
        <w:tc>
          <w:tcPr>
            <w:tcW w:w="20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9,865</w:t>
            </w:r>
          </w:p>
        </w:tc>
        <w:tc>
          <w:tcPr>
            <w:tcW w:w="22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2,727</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Beginning on January 1, 2020, the Company will be re-organized around the markets it serves rather than geography. The business segments will primarily align with the following markets: UFP Retail, UFP Construction and UFP Industrial. We believe this change in segmentation will, among other factors, allow for a more specialized and consistent approach among all UFP operations, more efficient use of resources and capital, and quicker introduction of new products and services.</w:t>
      </w: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regarding principal geographic areas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5"/>
              </w:rPr>
              <w:t>Long-Lived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5"/>
              </w:rPr>
              <w:t>Long-Lived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5"/>
              </w:rPr>
              <w:t>Long-Lived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5"/>
              </w:rPr>
              <w:t>Net Sales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3"/>
              </w:rPr>
              <w:t>Tangible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5"/>
              </w:rPr>
              <w:t>Net Sales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Tangible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Net Sales</w:t>
            </w:r>
          </w:p>
        </w:tc>
        <w:tc>
          <w:tcPr>
            <w:tcW w:w="120" w:type="dxa"/>
            <w:vAlign w:val="bottom"/>
          </w:tcPr>
          <w:p>
            <w:pPr>
              <w:spacing w:after="0"/>
              <w:rPr>
                <w:sz w:val="12"/>
                <w:szCs w:val="12"/>
                <w:color w:val="auto"/>
              </w:rPr>
            </w:pPr>
          </w:p>
        </w:tc>
        <w:tc>
          <w:tcPr>
            <w:tcW w:w="7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3"/>
              </w:rPr>
              <w:t>Tangible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7"/>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7"/>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4,308,618</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469,605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4,382,356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342,326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3,821,366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107,391</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106,824</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119,816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4,416,009</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506,483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4,489,180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376,638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3,941,182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generated in Canada and Mexico are primarily to customers in the United States of America.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for the periods indicated, our gross sales (in thousands) by major product classification.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6"/>
              </w:rPr>
              <w:t>December 28,</w:t>
            </w:r>
          </w:p>
        </w:tc>
        <w:tc>
          <w:tcPr>
            <w:tcW w:w="160" w:type="dxa"/>
            <w:vAlign w:val="bottom"/>
          </w:tcPr>
          <w:p>
            <w:pPr>
              <w:spacing w:after="0"/>
              <w:rPr>
                <w:sz w:val="10"/>
                <w:szCs w:val="10"/>
                <w:color w:val="auto"/>
              </w:rPr>
            </w:pPr>
          </w:p>
        </w:tc>
        <w:tc>
          <w:tcPr>
            <w:tcW w:w="1120" w:type="dxa"/>
            <w:vAlign w:val="bottom"/>
            <w:gridSpan w:val="3"/>
          </w:tcPr>
          <w:p>
            <w:pPr>
              <w:jc w:val="center"/>
              <w:ind w:right="160"/>
              <w:spacing w:after="0" w:line="126" w:lineRule="exact"/>
              <w:rPr>
                <w:sz w:val="20"/>
                <w:szCs w:val="20"/>
                <w:color w:val="auto"/>
              </w:rPr>
            </w:pPr>
            <w:r>
              <w:rPr>
                <w:rFonts w:ascii="Arial" w:cs="Arial" w:eastAsia="Arial" w:hAnsi="Arial"/>
                <w:sz w:val="14"/>
                <w:szCs w:val="14"/>
                <w:b w:val="1"/>
                <w:bCs w:val="1"/>
                <w:color w:val="auto"/>
                <w:w w:val="92"/>
              </w:rPr>
              <w:t>December 29,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0"/>
              </w:rPr>
              <w:t>December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4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Value-Added Sales</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Trusses – residential, modular and manufactured housing</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438,621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421,996</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368,591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Fencing</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Decking and railing – composite, wood and other</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310,311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261,778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Turn-key framing and installed sales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Industrial packaging and components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676,214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591,314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Engineered wood products (eg. LVL; i-joist)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In-store fixtures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274,580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252,341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Manufactured brite and other lumber</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Wall panels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64,357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Outdoor DIY products (eg. stakes; landscape ties)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Construction and building materials (eg. door packages; drywall)</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320,603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314,965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Lattice – plastic and wood</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Manufactured brite and other panels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79,122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94,469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Siding, trim and moulding</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Hardware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Manufactured treated lumber</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11,946</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Value-Added Sales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3,104,336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2,938,729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2,621,641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Commodity-Based Sales</w:t>
            </w:r>
          </w:p>
        </w:tc>
        <w:tc>
          <w:tcPr>
            <w:tcW w:w="3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Non-manufactured brite and other lumber</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594,534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700,143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Non-manufactured treated lumber</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Non-manufactured brite and other panels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205,678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278,898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Non-manufactured treated panels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23,266</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19,393</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Commodity-Based Sales</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1,387,848</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1,627,020</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1,384,562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gridSpan w:val="3"/>
          </w:tcPr>
          <w:p>
            <w:pPr>
              <w:spacing w:after="0" w:line="203" w:lineRule="exact"/>
              <w:rPr>
                <w:sz w:val="20"/>
                <w:szCs w:val="20"/>
                <w:color w:val="auto"/>
              </w:rPr>
            </w:pPr>
            <w:r>
              <w:rPr>
                <w:rFonts w:ascii="Arial" w:cs="Arial" w:eastAsia="Arial" w:hAnsi="Arial"/>
                <w:sz w:val="18"/>
                <w:szCs w:val="18"/>
                <w:color w:val="auto"/>
              </w:rPr>
              <w:t>Total Gross Sales</w:t>
            </w:r>
          </w:p>
        </w:tc>
        <w:tc>
          <w:tcPr>
            <w:tcW w:w="5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4"/>
              </w:rPr>
              <w:t>4,492,184</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w w:val="99"/>
              </w:rPr>
              <w:t>4,565,749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4,006,203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(76,175)</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(76,569)</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(65,021)</w:t>
            </w:r>
          </w:p>
        </w:tc>
        <w:tc>
          <w:tcPr>
            <w:tcW w:w="0" w:type="dxa"/>
            <w:vAlign w:val="bottom"/>
          </w:tcPr>
          <w:p>
            <w:pPr>
              <w:spacing w:after="0"/>
              <w:rPr>
                <w:sz w:val="1"/>
                <w:szCs w:val="1"/>
                <w:color w:val="auto"/>
              </w:rPr>
            </w:pPr>
          </w:p>
        </w:tc>
      </w:tr>
      <w:tr>
        <w:trPr>
          <w:trHeight w:val="203"/>
        </w:trPr>
        <w:tc>
          <w:tcPr>
            <w:tcW w:w="5240" w:type="dxa"/>
            <w:vAlign w:val="bottom"/>
            <w:gridSpan w:val="4"/>
          </w:tcPr>
          <w:p>
            <w:pPr>
              <w:spacing w:after="0" w:line="203" w:lineRule="exact"/>
              <w:rPr>
                <w:sz w:val="20"/>
                <w:szCs w:val="20"/>
                <w:color w:val="auto"/>
              </w:rPr>
            </w:pPr>
            <w:r>
              <w:rPr>
                <w:rFonts w:ascii="Arial" w:cs="Arial" w:eastAsia="Arial" w:hAnsi="Arial"/>
                <w:sz w:val="18"/>
                <w:szCs w:val="18"/>
                <w:color w:val="auto"/>
              </w:rPr>
              <w:t>Total Net Sales</w:t>
            </w:r>
          </w:p>
        </w:tc>
        <w:tc>
          <w:tcPr>
            <w:tcW w:w="5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4,416,009</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4,489,180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3,941,182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Note that the prior year information has been restated due to reclassification of certain products.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hanging="651"/>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FINANCIAL INFORMATION (UNAUDITED)</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table sets forth selected financial information for all of the quarters, consisting of 13 weeks during the years ended December 28, 2019 and December 29, 2018, respectively, (in thousands, except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First</w:t>
            </w:r>
          </w:p>
        </w:tc>
        <w:tc>
          <w:tcPr>
            <w:tcW w:w="160" w:type="dxa"/>
            <w:vAlign w:val="bottom"/>
          </w:tcPr>
          <w:p>
            <w:pPr>
              <w:spacing w:after="0"/>
              <w:rPr>
                <w:sz w:val="19"/>
                <w:szCs w:val="19"/>
                <w:color w:val="auto"/>
              </w:rPr>
            </w:pPr>
          </w:p>
        </w:tc>
        <w:tc>
          <w:tcPr>
            <w:tcW w:w="186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Second</w:t>
            </w:r>
          </w:p>
        </w:tc>
        <w:tc>
          <w:tcPr>
            <w:tcW w:w="160" w:type="dxa"/>
            <w:vAlign w:val="bottom"/>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Third</w:t>
            </w:r>
          </w:p>
        </w:tc>
        <w:tc>
          <w:tcPr>
            <w:tcW w:w="7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Fourth</w:t>
            </w:r>
          </w:p>
        </w:tc>
        <w:tc>
          <w:tcPr>
            <w:tcW w:w="58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9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02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2018</w:t>
            </w:r>
          </w:p>
        </w:tc>
      </w:tr>
      <w:tr>
        <w:trPr>
          <w:trHeight w:val="203"/>
        </w:trPr>
        <w:tc>
          <w:tcPr>
            <w:tcW w:w="20" w:type="dxa"/>
            <w:vAlign w:val="bottom"/>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$ 1,015,125</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$ 993,857</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$ 1,239,817</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$ 1,294,440</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$ 1,163,026</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1,212,702</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$ 998,041</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988,181</w:t>
            </w: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Arial" w:cs="Arial" w:eastAsia="Arial" w:hAnsi="Arial"/>
                <w:sz w:val="16"/>
                <w:szCs w:val="16"/>
                <w:color w:val="auto"/>
              </w:rPr>
              <w:t>Gross profit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154,267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130,889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186,726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165,689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187,270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158,673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157,255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137,643</w:t>
            </w: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33,582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55,145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45,130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52,581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38,676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31,632</w:t>
            </w:r>
          </w:p>
        </w:tc>
      </w:tr>
      <w:tr>
        <w:trPr>
          <w:trHeight w:val="193"/>
        </w:trPr>
        <w:tc>
          <w:tcPr>
            <w:tcW w:w="20" w:type="dxa"/>
            <w:vAlign w:val="bottom"/>
          </w:tcPr>
          <w:p>
            <w:pPr>
              <w:spacing w:after="0"/>
              <w:rPr>
                <w:sz w:val="16"/>
                <w:szCs w:val="16"/>
                <w:color w:val="auto"/>
              </w:rPr>
            </w:pPr>
          </w:p>
        </w:tc>
        <w:tc>
          <w:tcPr>
            <w:tcW w:w="1320" w:type="dxa"/>
            <w:vAlign w:val="bottom"/>
          </w:tcPr>
          <w:p>
            <w:pPr>
              <w:spacing w:after="0"/>
              <w:rPr>
                <w:sz w:val="20"/>
                <w:szCs w:val="20"/>
                <w:color w:val="auto"/>
              </w:rPr>
            </w:pPr>
            <w:r>
              <w:rPr>
                <w:rFonts w:ascii="Arial" w:cs="Arial" w:eastAsia="Arial" w:hAnsi="Arial"/>
                <w:sz w:val="16"/>
                <w:szCs w:val="16"/>
                <w:color w:val="auto"/>
              </w:rPr>
              <w:t>Net earnings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3"/>
        </w:trPr>
        <w:tc>
          <w:tcPr>
            <w:tcW w:w="1340" w:type="dxa"/>
            <w:vAlign w:val="bottom"/>
            <w:gridSpan w:val="2"/>
          </w:tcPr>
          <w:p>
            <w:pPr>
              <w:spacing w:after="0"/>
              <w:rPr>
                <w:sz w:val="20"/>
                <w:szCs w:val="20"/>
                <w:color w:val="auto"/>
              </w:rPr>
            </w:pPr>
            <w:r>
              <w:rPr>
                <w:rFonts w:ascii="Arial" w:cs="Arial" w:eastAsia="Arial" w:hAnsi="Arial"/>
                <w:sz w:val="16"/>
                <w:szCs w:val="16"/>
                <w:color w:val="auto"/>
              </w:rPr>
              <w:t>attributable to</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6"/>
        </w:trPr>
        <w:tc>
          <w:tcPr>
            <w:tcW w:w="1340" w:type="dxa"/>
            <w:vAlign w:val="bottom"/>
            <w:gridSpan w:val="2"/>
          </w:tcPr>
          <w:p>
            <w:pPr>
              <w:spacing w:after="0"/>
              <w:rPr>
                <w:sz w:val="20"/>
                <w:szCs w:val="20"/>
                <w:color w:val="auto"/>
              </w:rPr>
            </w:pPr>
            <w:r>
              <w:rPr>
                <w:rFonts w:ascii="Arial" w:cs="Arial" w:eastAsia="Arial" w:hAnsi="Arial"/>
                <w:sz w:val="16"/>
                <w:szCs w:val="16"/>
                <w:color w:val="auto"/>
              </w:rPr>
              <w:t>controlling interest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35,540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32,833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54,515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44,044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51,859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41,219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37,736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30,502</w:t>
            </w:r>
          </w:p>
        </w:tc>
      </w:tr>
      <w:tr>
        <w:trPr>
          <w:trHeight w:val="199"/>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w w:val="98"/>
              </w:rPr>
              <w:t>Basic earnings per</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share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r>
      <w:tr>
        <w:trPr>
          <w:trHeight w:val="193"/>
        </w:trPr>
        <w:tc>
          <w:tcPr>
            <w:tcW w:w="20" w:type="dxa"/>
            <w:vAlign w:val="bottom"/>
          </w:tcPr>
          <w:p>
            <w:pPr>
              <w:spacing w:after="0"/>
              <w:rPr>
                <w:sz w:val="16"/>
                <w:szCs w:val="16"/>
                <w:color w:val="auto"/>
              </w:rPr>
            </w:pPr>
          </w:p>
        </w:tc>
        <w:tc>
          <w:tcPr>
            <w:tcW w:w="1320" w:type="dxa"/>
            <w:vAlign w:val="bottom"/>
          </w:tcPr>
          <w:p>
            <w:pPr>
              <w:spacing w:after="0"/>
              <w:rPr>
                <w:sz w:val="20"/>
                <w:szCs w:val="20"/>
                <w:color w:val="auto"/>
              </w:rPr>
            </w:pPr>
            <w:r>
              <w:rPr>
                <w:rFonts w:ascii="Arial" w:cs="Arial" w:eastAsia="Arial" w:hAnsi="Arial"/>
                <w:sz w:val="16"/>
                <w:szCs w:val="16"/>
                <w:color w:val="auto"/>
              </w:rPr>
              <w:t>Diluted earnings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6"/>
        </w:trPr>
        <w:tc>
          <w:tcPr>
            <w:tcW w:w="1340" w:type="dxa"/>
            <w:vAlign w:val="bottom"/>
            <w:gridSpan w:val="2"/>
          </w:tcPr>
          <w:p>
            <w:pPr>
              <w:spacing w:after="0"/>
              <w:rPr>
                <w:sz w:val="20"/>
                <w:szCs w:val="20"/>
                <w:color w:val="auto"/>
              </w:rPr>
            </w:pPr>
            <w:r>
              <w:rPr>
                <w:rFonts w:ascii="Arial" w:cs="Arial" w:eastAsia="Arial" w:hAnsi="Arial"/>
                <w:sz w:val="16"/>
                <w:szCs w:val="16"/>
                <w:color w:val="auto"/>
              </w:rPr>
              <w:t>per share</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0.58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0.53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0.88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0.71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0.84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0.66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0.61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MARKET INFORMATION FOR OUR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trades on The Nasdaq Stock Market (“NASDAQ”) under the symbol UFPI.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PERFORMANCE GRAPH</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graph depicts the cumulative total return on our common stock compared to the cumulative total return on the indices for The Nasdaq Stock Market (all U.S. companies) and an industry peer group we selected. The graph assumes an investment of $100 on December 28, 2013,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114300</wp:posOffset>
            </wp:positionV>
            <wp:extent cx="5531485" cy="2941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553148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companies included in our self-determined industry peer group are as follows:</w:t>
      </w:r>
    </w:p>
    <w:p>
      <w:pPr>
        <w:sectPr>
          <w:pgSz w:w="11900" w:h="16838" w:orient="portrait"/>
          <w:cols w:equalWidth="0" w:num="1">
            <w:col w:w="9060"/>
          </w:cols>
          <w:pgMar w:left="1420" w:top="517" w:right="141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American Woodmark Corporation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Louisiana-Pacific Corporation</w:t>
      </w:r>
    </w:p>
    <w:p>
      <w:pPr>
        <w:spacing w:after="0" w:line="140" w:lineRule="exact"/>
        <w:rPr>
          <w:sz w:val="20"/>
          <w:szCs w:val="20"/>
          <w:color w:val="auto"/>
        </w:rPr>
      </w:pPr>
    </w:p>
    <w:p>
      <w:pPr>
        <w:sectPr>
          <w:pgSz w:w="11900" w:h="16838" w:orient="portrait"/>
          <w:cols w:equalWidth="0" w:num="2">
            <w:col w:w="3820" w:space="720"/>
            <w:col w:w="4520"/>
          </w:cols>
          <w:pgMar w:left="1420" w:top="517" w:right="1419" w:bottom="1440" w:gutter="0" w:footer="0" w:header="0"/>
          <w:type w:val="continuous"/>
        </w:sectPr>
      </w:pPr>
    </w:p>
    <w:p>
      <w:pPr>
        <w:spacing w:after="0"/>
        <w:rPr>
          <w:sz w:val="20"/>
          <w:szCs w:val="20"/>
          <w:color w:val="auto"/>
        </w:rPr>
      </w:pPr>
      <w:r>
        <w:rPr>
          <w:rFonts w:ascii="Arial" w:cs="Arial" w:eastAsia="Arial" w:hAnsi="Arial"/>
          <w:sz w:val="17"/>
          <w:szCs w:val="17"/>
          <w:color w:val="auto"/>
        </w:rPr>
        <w:t>BlueLinx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Masco Corporation</w:t>
      </w:r>
    </w:p>
    <w:p>
      <w:pPr>
        <w:spacing w:after="0" w:line="140" w:lineRule="exact"/>
        <w:rPr>
          <w:sz w:val="20"/>
          <w:szCs w:val="20"/>
          <w:color w:val="auto"/>
        </w:rPr>
      </w:pPr>
    </w:p>
    <w:p>
      <w:pPr>
        <w:sectPr>
          <w:pgSz w:w="11900" w:h="16838" w:orient="portrait"/>
          <w:cols w:equalWidth="0" w:num="2">
            <w:col w:w="3820" w:space="720"/>
            <w:col w:w="4520"/>
          </w:cols>
          <w:pgMar w:left="1420" w:top="517" w:right="1419" w:bottom="1440" w:gutter="0" w:footer="0" w:header="0"/>
          <w:type w:val="continuous"/>
        </w:sectPr>
      </w:pPr>
    </w:p>
    <w:p>
      <w:pPr>
        <w:spacing w:after="0"/>
        <w:rPr>
          <w:sz w:val="20"/>
          <w:szCs w:val="20"/>
          <w:color w:val="auto"/>
        </w:rPr>
      </w:pPr>
      <w:r>
        <w:rPr>
          <w:rFonts w:ascii="Arial" w:cs="Arial" w:eastAsia="Arial" w:hAnsi="Arial"/>
          <w:sz w:val="17"/>
          <w:szCs w:val="17"/>
          <w:color w:val="auto"/>
        </w:rPr>
        <w:t>BMC Stock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Simpson Manufacturing Company, Inc.</w:t>
      </w:r>
    </w:p>
    <w:p>
      <w:pPr>
        <w:spacing w:after="0" w:line="140" w:lineRule="exact"/>
        <w:rPr>
          <w:sz w:val="20"/>
          <w:szCs w:val="20"/>
          <w:color w:val="auto"/>
        </w:rPr>
      </w:pPr>
    </w:p>
    <w:p>
      <w:pPr>
        <w:sectPr>
          <w:pgSz w:w="11900" w:h="16838" w:orient="portrait"/>
          <w:cols w:equalWidth="0" w:num="2">
            <w:col w:w="3820" w:space="720"/>
            <w:col w:w="4520"/>
          </w:cols>
          <w:pgMar w:left="1420" w:top="517" w:right="1419" w:bottom="1440" w:gutter="0" w:footer="0" w:header="0"/>
          <w:type w:val="continuous"/>
        </w:sectPr>
      </w:pPr>
    </w:p>
    <w:p>
      <w:pPr>
        <w:spacing w:after="0"/>
        <w:rPr>
          <w:sz w:val="20"/>
          <w:szCs w:val="20"/>
          <w:color w:val="auto"/>
        </w:rPr>
      </w:pPr>
      <w:r>
        <w:rPr>
          <w:rFonts w:ascii="Arial" w:cs="Arial" w:eastAsia="Arial" w:hAnsi="Arial"/>
          <w:sz w:val="16"/>
          <w:szCs w:val="16"/>
          <w:color w:val="auto"/>
        </w:rPr>
        <w:t>Boise Cascade,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Sonoco Products Company</w:t>
      </w:r>
    </w:p>
    <w:p>
      <w:pPr>
        <w:spacing w:after="0" w:line="140" w:lineRule="exact"/>
        <w:rPr>
          <w:sz w:val="20"/>
          <w:szCs w:val="20"/>
          <w:color w:val="auto"/>
        </w:rPr>
      </w:pPr>
    </w:p>
    <w:p>
      <w:pPr>
        <w:sectPr>
          <w:pgSz w:w="11900" w:h="16838" w:orient="portrait"/>
          <w:cols w:equalWidth="0" w:num="2">
            <w:col w:w="3820" w:space="720"/>
            <w:col w:w="4520"/>
          </w:cols>
          <w:pgMar w:left="1420" w:top="517" w:right="1419" w:bottom="1440" w:gutter="0" w:footer="0" w:header="0"/>
          <w:type w:val="continuous"/>
        </w:sectPr>
      </w:pPr>
    </w:p>
    <w:p>
      <w:pPr>
        <w:spacing w:after="0"/>
        <w:rPr>
          <w:sz w:val="20"/>
          <w:szCs w:val="20"/>
          <w:color w:val="auto"/>
        </w:rPr>
      </w:pPr>
      <w:r>
        <w:rPr>
          <w:rFonts w:ascii="Arial" w:cs="Arial" w:eastAsia="Arial" w:hAnsi="Arial"/>
          <w:sz w:val="16"/>
          <w:szCs w:val="16"/>
          <w:color w:val="auto"/>
        </w:rPr>
        <w:t>Builders FirstSource,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Trex Company, Inc.</w:t>
      </w:r>
    </w:p>
    <w:p>
      <w:pPr>
        <w:spacing w:after="0" w:line="140" w:lineRule="exact"/>
        <w:rPr>
          <w:sz w:val="20"/>
          <w:szCs w:val="20"/>
          <w:color w:val="auto"/>
        </w:rPr>
      </w:pPr>
    </w:p>
    <w:p>
      <w:pPr>
        <w:sectPr>
          <w:pgSz w:w="11900" w:h="16838" w:orient="portrait"/>
          <w:cols w:equalWidth="0" w:num="2">
            <w:col w:w="3820" w:space="720"/>
            <w:col w:w="4520"/>
          </w:cols>
          <w:pgMar w:left="1420" w:top="517" w:right="1419" w:bottom="1440" w:gutter="0" w:footer="0" w:header="0"/>
          <w:type w:val="continuous"/>
        </w:sectPr>
      </w:pPr>
    </w:p>
    <w:p>
      <w:pPr>
        <w:spacing w:after="0"/>
        <w:rPr>
          <w:sz w:val="20"/>
          <w:szCs w:val="20"/>
          <w:color w:val="auto"/>
        </w:rPr>
      </w:pPr>
      <w:r>
        <w:rPr>
          <w:rFonts w:ascii="Arial" w:cs="Arial" w:eastAsia="Arial" w:hAnsi="Arial"/>
          <w:sz w:val="16"/>
          <w:szCs w:val="16"/>
          <w:color w:val="auto"/>
        </w:rPr>
        <w:t>Cornerstone Building Brands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Westrock Company</w:t>
      </w:r>
    </w:p>
    <w:p>
      <w:pPr>
        <w:spacing w:after="0" w:line="140" w:lineRule="exact"/>
        <w:rPr>
          <w:sz w:val="20"/>
          <w:szCs w:val="20"/>
          <w:color w:val="auto"/>
        </w:rPr>
      </w:pPr>
    </w:p>
    <w:p>
      <w:pPr>
        <w:sectPr>
          <w:pgSz w:w="11900" w:h="16838" w:orient="portrait"/>
          <w:cols w:equalWidth="0" w:num="2">
            <w:col w:w="3820" w:space="720"/>
            <w:col w:w="4520"/>
          </w:cols>
          <w:pgMar w:left="1420" w:top="517" w:right="1419" w:bottom="1440" w:gutter="0" w:footer="0" w:header="0"/>
          <w:type w:val="continuous"/>
        </w:sectPr>
      </w:pPr>
    </w:p>
    <w:p>
      <w:pPr>
        <w:spacing w:after="0"/>
        <w:rPr>
          <w:sz w:val="20"/>
          <w:szCs w:val="20"/>
          <w:color w:val="auto"/>
        </w:rPr>
      </w:pPr>
      <w:r>
        <w:rPr>
          <w:rFonts w:ascii="Arial" w:cs="Arial" w:eastAsia="Arial" w:hAnsi="Arial"/>
          <w:sz w:val="16"/>
          <w:szCs w:val="16"/>
          <w:color w:val="auto"/>
        </w:rPr>
        <w:t>Gibraltar Industries,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Greif, Inc.</w:t>
      </w:r>
    </w:p>
    <w:p>
      <w:pPr>
        <w:sectPr>
          <w:pgSz w:w="11900" w:h="16838" w:orient="portrait"/>
          <w:cols w:equalWidth="0" w:num="1">
            <w:col w:w="9060"/>
          </w:cols>
          <w:pgMar w:left="1420" w:top="517" w:right="1419" w:bottom="1440" w:gutter="0" w:footer="0" w:header="0"/>
          <w:type w:val="continuous"/>
        </w:sectPr>
      </w:pP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returns of each company included in the self-determined peer group are weighted according to each respective company’s stock market capitalization at the beginning of each period presented in the graph above. In determining the members of our peer group, we considered companies who selected UFPI as a member of their peer group, and looked for similarly sized companies or companies that are a good fit with the markets we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Directors and Executive Officers</w:t>
      </w:r>
    </w:p>
    <w:p>
      <w:pPr>
        <w:sectPr>
          <w:pgSz w:w="11900" w:h="16838" w:orient="portrait"/>
          <w:cols w:equalWidth="0" w:num="1">
            <w:col w:w="9039"/>
          </w:cols>
          <w:pgMar w:left="1420" w:top="517" w:right="1440"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2479"/>
        <w:spacing w:after="0"/>
        <w:rPr>
          <w:sz w:val="20"/>
          <w:szCs w:val="20"/>
          <w:color w:val="auto"/>
        </w:rPr>
      </w:pPr>
      <w:r>
        <w:rPr>
          <w:rFonts w:ascii="Arial" w:cs="Arial" w:eastAsia="Arial" w:hAnsi="Arial"/>
          <w:sz w:val="18"/>
          <w:szCs w:val="18"/>
          <w:b w:val="1"/>
          <w:bCs w:val="1"/>
          <w:color w:val="auto"/>
        </w:rPr>
        <w:t>EXECUTIVE OFFICERS</w:t>
      </w:r>
    </w:p>
    <w:p>
      <w:pPr>
        <w:spacing w:after="0" w:line="200" w:lineRule="exact"/>
        <w:rPr>
          <w:sz w:val="20"/>
          <w:szCs w:val="20"/>
          <w:color w:val="auto"/>
        </w:rPr>
      </w:pPr>
    </w:p>
    <w:p>
      <w:pPr>
        <w:sectPr>
          <w:pgSz w:w="11900" w:h="16838" w:orient="portrait"/>
          <w:cols w:equalWidth="0" w:num="2">
            <w:col w:w="3820" w:space="720"/>
            <w:col w:w="4499"/>
          </w:cols>
          <w:pgMar w:left="1420" w:top="517" w:right="1440"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William G. Currie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Forest Products, Inc.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416" w:lineRule="exact"/>
        <w:rPr>
          <w:sz w:val="20"/>
          <w:szCs w:val="20"/>
          <w:color w:val="auto"/>
        </w:rPr>
      </w:pPr>
    </w:p>
    <w:p>
      <w:pPr>
        <w:sectPr>
          <w:pgSz w:w="11900" w:h="16838" w:orient="portrait"/>
          <w:cols w:equalWidth="0" w:num="2">
            <w:col w:w="3820" w:space="720"/>
            <w:col w:w="4499"/>
          </w:cols>
          <w:pgMar w:left="1420" w:top="517" w:right="1440"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Forest Products, Inc.</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Patrick M. Webster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Operating Officer</w:t>
      </w:r>
    </w:p>
    <w:p>
      <w:pPr>
        <w:spacing w:after="0" w:line="416" w:lineRule="exact"/>
        <w:rPr>
          <w:sz w:val="20"/>
          <w:szCs w:val="20"/>
          <w:color w:val="auto"/>
        </w:rPr>
      </w:pPr>
    </w:p>
    <w:p>
      <w:pPr>
        <w:sectPr>
          <w:pgSz w:w="11900" w:h="16838" w:orient="portrait"/>
          <w:cols w:equalWidth="0" w:num="2">
            <w:col w:w="3820" w:space="720"/>
            <w:col w:w="4499"/>
          </w:cols>
          <w:pgMar w:left="1420" w:top="517" w:right="1440"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Thomas W. Rhodes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TWR Enterprises, Inc.</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Treasurer</w:t>
      </w:r>
    </w:p>
    <w:p>
      <w:pPr>
        <w:spacing w:after="0" w:line="439" w:lineRule="exact"/>
        <w:rPr>
          <w:sz w:val="20"/>
          <w:szCs w:val="20"/>
          <w:color w:val="auto"/>
        </w:rPr>
      </w:pPr>
    </w:p>
    <w:p>
      <w:pPr>
        <w:sectPr>
          <w:pgSz w:w="11900" w:h="16838" w:orient="portrait"/>
          <w:cols w:equalWidth="0" w:num="2">
            <w:col w:w="3820" w:space="720"/>
            <w:col w:w="4499"/>
          </w:cols>
          <w:pgMar w:left="1420" w:top="517"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Bruce A. Merino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Allen T. Peters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Operating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UFP Retail, LLC</w:t>
      </w:r>
    </w:p>
    <w:p>
      <w:pPr>
        <w:spacing w:after="0" w:line="200" w:lineRule="exact"/>
        <w:rPr>
          <w:sz w:val="20"/>
          <w:szCs w:val="20"/>
          <w:color w:val="auto"/>
        </w:rPr>
      </w:pPr>
    </w:p>
    <w:p>
      <w:pPr>
        <w:sectPr>
          <w:pgSz w:w="11900" w:h="16838" w:orient="portrait"/>
          <w:cols w:equalWidth="0" w:num="2">
            <w:col w:w="3820" w:space="720"/>
            <w:col w:w="4499"/>
          </w:cols>
          <w:pgMar w:left="1420" w:top="517"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Mary E. Tuuk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Grand Rapids Symphony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Patrick Benton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UFP Construction, LLC</w:t>
      </w:r>
    </w:p>
    <w:p>
      <w:pPr>
        <w:spacing w:after="0" w:line="222" w:lineRule="exact"/>
        <w:rPr>
          <w:sz w:val="20"/>
          <w:szCs w:val="20"/>
          <w:color w:val="auto"/>
        </w:rPr>
      </w:pPr>
    </w:p>
    <w:p>
      <w:pPr>
        <w:sectPr>
          <w:pgSz w:w="11900" w:h="16838" w:orient="portrait"/>
          <w:cols w:equalWidth="0" w:num="2">
            <w:col w:w="3820" w:space="720"/>
            <w:col w:w="4499"/>
          </w:cols>
          <w:pgMar w:left="1420" w:top="517"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Brian C. Walker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Partner-Strategic Leadership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Huron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Scott A. Worthington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UFP Industrial, LLC</w:t>
      </w:r>
    </w:p>
    <w:p>
      <w:pPr>
        <w:spacing w:after="0" w:line="211" w:lineRule="exact"/>
        <w:rPr>
          <w:sz w:val="20"/>
          <w:szCs w:val="20"/>
          <w:color w:val="auto"/>
        </w:rPr>
      </w:pPr>
    </w:p>
    <w:p>
      <w:pPr>
        <w:sectPr>
          <w:pgSz w:w="11900" w:h="16838" w:orient="portrait"/>
          <w:cols w:equalWidth="0" w:num="2">
            <w:col w:w="3820" w:space="720"/>
            <w:col w:w="4499"/>
          </w:cols>
          <w:pgMar w:left="1420" w:top="517"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Michael G. Wooldridge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Varnum,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Chad C. Uhlig Eastin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ProWood</w:t>
      </w:r>
    </w:p>
    <w:p>
      <w:pPr>
        <w:spacing w:after="0" w:line="200" w:lineRule="exact"/>
        <w:rPr>
          <w:sz w:val="20"/>
          <w:szCs w:val="20"/>
          <w:color w:val="auto"/>
        </w:rPr>
      </w:pPr>
    </w:p>
    <w:p>
      <w:pPr>
        <w:sectPr>
          <w:pgSz w:w="11900" w:h="16838" w:orient="portrait"/>
          <w:cols w:equalWidth="0" w:num="2">
            <w:col w:w="3820" w:space="720"/>
            <w:col w:w="4499"/>
          </w:cols>
          <w:pgMar w:left="1420" w:top="517"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Joan A. Budden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Priority Health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Scott T. Bravata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of Accounting</w:t>
      </w:r>
    </w:p>
    <w:p>
      <w:pPr>
        <w:spacing w:after="0" w:line="439" w:lineRule="exact"/>
        <w:rPr>
          <w:sz w:val="20"/>
          <w:szCs w:val="20"/>
          <w:color w:val="auto"/>
        </w:rPr>
      </w:pPr>
    </w:p>
    <w:p>
      <w:pPr>
        <w:sectPr>
          <w:pgSz w:w="11900" w:h="16838" w:orient="portrait"/>
          <w:cols w:equalWidth="0" w:num="2">
            <w:col w:w="3820" w:space="720"/>
            <w:col w:w="4499"/>
          </w:cols>
          <w:pgMar w:left="1420" w:top="517"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Benjamin McLean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David A. Tutas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Compliance Officer</w:t>
      </w:r>
    </w:p>
    <w:p>
      <w:pPr>
        <w:spacing w:after="0" w:line="32" w:lineRule="exact"/>
        <w:rPr>
          <w:sz w:val="20"/>
          <w:szCs w:val="20"/>
          <w:color w:val="auto"/>
        </w:rPr>
      </w:pPr>
    </w:p>
    <w:p>
      <w:pPr>
        <w:sectPr>
          <w:pgSz w:w="11900" w:h="16838" w:orient="portrait"/>
          <w:cols w:equalWidth="0" w:num="2">
            <w:col w:w="3820" w:space="720"/>
            <w:col w:w="4499"/>
          </w:cols>
          <w:pgMar w:left="1420" w:top="517" w:right="1440" w:bottom="1440" w:gutter="0" w:footer="0" w:header="0"/>
          <w:type w:val="continuous"/>
        </w:sectPr>
      </w:pPr>
    </w:p>
    <w:p>
      <w:pPr>
        <w:spacing w:after="0"/>
        <w:rPr>
          <w:sz w:val="20"/>
          <w:szCs w:val="20"/>
          <w:color w:val="auto"/>
        </w:rPr>
      </w:pPr>
      <w:r>
        <w:rPr>
          <w:rFonts w:ascii="Arial" w:cs="Arial" w:eastAsia="Arial" w:hAnsi="Arial"/>
          <w:sz w:val="18"/>
          <w:szCs w:val="18"/>
          <w:color w:val="auto"/>
        </w:rPr>
        <w:t>Ruan Transportation Management Systems,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annual meeting of Universal Forest Products, Inc. will be held at 8:30 a.m. on April 22, 2020, at 2880 East Beltline Lane NE, Grand Rapids, MI 49525.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of the Company’s stock are traded under the symbol UFPI on the NASDAQ Stock Market. The Company’s 10-K report, filed with the Securities and Exchange Commission, will be provided free of charge to any shareholder upon written request. For more information contact: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2801 East Beltline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(616) 364-6161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 www.ufpi.com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Varnum,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AGENT/SHAREHOLDER INQUIRIES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American Stock Transfer &amp; Trust Company serves as the transfer agent for the Corporation. Inquiries relating to stock transfers, changes of ownership, lost or stolen stock certificates, changes of address, and dividend payments should be addressed 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6201 15th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(800) 937-5449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 CORPORATE HEADQUARTERS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2801 East Beltline 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(616) 364-6161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(616) 364-5558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 AND ITS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Adairsville, GA</w:t>
            </w:r>
          </w:p>
        </w:tc>
        <w:tc>
          <w:tcPr>
            <w:tcW w:w="3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Hamilton, OH</w:t>
            </w:r>
          </w:p>
        </w:tc>
        <w:tc>
          <w:tcPr>
            <w:tcW w:w="3700" w:type="dxa"/>
            <w:vAlign w:val="bottom"/>
            <w:shd w:val="clear" w:color="auto" w:fill="CCEEFF"/>
          </w:tcPr>
          <w:p>
            <w:pPr>
              <w:ind w:left="780"/>
              <w:spacing w:after="0"/>
              <w:rPr>
                <w:sz w:val="20"/>
                <w:szCs w:val="20"/>
                <w:color w:val="auto"/>
              </w:rPr>
            </w:pPr>
            <w:r>
              <w:rPr>
                <w:rFonts w:ascii="Arial" w:cs="Arial" w:eastAsia="Arial" w:hAnsi="Arial"/>
                <w:sz w:val="14"/>
                <w:szCs w:val="14"/>
                <w:color w:val="auto"/>
              </w:rPr>
              <w:t>Riverside, CA</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Aiea, HI</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Harrisonville, MO</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Rockwell, NC</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Ashburn, GA</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Hartford, WI</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Rowesville, SC</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Athena, OR</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Hendersonville, NC</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Saginaw, TX</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Auburn, NY</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Hillsboro, TX</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Saint Bernard De Lacolle, Quebec</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Auburndale, FL</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Hudson, NY</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Salina, KS</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Aurora, CO</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Huntsville, TX</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Salisbury, NC</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Bangalore, India</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Janesville, WI</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San Antonio, TX</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Belchertown, MA</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Jefferson, GA</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Santee, NC</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Belle Glade, FL</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Jeffersonville, IN</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Sauk Rapids, MN</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Berlin, NJ</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Kansas City, MO</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Schertz, TX</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Blanchester, OH</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Kearneysville, WV</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Selma, AL</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Blue Island, IL</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Kyle, TX</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Shanghai, China</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Boise, ID</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Lafayette, CO</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Sharon, TN</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Bonner, MT</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Langdon, ND</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Shawnee, OK</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Burlington, IA</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Lansing, MI</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Shippenville, PA</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Burlington, NC</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Lawrenceburg, TN</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Sidney, NY</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Cabo San Lucas, Mexico</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Liberty, NC</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Silsbee, TX</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Cameron, SC</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Lockhart, FL</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Snohomish, WA</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Captiva, FL</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Locust, NC</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St. Louis, MO</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Cedar Hill, TX</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Lodi, OH</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Stanfield, NC</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Chaffee, NY</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London, United Kingdom</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Stockertown, PA</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Chandler, AZ</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Magna, UT</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Tampa, FL</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Chateauguay, Quebec</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Maricopa County, AZ</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Thomaston, GA</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Chesapeake, VA</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Marietta, GA</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Thornton, CA</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Chicago, IL</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Martin, TN</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Tokyo, Japan</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Chino, CA</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McMinnville, OR</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Union City, GA</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Church Hill, TN</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Medley, FL</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Vaughan, Ontario</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Clinton, NC</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Memphis, TN</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Vesper, WI</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Columbia, MD</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Mexico City, Mexico</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Warrens, WI</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Comal County, TX</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Miami, FL</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Washington, NC</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Conway, SC</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Milwaukee, WI</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Wenatchee, WA</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Cordele, GA</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Minneota, MN</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White Bear Lake, MN</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Dallas, TX</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Morristown, TN</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White City, OR</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Dayton, OH</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Moultrie, GA</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White Pigeon, MI</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Delano, PA</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Naches, WA</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Windsor, CO</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Eagan, MN</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Nampa, ID</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Winthrop, ME</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Earth City, MO</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Nappanee, IN</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Woodburn, OR</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Eatonton, GA</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Naugatuck, CT</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Wujiang City, Jiangsu Province</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Edina, MN</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New Delhi, India</w:t>
            </w:r>
          </w:p>
        </w:tc>
        <w:tc>
          <w:tcPr>
            <w:tcW w:w="3700" w:type="dxa"/>
            <w:vAlign w:val="bottom"/>
          </w:tcPr>
          <w:p>
            <w:pPr>
              <w:ind w:left="780"/>
              <w:spacing w:after="0" w:line="149" w:lineRule="exact"/>
              <w:rPr>
                <w:sz w:val="20"/>
                <w:szCs w:val="20"/>
                <w:color w:val="auto"/>
              </w:rPr>
            </w:pPr>
            <w:r>
              <w:rPr>
                <w:rFonts w:ascii="Arial" w:cs="Arial" w:eastAsia="Arial" w:hAnsi="Arial"/>
                <w:sz w:val="14"/>
                <w:szCs w:val="14"/>
                <w:color w:val="auto"/>
              </w:rPr>
              <w:t>Yakima, WA</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Edwardsburg, MI</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New Hartford, NY</w:t>
            </w:r>
          </w:p>
        </w:tc>
        <w:tc>
          <w:tcPr>
            <w:tcW w:w="37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Yeerongpilly, Austrailia</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Elizabeth City, NC</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New London, NC</w:t>
            </w:r>
          </w:p>
        </w:tc>
        <w:tc>
          <w:tcPr>
            <w:tcW w:w="3700" w:type="dxa"/>
            <w:vAlign w:val="bottom"/>
          </w:tcPr>
          <w:p>
            <w:pPr>
              <w:spacing w:after="0"/>
              <w:rPr>
                <w:sz w:val="12"/>
                <w:szCs w:val="12"/>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Elkhart, IN</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New Windsor, MD</w:t>
            </w:r>
          </w:p>
        </w:tc>
        <w:tc>
          <w:tcPr>
            <w:tcW w:w="3700" w:type="dxa"/>
            <w:vAlign w:val="bottom"/>
            <w:shd w:val="clear" w:color="auto" w:fill="CCEEFF"/>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Elkwood, VA</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New York, NY</w:t>
            </w:r>
          </w:p>
        </w:tc>
        <w:tc>
          <w:tcPr>
            <w:tcW w:w="3700" w:type="dxa"/>
            <w:vAlign w:val="bottom"/>
          </w:tcPr>
          <w:p>
            <w:pPr>
              <w:spacing w:after="0"/>
              <w:rPr>
                <w:sz w:val="12"/>
                <w:szCs w:val="12"/>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Emlenton, PA</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Newnan, GA</w:t>
            </w:r>
          </w:p>
        </w:tc>
        <w:tc>
          <w:tcPr>
            <w:tcW w:w="3700" w:type="dxa"/>
            <w:vAlign w:val="bottom"/>
            <w:shd w:val="clear" w:color="auto" w:fill="CCEEFF"/>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Erskine Park, AUS</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Norton Shores, MI</w:t>
            </w:r>
          </w:p>
        </w:tc>
        <w:tc>
          <w:tcPr>
            <w:tcW w:w="3700" w:type="dxa"/>
            <w:vAlign w:val="bottom"/>
          </w:tcPr>
          <w:p>
            <w:pPr>
              <w:spacing w:after="0"/>
              <w:rPr>
                <w:sz w:val="12"/>
                <w:szCs w:val="12"/>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Fernley, NV</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Ogden, TX</w:t>
            </w:r>
          </w:p>
        </w:tc>
        <w:tc>
          <w:tcPr>
            <w:tcW w:w="3700" w:type="dxa"/>
            <w:vAlign w:val="bottom"/>
            <w:shd w:val="clear" w:color="auto" w:fill="CCEEFF"/>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Fisherville, VA</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Ontario, CA</w:t>
            </w:r>
          </w:p>
        </w:tc>
        <w:tc>
          <w:tcPr>
            <w:tcW w:w="3700" w:type="dxa"/>
            <w:vAlign w:val="bottom"/>
          </w:tcPr>
          <w:p>
            <w:pPr>
              <w:spacing w:after="0"/>
              <w:rPr>
                <w:sz w:val="12"/>
                <w:szCs w:val="12"/>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Folkston, GA</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Ooltewah, TN</w:t>
            </w:r>
          </w:p>
        </w:tc>
        <w:tc>
          <w:tcPr>
            <w:tcW w:w="3700" w:type="dxa"/>
            <w:vAlign w:val="bottom"/>
            <w:shd w:val="clear" w:color="auto" w:fill="CCEEFF"/>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Fort Worth, TX</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Orangeburg, SC</w:t>
            </w:r>
          </w:p>
        </w:tc>
        <w:tc>
          <w:tcPr>
            <w:tcW w:w="3700" w:type="dxa"/>
            <w:vAlign w:val="bottom"/>
          </w:tcPr>
          <w:p>
            <w:pPr>
              <w:spacing w:after="0"/>
              <w:rPr>
                <w:sz w:val="12"/>
                <w:szCs w:val="12"/>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Franklinton, NC</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Parker, PA</w:t>
            </w:r>
          </w:p>
        </w:tc>
        <w:tc>
          <w:tcPr>
            <w:tcW w:w="3700" w:type="dxa"/>
            <w:vAlign w:val="bottom"/>
            <w:shd w:val="clear" w:color="auto" w:fill="CCEEFF"/>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Fredericksburg, VA</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Pearisburg, VA</w:t>
            </w:r>
          </w:p>
        </w:tc>
        <w:tc>
          <w:tcPr>
            <w:tcW w:w="3700" w:type="dxa"/>
            <w:vAlign w:val="bottom"/>
          </w:tcPr>
          <w:p>
            <w:pPr>
              <w:spacing w:after="0"/>
              <w:rPr>
                <w:sz w:val="12"/>
                <w:szCs w:val="12"/>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Gainesville, GA</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Peru, IL</w:t>
            </w:r>
          </w:p>
        </w:tc>
        <w:tc>
          <w:tcPr>
            <w:tcW w:w="3700" w:type="dxa"/>
            <w:vAlign w:val="bottom"/>
            <w:shd w:val="clear" w:color="auto" w:fill="CCEEFF"/>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Georgetown, DE</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Pitts, GA</w:t>
            </w:r>
          </w:p>
        </w:tc>
        <w:tc>
          <w:tcPr>
            <w:tcW w:w="3700" w:type="dxa"/>
            <w:vAlign w:val="bottom"/>
          </w:tcPr>
          <w:p>
            <w:pPr>
              <w:spacing w:after="0"/>
              <w:rPr>
                <w:sz w:val="12"/>
                <w:szCs w:val="12"/>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Gilmer, TX</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Plainville, MA</w:t>
            </w:r>
          </w:p>
        </w:tc>
        <w:tc>
          <w:tcPr>
            <w:tcW w:w="3700" w:type="dxa"/>
            <w:vAlign w:val="bottom"/>
            <w:shd w:val="clear" w:color="auto" w:fill="CCEEFF"/>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Gordon, PA</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Poulsbo, WA</w:t>
            </w:r>
          </w:p>
        </w:tc>
        <w:tc>
          <w:tcPr>
            <w:tcW w:w="3700" w:type="dxa"/>
            <w:vAlign w:val="bottom"/>
          </w:tcPr>
          <w:p>
            <w:pPr>
              <w:spacing w:after="0"/>
              <w:rPr>
                <w:sz w:val="12"/>
                <w:szCs w:val="12"/>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Grand Rapids, MI</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Prairie du Chien, WI</w:t>
            </w:r>
          </w:p>
        </w:tc>
        <w:tc>
          <w:tcPr>
            <w:tcW w:w="3700" w:type="dxa"/>
            <w:vAlign w:val="bottom"/>
            <w:shd w:val="clear" w:color="auto" w:fill="CCEEFF"/>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Grandview, TX</w:t>
            </w:r>
          </w:p>
        </w:tc>
        <w:tc>
          <w:tcPr>
            <w:tcW w:w="3100" w:type="dxa"/>
            <w:vAlign w:val="bottom"/>
          </w:tcPr>
          <w:p>
            <w:pPr>
              <w:ind w:left="820"/>
              <w:spacing w:after="0" w:line="149" w:lineRule="exact"/>
              <w:rPr>
                <w:sz w:val="20"/>
                <w:szCs w:val="20"/>
                <w:color w:val="auto"/>
              </w:rPr>
            </w:pPr>
            <w:r>
              <w:rPr>
                <w:rFonts w:ascii="Arial" w:cs="Arial" w:eastAsia="Arial" w:hAnsi="Arial"/>
                <w:sz w:val="14"/>
                <w:szCs w:val="14"/>
                <w:color w:val="auto"/>
              </w:rPr>
              <w:t>Puerto Rico</w:t>
            </w:r>
          </w:p>
        </w:tc>
        <w:tc>
          <w:tcPr>
            <w:tcW w:w="3700" w:type="dxa"/>
            <w:vAlign w:val="bottom"/>
          </w:tcPr>
          <w:p>
            <w:pPr>
              <w:spacing w:after="0"/>
              <w:rPr>
                <w:sz w:val="12"/>
                <w:szCs w:val="12"/>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Granger, IN</w:t>
            </w:r>
          </w:p>
        </w:tc>
        <w:tc>
          <w:tcPr>
            <w:tcW w:w="3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Puyallup, WA</w:t>
            </w:r>
          </w:p>
        </w:tc>
        <w:tc>
          <w:tcPr>
            <w:tcW w:w="3700" w:type="dxa"/>
            <w:vAlign w:val="bottom"/>
            <w:shd w:val="clear" w:color="auto" w:fill="CCEEFF"/>
          </w:tcPr>
          <w:p>
            <w:pPr>
              <w:spacing w:after="0"/>
              <w:rPr>
                <w:sz w:val="12"/>
                <w:szCs w:val="12"/>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Haleyville, AL</w:t>
            </w:r>
          </w:p>
        </w:tc>
        <w:tc>
          <w:tcPr>
            <w:tcW w:w="3100" w:type="dxa"/>
            <w:vAlign w:val="bottom"/>
          </w:tcPr>
          <w:p>
            <w:pPr>
              <w:ind w:left="820"/>
              <w:spacing w:after="0"/>
              <w:rPr>
                <w:sz w:val="20"/>
                <w:szCs w:val="20"/>
                <w:color w:val="auto"/>
              </w:rPr>
            </w:pPr>
            <w:r>
              <w:rPr>
                <w:rFonts w:ascii="Arial" w:cs="Arial" w:eastAsia="Arial" w:hAnsi="Arial"/>
                <w:sz w:val="14"/>
                <w:szCs w:val="14"/>
                <w:color w:val="auto"/>
              </w:rPr>
              <w:t>Ranson, WV</w:t>
            </w:r>
          </w:p>
        </w:tc>
        <w:tc>
          <w:tcPr>
            <w:tcW w:w="3700" w:type="dxa"/>
            <w:vAlign w:val="bottom"/>
          </w:tcPr>
          <w:p>
            <w:pPr>
              <w:spacing w:after="0"/>
              <w:rPr>
                <w:sz w:val="15"/>
                <w:szCs w:val="15"/>
                <w:color w:val="auto"/>
              </w:rPr>
            </w:pPr>
          </w:p>
        </w:tc>
      </w:tr>
    </w:tbl>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7760" w:type="dxa"/>
            <w:vAlign w:val="bottom"/>
            <w:gridSpan w:val="5"/>
            <w:vMerge w:val="restart"/>
          </w:tcPr>
          <w:p>
            <w:pPr>
              <w:ind w:left="2040"/>
              <w:spacing w:after="0"/>
              <w:rPr>
                <w:sz w:val="20"/>
                <w:szCs w:val="20"/>
                <w:color w:val="auto"/>
              </w:rPr>
            </w:pPr>
            <w:r>
              <w:rPr>
                <w:rFonts w:ascii="Arial" w:cs="Arial" w:eastAsia="Arial" w:hAnsi="Arial"/>
                <w:sz w:val="18"/>
                <w:szCs w:val="18"/>
                <w:b w:val="1"/>
                <w:bCs w:val="1"/>
                <w:color w:val="auto"/>
              </w:rPr>
              <w:t>LIST OF REGISTRANT'S SUBSIDIARIES AND AFFILIATES</w:t>
            </w:r>
          </w:p>
        </w:tc>
        <w:tc>
          <w:tcPr>
            <w:tcW w:w="1340" w:type="dxa"/>
            <w:vAlign w:val="bottom"/>
            <w:gridSpan w:val="2"/>
          </w:tcPr>
          <w:p>
            <w:pPr>
              <w:ind w:left="100"/>
              <w:spacing w:after="0"/>
              <w:rPr>
                <w:sz w:val="20"/>
                <w:szCs w:val="20"/>
                <w:color w:val="auto"/>
              </w:rPr>
            </w:pPr>
            <w:r>
              <w:rPr>
                <w:rFonts w:ascii="Arial" w:cs="Arial" w:eastAsia="Arial" w:hAnsi="Arial"/>
                <w:sz w:val="22"/>
                <w:szCs w:val="22"/>
                <w:b w:val="1"/>
                <w:bCs w:val="1"/>
                <w:color w:val="auto"/>
              </w:rPr>
              <w:t>EXHIBIT 21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760" w:type="dxa"/>
            <w:vAlign w:val="bottom"/>
            <w:gridSpan w:val="5"/>
            <w:vMerge w:val="continue"/>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0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3140" w:type="dxa"/>
            <w:vAlign w:val="bottom"/>
            <w:tcBorders>
              <w:top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11032 Tidewater Trail,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Delaware</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Folkston,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234 Springs Rd., LLC</w:t>
            </w:r>
          </w:p>
        </w:tc>
        <w:tc>
          <w:tcPr>
            <w:tcW w:w="1480" w:type="dxa"/>
            <w:vAlign w:val="bottom"/>
          </w:tcPr>
          <w:p>
            <w:pPr>
              <w:ind w:left="80"/>
              <w:spacing w:after="0"/>
              <w:rPr>
                <w:sz w:val="20"/>
                <w:szCs w:val="20"/>
                <w:color w:val="auto"/>
              </w:rPr>
            </w:pPr>
            <w:r>
              <w:rPr>
                <w:rFonts w:ascii="Arial" w:cs="Arial" w:eastAsia="Arial" w:hAnsi="Arial"/>
                <w:sz w:val="16"/>
                <w:szCs w:val="16"/>
                <w:color w:val="auto"/>
              </w:rPr>
              <w:t>Delaware</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Franklinton,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2875 Needmore Rd.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Delaware</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Gainesville,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621 Hall St., LLC</w:t>
            </w:r>
          </w:p>
        </w:tc>
        <w:tc>
          <w:tcPr>
            <w:tcW w:w="1480" w:type="dxa"/>
            <w:vAlign w:val="bottom"/>
          </w:tcPr>
          <w:p>
            <w:pPr>
              <w:ind w:left="80"/>
              <w:spacing w:after="0"/>
              <w:rPr>
                <w:sz w:val="20"/>
                <w:szCs w:val="20"/>
                <w:color w:val="auto"/>
              </w:rPr>
            </w:pPr>
            <w:r>
              <w:rPr>
                <w:rFonts w:ascii="Arial" w:cs="Arial" w:eastAsia="Arial" w:hAnsi="Arial"/>
                <w:sz w:val="16"/>
                <w:szCs w:val="16"/>
                <w:color w:val="auto"/>
              </w:rPr>
              <w:t>Delaware</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Gear,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Aljoma Holding Company,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Global Holdings Limited</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England/Wales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Aljoma Lumber, Inc.</w:t>
            </w:r>
          </w:p>
        </w:tc>
        <w:tc>
          <w:tcPr>
            <w:tcW w:w="1480" w:type="dxa"/>
            <w:vAlign w:val="bottom"/>
          </w:tcPr>
          <w:p>
            <w:pPr>
              <w:ind w:left="80"/>
              <w:spacing w:after="0"/>
              <w:rPr>
                <w:sz w:val="20"/>
                <w:szCs w:val="20"/>
                <w:color w:val="auto"/>
              </w:rPr>
            </w:pPr>
            <w:r>
              <w:rPr>
                <w:rFonts w:ascii="Arial" w:cs="Arial" w:eastAsia="Arial" w:hAnsi="Arial"/>
                <w:sz w:val="16"/>
                <w:szCs w:val="16"/>
                <w:color w:val="auto"/>
              </w:rPr>
              <w:t>Florida</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Gordon,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Ardellis Insurance Ltd.</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Bermuda</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Grand Rapids,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Caliper Building Systems, LLC</w:t>
            </w:r>
          </w:p>
        </w:tc>
        <w:tc>
          <w:tcPr>
            <w:tcW w:w="1480" w:type="dxa"/>
            <w:vAlign w:val="bottom"/>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Grandview,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Deckorators, Inc.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Granger,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Eovations, LLC</w:t>
            </w:r>
          </w:p>
        </w:tc>
        <w:tc>
          <w:tcPr>
            <w:tcW w:w="1480" w:type="dxa"/>
            <w:vAlign w:val="bottom"/>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Great Lakes,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Forestal Universal SA de CV</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Mexico</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Gulf,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Horizon Terra, Incorporated</w:t>
            </w:r>
          </w:p>
        </w:tc>
        <w:tc>
          <w:tcPr>
            <w:tcW w:w="1480" w:type="dxa"/>
            <w:vAlign w:val="bottom"/>
          </w:tcPr>
          <w:p>
            <w:pPr>
              <w:ind w:left="80"/>
              <w:spacing w:after="0"/>
              <w:rPr>
                <w:sz w:val="20"/>
                <w:szCs w:val="20"/>
                <w:color w:val="auto"/>
              </w:rPr>
            </w:pPr>
            <w:r>
              <w:rPr>
                <w:rFonts w:ascii="Arial" w:cs="Arial" w:eastAsia="Arial" w:hAnsi="Arial"/>
                <w:sz w:val="16"/>
                <w:szCs w:val="16"/>
                <w:color w:val="auto"/>
              </w:rPr>
              <w:t>Indiana</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Haleyville,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Idaho Western, Inc.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Idaho</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Hamilton,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idX (China) Display Co., Ltd.</w:t>
            </w:r>
          </w:p>
        </w:tc>
        <w:tc>
          <w:tcPr>
            <w:tcW w:w="1480" w:type="dxa"/>
            <w:vAlign w:val="bottom"/>
          </w:tcPr>
          <w:p>
            <w:pPr>
              <w:ind w:left="80"/>
              <w:spacing w:after="0"/>
              <w:rPr>
                <w:sz w:val="20"/>
                <w:szCs w:val="20"/>
                <w:color w:val="auto"/>
              </w:rPr>
            </w:pPr>
            <w:r>
              <w:rPr>
                <w:rFonts w:ascii="Arial" w:cs="Arial" w:eastAsia="Arial" w:hAnsi="Arial"/>
                <w:sz w:val="16"/>
                <w:szCs w:val="16"/>
                <w:color w:val="auto"/>
              </w:rPr>
              <w:t>China</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Harrisonville,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idX (India) Display Private Limited</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India</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Hartford,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Wisconsin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idX Amsterdam B.V.</w:t>
            </w:r>
          </w:p>
        </w:tc>
        <w:tc>
          <w:tcPr>
            <w:tcW w:w="1480" w:type="dxa"/>
            <w:vAlign w:val="bottom"/>
          </w:tcPr>
          <w:p>
            <w:pPr>
              <w:ind w:left="80"/>
              <w:spacing w:after="0"/>
              <w:rPr>
                <w:sz w:val="20"/>
                <w:szCs w:val="20"/>
                <w:color w:val="auto"/>
              </w:rPr>
            </w:pPr>
            <w:r>
              <w:rPr>
                <w:rFonts w:ascii="Arial" w:cs="Arial" w:eastAsia="Arial" w:hAnsi="Arial"/>
                <w:sz w:val="16"/>
                <w:szCs w:val="16"/>
                <w:color w:val="auto"/>
              </w:rPr>
              <w:t>Netherlands</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Hillsboro,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Asia Fixtures Ltd</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Hong Kong</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Industrial,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idX Asia Trading Ltd</w:t>
            </w:r>
          </w:p>
        </w:tc>
        <w:tc>
          <w:tcPr>
            <w:tcW w:w="1480" w:type="dxa"/>
            <w:vAlign w:val="bottom"/>
          </w:tcPr>
          <w:p>
            <w:pPr>
              <w:ind w:left="80"/>
              <w:spacing w:after="0"/>
              <w:rPr>
                <w:sz w:val="20"/>
                <w:szCs w:val="20"/>
                <w:color w:val="auto"/>
              </w:rPr>
            </w:pPr>
            <w:r>
              <w:rPr>
                <w:rFonts w:ascii="Arial" w:cs="Arial" w:eastAsia="Arial" w:hAnsi="Arial"/>
                <w:sz w:val="16"/>
                <w:szCs w:val="16"/>
                <w:color w:val="auto"/>
              </w:rPr>
              <w:t>Hong Kong</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International Employment Services,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Chicago,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Delaware</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International,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idX Corporation</w:t>
            </w:r>
          </w:p>
        </w:tc>
        <w:tc>
          <w:tcPr>
            <w:tcW w:w="1480" w:type="dxa"/>
            <w:vAlign w:val="bottom"/>
          </w:tcPr>
          <w:p>
            <w:pPr>
              <w:ind w:left="80"/>
              <w:spacing w:after="0"/>
              <w:rPr>
                <w:sz w:val="20"/>
                <w:szCs w:val="20"/>
                <w:color w:val="auto"/>
              </w:rPr>
            </w:pPr>
            <w:r>
              <w:rPr>
                <w:rFonts w:ascii="Arial" w:cs="Arial" w:eastAsia="Arial" w:hAnsi="Arial"/>
                <w:sz w:val="16"/>
                <w:szCs w:val="16"/>
                <w:color w:val="auto"/>
              </w:rPr>
              <w:t>Delaware</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Janesville,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Corporation London Ltd.</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England/Wales</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Kyle,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idX Dallas, LLC</w:t>
            </w:r>
          </w:p>
        </w:tc>
        <w:tc>
          <w:tcPr>
            <w:tcW w:w="1480" w:type="dxa"/>
            <w:vAlign w:val="bottom"/>
          </w:tcPr>
          <w:p>
            <w:pPr>
              <w:ind w:left="80"/>
              <w:spacing w:after="0"/>
              <w:rPr>
                <w:sz w:val="20"/>
                <w:szCs w:val="20"/>
                <w:color w:val="auto"/>
              </w:rPr>
            </w:pPr>
            <w:r>
              <w:rPr>
                <w:rFonts w:ascii="Arial" w:cs="Arial" w:eastAsia="Arial" w:hAnsi="Arial"/>
                <w:sz w:val="16"/>
                <w:szCs w:val="16"/>
                <w:color w:val="auto"/>
              </w:rPr>
              <w:t>Delaware</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Lafayette,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Dayton,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Delaware</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Lansing,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idX Holdings, Inc.</w:t>
            </w:r>
          </w:p>
        </w:tc>
        <w:tc>
          <w:tcPr>
            <w:tcW w:w="1480" w:type="dxa"/>
            <w:vAlign w:val="bottom"/>
          </w:tcPr>
          <w:p>
            <w:pPr>
              <w:ind w:left="80"/>
              <w:spacing w:after="0"/>
              <w:rPr>
                <w:sz w:val="20"/>
                <w:szCs w:val="20"/>
                <w:color w:val="auto"/>
              </w:rPr>
            </w:pPr>
            <w:r>
              <w:rPr>
                <w:rFonts w:ascii="Arial" w:cs="Arial" w:eastAsia="Arial" w:hAnsi="Arial"/>
                <w:sz w:val="16"/>
                <w:szCs w:val="16"/>
                <w:color w:val="auto"/>
              </w:rPr>
              <w:t>Delaware</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Magna,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Impressions,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Delaware</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McMinnville,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w w:val="96"/>
              </w:rPr>
              <w:t>UFP Mexico Embalaje y Distribution, S. de R.L. de</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00" w:type="dxa"/>
            <w:vAlign w:val="bottom"/>
            <w:gridSpan w:val="3"/>
          </w:tcPr>
          <w:p>
            <w:pPr>
              <w:spacing w:after="0"/>
              <w:rPr>
                <w:sz w:val="20"/>
                <w:szCs w:val="20"/>
                <w:color w:val="auto"/>
              </w:rPr>
            </w:pPr>
            <w:r>
              <w:rPr>
                <w:rFonts w:ascii="Arial" w:cs="Arial" w:eastAsia="Arial" w:hAnsi="Arial"/>
                <w:sz w:val="16"/>
                <w:szCs w:val="16"/>
                <w:color w:val="auto"/>
              </w:rPr>
              <w:t>idX Los Angeles, LLC</w:t>
            </w:r>
          </w:p>
        </w:tc>
        <w:tc>
          <w:tcPr>
            <w:tcW w:w="1480" w:type="dxa"/>
            <w:vAlign w:val="bottom"/>
          </w:tcPr>
          <w:p>
            <w:pPr>
              <w:ind w:left="80"/>
              <w:spacing w:after="0"/>
              <w:rPr>
                <w:sz w:val="20"/>
                <w:szCs w:val="20"/>
                <w:color w:val="auto"/>
              </w:rPr>
            </w:pPr>
            <w:r>
              <w:rPr>
                <w:rFonts w:ascii="Arial" w:cs="Arial" w:eastAsia="Arial" w:hAnsi="Arial"/>
                <w:sz w:val="16"/>
                <w:szCs w:val="16"/>
                <w:color w:val="auto"/>
              </w:rPr>
              <w:t>Delaware</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C. V.</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Mexico, S. de R.L. de C.V.</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Mexico</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Mexico Investment,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idX Shanghai Trading Company</w:t>
            </w:r>
          </w:p>
        </w:tc>
        <w:tc>
          <w:tcPr>
            <w:tcW w:w="14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00" w:type="dxa"/>
            <w:vAlign w:val="bottom"/>
            <w:gridSpan w:val="3"/>
          </w:tcPr>
          <w:p>
            <w:pPr>
              <w:spacing w:after="0"/>
              <w:rPr>
                <w:sz w:val="20"/>
                <w:szCs w:val="20"/>
                <w:color w:val="auto"/>
              </w:rPr>
            </w:pPr>
            <w:r>
              <w:rPr>
                <w:rFonts w:ascii="Arial" w:cs="Arial" w:eastAsia="Arial" w:hAnsi="Arial"/>
                <w:sz w:val="16"/>
                <w:szCs w:val="16"/>
                <w:color w:val="auto"/>
              </w:rPr>
              <w:t>Ltd.</w:t>
            </w:r>
          </w:p>
        </w:tc>
        <w:tc>
          <w:tcPr>
            <w:tcW w:w="1480" w:type="dxa"/>
            <w:vAlign w:val="bottom"/>
          </w:tcPr>
          <w:p>
            <w:pPr>
              <w:ind w:left="80"/>
              <w:spacing w:after="0"/>
              <w:rPr>
                <w:sz w:val="20"/>
                <w:szCs w:val="20"/>
                <w:color w:val="auto"/>
              </w:rPr>
            </w:pPr>
            <w:r>
              <w:rPr>
                <w:rFonts w:ascii="Arial" w:cs="Arial" w:eastAsia="Arial" w:hAnsi="Arial"/>
                <w:sz w:val="16"/>
                <w:szCs w:val="16"/>
                <w:color w:val="auto"/>
              </w:rPr>
              <w:t>China</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Mid-Atlantic,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Integra International Pty Ltd</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Australia</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Milwaukee,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Integra Packaging Pty Ltd</w:t>
            </w:r>
          </w:p>
        </w:tc>
        <w:tc>
          <w:tcPr>
            <w:tcW w:w="1480" w:type="dxa"/>
            <w:vAlign w:val="bottom"/>
          </w:tcPr>
          <w:p>
            <w:pPr>
              <w:ind w:left="80"/>
              <w:spacing w:after="0"/>
              <w:rPr>
                <w:sz w:val="20"/>
                <w:szCs w:val="20"/>
                <w:color w:val="auto"/>
              </w:rPr>
            </w:pPr>
            <w:r>
              <w:rPr>
                <w:rFonts w:ascii="Arial" w:cs="Arial" w:eastAsia="Arial" w:hAnsi="Arial"/>
                <w:sz w:val="16"/>
                <w:szCs w:val="16"/>
                <w:color w:val="auto"/>
              </w:rPr>
              <w:t>Australia</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Minneota,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Landura,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Texas</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Morristown,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Metaworld Technologies, LLC</w:t>
            </w:r>
          </w:p>
        </w:tc>
        <w:tc>
          <w:tcPr>
            <w:tcW w:w="1480" w:type="dxa"/>
            <w:vAlign w:val="bottom"/>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Moultrie,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Mid-Atlantic Framing,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Mountain West,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Norpal S. de R.L. de C.V.</w:t>
            </w:r>
          </w:p>
        </w:tc>
        <w:tc>
          <w:tcPr>
            <w:tcW w:w="1480" w:type="dxa"/>
            <w:vAlign w:val="bottom"/>
          </w:tcPr>
          <w:p>
            <w:pPr>
              <w:ind w:left="80"/>
              <w:spacing w:after="0"/>
              <w:rPr>
                <w:sz w:val="20"/>
                <w:szCs w:val="20"/>
                <w:color w:val="auto"/>
              </w:rPr>
            </w:pPr>
            <w:r>
              <w:rPr>
                <w:rFonts w:ascii="Arial" w:cs="Arial" w:eastAsia="Arial" w:hAnsi="Arial"/>
                <w:sz w:val="16"/>
                <w:szCs w:val="16"/>
                <w:color w:val="auto"/>
              </w:rPr>
              <w:t>Mexico</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NAC,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North Atlantic Framing,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Nappanee,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Pinelli Lumber, Inc.</w:t>
            </w:r>
          </w:p>
        </w:tc>
        <w:tc>
          <w:tcPr>
            <w:tcW w:w="1480" w:type="dxa"/>
            <w:vAlign w:val="bottom"/>
          </w:tcPr>
          <w:p>
            <w:pPr>
              <w:ind w:left="80"/>
              <w:spacing w:after="0"/>
              <w:rPr>
                <w:sz w:val="20"/>
                <w:szCs w:val="20"/>
                <w:color w:val="auto"/>
              </w:rPr>
            </w:pPr>
            <w:r>
              <w:rPr>
                <w:rFonts w:ascii="Arial" w:cs="Arial" w:eastAsia="Arial" w:hAnsi="Arial"/>
                <w:sz w:val="16"/>
                <w:szCs w:val="16"/>
                <w:color w:val="auto"/>
              </w:rPr>
              <w:t>Texas</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New London,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Pinelli Universal Chile S.A.</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Mexico</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New Waverly,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w w:val="95"/>
              </w:rPr>
              <w:t>Pinelli Universal TKT, S de R.L. de</w:t>
            </w:r>
          </w:p>
        </w:tc>
        <w:tc>
          <w:tcPr>
            <w:tcW w:w="14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00" w:type="dxa"/>
            <w:vAlign w:val="bottom"/>
            <w:gridSpan w:val="3"/>
          </w:tcPr>
          <w:p>
            <w:pPr>
              <w:spacing w:after="0"/>
              <w:rPr>
                <w:sz w:val="20"/>
                <w:szCs w:val="20"/>
                <w:color w:val="auto"/>
              </w:rPr>
            </w:pPr>
            <w:r>
              <w:rPr>
                <w:rFonts w:ascii="Arial" w:cs="Arial" w:eastAsia="Arial" w:hAnsi="Arial"/>
                <w:sz w:val="16"/>
                <w:szCs w:val="16"/>
                <w:color w:val="auto"/>
              </w:rPr>
              <w:t>C.V.</w:t>
            </w:r>
          </w:p>
        </w:tc>
        <w:tc>
          <w:tcPr>
            <w:tcW w:w="1480" w:type="dxa"/>
            <w:vAlign w:val="bottom"/>
          </w:tcPr>
          <w:p>
            <w:pPr>
              <w:ind w:left="80"/>
              <w:spacing w:after="0"/>
              <w:rPr>
                <w:sz w:val="20"/>
                <w:szCs w:val="20"/>
                <w:color w:val="auto"/>
              </w:rPr>
            </w:pPr>
            <w:r>
              <w:rPr>
                <w:rFonts w:ascii="Arial" w:cs="Arial" w:eastAsia="Arial" w:hAnsi="Arial"/>
                <w:sz w:val="16"/>
                <w:szCs w:val="16"/>
                <w:color w:val="auto"/>
              </w:rPr>
              <w:t>Mexico</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New Windsor,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Pinelli Universal, S de R.L. de C.V.</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Mexico</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New York,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PR Distribution, LLC</w:t>
            </w:r>
          </w:p>
        </w:tc>
        <w:tc>
          <w:tcPr>
            <w:tcW w:w="1480" w:type="dxa"/>
            <w:vAlign w:val="bottom"/>
          </w:tcPr>
          <w:p>
            <w:pPr>
              <w:ind w:left="80"/>
              <w:spacing w:after="0"/>
              <w:rPr>
                <w:sz w:val="20"/>
                <w:szCs w:val="20"/>
                <w:color w:val="auto"/>
              </w:rPr>
            </w:pPr>
            <w:r>
              <w:rPr>
                <w:rFonts w:ascii="Arial" w:cs="Arial" w:eastAsia="Arial" w:hAnsi="Arial"/>
                <w:sz w:val="16"/>
                <w:szCs w:val="16"/>
                <w:color w:val="auto"/>
              </w:rPr>
              <w:t>Puerto Rico</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North Atlantic,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Shawnlee Construction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Northeast,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Shepardville Construction, LLC</w:t>
            </w:r>
          </w:p>
        </w:tc>
        <w:tc>
          <w:tcPr>
            <w:tcW w:w="1480" w:type="dxa"/>
            <w:vAlign w:val="bottom"/>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Orlando,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Store Fixtures Canada Holdings,</w:t>
            </w:r>
          </w:p>
        </w:tc>
        <w:tc>
          <w:tcPr>
            <w:tcW w:w="148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Delaware</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Packaging,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The Ubeeco Group Pty Ltd</w:t>
            </w:r>
          </w:p>
        </w:tc>
        <w:tc>
          <w:tcPr>
            <w:tcW w:w="1480" w:type="dxa"/>
            <w:vAlign w:val="bottom"/>
          </w:tcPr>
          <w:p>
            <w:pPr>
              <w:ind w:left="80"/>
              <w:spacing w:after="0"/>
              <w:rPr>
                <w:sz w:val="20"/>
                <w:szCs w:val="20"/>
                <w:color w:val="auto"/>
              </w:rPr>
            </w:pPr>
            <w:r>
              <w:rPr>
                <w:rFonts w:ascii="Arial" w:cs="Arial" w:eastAsia="Arial" w:hAnsi="Arial"/>
                <w:sz w:val="16"/>
                <w:szCs w:val="16"/>
                <w:color w:val="auto"/>
              </w:rPr>
              <w:t>Australia</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Palm Beach,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UBEECO Group Pty Ltd.</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Australia</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Parker,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w w:val="92"/>
              </w:rPr>
              <w:t>Tibasa Universal Forest Products S.</w:t>
            </w:r>
          </w:p>
        </w:tc>
        <w:tc>
          <w:tcPr>
            <w:tcW w:w="14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00" w:type="dxa"/>
            <w:vAlign w:val="bottom"/>
            <w:gridSpan w:val="3"/>
          </w:tcPr>
          <w:p>
            <w:pPr>
              <w:spacing w:after="0"/>
              <w:rPr>
                <w:sz w:val="20"/>
                <w:szCs w:val="20"/>
                <w:color w:val="auto"/>
              </w:rPr>
            </w:pPr>
            <w:r>
              <w:rPr>
                <w:rFonts w:ascii="Arial" w:cs="Arial" w:eastAsia="Arial" w:hAnsi="Arial"/>
                <w:sz w:val="16"/>
                <w:szCs w:val="16"/>
                <w:color w:val="auto"/>
              </w:rPr>
              <w:t>de R.L. de C.V.</w:t>
            </w:r>
          </w:p>
        </w:tc>
        <w:tc>
          <w:tcPr>
            <w:tcW w:w="1480" w:type="dxa"/>
            <w:vAlign w:val="bottom"/>
          </w:tcPr>
          <w:p>
            <w:pPr>
              <w:ind w:left="80"/>
              <w:spacing w:after="0"/>
              <w:rPr>
                <w:sz w:val="20"/>
                <w:szCs w:val="20"/>
                <w:color w:val="auto"/>
              </w:rPr>
            </w:pPr>
            <w:r>
              <w:rPr>
                <w:rFonts w:ascii="Arial" w:cs="Arial" w:eastAsia="Arial" w:hAnsi="Arial"/>
                <w:sz w:val="16"/>
                <w:szCs w:val="16"/>
                <w:color w:val="auto"/>
              </w:rPr>
              <w:t>Mexico</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Purchasing, Inc.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Tresstar,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Ranson,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Triangle Systems, Inc.</w:t>
            </w:r>
          </w:p>
        </w:tc>
        <w:tc>
          <w:tcPr>
            <w:tcW w:w="1480" w:type="dxa"/>
            <w:vAlign w:val="bottom"/>
          </w:tcPr>
          <w:p>
            <w:pPr>
              <w:ind w:left="80"/>
              <w:spacing w:after="0"/>
              <w:rPr>
                <w:sz w:val="20"/>
                <w:szCs w:val="20"/>
                <w:color w:val="auto"/>
              </w:rPr>
            </w:pPr>
            <w:r>
              <w:rPr>
                <w:rFonts w:ascii="Arial" w:cs="Arial" w:eastAsia="Arial" w:hAnsi="Arial"/>
                <w:sz w:val="16"/>
                <w:szCs w:val="16"/>
                <w:color w:val="auto"/>
              </w:rPr>
              <w:t>Delaware</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Real Estate,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U.F.P. Mexico Holdings, S. de</w:t>
            </w:r>
          </w:p>
        </w:tc>
        <w:tc>
          <w:tcPr>
            <w:tcW w:w="148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R.L.de CV</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Mexico</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Retail,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UFP Albuquerque, LLC</w:t>
            </w:r>
          </w:p>
        </w:tc>
        <w:tc>
          <w:tcPr>
            <w:tcW w:w="1480" w:type="dxa"/>
            <w:vAlign w:val="bottom"/>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Riverside,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UFP Altoona,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RMS,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UFP Ashburn, LLC</w:t>
            </w:r>
          </w:p>
        </w:tc>
        <w:tc>
          <w:tcPr>
            <w:tcW w:w="1480" w:type="dxa"/>
            <w:vAlign w:val="bottom"/>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Rockwell,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UFP Atlantic Division,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Saginaw,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UFP Atlantic, LLC</w:t>
            </w:r>
          </w:p>
        </w:tc>
        <w:tc>
          <w:tcPr>
            <w:tcW w:w="1480" w:type="dxa"/>
            <w:vAlign w:val="bottom"/>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Salisbury,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UFP Auburndale,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San Antonio,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UFP Aurora, LLC</w:t>
            </w:r>
          </w:p>
        </w:tc>
        <w:tc>
          <w:tcPr>
            <w:tcW w:w="1480" w:type="dxa"/>
            <w:vAlign w:val="bottom"/>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Sauk Rapids,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UFP Australia Pty Ltd</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Australia</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Schertz,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w w:val="98"/>
              </w:rPr>
              <w:t>UFP Australia Real Estate Pty Ltd</w:t>
            </w:r>
          </w:p>
        </w:tc>
        <w:tc>
          <w:tcPr>
            <w:tcW w:w="1480" w:type="dxa"/>
            <w:vAlign w:val="bottom"/>
          </w:tcPr>
          <w:p>
            <w:pPr>
              <w:ind w:left="80"/>
              <w:spacing w:after="0"/>
              <w:rPr>
                <w:sz w:val="20"/>
                <w:szCs w:val="20"/>
                <w:color w:val="auto"/>
              </w:rPr>
            </w:pPr>
            <w:r>
              <w:rPr>
                <w:rFonts w:ascii="Arial" w:cs="Arial" w:eastAsia="Arial" w:hAnsi="Arial"/>
                <w:sz w:val="16"/>
                <w:szCs w:val="16"/>
                <w:color w:val="auto"/>
              </w:rPr>
              <w:t>Australia</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Shawnee,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UFP Barnesville, LLC</w:t>
            </w:r>
          </w:p>
        </w:tc>
        <w:tc>
          <w:tcPr>
            <w:tcW w:w="1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UFP Southeast,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UFP Belchertown, LLC</w:t>
            </w:r>
          </w:p>
        </w:tc>
        <w:tc>
          <w:tcPr>
            <w:tcW w:w="1480" w:type="dxa"/>
            <w:vAlign w:val="bottom"/>
          </w:tcPr>
          <w:p>
            <w:pPr>
              <w:ind w:left="80"/>
              <w:spacing w:after="0"/>
              <w:rPr>
                <w:sz w:val="20"/>
                <w:szCs w:val="20"/>
                <w:color w:val="auto"/>
              </w:rPr>
            </w:pPr>
            <w:r>
              <w:rPr>
                <w:rFonts w:ascii="Arial" w:cs="Arial" w:eastAsia="Arial" w:hAnsi="Arial"/>
                <w:sz w:val="16"/>
                <w:szCs w:val="16"/>
                <w:color w:val="auto"/>
              </w:rPr>
              <w:t>Michigan</w:t>
            </w:r>
          </w:p>
        </w:tc>
        <w:tc>
          <w:tcPr>
            <w:tcW w:w="3900" w:type="dxa"/>
            <w:vAlign w:val="bottom"/>
            <w:gridSpan w:val="2"/>
          </w:tcPr>
          <w:p>
            <w:pPr>
              <w:ind w:left="440"/>
              <w:spacing w:after="0"/>
              <w:rPr>
                <w:sz w:val="20"/>
                <w:szCs w:val="20"/>
                <w:color w:val="auto"/>
              </w:rPr>
            </w:pPr>
            <w:r>
              <w:rPr>
                <w:rFonts w:ascii="Arial" w:cs="Arial" w:eastAsia="Arial" w:hAnsi="Arial"/>
                <w:sz w:val="16"/>
                <w:szCs w:val="16"/>
                <w:color w:val="auto"/>
              </w:rPr>
              <w:t>UFP Southwest, LLC</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557"/>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20" w:top="111" w:right="135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UFP Berlin, LLC</w:t>
            </w:r>
          </w:p>
        </w:tc>
        <w:tc>
          <w:tcPr>
            <w:tcW w:w="1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UFP Stockertown,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UFP Biscoe, LLC</w:t>
            </w:r>
          </w:p>
        </w:tc>
        <w:tc>
          <w:tcPr>
            <w:tcW w:w="1360" w:type="dxa"/>
            <w:vAlign w:val="bottom"/>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tcPr>
          <w:p>
            <w:pPr>
              <w:ind w:left="620"/>
              <w:spacing w:after="0"/>
              <w:rPr>
                <w:sz w:val="20"/>
                <w:szCs w:val="20"/>
                <w:color w:val="auto"/>
              </w:rPr>
            </w:pPr>
            <w:r>
              <w:rPr>
                <w:rFonts w:ascii="Arial" w:cs="Arial" w:eastAsia="Arial" w:hAnsi="Arial"/>
                <w:sz w:val="16"/>
                <w:szCs w:val="16"/>
                <w:color w:val="auto"/>
              </w:rPr>
              <w:t>UFP Tampa, LLC</w:t>
            </w:r>
          </w:p>
        </w:tc>
        <w:tc>
          <w:tcPr>
            <w:tcW w:w="176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r>
      <w:tr>
        <w:trPr>
          <w:trHeight w:val="203"/>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UFP Blanchester, LLC</w:t>
            </w:r>
          </w:p>
        </w:tc>
        <w:tc>
          <w:tcPr>
            <w:tcW w:w="1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UFP Thomaston,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UFP Bonner LLC</w:t>
            </w:r>
          </w:p>
        </w:tc>
        <w:tc>
          <w:tcPr>
            <w:tcW w:w="1360" w:type="dxa"/>
            <w:vAlign w:val="bottom"/>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tcPr>
          <w:p>
            <w:pPr>
              <w:ind w:left="620"/>
              <w:spacing w:after="0"/>
              <w:rPr>
                <w:sz w:val="20"/>
                <w:szCs w:val="20"/>
                <w:color w:val="auto"/>
              </w:rPr>
            </w:pPr>
            <w:r>
              <w:rPr>
                <w:rFonts w:ascii="Arial" w:cs="Arial" w:eastAsia="Arial" w:hAnsi="Arial"/>
                <w:sz w:val="16"/>
                <w:szCs w:val="16"/>
                <w:color w:val="auto"/>
              </w:rPr>
              <w:t>UFP Thornton, LLC</w:t>
            </w:r>
          </w:p>
        </w:tc>
        <w:tc>
          <w:tcPr>
            <w:tcW w:w="176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r>
      <w:tr>
        <w:trPr>
          <w:trHeight w:val="203"/>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UFP Caldwell, LLC</w:t>
            </w:r>
          </w:p>
        </w:tc>
        <w:tc>
          <w:tcPr>
            <w:tcW w:w="1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UFP Transportation, Inc.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UFP Cameron, LLC</w:t>
            </w:r>
          </w:p>
        </w:tc>
        <w:tc>
          <w:tcPr>
            <w:tcW w:w="1360" w:type="dxa"/>
            <w:vAlign w:val="bottom"/>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tcPr>
          <w:p>
            <w:pPr>
              <w:ind w:left="620"/>
              <w:spacing w:after="0"/>
              <w:rPr>
                <w:sz w:val="20"/>
                <w:szCs w:val="20"/>
                <w:color w:val="auto"/>
              </w:rPr>
            </w:pPr>
            <w:r>
              <w:rPr>
                <w:rFonts w:ascii="Arial" w:cs="Arial" w:eastAsia="Arial" w:hAnsi="Arial"/>
                <w:sz w:val="16"/>
                <w:szCs w:val="16"/>
                <w:color w:val="auto"/>
              </w:rPr>
              <w:t>UFP Union City, LLC</w:t>
            </w:r>
          </w:p>
        </w:tc>
        <w:tc>
          <w:tcPr>
            <w:tcW w:w="176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r>
      <w:tr>
        <w:trPr>
          <w:trHeight w:val="203"/>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UFP Canada, Inc.</w:t>
            </w:r>
          </w:p>
        </w:tc>
        <w:tc>
          <w:tcPr>
            <w:tcW w:w="1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Canada</w:t>
            </w:r>
          </w:p>
        </w:tc>
        <w:tc>
          <w:tcPr>
            <w:tcW w:w="36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UFP Ventures II, Inc.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UFP Central Plains, LLC</w:t>
            </w:r>
          </w:p>
        </w:tc>
        <w:tc>
          <w:tcPr>
            <w:tcW w:w="1360" w:type="dxa"/>
            <w:vAlign w:val="bottom"/>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tcPr>
          <w:p>
            <w:pPr>
              <w:ind w:left="620"/>
              <w:spacing w:after="0"/>
              <w:rPr>
                <w:sz w:val="20"/>
                <w:szCs w:val="20"/>
                <w:color w:val="auto"/>
              </w:rPr>
            </w:pPr>
            <w:r>
              <w:rPr>
                <w:rFonts w:ascii="Arial" w:cs="Arial" w:eastAsia="Arial" w:hAnsi="Arial"/>
                <w:sz w:val="16"/>
                <w:szCs w:val="16"/>
                <w:color w:val="auto"/>
              </w:rPr>
              <w:t>UFP Warranty Corporation</w:t>
            </w:r>
          </w:p>
        </w:tc>
        <w:tc>
          <w:tcPr>
            <w:tcW w:w="176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r>
      <w:tr>
        <w:trPr>
          <w:trHeight w:val="203"/>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UFP Chandler, LLC</w:t>
            </w:r>
          </w:p>
        </w:tc>
        <w:tc>
          <w:tcPr>
            <w:tcW w:w="1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UFP Warrens,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UFP Chicago, LLC</w:t>
            </w:r>
          </w:p>
        </w:tc>
        <w:tc>
          <w:tcPr>
            <w:tcW w:w="1360" w:type="dxa"/>
            <w:vAlign w:val="bottom"/>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tcPr>
          <w:p>
            <w:pPr>
              <w:ind w:left="620"/>
              <w:spacing w:after="0"/>
              <w:rPr>
                <w:sz w:val="20"/>
                <w:szCs w:val="20"/>
                <w:color w:val="auto"/>
              </w:rPr>
            </w:pPr>
            <w:r>
              <w:rPr>
                <w:rFonts w:ascii="Arial" w:cs="Arial" w:eastAsia="Arial" w:hAnsi="Arial"/>
                <w:sz w:val="16"/>
                <w:szCs w:val="16"/>
                <w:color w:val="auto"/>
              </w:rPr>
              <w:t>UFP Washington, LLC</w:t>
            </w:r>
          </w:p>
        </w:tc>
        <w:tc>
          <w:tcPr>
            <w:tcW w:w="176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r>
      <w:tr>
        <w:trPr>
          <w:trHeight w:val="193"/>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w w:val="96"/>
              </w:rPr>
              <w:t>UFP Concrete Forming Solutions,</w:t>
            </w:r>
          </w:p>
        </w:tc>
        <w:tc>
          <w:tcPr>
            <w:tcW w:w="136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2"/>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Inc.</w:t>
            </w:r>
          </w:p>
        </w:tc>
        <w:tc>
          <w:tcPr>
            <w:tcW w:w="1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UFP Western Division, Inc.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UFP Construction, LLC</w:t>
            </w:r>
          </w:p>
        </w:tc>
        <w:tc>
          <w:tcPr>
            <w:tcW w:w="1360" w:type="dxa"/>
            <w:vAlign w:val="bottom"/>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tcPr>
          <w:p>
            <w:pPr>
              <w:ind w:left="620"/>
              <w:spacing w:after="0"/>
              <w:rPr>
                <w:sz w:val="20"/>
                <w:szCs w:val="20"/>
                <w:color w:val="auto"/>
              </w:rPr>
            </w:pPr>
            <w:r>
              <w:rPr>
                <w:rFonts w:ascii="Arial" w:cs="Arial" w:eastAsia="Arial" w:hAnsi="Arial"/>
                <w:sz w:val="16"/>
                <w:szCs w:val="16"/>
                <w:color w:val="auto"/>
              </w:rPr>
              <w:t>UFP White Bear Lake, LLC</w:t>
            </w:r>
          </w:p>
        </w:tc>
        <w:tc>
          <w:tcPr>
            <w:tcW w:w="176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r>
      <w:tr>
        <w:trPr>
          <w:trHeight w:val="203"/>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UFP Dallas, LLC</w:t>
            </w:r>
          </w:p>
        </w:tc>
        <w:tc>
          <w:tcPr>
            <w:tcW w:w="1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UFP Windsor,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UFP de Mexico S.A. de C.V.</w:t>
            </w:r>
          </w:p>
        </w:tc>
        <w:tc>
          <w:tcPr>
            <w:tcW w:w="1360" w:type="dxa"/>
            <w:vAlign w:val="bottom"/>
          </w:tcPr>
          <w:p>
            <w:pPr>
              <w:ind w:left="140"/>
              <w:spacing w:after="0"/>
              <w:rPr>
                <w:sz w:val="20"/>
                <w:szCs w:val="20"/>
                <w:color w:val="auto"/>
              </w:rPr>
            </w:pPr>
            <w:r>
              <w:rPr>
                <w:rFonts w:ascii="Arial" w:cs="Arial" w:eastAsia="Arial" w:hAnsi="Arial"/>
                <w:sz w:val="16"/>
                <w:szCs w:val="16"/>
                <w:color w:val="auto"/>
              </w:rPr>
              <w:t>Mexico</w:t>
            </w:r>
          </w:p>
        </w:tc>
        <w:tc>
          <w:tcPr>
            <w:tcW w:w="3660" w:type="dxa"/>
            <w:vAlign w:val="bottom"/>
          </w:tcPr>
          <w:p>
            <w:pPr>
              <w:ind w:left="620"/>
              <w:spacing w:after="0"/>
              <w:rPr>
                <w:sz w:val="20"/>
                <w:szCs w:val="20"/>
                <w:color w:val="auto"/>
              </w:rPr>
            </w:pPr>
            <w:r>
              <w:rPr>
                <w:rFonts w:ascii="Arial" w:cs="Arial" w:eastAsia="Arial" w:hAnsi="Arial"/>
                <w:sz w:val="16"/>
                <w:szCs w:val="16"/>
                <w:color w:val="auto"/>
              </w:rPr>
              <w:t>UFP Woodburn, LLC</w:t>
            </w:r>
          </w:p>
        </w:tc>
        <w:tc>
          <w:tcPr>
            <w:tcW w:w="176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r>
      <w:tr>
        <w:trPr>
          <w:trHeight w:val="203"/>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UFP Distribution, LLC</w:t>
            </w:r>
          </w:p>
        </w:tc>
        <w:tc>
          <w:tcPr>
            <w:tcW w:w="1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United Lumber &amp; Reman,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Alabama</w:t>
            </w: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UFP Eagan, LLC</w:t>
            </w:r>
          </w:p>
        </w:tc>
        <w:tc>
          <w:tcPr>
            <w:tcW w:w="1360" w:type="dxa"/>
            <w:vAlign w:val="bottom"/>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tcPr>
          <w:p>
            <w:pPr>
              <w:ind w:left="620"/>
              <w:spacing w:after="0"/>
              <w:rPr>
                <w:sz w:val="20"/>
                <w:szCs w:val="20"/>
                <w:color w:val="auto"/>
              </w:rPr>
            </w:pPr>
            <w:r>
              <w:rPr>
                <w:rFonts w:ascii="Arial" w:cs="Arial" w:eastAsia="Arial" w:hAnsi="Arial"/>
                <w:sz w:val="16"/>
                <w:szCs w:val="16"/>
                <w:color w:val="auto"/>
              </w:rPr>
              <w:t>Universal Forest Products Texas, LLC</w:t>
            </w:r>
          </w:p>
        </w:tc>
        <w:tc>
          <w:tcPr>
            <w:tcW w:w="176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r>
      <w:tr>
        <w:trPr>
          <w:trHeight w:val="203"/>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UFP East Central, LLC</w:t>
            </w:r>
          </w:p>
        </w:tc>
        <w:tc>
          <w:tcPr>
            <w:tcW w:w="1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Universal Forest Products, Inc.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r>
      <w:tr>
        <w:trPr>
          <w:trHeight w:val="206"/>
        </w:trPr>
        <w:tc>
          <w:tcPr>
            <w:tcW w:w="2340" w:type="dxa"/>
            <w:vAlign w:val="bottom"/>
          </w:tcPr>
          <w:p>
            <w:pPr>
              <w:spacing w:after="0"/>
              <w:rPr>
                <w:sz w:val="20"/>
                <w:szCs w:val="20"/>
                <w:color w:val="auto"/>
              </w:rPr>
            </w:pPr>
            <w:r>
              <w:rPr>
                <w:rFonts w:ascii="Arial" w:cs="Arial" w:eastAsia="Arial" w:hAnsi="Arial"/>
                <w:sz w:val="16"/>
                <w:szCs w:val="16"/>
                <w:color w:val="auto"/>
              </w:rPr>
              <w:t>UFP Eastern Division, Inc.</w:t>
            </w:r>
          </w:p>
        </w:tc>
        <w:tc>
          <w:tcPr>
            <w:tcW w:w="1360" w:type="dxa"/>
            <w:vAlign w:val="bottom"/>
          </w:tcPr>
          <w:p>
            <w:pPr>
              <w:ind w:left="140"/>
              <w:spacing w:after="0"/>
              <w:rPr>
                <w:sz w:val="20"/>
                <w:szCs w:val="20"/>
                <w:color w:val="auto"/>
              </w:rPr>
            </w:pPr>
            <w:r>
              <w:rPr>
                <w:rFonts w:ascii="Arial" w:cs="Arial" w:eastAsia="Arial" w:hAnsi="Arial"/>
                <w:sz w:val="16"/>
                <w:szCs w:val="16"/>
                <w:color w:val="auto"/>
              </w:rPr>
              <w:t>Michigan</w:t>
            </w:r>
          </w:p>
        </w:tc>
        <w:tc>
          <w:tcPr>
            <w:tcW w:w="3660" w:type="dxa"/>
            <w:vAlign w:val="bottom"/>
          </w:tcPr>
          <w:p>
            <w:pPr>
              <w:ind w:left="620"/>
              <w:spacing w:after="0"/>
              <w:rPr>
                <w:sz w:val="20"/>
                <w:szCs w:val="20"/>
                <w:color w:val="auto"/>
              </w:rPr>
            </w:pPr>
            <w:r>
              <w:rPr>
                <w:rFonts w:ascii="Arial" w:cs="Arial" w:eastAsia="Arial" w:hAnsi="Arial"/>
                <w:sz w:val="16"/>
                <w:szCs w:val="16"/>
                <w:color w:val="auto"/>
              </w:rPr>
              <w:t>Universal Showcase ULC</w:t>
            </w:r>
          </w:p>
        </w:tc>
        <w:tc>
          <w:tcPr>
            <w:tcW w:w="1760" w:type="dxa"/>
            <w:vAlign w:val="bottom"/>
            <w:gridSpan w:val="2"/>
          </w:tcPr>
          <w:p>
            <w:pPr>
              <w:ind w:left="540"/>
              <w:spacing w:after="0"/>
              <w:rPr>
                <w:sz w:val="20"/>
                <w:szCs w:val="20"/>
                <w:color w:val="auto"/>
              </w:rPr>
            </w:pPr>
            <w:r>
              <w:rPr>
                <w:rFonts w:ascii="Arial" w:cs="Arial" w:eastAsia="Arial" w:hAnsi="Arial"/>
                <w:sz w:val="16"/>
                <w:szCs w:val="16"/>
                <w:color w:val="auto"/>
              </w:rPr>
              <w:t>Alberta</w:t>
            </w:r>
          </w:p>
        </w:tc>
      </w:tr>
      <w:tr>
        <w:trPr>
          <w:trHeight w:val="773"/>
        </w:trPr>
        <w:tc>
          <w:tcPr>
            <w:tcW w:w="2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120"/>
          </w:cols>
          <w:pgMar w:left="1420" w:top="140" w:right="13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Nos. 33-81128, 333-60630, 333-150345, 333-156596, and 33-84632 on Form S-8 of our reports dated February 26, 2020, relating to the consolidated financial statements of Universal Forest Products, Inc. and subsidiaries (the “Company”), and the effectiveness of the Company’s internal control over financial reporting, appearing in this Annual Report on Form 10-K of the Company for the year ended December 28,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632460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Matthew J. Missad, certify that:</w:t>
      </w:r>
    </w:p>
    <w:p>
      <w:pPr>
        <w:spacing w:after="0" w:line="171" w:lineRule="exact"/>
        <w:rPr>
          <w:sz w:val="20"/>
          <w:szCs w:val="20"/>
          <w:color w:val="auto"/>
        </w:rPr>
      </w:pPr>
    </w:p>
    <w:p>
      <w:pPr>
        <w:ind w:left="640" w:hanging="637"/>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report on Form 10-K of Universal Forest Products, Inc.;</w:t>
      </w:r>
    </w:p>
    <w:p>
      <w:pPr>
        <w:spacing w:after="0" w:line="171" w:lineRule="exact"/>
        <w:rPr>
          <w:rFonts w:ascii="Arial" w:cs="Arial" w:eastAsia="Arial" w:hAnsi="Arial"/>
          <w:sz w:val="18"/>
          <w:szCs w:val="18"/>
          <w:color w:val="auto"/>
        </w:rPr>
      </w:pPr>
    </w:p>
    <w:p>
      <w:pPr>
        <w:ind w:left="660" w:right="380" w:hanging="657"/>
        <w:spacing w:after="0" w:line="264" w:lineRule="auto"/>
        <w:tabs>
          <w:tab w:leader="none" w:pos="6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80" w:hanging="657"/>
        <w:spacing w:after="0" w:line="264" w:lineRule="auto"/>
        <w:tabs>
          <w:tab w:leader="none" w:pos="6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20" w:hanging="657"/>
        <w:spacing w:after="0" w:line="286" w:lineRule="auto"/>
        <w:tabs>
          <w:tab w:leader="none" w:pos="639"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7"/>
          <w:szCs w:val="17"/>
          <w:color w:val="auto"/>
        </w:rPr>
      </w:pPr>
    </w:p>
    <w:p>
      <w:pPr>
        <w:ind w:left="1300" w:right="100" w:hanging="649"/>
        <w:spacing w:after="0" w:line="259" w:lineRule="auto"/>
        <w:tabs>
          <w:tab w:leader="none" w:pos="1272"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1300" w:right="300" w:hanging="649"/>
        <w:spacing w:after="0" w:line="259" w:lineRule="auto"/>
        <w:tabs>
          <w:tab w:leader="none" w:pos="1282"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8"/>
          <w:szCs w:val="18"/>
          <w:color w:val="auto"/>
        </w:rPr>
      </w:pPr>
    </w:p>
    <w:p>
      <w:pPr>
        <w:ind w:left="1300" w:hanging="649"/>
        <w:spacing w:after="0" w:line="264" w:lineRule="auto"/>
        <w:tabs>
          <w:tab w:leader="none" w:pos="1272"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300" w:right="80" w:hanging="649"/>
        <w:spacing w:after="0" w:line="259" w:lineRule="auto"/>
        <w:tabs>
          <w:tab w:leader="none" w:pos="1282"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100" w:hanging="657"/>
        <w:spacing w:after="0" w:line="264" w:lineRule="auto"/>
        <w:tabs>
          <w:tab w:leader="none" w:pos="63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7" w:lineRule="exact"/>
        <w:rPr>
          <w:rFonts w:ascii="Arial" w:cs="Arial" w:eastAsia="Arial" w:hAnsi="Arial"/>
          <w:sz w:val="18"/>
          <w:szCs w:val="18"/>
          <w:color w:val="auto"/>
        </w:rPr>
      </w:pPr>
    </w:p>
    <w:p>
      <w:pPr>
        <w:ind w:left="1300" w:right="60" w:hanging="649"/>
        <w:spacing w:after="0" w:line="264" w:lineRule="auto"/>
        <w:tabs>
          <w:tab w:leader="none" w:pos="126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1300" w:right="200" w:hanging="649"/>
        <w:spacing w:after="0" w:line="277" w:lineRule="auto"/>
        <w:tabs>
          <w:tab w:leader="none" w:pos="127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February 26, 2020</w:t>
            </w:r>
          </w:p>
        </w:tc>
        <w:tc>
          <w:tcPr>
            <w:tcW w:w="3540" w:type="dxa"/>
            <w:vAlign w:val="bottom"/>
          </w:tcPr>
          <w:p>
            <w:pPr>
              <w:spacing w:after="0"/>
              <w:rPr>
                <w:sz w:val="20"/>
                <w:szCs w:val="20"/>
                <w:color w:val="auto"/>
              </w:rPr>
            </w:pPr>
            <w:r>
              <w:rPr>
                <w:rFonts w:ascii="Arial" w:cs="Arial" w:eastAsia="Arial" w:hAnsi="Arial"/>
                <w:sz w:val="18"/>
                <w:szCs w:val="18"/>
                <w:color w:val="auto"/>
              </w:rPr>
              <w:t>/s/ Matthew J. Missad</w:t>
            </w:r>
          </w:p>
        </w:tc>
      </w:tr>
      <w:tr>
        <w:trPr>
          <w:trHeight w:val="195"/>
        </w:trPr>
        <w:tc>
          <w:tcPr>
            <w:tcW w:w="1000" w:type="dxa"/>
            <w:vAlign w:val="bottom"/>
          </w:tcPr>
          <w:p>
            <w:pPr>
              <w:spacing w:after="0"/>
              <w:rPr>
                <w:sz w:val="16"/>
                <w:szCs w:val="16"/>
                <w:color w:val="auto"/>
              </w:rPr>
            </w:pPr>
          </w:p>
        </w:tc>
        <w:tc>
          <w:tcPr>
            <w:tcW w:w="380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16"/>
        </w:trPr>
        <w:tc>
          <w:tcPr>
            <w:tcW w:w="10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Chief Executive Officer and</w:t>
            </w:r>
          </w:p>
        </w:tc>
      </w:tr>
      <w:tr>
        <w:trPr>
          <w:trHeight w:val="230"/>
        </w:trPr>
        <w:tc>
          <w:tcPr>
            <w:tcW w:w="10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1209"/>
        </w:trPr>
        <w:tc>
          <w:tcPr>
            <w:tcW w:w="10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337" w:right="141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185" w:lineRule="exact"/>
        <w:rPr>
          <w:sz w:val="20"/>
          <w:szCs w:val="20"/>
          <w:color w:val="auto"/>
        </w:rPr>
      </w:pPr>
    </w:p>
    <w:p>
      <w:pPr>
        <w:ind w:left="640" w:hanging="637"/>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report on Form 10-K of Universal Forest Products, Inc.;</w:t>
      </w:r>
    </w:p>
    <w:p>
      <w:pPr>
        <w:spacing w:after="0" w:line="198" w:lineRule="exact"/>
        <w:rPr>
          <w:rFonts w:ascii="Arial" w:cs="Arial" w:eastAsia="Arial" w:hAnsi="Arial"/>
          <w:sz w:val="18"/>
          <w:szCs w:val="18"/>
          <w:color w:val="auto"/>
        </w:rPr>
      </w:pPr>
    </w:p>
    <w:p>
      <w:pPr>
        <w:ind w:left="660" w:right="380" w:hanging="657"/>
        <w:spacing w:after="0" w:line="264" w:lineRule="auto"/>
        <w:tabs>
          <w:tab w:leader="none" w:pos="6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80" w:hanging="657"/>
        <w:spacing w:after="0" w:line="264" w:lineRule="auto"/>
        <w:tabs>
          <w:tab w:leader="none" w:pos="6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660" w:right="20" w:hanging="657"/>
        <w:spacing w:after="0" w:line="286" w:lineRule="auto"/>
        <w:tabs>
          <w:tab w:leader="none" w:pos="639"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Arial" w:cs="Arial" w:eastAsia="Arial" w:hAnsi="Arial"/>
          <w:sz w:val="17"/>
          <w:szCs w:val="17"/>
          <w:color w:val="auto"/>
        </w:rPr>
      </w:pPr>
    </w:p>
    <w:p>
      <w:pPr>
        <w:ind w:left="1300" w:right="100" w:hanging="649"/>
        <w:spacing w:after="0" w:line="259" w:lineRule="auto"/>
        <w:tabs>
          <w:tab w:leader="none" w:pos="12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ind w:left="1300" w:right="300" w:hanging="649"/>
        <w:spacing w:after="0" w:line="259" w:lineRule="auto"/>
        <w:tabs>
          <w:tab w:leader="none" w:pos="1282"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ind w:left="1300" w:hanging="649"/>
        <w:spacing w:after="0" w:line="264" w:lineRule="auto"/>
        <w:tabs>
          <w:tab w:leader="none" w:pos="12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300" w:right="80" w:hanging="649"/>
        <w:spacing w:after="0" w:line="259" w:lineRule="auto"/>
        <w:tabs>
          <w:tab w:leader="none" w:pos="1282"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ind w:left="660" w:right="100" w:hanging="657"/>
        <w:spacing w:after="0" w:line="264" w:lineRule="auto"/>
        <w:tabs>
          <w:tab w:leader="none" w:pos="6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ind w:left="1300" w:right="60" w:hanging="649"/>
        <w:spacing w:after="0" w:line="264" w:lineRule="auto"/>
        <w:tabs>
          <w:tab w:leader="none" w:pos="1262"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300" w:right="200" w:hanging="649"/>
        <w:spacing w:after="0" w:line="277" w:lineRule="auto"/>
        <w:tabs>
          <w:tab w:leader="none" w:pos="12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February 26, 2020</w:t>
            </w:r>
          </w:p>
        </w:tc>
        <w:tc>
          <w:tcPr>
            <w:tcW w:w="354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195"/>
        </w:trPr>
        <w:tc>
          <w:tcPr>
            <w:tcW w:w="1000" w:type="dxa"/>
            <w:vAlign w:val="bottom"/>
          </w:tcPr>
          <w:p>
            <w:pPr>
              <w:spacing w:after="0"/>
              <w:rPr>
                <w:sz w:val="16"/>
                <w:szCs w:val="16"/>
                <w:color w:val="auto"/>
              </w:rPr>
            </w:pPr>
          </w:p>
        </w:tc>
        <w:tc>
          <w:tcPr>
            <w:tcW w:w="3540" w:type="dxa"/>
            <w:vAlign w:val="bottom"/>
            <w:tcBorders>
              <w:top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16"/>
        </w:trPr>
        <w:tc>
          <w:tcPr>
            <w:tcW w:w="10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10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10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1195"/>
        </w:trPr>
        <w:tc>
          <w:tcPr>
            <w:tcW w:w="10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firstLine="651"/>
        <w:spacing w:after="0" w:line="308" w:lineRule="auto"/>
        <w:tabs>
          <w:tab w:leader="none" w:pos="132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report on Form 10-K for the year ended December 29, 2018, which this statement accompanies, fully complies with requirements of Section 13(a) or 15(d) of the Securities Exchange Act of 1934; and</w:t>
      </w:r>
    </w:p>
    <w:p>
      <w:pPr>
        <w:spacing w:after="0" w:line="146" w:lineRule="exact"/>
        <w:rPr>
          <w:rFonts w:ascii="Arial" w:cs="Arial" w:eastAsia="Arial" w:hAnsi="Arial"/>
          <w:sz w:val="17"/>
          <w:szCs w:val="17"/>
          <w:color w:val="auto"/>
        </w:rPr>
      </w:pPr>
    </w:p>
    <w:p>
      <w:pPr>
        <w:ind w:firstLine="651"/>
        <w:spacing w:after="0" w:line="308" w:lineRule="auto"/>
        <w:tabs>
          <w:tab w:leader="none" w:pos="14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this report on Form 10-K for the period ended December 28, 2019 fairly presents, in all material respects, the financial condition and results of operations of Universal Forest Products, Inc.</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920" w:type="dxa"/>
            <w:vAlign w:val="bottom"/>
            <w:gridSpan w:val="2"/>
          </w:tcPr>
          <w:p>
            <w:pPr>
              <w:ind w:left="820"/>
              <w:spacing w:after="0"/>
              <w:rPr>
                <w:sz w:val="20"/>
                <w:szCs w:val="20"/>
                <w:color w:val="auto"/>
              </w:rPr>
            </w:pPr>
            <w:r>
              <w:rPr>
                <w:rFonts w:ascii="Arial" w:cs="Arial" w:eastAsia="Arial" w:hAnsi="Arial"/>
                <w:sz w:val="18"/>
                <w:szCs w:val="18"/>
                <w:color w:val="auto"/>
              </w:rPr>
              <w:t>UNIVERSAL FOREST PRODUCTS, INC.</w:t>
            </w:r>
          </w:p>
        </w:tc>
      </w:tr>
      <w:tr>
        <w:trPr>
          <w:trHeight w:val="432"/>
        </w:trPr>
        <w:tc>
          <w:tcPr>
            <w:tcW w:w="4140" w:type="dxa"/>
            <w:vAlign w:val="bottom"/>
            <w:gridSpan w:val="2"/>
          </w:tcPr>
          <w:p>
            <w:pPr>
              <w:spacing w:after="0"/>
              <w:rPr>
                <w:sz w:val="20"/>
                <w:szCs w:val="20"/>
                <w:color w:val="auto"/>
              </w:rPr>
            </w:pPr>
            <w:r>
              <w:rPr>
                <w:rFonts w:ascii="Arial" w:cs="Arial" w:eastAsia="Arial" w:hAnsi="Arial"/>
                <w:sz w:val="18"/>
                <w:szCs w:val="18"/>
                <w:color w:val="auto"/>
              </w:rPr>
              <w:t>Date:   February 26, 2020</w:t>
            </w:r>
          </w:p>
        </w:tc>
        <w:tc>
          <w:tcPr>
            <w:tcW w:w="4920" w:type="dxa"/>
            <w:vAlign w:val="bottom"/>
            <w:gridSpan w:val="2"/>
          </w:tcPr>
          <w:p>
            <w:pPr>
              <w:ind w:left="820"/>
              <w:spacing w:after="0"/>
              <w:rPr>
                <w:sz w:val="20"/>
                <w:szCs w:val="20"/>
                <w:color w:val="auto"/>
              </w:rPr>
            </w:pPr>
            <w:r>
              <w:rPr>
                <w:rFonts w:ascii="Arial" w:cs="Arial" w:eastAsia="Arial" w:hAnsi="Arial"/>
                <w:sz w:val="18"/>
                <w:szCs w:val="18"/>
                <w:color w:val="auto"/>
              </w:rPr>
              <w:t>By: /s/ Matthew J. Missad</w:t>
            </w:r>
          </w:p>
        </w:tc>
      </w:tr>
      <w:tr>
        <w:trPr>
          <w:trHeight w:val="195"/>
        </w:trPr>
        <w:tc>
          <w:tcPr>
            <w:tcW w:w="600" w:type="dxa"/>
            <w:vAlign w:val="bottom"/>
          </w:tcPr>
          <w:p>
            <w:pPr>
              <w:spacing w:after="0"/>
              <w:rPr>
                <w:sz w:val="16"/>
                <w:szCs w:val="16"/>
                <w:color w:val="auto"/>
              </w:rPr>
            </w:pPr>
          </w:p>
        </w:tc>
        <w:tc>
          <w:tcPr>
            <w:tcW w:w="3540" w:type="dxa"/>
            <w:vAlign w:val="bottom"/>
            <w:tcBorders>
              <w:top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16"/>
        </w:trPr>
        <w:tc>
          <w:tcPr>
            <w:tcW w:w="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920" w:type="dxa"/>
            <w:vAlign w:val="bottom"/>
            <w:gridSpan w:val="2"/>
          </w:tcPr>
          <w:p>
            <w:pPr>
              <w:ind w:left="820"/>
              <w:spacing w:after="0"/>
              <w:rPr>
                <w:sz w:val="20"/>
                <w:szCs w:val="20"/>
                <w:color w:val="auto"/>
              </w:rPr>
            </w:pPr>
            <w:r>
              <w:rPr>
                <w:rFonts w:ascii="Arial" w:cs="Arial" w:eastAsia="Arial" w:hAnsi="Arial"/>
                <w:sz w:val="18"/>
                <w:szCs w:val="18"/>
                <w:color w:val="auto"/>
              </w:rPr>
              <w:t>Its:  Chief Executive Officer and</w:t>
            </w:r>
          </w:p>
        </w:tc>
      </w:tr>
      <w:tr>
        <w:trPr>
          <w:trHeight w:val="230"/>
        </w:trPr>
        <w:tc>
          <w:tcPr>
            <w:tcW w:w="6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598170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firstLine="651"/>
        <w:spacing w:after="0" w:line="308" w:lineRule="auto"/>
        <w:tabs>
          <w:tab w:leader="none" w:pos="127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report on Form 10-K for the period ended December 29, 2018, which this statement accompanies, fully complies with requirements of Section 13(a) or 15(d) of the Securities Exchange Act of 1934; and</w:t>
      </w:r>
    </w:p>
    <w:p>
      <w:pPr>
        <w:spacing w:after="0" w:line="146" w:lineRule="exact"/>
        <w:rPr>
          <w:rFonts w:ascii="Arial" w:cs="Arial" w:eastAsia="Arial" w:hAnsi="Arial"/>
          <w:sz w:val="17"/>
          <w:szCs w:val="17"/>
          <w:color w:val="auto"/>
        </w:rPr>
      </w:pPr>
    </w:p>
    <w:p>
      <w:pPr>
        <w:ind w:firstLine="651"/>
        <w:spacing w:after="0" w:line="308" w:lineRule="auto"/>
        <w:tabs>
          <w:tab w:leader="none" w:pos="14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information contained in this report on Form 10-K for the period ended December 28, 2019 fairly presents, in all material respects, the financial condition and results of operations of Universal Forest Products, Inc.</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920" w:type="dxa"/>
            <w:vAlign w:val="bottom"/>
            <w:gridSpan w:val="2"/>
          </w:tcPr>
          <w:p>
            <w:pPr>
              <w:ind w:left="800"/>
              <w:spacing w:after="0"/>
              <w:rPr>
                <w:sz w:val="20"/>
                <w:szCs w:val="20"/>
                <w:color w:val="auto"/>
              </w:rPr>
            </w:pPr>
            <w:r>
              <w:rPr>
                <w:rFonts w:ascii="Arial" w:cs="Arial" w:eastAsia="Arial" w:hAnsi="Arial"/>
                <w:sz w:val="18"/>
                <w:szCs w:val="18"/>
                <w:color w:val="auto"/>
              </w:rPr>
              <w:t>UNIVERSAL FOREST PRODUCTS, INC.</w:t>
            </w:r>
          </w:p>
        </w:tc>
      </w:tr>
      <w:tr>
        <w:trPr>
          <w:trHeight w:val="432"/>
        </w:trPr>
        <w:tc>
          <w:tcPr>
            <w:tcW w:w="4140" w:type="dxa"/>
            <w:vAlign w:val="bottom"/>
            <w:gridSpan w:val="2"/>
          </w:tcPr>
          <w:p>
            <w:pPr>
              <w:spacing w:after="0"/>
              <w:rPr>
                <w:sz w:val="20"/>
                <w:szCs w:val="20"/>
                <w:color w:val="auto"/>
              </w:rPr>
            </w:pPr>
            <w:r>
              <w:rPr>
                <w:rFonts w:ascii="Arial" w:cs="Arial" w:eastAsia="Arial" w:hAnsi="Arial"/>
                <w:sz w:val="18"/>
                <w:szCs w:val="18"/>
                <w:color w:val="auto"/>
              </w:rPr>
              <w:t>Date:  February 26, 2020</w:t>
            </w:r>
          </w:p>
        </w:tc>
        <w:tc>
          <w:tcPr>
            <w:tcW w:w="4920" w:type="dxa"/>
            <w:vAlign w:val="bottom"/>
            <w:gridSpan w:val="2"/>
          </w:tcPr>
          <w:p>
            <w:pPr>
              <w:ind w:left="800"/>
              <w:spacing w:after="0"/>
              <w:rPr>
                <w:sz w:val="20"/>
                <w:szCs w:val="20"/>
                <w:color w:val="auto"/>
              </w:rPr>
            </w:pPr>
            <w:r>
              <w:rPr>
                <w:rFonts w:ascii="Arial" w:cs="Arial" w:eastAsia="Arial" w:hAnsi="Arial"/>
                <w:sz w:val="18"/>
                <w:szCs w:val="18"/>
                <w:color w:val="auto"/>
              </w:rPr>
              <w:t>By: /s/ Michael R. Cole</w:t>
            </w:r>
          </w:p>
        </w:tc>
      </w:tr>
      <w:tr>
        <w:trPr>
          <w:trHeight w:val="195"/>
        </w:trPr>
        <w:tc>
          <w:tcPr>
            <w:tcW w:w="520" w:type="dxa"/>
            <w:vAlign w:val="bottom"/>
          </w:tcPr>
          <w:p>
            <w:pPr>
              <w:spacing w:after="0"/>
              <w:rPr>
                <w:sz w:val="16"/>
                <w:szCs w:val="16"/>
                <w:color w:val="auto"/>
              </w:rPr>
            </w:pPr>
          </w:p>
        </w:tc>
        <w:tc>
          <w:tcPr>
            <w:tcW w:w="3620" w:type="dxa"/>
            <w:vAlign w:val="bottom"/>
            <w:tcBorders>
              <w:top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16"/>
        </w:trPr>
        <w:tc>
          <w:tcPr>
            <w:tcW w:w="5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920" w:type="dxa"/>
            <w:vAlign w:val="bottom"/>
            <w:gridSpan w:val="2"/>
          </w:tcPr>
          <w:p>
            <w:pPr>
              <w:ind w:left="800"/>
              <w:spacing w:after="0"/>
              <w:rPr>
                <w:sz w:val="20"/>
                <w:szCs w:val="20"/>
                <w:color w:val="auto"/>
              </w:rPr>
            </w:pPr>
            <w:r>
              <w:rPr>
                <w:rFonts w:ascii="Arial" w:cs="Arial" w:eastAsia="Arial" w:hAnsi="Arial"/>
                <w:sz w:val="18"/>
                <w:szCs w:val="18"/>
                <w:color w:val="auto"/>
              </w:rPr>
              <w:t>Its:  Chief Financial Officer,</w:t>
            </w:r>
          </w:p>
        </w:tc>
      </w:tr>
      <w:tr>
        <w:trPr>
          <w:trHeight w:val="216"/>
        </w:trPr>
        <w:tc>
          <w:tcPr>
            <w:tcW w:w="5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598170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lowerLetter"/>
      <w:start w:val="1"/>
    </w:lvl>
  </w:abstractNum>
  <w:abstractNum w:abstractNumId="5">
    <w:nsid w:val="3804823E"/>
    <w:multiLevelType w:val="hybridMultilevel"/>
    <w:lvl w:ilvl="0">
      <w:lvlJc w:val="left"/>
      <w:lvlText w:val="(%1)"/>
      <w:numFmt w:val="lowerLetter"/>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1)"/>
      <w:numFmt w:val="lowerLetter"/>
      <w:start w:val="1"/>
    </w:lvl>
  </w:abstractNum>
  <w:abstractNum w:abstractNumId="9">
    <w:nsid w:val="2463B9EA"/>
    <w:multiLevelType w:val="hybridMultilevel"/>
    <w:lvl w:ilvl="0">
      <w:lvlJc w:val="left"/>
      <w:lvlText w:val="(%1)"/>
      <w:numFmt w:val="lowerLetter"/>
      <w:start w:val="2"/>
    </w:lvl>
  </w:abstractNum>
  <w:abstractNum w:abstractNumId="10">
    <w:nsid w:val="5E884ADC"/>
    <w:multiLevelType w:val="hybridMultilevel"/>
    <w:lvl w:ilvl="0">
      <w:lvlJc w:val="left"/>
      <w:lvlText w:val="3"/>
      <w:numFmt w:val="bullet"/>
      <w:start w:val="1"/>
    </w:lvl>
    <w:lvl w:ilvl="1">
      <w:lvlJc w:val="left"/>
      <w:lvlText w:val="(%2)"/>
      <w:numFmt w:val="lowerLetter"/>
      <w:start w:val="1"/>
    </w:lvl>
  </w:abstractNum>
  <w:abstractNum w:abstractNumId="11">
    <w:nsid w:val="51EAD36B"/>
    <w:multiLevelType w:val="hybridMultilevel"/>
    <w:lvl w:ilvl="0">
      <w:lvlJc w:val="left"/>
      <w:lvlText w:val="4"/>
      <w:numFmt w:val="bullet"/>
      <w:start w:val="1"/>
    </w:lvl>
    <w:lvl w:ilvl="1">
      <w:lvlJc w:val="left"/>
      <w:lvlText w:val="(%2)"/>
      <w:numFmt w:val="lowerLetter"/>
      <w:start w:val="1"/>
    </w:lvl>
  </w:abstractNum>
  <w:abstractNum w:abstractNumId="12">
    <w:nsid w:val="2D517796"/>
    <w:multiLevelType w:val="hybridMultilevel"/>
    <w:lvl w:ilvl="0">
      <w:lvlJc w:val="left"/>
      <w:lvlText w:val="%1"/>
      <w:numFmt w:val="decimal"/>
      <w:start w:val="10"/>
    </w:lvl>
  </w:abstractNum>
  <w:abstractNum w:abstractNumId="13">
    <w:nsid w:val="580BD78F"/>
    <w:multiLevelType w:val="hybridMultilevel"/>
    <w:lvl w:ilvl="0">
      <w:lvlJc w:val="left"/>
      <w:lvlText w:val="(%1)"/>
      <w:numFmt w:val="lowerLetter"/>
      <w:start w:val="2"/>
    </w:lvl>
  </w:abstractNum>
  <w:abstractNum w:abstractNumId="14">
    <w:nsid w:val="153EA438"/>
    <w:multiLevelType w:val="hybridMultilevel"/>
    <w:lvl w:ilvl="0">
      <w:lvlJc w:val="left"/>
      <w:lvlText w:val="(%1)"/>
      <w:numFmt w:val="lowerLetter"/>
      <w:start w:val="15"/>
    </w:lvl>
  </w:abstractNum>
  <w:abstractNum w:abstractNumId="15">
    <w:nsid w:val="3855585C"/>
    <w:multiLevelType w:val="hybridMultilevel"/>
    <w:lvl w:ilvl="0">
      <w:lvlJc w:val="left"/>
      <w:lvlText w:val="%1"/>
      <w:numFmt w:val="decimal"/>
      <w:start w:val="13"/>
    </w:lvl>
  </w:abstractNum>
  <w:abstractNum w:abstractNumId="16">
    <w:nsid w:val="70A64E2A"/>
    <w:multiLevelType w:val="hybridMultilevel"/>
    <w:lvl w:ilvl="0">
      <w:lvlJc w:val="left"/>
      <w:lvlText w:val="(%1)"/>
      <w:numFmt w:val="lowerLetter"/>
      <w:start w:val="1"/>
    </w:lvl>
  </w:abstractNum>
  <w:abstractNum w:abstractNumId="17">
    <w:nsid w:val="6A2342EC"/>
    <w:multiLevelType w:val="hybridMultilevel"/>
    <w:lvl w:ilvl="0">
      <w:lvlJc w:val="left"/>
      <w:lvlText w:val="%1"/>
      <w:numFmt w:val="decimal"/>
      <w:start w:val="21"/>
    </w:lvl>
  </w:abstractNum>
  <w:abstractNum w:abstractNumId="18">
    <w:nsid w:val="2A487CB0"/>
    <w:multiLevelType w:val="hybridMultilevel"/>
    <w:lvl w:ilvl="0">
      <w:lvlJc w:val="left"/>
      <w:lvlText w:val="%1"/>
      <w:numFmt w:val="decimal"/>
      <w:start w:val="23"/>
    </w:lvl>
  </w:abstractNum>
  <w:abstractNum w:abstractNumId="19">
    <w:nsid w:val="1D4ED43B"/>
    <w:multiLevelType w:val="hybridMultilevel"/>
    <w:lvl w:ilvl="0">
      <w:lvlJc w:val="left"/>
      <w:lvlText w:val="%1"/>
      <w:numFmt w:val="decimal"/>
      <w:start w:val="31"/>
    </w:lvl>
    <w:lvl w:ilvl="1">
      <w:lvlJc w:val="left"/>
      <w:lvlText w:val="(%2)"/>
      <w:numFmt w:val="lowerLetter"/>
      <w:start w:val="1"/>
    </w:lvl>
  </w:abstractNum>
  <w:abstractNum w:abstractNumId="20">
    <w:nsid w:val="725A06FB"/>
    <w:multiLevelType w:val="hybridMultilevel"/>
    <w:lvl w:ilvl="0">
      <w:lvlJc w:val="left"/>
      <w:lvlText w:val="%1"/>
      <w:numFmt w:val="decimal"/>
      <w:start w:val="101"/>
    </w:lvl>
  </w:abstractNum>
  <w:abstractNum w:abstractNumId="21">
    <w:nsid w:val="2CD89A32"/>
    <w:multiLevelType w:val="hybridMultilevel"/>
    <w:lvl w:ilvl="0">
      <w:lvlJc w:val="left"/>
      <w:lvlText w:val="*"/>
      <w:numFmt w:val="bullet"/>
      <w:start w:val="1"/>
    </w:lvl>
    <w:lvl w:ilvl="1">
      <w:lvlJc w:val="left"/>
      <w:lvlText w:val="%2"/>
      <w:numFmt w:val="decimal"/>
      <w:start w:val="104"/>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1."/>
      <w:numFmt w:val="upperLetter"/>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1."/>
      <w:numFmt w:val="upperLetter"/>
      <w:start w:val="2"/>
    </w:lvl>
  </w:abstractNum>
  <w:abstractNum w:abstractNumId="47">
    <w:nsid w:val="180115BE"/>
    <w:multiLevelType w:val="hybridMultilevel"/>
    <w:lvl w:ilvl="0">
      <w:lvlJc w:val="left"/>
      <w:lvlText w:val="%1."/>
      <w:numFmt w:val="upperLetter"/>
      <w:start w:val="3"/>
    </w:lvl>
  </w:abstractNum>
  <w:abstractNum w:abstractNumId="48">
    <w:nsid w:val="235BA861"/>
    <w:multiLevelType w:val="hybridMultilevel"/>
    <w:lvl w:ilvl="0">
      <w:lvlJc w:val="left"/>
      <w:lvlText w:val="%1."/>
      <w:numFmt w:val="upperLetter"/>
      <w:start w:val="4"/>
    </w:lvl>
  </w:abstractNum>
  <w:abstractNum w:abstractNumId="49">
    <w:nsid w:val="47398C89"/>
    <w:multiLevelType w:val="hybridMultilevel"/>
    <w:lvl w:ilvl="0">
      <w:lvlJc w:val="left"/>
      <w:lvlText w:val="%1."/>
      <w:numFmt w:val="upperLetter"/>
      <w:start w:val="5"/>
    </w:lvl>
  </w:abstractNum>
  <w:abstractNum w:abstractNumId="50">
    <w:nsid w:val="354FE9F9"/>
    <w:multiLevelType w:val="hybridMultilevel"/>
    <w:lvl w:ilvl="0">
      <w:lvlJc w:val="left"/>
      <w:lvlText w:val="%1."/>
      <w:numFmt w:val="upperLetter"/>
      <w:start w:val="6"/>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upperLetter"/>
      <w:start w:val="7"/>
    </w:lvl>
  </w:abstractNum>
  <w:abstractNum w:abstractNumId="54">
    <w:nsid w:val="10233C99"/>
    <w:multiLevelType w:val="hybridMultilevel"/>
    <w:lvl w:ilvl="0">
      <w:lvlJc w:val="left"/>
      <w:lvlText w:val="%1."/>
      <w:numFmt w:val="upperLetter"/>
      <w:start w:val="8"/>
    </w:lvl>
  </w:abstractNum>
  <w:abstractNum w:abstractNumId="55">
    <w:nsid w:val="3F6AB60F"/>
    <w:multiLevelType w:val="hybridMultilevel"/>
    <w:lvl w:ilvl="0">
      <w:lvlJc w:val="left"/>
      <w:lvlText w:val="%1."/>
      <w:numFmt w:val="upperLetter"/>
      <w:start w:val="9"/>
    </w:lvl>
  </w:abstractNum>
  <w:abstractNum w:abstractNumId="56">
    <w:nsid w:val="61574095"/>
    <w:multiLevelType w:val="hybridMultilevel"/>
    <w:lvl w:ilvl="0">
      <w:lvlJc w:val="left"/>
      <w:lvlText w:val="%1."/>
      <w:numFmt w:val="upperLetter"/>
      <w:start w:val="10"/>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1."/>
      <w:numFmt w:val="upperLetter"/>
      <w:start w:val="11"/>
    </w:lvl>
  </w:abstractNum>
  <w:abstractNum w:abstractNumId="59">
    <w:nsid w:val="579BE4F1"/>
    <w:multiLevelType w:val="hybridMultilevel"/>
    <w:lvl w:ilvl="0">
      <w:lvlJc w:val="left"/>
      <w:lvlText w:val="%1."/>
      <w:numFmt w:val="upperLetter"/>
      <w:start w:val="12"/>
    </w:lvl>
  </w:abstractNum>
  <w:abstractNum w:abstractNumId="60">
    <w:nsid w:val="310C50B3"/>
    <w:multiLevelType w:val="hybridMultilevel"/>
    <w:lvl w:ilvl="0">
      <w:lvlJc w:val="left"/>
      <w:lvlText w:val="%1."/>
      <w:numFmt w:val="upperLetter"/>
      <w:start w:val="13"/>
    </w:lvl>
  </w:abstractNum>
  <w:abstractNum w:abstractNumId="61">
    <w:nsid w:val="5FF87E05"/>
    <w:multiLevelType w:val="hybridMultilevel"/>
    <w:lvl w:ilvl="0">
      <w:lvlJc w:val="left"/>
      <w:lvlText w:val="(%1)"/>
      <w:numFmt w:val="lowerLetter"/>
      <w:start w:val="1"/>
    </w:lvl>
  </w:abstractNum>
  <w:abstractNum w:abstractNumId="62">
    <w:nsid w:val="2F305DEF"/>
    <w:multiLevelType w:val="hybridMultilevel"/>
    <w:lvl w:ilvl="0">
      <w:lvlJc w:val="left"/>
      <w:lvlText w:val="%1."/>
      <w:numFmt w:val="upperLetter"/>
      <w:start w:val="14"/>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jpe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27" Type="http://schemas.openxmlformats.org/officeDocument/2006/relationships/hyperlink" Target="http://www.sec.gov/Archives/edgar/data/912767/000091276717000007/ufpi-20161231xexhibit3b.htm" TargetMode="External"/><Relationship Id="rId28" Type="http://schemas.openxmlformats.org/officeDocument/2006/relationships/hyperlink" Target="http://www.sec.gov/Archives/edgar/data/912767/000095012311016476/c12957exv10waw6.txt" TargetMode="External"/><Relationship Id="rId29" Type="http://schemas.openxmlformats.org/officeDocument/2006/relationships/hyperlink" Target="http://www.sec.gov/Archives/edgar/data/912767/000095012311016476/c12957exv10wf.htm" TargetMode="External"/><Relationship Id="rId30" Type="http://schemas.openxmlformats.org/officeDocument/2006/relationships/hyperlink" Target="http://www.sec.gov/Archives/edgar/data/912767/000114036112015431/ex10g.htm" TargetMode="External"/><Relationship Id="rId31" Type="http://schemas.openxmlformats.org/officeDocument/2006/relationships/hyperlink" Target="http://www.sec.gov/Archives/edgar/data/912767/000114036112015431/ex10h.htm" TargetMode="External"/><Relationship Id="rId32" Type="http://schemas.openxmlformats.org/officeDocument/2006/relationships/hyperlink" Target="http://www.sec.gov/Archives/edgar/data/912767/000114036114040661/ex10_1.htm" TargetMode="External"/><Relationship Id="rId33" Type="http://schemas.openxmlformats.org/officeDocument/2006/relationships/hyperlink" Target="http://www.sec.gov/Archives/edgar/data/912767/000114036112051611/ex10_k.htm" TargetMode="External"/><Relationship Id="rId34" Type="http://schemas.openxmlformats.org/officeDocument/2006/relationships/hyperlink" Target="http://www.sec.gov/Archives/edgar/data/912767/000155837019001176/ufpi-20181229ex10k2733c1.htm" TargetMode="External"/><Relationship Id="rId35" Type="http://schemas.openxmlformats.org/officeDocument/2006/relationships/hyperlink" Target="http://www.sec.gov/Archives/edgar/data/912767/000114036115008949/ex10_l.htm" TargetMode="External"/><Relationship Id="rId36" Type="http://schemas.openxmlformats.org/officeDocument/2006/relationships/hyperlink" Target="http://www.sec.gov/Archives/edgar/data/912767/000091276717000007/ufpi-20161231xexhibit10m.htm" TargetMode="External"/><Relationship Id="rId37" Type="http://schemas.openxmlformats.org/officeDocument/2006/relationships/hyperlink" Target="http://www.sec.gov/Archives/edgar/data/912767/000114036112013332/formdef14a.htm" TargetMode="External"/><Relationship Id="rId38" Type="http://schemas.openxmlformats.org/officeDocument/2006/relationships/hyperlink" Target="http://www.sec.gov/Archives/edgar/data/912767/000091276716000068/exhibit10o3q2016.htm" TargetMode="External"/><Relationship Id="rId39" Type="http://schemas.openxmlformats.org/officeDocument/2006/relationships/hyperlink" Target="http://www.sec.gov/Archives/edgar/data/912767/000095012311016476/c12957exv14w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2020-02-26T15:21:14Z</dcterms:created>
  <dcterms:modified xsi:type="dcterms:W3CDTF">2020-02-26T15:21:14Z</dcterms:modified>
</cp:coreProperties>
</file>