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UNIVERSAL FOREST PRODUCTS, INC.</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880" w:right="2080" w:hanging="3872"/>
        <w:spacing w:after="0" w:line="532" w:lineRule="auto"/>
        <w:tabs>
          <w:tab w:leader="none" w:pos="65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24,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4460" w:right="2060" w:hanging="4452"/>
        <w:spacing w:after="0" w:line="51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3"/>
          </w:tcPr>
          <w:p>
            <w:pPr>
              <w:ind w:left="3860"/>
              <w:spacing w:after="0"/>
              <w:rPr>
                <w:sz w:val="20"/>
                <w:szCs w:val="20"/>
                <w:color w:val="auto"/>
              </w:rPr>
            </w:pPr>
            <w:r>
              <w:rPr>
                <w:rFonts w:ascii="Arial" w:cs="Arial" w:eastAsia="Arial" w:hAnsi="Arial"/>
                <w:sz w:val="18"/>
                <w:szCs w:val="18"/>
                <w:color w:val="auto"/>
                <w:w w:val="93"/>
              </w:rPr>
              <w:t>(Exact name of registrant as specified in its charter)</w:t>
            </w:r>
          </w:p>
        </w:tc>
        <w:tc>
          <w:tcPr>
            <w:tcW w:w="3700" w:type="dxa"/>
            <w:vAlign w:val="bottom"/>
          </w:tcPr>
          <w:p>
            <w:pPr>
              <w:spacing w:after="0"/>
              <w:rPr>
                <w:sz w:val="20"/>
                <w:szCs w:val="20"/>
                <w:color w:val="auto"/>
              </w:rPr>
            </w:pPr>
          </w:p>
        </w:tc>
      </w:tr>
      <w:tr>
        <w:trPr>
          <w:trHeight w:val="450"/>
        </w:trPr>
        <w:tc>
          <w:tcPr>
            <w:tcW w:w="7720" w:type="dxa"/>
            <w:vAlign w:val="bottom"/>
            <w:gridSpan w:val="3"/>
          </w:tcPr>
          <w:p>
            <w:pPr>
              <w:jc w:val="center"/>
              <w:ind w:right="2220"/>
              <w:spacing w:after="0"/>
              <w:rPr>
                <w:sz w:val="20"/>
                <w:szCs w:val="20"/>
                <w:color w:val="auto"/>
              </w:rPr>
            </w:pPr>
            <w:r>
              <w:rPr>
                <w:rFonts w:ascii="Arial" w:cs="Arial" w:eastAsia="Arial" w:hAnsi="Arial"/>
                <w:sz w:val="18"/>
                <w:szCs w:val="18"/>
                <w:color w:val="auto"/>
                <w:w w:val="97"/>
              </w:rPr>
              <w:t>Michigan</w:t>
            </w:r>
          </w:p>
        </w:tc>
        <w:tc>
          <w:tcPr>
            <w:tcW w:w="3700" w:type="dxa"/>
            <w:vAlign w:val="bottom"/>
          </w:tcPr>
          <w:p>
            <w:pPr>
              <w:jc w:val="right"/>
              <w:ind w:right="2210"/>
              <w:spacing w:after="0"/>
              <w:rPr>
                <w:sz w:val="20"/>
                <w:szCs w:val="20"/>
                <w:color w:val="auto"/>
              </w:rPr>
            </w:pPr>
            <w:r>
              <w:rPr>
                <w:rFonts w:ascii="Arial" w:cs="Arial" w:eastAsia="Arial" w:hAnsi="Arial"/>
                <w:sz w:val="18"/>
                <w:szCs w:val="18"/>
                <w:color w:val="auto"/>
              </w:rPr>
              <w:t>38-1465835</w:t>
            </w:r>
          </w:p>
        </w:tc>
      </w:tr>
      <w:tr>
        <w:trPr>
          <w:trHeight w:val="202"/>
        </w:trPr>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46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right="16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720" w:type="dxa"/>
            <w:vAlign w:val="bottom"/>
            <w:gridSpan w:val="3"/>
          </w:tcPr>
          <w:p>
            <w:pPr>
              <w:jc w:val="center"/>
              <w:ind w:right="2220"/>
              <w:spacing w:after="0"/>
              <w:rPr>
                <w:sz w:val="20"/>
                <w:szCs w:val="20"/>
                <w:color w:val="auto"/>
              </w:rPr>
            </w:pPr>
            <w:r>
              <w:rPr>
                <w:rFonts w:ascii="Arial" w:cs="Arial" w:eastAsia="Arial" w:hAnsi="Arial"/>
                <w:sz w:val="18"/>
                <w:szCs w:val="18"/>
                <w:color w:val="auto"/>
                <w:w w:val="93"/>
              </w:rPr>
              <w:t>incorporation or organization)</w:t>
            </w:r>
          </w:p>
        </w:tc>
        <w:tc>
          <w:tcPr>
            <w:tcW w:w="3700" w:type="dxa"/>
            <w:vAlign w:val="bottom"/>
          </w:tcPr>
          <w:p>
            <w:pPr>
              <w:jc w:val="center"/>
              <w:ind w:right="1670"/>
              <w:spacing w:after="0"/>
              <w:rPr>
                <w:sz w:val="20"/>
                <w:szCs w:val="20"/>
                <w:color w:val="auto"/>
              </w:rPr>
            </w:pPr>
            <w:r>
              <w:rPr>
                <w:rFonts w:ascii="Arial" w:cs="Arial" w:eastAsia="Arial" w:hAnsi="Arial"/>
                <w:sz w:val="18"/>
                <w:szCs w:val="18"/>
                <w:color w:val="auto"/>
                <w:w w:val="94"/>
              </w:rPr>
              <w:t>Identification Number)</w:t>
            </w:r>
          </w:p>
        </w:tc>
      </w:tr>
      <w:tr>
        <w:trPr>
          <w:trHeight w:val="466"/>
        </w:trPr>
        <w:tc>
          <w:tcPr>
            <w:tcW w:w="7720" w:type="dxa"/>
            <w:vAlign w:val="bottom"/>
            <w:gridSpan w:val="3"/>
          </w:tcPr>
          <w:p>
            <w:pPr>
              <w:jc w:val="center"/>
              <w:ind w:right="2220"/>
              <w:spacing w:after="0"/>
              <w:rPr>
                <w:sz w:val="20"/>
                <w:szCs w:val="20"/>
                <w:color w:val="auto"/>
              </w:rPr>
            </w:pPr>
            <w:r>
              <w:rPr>
                <w:rFonts w:ascii="Arial" w:cs="Arial" w:eastAsia="Arial" w:hAnsi="Arial"/>
                <w:sz w:val="18"/>
                <w:szCs w:val="18"/>
                <w:color w:val="auto"/>
                <w:w w:val="91"/>
              </w:rPr>
              <w:t>2801 East Beltline NE, Grand Rapids, Michigan</w:t>
            </w:r>
          </w:p>
        </w:tc>
        <w:tc>
          <w:tcPr>
            <w:tcW w:w="3700" w:type="dxa"/>
            <w:vAlign w:val="bottom"/>
          </w:tcPr>
          <w:p>
            <w:pPr>
              <w:jc w:val="right"/>
              <w:ind w:right="2410"/>
              <w:spacing w:after="0"/>
              <w:rPr>
                <w:sz w:val="20"/>
                <w:szCs w:val="20"/>
                <w:color w:val="auto"/>
              </w:rPr>
            </w:pPr>
            <w:r>
              <w:rPr>
                <w:rFonts w:ascii="Arial" w:cs="Arial" w:eastAsia="Arial" w:hAnsi="Arial"/>
                <w:sz w:val="18"/>
                <w:szCs w:val="18"/>
                <w:color w:val="auto"/>
              </w:rPr>
              <w:t>49525</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jc w:val="center"/>
              <w:ind w:right="1690"/>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68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7"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by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920" w:type="dxa"/>
            <w:vAlign w:val="bottom"/>
          </w:tcPr>
          <w:p>
            <w:pPr>
              <w:spacing w:after="0"/>
              <w:rPr>
                <w:sz w:val="20"/>
                <w:szCs w:val="20"/>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Outstanding as of September 24, 2011</w:t>
            </w:r>
          </w:p>
        </w:tc>
      </w:tr>
      <w:tr>
        <w:trPr>
          <w:trHeight w:val="230"/>
        </w:trPr>
        <w:tc>
          <w:tcPr>
            <w:tcW w:w="526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920" w:type="dxa"/>
            <w:vAlign w:val="bottom"/>
          </w:tcPr>
          <w:p>
            <w:pPr>
              <w:spacing w:after="0"/>
              <w:rPr>
                <w:sz w:val="20"/>
                <w:szCs w:val="20"/>
                <w:color w:val="auto"/>
              </w:rPr>
            </w:pPr>
          </w:p>
        </w:tc>
        <w:tc>
          <w:tcPr>
            <w:tcW w:w="5240" w:type="dxa"/>
            <w:vAlign w:val="bottom"/>
          </w:tcPr>
          <w:p>
            <w:pPr>
              <w:jc w:val="right"/>
              <w:ind w:right="2130"/>
              <w:spacing w:after="0"/>
              <w:rPr>
                <w:sz w:val="20"/>
                <w:szCs w:val="20"/>
                <w:color w:val="auto"/>
              </w:rPr>
            </w:pPr>
            <w:r>
              <w:rPr>
                <w:rFonts w:ascii="Arial" w:cs="Arial" w:eastAsia="Arial" w:hAnsi="Arial"/>
                <w:sz w:val="18"/>
                <w:szCs w:val="18"/>
                <w:color w:val="auto"/>
              </w:rPr>
              <w:t>19,556,008</w:t>
            </w:r>
          </w:p>
        </w:tc>
      </w:tr>
      <w:tr>
        <w:trPr>
          <w:trHeight w:val="104"/>
        </w:trPr>
        <w:tc>
          <w:tcPr>
            <w:tcW w:w="5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40" w:type="dxa"/>
            <w:vAlign w:val="bottom"/>
          </w:tcPr>
          <w:p>
            <w:pPr>
              <w:spacing w:after="0"/>
              <w:rPr>
                <w:sz w:val="9"/>
                <w:szCs w:val="9"/>
                <w:color w:val="auto"/>
              </w:rPr>
            </w:pPr>
          </w:p>
        </w:tc>
      </w:tr>
      <w:tr>
        <w:trPr>
          <w:trHeight w:val="71"/>
        </w:trPr>
        <w:tc>
          <w:tcPr>
            <w:tcW w:w="5260" w:type="dxa"/>
            <w:vAlign w:val="bottom"/>
            <w:shd w:val="clear" w:color="auto" w:fill="808080"/>
          </w:tcPr>
          <w:p>
            <w:pPr>
              <w:spacing w:after="0"/>
              <w:rPr>
                <w:sz w:val="6"/>
                <w:szCs w:val="6"/>
                <w:color w:val="auto"/>
              </w:rPr>
            </w:pPr>
          </w:p>
        </w:tc>
        <w:tc>
          <w:tcPr>
            <w:tcW w:w="920" w:type="dxa"/>
            <w:vAlign w:val="bottom"/>
            <w:shd w:val="clear" w:color="auto" w:fill="808080"/>
          </w:tcPr>
          <w:p>
            <w:pPr>
              <w:spacing w:after="0"/>
              <w:rPr>
                <w:sz w:val="6"/>
                <w:szCs w:val="6"/>
                <w:color w:val="auto"/>
              </w:rPr>
            </w:pPr>
          </w:p>
        </w:tc>
        <w:tc>
          <w:tcPr>
            <w:tcW w:w="5240" w:type="dxa"/>
            <w:vAlign w:val="bottom"/>
            <w:shd w:val="clear" w:color="auto" w:fill="808080"/>
          </w:tcPr>
          <w:p>
            <w:pPr>
              <w:spacing w:after="0"/>
              <w:rPr>
                <w:sz w:val="6"/>
                <w:szCs w:val="6"/>
                <w:color w:val="auto"/>
              </w:rPr>
            </w:pPr>
          </w:p>
        </w:tc>
      </w:tr>
      <w:tr>
        <w:trPr>
          <w:trHeight w:val="510"/>
        </w:trPr>
        <w:tc>
          <w:tcPr>
            <w:tcW w:w="5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40" w:type="dxa"/>
            <w:vAlign w:val="bottom"/>
            <w:gridSpan w:val="9"/>
          </w:tcPr>
          <w:p>
            <w:pPr>
              <w:ind w:left="210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6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Item 1.</w:t>
            </w:r>
          </w:p>
        </w:tc>
        <w:tc>
          <w:tcPr>
            <w:tcW w:w="936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at September 24, 2011, December 25, 2010 and September 25, 2010.</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360" w:type="dxa"/>
            <w:vAlign w:val="bottom"/>
            <w:gridSpan w:val="13"/>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Condensed Statements of Earnings for the Three and Nine Months Ended September 24, 2011 and September 25,</w:t>
              </w:r>
            </w:hyperlink>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2010.</w:t>
              </w:r>
            </w:hyperlink>
          </w:p>
        </w:tc>
        <w:tc>
          <w:tcPr>
            <w:tcW w:w="72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22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100" w:type="dxa"/>
            <w:vAlign w:val="bottom"/>
            <w:tcBorders>
              <w:top w:val="single" w:sz="8" w:color="0000EE"/>
            </w:tcBorders>
            <w:shd w:val="clear" w:color="auto" w:fill="CCEEFF"/>
          </w:tcPr>
          <w:p>
            <w:pPr>
              <w:spacing w:after="0"/>
              <w:rPr>
                <w:sz w:val="18"/>
                <w:szCs w:val="18"/>
                <w:color w:val="auto"/>
              </w:rPr>
            </w:pPr>
          </w:p>
        </w:tc>
        <w:tc>
          <w:tcPr>
            <w:tcW w:w="146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Condensed Statements of Equity for the Nine Months Ended September 24, 2011 and September 25, 2010.</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spacing w:after="0" w:line="17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Consolidated Condensed Statements of Cash Flows for the Nine Months Ended September 24, 2011 and September 25, 2010.</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7 - 16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17 - 30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360" w:type="dxa"/>
            <w:vAlign w:val="bottom"/>
            <w:gridSpan w:val="13"/>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w:t>
            </w:r>
          </w:p>
        </w:tc>
        <w:tc>
          <w:tcPr>
            <w:tcW w:w="93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1A.</w:t>
            </w:r>
          </w:p>
        </w:tc>
        <w:tc>
          <w:tcPr>
            <w:tcW w:w="93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Risk Factors - NONE.</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3.</w:t>
            </w:r>
          </w:p>
        </w:tc>
        <w:tc>
          <w:tcPr>
            <w:tcW w:w="93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Item 4.</w:t>
            </w:r>
          </w:p>
        </w:tc>
        <w:tc>
          <w:tcPr>
            <w:tcW w:w="93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(Removed and Reserved).</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1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140" w:type="dxa"/>
            <w:vAlign w:val="bottom"/>
            <w:tcBorders>
              <w:top w:val="single" w:sz="8" w:color="CCEEFF"/>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72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CCEEFF"/>
              <w:bottom w:val="single" w:sz="8" w:color="808080"/>
            </w:tcBorders>
          </w:tcPr>
          <w:p>
            <w:pPr>
              <w:spacing w:after="0"/>
              <w:rPr>
                <w:sz w:val="24"/>
                <w:szCs w:val="24"/>
                <w:color w:val="auto"/>
              </w:rPr>
            </w:pPr>
          </w:p>
        </w:tc>
        <w:tc>
          <w:tcPr>
            <w:tcW w:w="2220" w:type="dxa"/>
            <w:vAlign w:val="bottom"/>
            <w:tcBorders>
              <w:top w:val="single" w:sz="8" w:color="CCEEFF"/>
              <w:bottom w:val="single" w:sz="8" w:color="808080"/>
            </w:tcBorders>
          </w:tcPr>
          <w:p>
            <w:pPr>
              <w:spacing w:after="0"/>
              <w:rPr>
                <w:sz w:val="24"/>
                <w:szCs w:val="24"/>
                <w:color w:val="auto"/>
              </w:rPr>
            </w:pPr>
          </w:p>
        </w:tc>
        <w:tc>
          <w:tcPr>
            <w:tcW w:w="300" w:type="dxa"/>
            <w:vAlign w:val="bottom"/>
            <w:tcBorders>
              <w:top w:val="single" w:sz="8" w:color="CCEEFF"/>
              <w:bottom w:val="single" w:sz="8" w:color="808080"/>
            </w:tcBorders>
          </w:tcPr>
          <w:p>
            <w:pPr>
              <w:spacing w:after="0"/>
              <w:rPr>
                <w:sz w:val="24"/>
                <w:szCs w:val="24"/>
                <w:color w:val="auto"/>
              </w:rPr>
            </w:pPr>
          </w:p>
        </w:tc>
        <w:tc>
          <w:tcPr>
            <w:tcW w:w="40" w:type="dxa"/>
            <w:vAlign w:val="bottom"/>
            <w:tcBorders>
              <w:top w:val="single" w:sz="8" w:color="CCEEFF"/>
              <w:bottom w:val="single" w:sz="8" w:color="808080"/>
            </w:tcBorders>
          </w:tcPr>
          <w:p>
            <w:pPr>
              <w:spacing w:after="0"/>
              <w:rPr>
                <w:sz w:val="24"/>
                <w:szCs w:val="24"/>
                <w:color w:val="auto"/>
              </w:rPr>
            </w:pPr>
          </w:p>
        </w:tc>
        <w:tc>
          <w:tcPr>
            <w:tcW w:w="2100" w:type="dxa"/>
            <w:vAlign w:val="bottom"/>
            <w:tcBorders>
              <w:top w:val="single" w:sz="8" w:color="CCEEFF"/>
              <w:bottom w:val="single" w:sz="8" w:color="808080"/>
            </w:tcBorders>
          </w:tcPr>
          <w:p>
            <w:pPr>
              <w:spacing w:after="0"/>
              <w:rPr>
                <w:sz w:val="24"/>
                <w:szCs w:val="24"/>
                <w:color w:val="auto"/>
              </w:rPr>
            </w:pPr>
          </w:p>
        </w:tc>
        <w:tc>
          <w:tcPr>
            <w:tcW w:w="1460" w:type="dxa"/>
            <w:vAlign w:val="bottom"/>
            <w:tcBorders>
              <w:top w:val="single" w:sz="8" w:color="CCEEFF"/>
              <w:bottom w:val="single" w:sz="8" w:color="808080"/>
            </w:tcBorders>
          </w:tcPr>
          <w:p>
            <w:pPr>
              <w:spacing w:after="0"/>
              <w:rPr>
                <w:sz w:val="24"/>
                <w:szCs w:val="24"/>
                <w:color w:val="auto"/>
              </w:rPr>
            </w:pPr>
          </w:p>
        </w:tc>
        <w:tc>
          <w:tcPr>
            <w:tcW w:w="740" w:type="dxa"/>
            <w:vAlign w:val="bottom"/>
            <w:tcBorders>
              <w:top w:val="single" w:sz="8" w:color="CCEEFF"/>
              <w:bottom w:val="single" w:sz="8" w:color="808080"/>
            </w:tcBorders>
          </w:tcPr>
          <w:p>
            <w:pPr>
              <w:spacing w:after="0"/>
              <w:rPr>
                <w:sz w:val="24"/>
                <w:szCs w:val="24"/>
                <w:color w:val="auto"/>
              </w:rPr>
            </w:pPr>
          </w:p>
        </w:tc>
        <w:tc>
          <w:tcPr>
            <w:tcW w:w="36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CCEEFF"/>
              <w:bottom w:val="single" w:sz="8" w:color="808080"/>
            </w:tcBorders>
          </w:tcPr>
          <w:p>
            <w:pPr>
              <w:spacing w:after="0"/>
              <w:rPr>
                <w:sz w:val="24"/>
                <w:szCs w:val="24"/>
                <w:color w:val="auto"/>
              </w:rPr>
            </w:pPr>
          </w:p>
        </w:tc>
        <w:tc>
          <w:tcPr>
            <w:tcW w:w="900" w:type="dxa"/>
            <w:vAlign w:val="bottom"/>
            <w:tcBorders>
              <w:top w:val="single" w:sz="8" w:color="CCEEFF"/>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(in thousands, except share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September 24,</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25,</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September 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173,965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113,049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180,882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190,390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Refundable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382,815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154,702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517,793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(313,511)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(295,642)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798,423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789,396</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802,480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65,315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59,481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39,269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43,909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17,554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15,135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and capital lease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122,404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119,237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 AND CAPITAL LEASE OBLIGATIONS, less current portion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52,200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54,579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13,773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Controlling interest shareholders' 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Preferred stock, no par value; shares authorized 1,000,000; issued and outstanding, none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320"/>
              <w:spacing w:after="0" w:line="201" w:lineRule="exact"/>
              <w:rPr>
                <w:sz w:val="20"/>
                <w:szCs w:val="20"/>
                <w:color w:val="auto"/>
              </w:rPr>
            </w:pPr>
            <w:r>
              <w:rPr>
                <w:rFonts w:ascii="Arial" w:cs="Arial" w:eastAsia="Arial" w:hAnsi="Arial"/>
                <w:sz w:val="18"/>
                <w:szCs w:val="18"/>
                <w:color w:val="auto"/>
                <w:w w:val="91"/>
              </w:rPr>
              <w:t>Common stock, no par value; shares authorized 40,000,000; issued and outstanding 19,556,008,</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19,333,122 and 19,291,486</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19,333</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416,433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414,108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Employee stock notes receivable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(1,439)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574,509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581,176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798,423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789,396</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802,480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1420"/>
          </w:cols>
          <w:pgMar w:left="240" w:top="12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(in thousands, except per share data)</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00"/>
              <w:spacing w:after="0" w:line="201" w:lineRule="exact"/>
              <w:rPr>
                <w:sz w:val="20"/>
                <w:szCs w:val="20"/>
                <w:color w:val="auto"/>
              </w:rPr>
            </w:pPr>
            <w:r>
              <w:rPr>
                <w:rFonts w:ascii="Arial" w:cs="Arial" w:eastAsia="Arial" w:hAnsi="Arial"/>
                <w:sz w:val="18"/>
                <w:szCs w:val="18"/>
                <w:color w:val="auto"/>
                <w:w w:val="91"/>
              </w:rPr>
              <w:t>September 24,</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9"/>
              </w:rPr>
              <w:t>September 25,</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20"/>
              <w:spacing w:after="0" w:line="201" w:lineRule="exact"/>
              <w:rPr>
                <w:sz w:val="20"/>
                <w:szCs w:val="20"/>
                <w:color w:val="auto"/>
              </w:rPr>
            </w:pPr>
            <w:r>
              <w:rPr>
                <w:rFonts w:ascii="Arial" w:cs="Arial" w:eastAsia="Arial" w:hAnsi="Arial"/>
                <w:sz w:val="18"/>
                <w:szCs w:val="18"/>
                <w:color w:val="auto"/>
                <w:w w:val="88"/>
              </w:rPr>
              <w:t>September 24,</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9"/>
              </w:rPr>
              <w:t>September 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468,941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480,574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1,400,313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414,583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426,159</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1,247,954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135,829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NET LOSS ON DISPOSITION OF ASSETS, EARLY RETIREMENT, AND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OTHER IMPAIRMENT AND EXIT CHARGES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1,137</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12,834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888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5,215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EARNINGS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3,198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LESS NET EARNINGS ATTRIBUTABLE TO NONCONTROLLING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5,616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6,223</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19,441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19,201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19,387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w w:val="97"/>
              </w:rPr>
              <w:t>WEIGHTED AVERAGE SHARES OUTSTANDING WITH COMMON STOCK</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19,416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19,488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line="20"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8"/>
                <w:szCs w:val="18"/>
                <w:color w:val="auto"/>
                <w:w w:val="93"/>
              </w:rPr>
              <w:t>Controlling Interest Shareholders' Equity</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Other</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Employees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Paid-In</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Retained</w:t>
            </w:r>
          </w:p>
        </w:tc>
        <w:tc>
          <w:tcPr>
            <w:tcW w:w="1400" w:type="dxa"/>
            <w:vAlign w:val="bottom"/>
            <w:gridSpan w:val="4"/>
          </w:tcPr>
          <w:p>
            <w:pPr>
              <w:ind w:left="80"/>
              <w:spacing w:after="0"/>
              <w:rPr>
                <w:sz w:val="20"/>
                <w:szCs w:val="20"/>
                <w:color w:val="auto"/>
              </w:rPr>
            </w:pPr>
            <w:r>
              <w:rPr>
                <w:rFonts w:ascii="Arial" w:cs="Arial" w:eastAsia="Arial" w:hAnsi="Arial"/>
                <w:sz w:val="18"/>
                <w:szCs w:val="18"/>
                <w:color w:val="auto"/>
              </w:rPr>
              <w:t>Comprehensive</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Stock Notes</w:t>
            </w:r>
          </w:p>
        </w:tc>
        <w:tc>
          <w:tcPr>
            <w:tcW w:w="130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Earnings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Receivable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Interest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26, 2009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19,285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132,765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409,278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3,633</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(1,743)</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w w:val="96"/>
              </w:rPr>
              <w:t>Foreign currency translation adjustment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comprehensive earnings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Purchase of additional noncontrolling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(932)</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 $0.200 per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2"/>
              </w:rPr>
              <w:t>Issuance of 66,384 shares under employee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stock plans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Issuance of 76,710 shares under stock grant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programs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8"/>
              </w:rPr>
              <w:t>Issuance of 7,911 shares under deferred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compensation plans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144,900 shares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Tax benefits from non-qualified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Expense associated with share-based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arrangements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Accrued expense under deferred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compensation plans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1,298 shares in exchange for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employees' stock notes receivable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Notes receivable adjustment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Payments received on employee stock notes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Balance at September 25, 2010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19,291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136,400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417,842</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3,998</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(1,721)</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6,279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582,089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Balance at December 25, 2010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19,333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138,573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414,108</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4,165</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(1,670)</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6,667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comprehensive 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 additional noncontrolling</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Cash dividends - $0.200 per 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64,989 shares under employee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plans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Issuance of 153,999 shares under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grant programs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5,781 shares under deferred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plans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Tax benefits from non-qualified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Expense associated with share-based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arrangements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Accrued expense under deferred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compensation plans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adjustment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89"/>
              </w:rPr>
              <w:t>Payments received on employee stock notes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receivable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24, 2011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19,556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141,849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416,433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3,844</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(1,439)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59" w:orient="portrait"/>
          <w:cols w:equalWidth="0" w:num="1">
            <w:col w:w="11420"/>
          </w:cols>
          <w:pgMar w:left="240" w:top="122" w:right="239" w:bottom="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ectPr>
          <w:pgSz w:w="11900" w:h="16859" w:orient="portrait"/>
          <w:cols w:equalWidth="0" w:num="1">
            <w:col w:w="11420"/>
          </w:cols>
          <w:pgMar w:left="240" w:top="122" w:right="239" w:bottom="0" w:gutter="0" w:footer="0" w:header="0"/>
          <w:type w:val="continuous"/>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60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UNIVERSAL FOREST PRODUCTS, INC.</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0" w:type="dxa"/>
            <w:vAlign w:val="bottom"/>
          </w:tcPr>
          <w:p>
            <w:pPr>
              <w:jc w:val="center"/>
              <w:ind w:left="1710"/>
              <w:spacing w:after="0"/>
              <w:rPr>
                <w:sz w:val="20"/>
                <w:szCs w:val="20"/>
                <w:color w:val="auto"/>
              </w:rPr>
            </w:pPr>
            <w:r>
              <w:rPr>
                <w:rFonts w:ascii="Arial" w:cs="Arial" w:eastAsia="Arial" w:hAnsi="Arial"/>
                <w:sz w:val="18"/>
                <w:szCs w:val="18"/>
                <w:b w:val="1"/>
                <w:bCs w:val="1"/>
                <w:color w:val="auto"/>
                <w:w w:val="98"/>
              </w:rPr>
              <w:t>CONSOLIDATED CONDENSED STATEMENTS OF CASH FLOWS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0" w:type="dxa"/>
            <w:vAlign w:val="bottom"/>
          </w:tcPr>
          <w:p>
            <w:pPr>
              <w:jc w:val="center"/>
              <w:ind w:left="169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60"/>
              <w:spacing w:after="0" w:line="201" w:lineRule="exact"/>
              <w:rPr>
                <w:sz w:val="20"/>
                <w:szCs w:val="20"/>
                <w:color w:val="auto"/>
              </w:rPr>
            </w:pPr>
            <w:r>
              <w:rPr>
                <w:rFonts w:ascii="Arial" w:cs="Arial" w:eastAsia="Arial" w:hAnsi="Arial"/>
                <w:sz w:val="18"/>
                <w:szCs w:val="18"/>
                <w:color w:val="auto"/>
                <w:w w:val="88"/>
              </w:rPr>
              <w:t>September 24,</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9"/>
              </w:rPr>
              <w:t>September 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attributable to controlling interest</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w w:val="99"/>
              </w:rPr>
              <w:t>Adjustments to reconcile net earnings attributable to controlling interest to net cash from operating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 associated with share-based compensation arrangements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Excess tax benefits from share-based compensation arrangements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 credit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Net earnings attributable to noncontrolling interest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loss on sale or impairment of property, plant and equipment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Changes in: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Accrued liabilities and other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CASH FROM OPERATING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Purchase of property, plant and equipment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(21,774)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net of cash received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Proceeds from sale of property, plant and equipment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patents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Advances of notes receivable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Collections of notes receivable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CASH FROM INVESTING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repayments under revolving credit facilities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additional noncontrolling interest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Distributions to noncontrolling interest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Dividends paid to shareholders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NET CASH FROM FINANCING ACTIVITIES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(24,714)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paid (refunded) during the period for: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NON-CASH FINANCING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1420"/>
          </w:cols>
          <w:pgMar w:left="240" w:top="114"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215"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25, 2010.</w:t>
      </w:r>
    </w:p>
    <w:p>
      <w:pPr>
        <w:spacing w:after="0" w:line="2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Certain prior year information has been reclassified to conform to the current year presentation.</w:t>
      </w:r>
    </w:p>
    <w:p>
      <w:pPr>
        <w:spacing w:after="0" w:line="252"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June 2011, the Financial Accounting Standards Board (“FASB”) issued Accounting Standards Update No. 2011-05, “Presentation of Comprehensive Income” (“ASU 2011-05”). ASU 2011-05 eliminates the option to present components of other comprehensive income as part of the statement of changes in stockholders’ equity. Under ASU 2011-05, an entity has the option to present the total of comprehensive income, the components of net income, and the components of other comprehensive income either in a continuous statement of comprehensive income or in two separate consecutive statements. The amended guidance is effective for financial periods beginning after December 15, 2011. ASU 2011-05 is not expected to have a material effect on the Company’s consolidated financial position or results of operations.</w:t>
      </w:r>
    </w:p>
    <w:p>
      <w:pPr>
        <w:spacing w:after="0" w:line="187" w:lineRule="exact"/>
        <w:rPr>
          <w:rFonts w:ascii="Arial" w:cs="Arial" w:eastAsia="Arial" w:hAnsi="Arial"/>
          <w:sz w:val="18"/>
          <w:szCs w:val="18"/>
          <w:b w:val="1"/>
          <w:bCs w:val="1"/>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80" w:type="dxa"/>
            <w:vAlign w:val="bottom"/>
            <w:gridSpan w:val="5"/>
          </w:tcPr>
          <w:p>
            <w:pPr>
              <w:jc w:val="right"/>
              <w:spacing w:after="0"/>
              <w:rPr>
                <w:sz w:val="20"/>
                <w:szCs w:val="20"/>
                <w:color w:val="auto"/>
              </w:rPr>
            </w:pPr>
            <w:r>
              <w:rPr>
                <w:rFonts w:ascii="Arial" w:cs="Arial" w:eastAsia="Arial" w:hAnsi="Arial"/>
                <w:sz w:val="18"/>
                <w:szCs w:val="18"/>
                <w:b w:val="1"/>
                <w:bCs w:val="1"/>
                <w:color w:val="auto"/>
              </w:rPr>
              <w:t>UNIVERSAL FOREST PRODUCTS, INC.</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September 24, 2011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September 25, 2010</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8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91"/>
              </w:rPr>
              <w:t>Prices with</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91"/>
              </w:rPr>
              <w:t>Prices with</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Quoted Prices</w:t>
            </w:r>
          </w:p>
        </w:tc>
        <w:tc>
          <w:tcPr>
            <w:tcW w:w="1780" w:type="dxa"/>
            <w:vAlign w:val="bottom"/>
          </w:tcPr>
          <w:p>
            <w:pPr>
              <w:jc w:val="center"/>
              <w:ind w:right="190"/>
              <w:spacing w:after="0"/>
              <w:rPr>
                <w:sz w:val="20"/>
                <w:szCs w:val="20"/>
                <w:color w:val="auto"/>
              </w:rPr>
            </w:pPr>
            <w:r>
              <w:rPr>
                <w:rFonts w:ascii="Arial" w:cs="Arial" w:eastAsia="Arial" w:hAnsi="Arial"/>
                <w:sz w:val="18"/>
                <w:szCs w:val="18"/>
                <w:color w:val="auto"/>
                <w:w w:val="93"/>
              </w:rPr>
              <w:t>Other</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Quoted Prices</w:t>
            </w:r>
          </w:p>
        </w:tc>
        <w:tc>
          <w:tcPr>
            <w:tcW w:w="32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in Active</w:t>
            </w:r>
          </w:p>
        </w:tc>
        <w:tc>
          <w:tcPr>
            <w:tcW w:w="1780" w:type="dxa"/>
            <w:vAlign w:val="bottom"/>
          </w:tcPr>
          <w:p>
            <w:pPr>
              <w:jc w:val="center"/>
              <w:ind w:right="190"/>
              <w:spacing w:after="0"/>
              <w:rPr>
                <w:sz w:val="20"/>
                <w:szCs w:val="20"/>
                <w:color w:val="auto"/>
              </w:rPr>
            </w:pPr>
            <w:r>
              <w:rPr>
                <w:rFonts w:ascii="Arial" w:cs="Arial" w:eastAsia="Arial" w:hAnsi="Arial"/>
                <w:sz w:val="18"/>
                <w:szCs w:val="18"/>
                <w:color w:val="auto"/>
                <w:w w:val="89"/>
              </w:rPr>
              <w:t>Observable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9"/>
              </w:rPr>
              <w:t>in Active</w:t>
            </w:r>
          </w:p>
        </w:tc>
        <w:tc>
          <w:tcPr>
            <w:tcW w:w="32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89"/>
              </w:rPr>
              <w:t>Observable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Markets</w:t>
            </w:r>
          </w:p>
        </w:tc>
        <w:tc>
          <w:tcPr>
            <w:tcW w:w="1780" w:type="dxa"/>
            <w:vAlign w:val="bottom"/>
          </w:tcPr>
          <w:p>
            <w:pPr>
              <w:jc w:val="center"/>
              <w:ind w:right="190"/>
              <w:spacing w:after="0"/>
              <w:rPr>
                <w:sz w:val="20"/>
                <w:szCs w:val="20"/>
                <w:color w:val="auto"/>
              </w:rPr>
            </w:pPr>
            <w:r>
              <w:rPr>
                <w:rFonts w:ascii="Arial" w:cs="Arial" w:eastAsia="Arial" w:hAnsi="Arial"/>
                <w:sz w:val="18"/>
                <w:szCs w:val="18"/>
                <w:color w:val="auto"/>
                <w:w w:val="93"/>
              </w:rPr>
              <w:t>Inputs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3"/>
              </w:rPr>
              <w:t>Markets</w:t>
            </w:r>
          </w:p>
        </w:tc>
        <w:tc>
          <w:tcPr>
            <w:tcW w:w="32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3"/>
              </w:rPr>
              <w:t>Inputs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22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4"/>
              </w:rPr>
              <w:t>(Level 1)</w:t>
            </w:r>
          </w:p>
        </w:tc>
        <w:tc>
          <w:tcPr>
            <w:tcW w:w="1780" w:type="dxa"/>
            <w:vAlign w:val="bottom"/>
          </w:tcPr>
          <w:p>
            <w:pPr>
              <w:jc w:val="center"/>
              <w:ind w:right="190"/>
              <w:spacing w:after="0"/>
              <w:rPr>
                <w:sz w:val="20"/>
                <w:szCs w:val="20"/>
                <w:color w:val="auto"/>
              </w:rPr>
            </w:pPr>
            <w:r>
              <w:rPr>
                <w:rFonts w:ascii="Arial" w:cs="Arial" w:eastAsia="Arial" w:hAnsi="Arial"/>
                <w:sz w:val="18"/>
                <w:szCs w:val="18"/>
                <w:color w:val="auto"/>
                <w:w w:val="94"/>
              </w:rPr>
              <w:t>(Level 2)</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7"/>
              </w:rPr>
              <w:t>(Level 1)</w:t>
            </w:r>
          </w:p>
        </w:tc>
        <w:tc>
          <w:tcPr>
            <w:tcW w:w="320" w:type="dxa"/>
            <w:vAlign w:val="bottom"/>
          </w:tcPr>
          <w:p>
            <w:pPr>
              <w:spacing w:after="0"/>
              <w:rPr>
                <w:sz w:val="20"/>
                <w:szCs w:val="20"/>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4"/>
              </w:rPr>
              <w:t>(Level 2)</w:t>
            </w:r>
          </w:p>
        </w:tc>
        <w:tc>
          <w:tcPr>
            <w:tcW w:w="2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Recurring:</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r>
      <w:tr>
        <w:trPr>
          <w:trHeight w:val="216"/>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Domestic stock funds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7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w:t>
            </w:r>
          </w:p>
        </w:tc>
      </w:tr>
      <w:tr>
        <w:trPr>
          <w:trHeight w:val="202"/>
        </w:trPr>
        <w:tc>
          <w:tcPr>
            <w:tcW w:w="22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International stock</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200" w:type="dxa"/>
            <w:vAlign w:val="bottom"/>
            <w:gridSpan w:val="2"/>
          </w:tcPr>
          <w:p>
            <w:pPr>
              <w:ind w:left="500"/>
              <w:spacing w:after="0"/>
              <w:rPr>
                <w:sz w:val="20"/>
                <w:szCs w:val="20"/>
                <w:color w:val="auto"/>
              </w:rPr>
            </w:pPr>
            <w:r>
              <w:rPr>
                <w:rFonts w:ascii="Arial" w:cs="Arial" w:eastAsia="Arial" w:hAnsi="Arial"/>
                <w:sz w:val="18"/>
                <w:szCs w:val="18"/>
                <w:color w:val="auto"/>
              </w:rPr>
              <w:t>funds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17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r>
      <w:tr>
        <w:trPr>
          <w:trHeight w:val="216"/>
        </w:trPr>
        <w:tc>
          <w:tcPr>
            <w:tcW w:w="2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Target funds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7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7"/>
        </w:trPr>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mutual funds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7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Non-Recurring:</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2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Property, plant and</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r>
      <w:tr>
        <w:trPr>
          <w:trHeight w:val="27"/>
        </w:trPr>
        <w:tc>
          <w:tcPr>
            <w:tcW w:w="10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1,465</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1,465</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165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1,137</w:t>
            </w:r>
          </w:p>
        </w:tc>
      </w:tr>
      <w:tr>
        <w:trPr>
          <w:trHeight w:val="21"/>
        </w:trPr>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 xml:space="preserve">Mutual funds are valued at prices quoted in an active exchange market and are included in “Other Assets”. Property, plant and equipment are valued based on active market prices and other relevant information for sales of similar assets. We have elected not to apply the fair value option under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to any of our financial instruments except for those expressly required by U.S. GAAP.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maintain any Level 3 assets or liabilities that would be based on significant unobservable inputs.</w:t>
      </w:r>
    </w:p>
    <w:p>
      <w:pPr>
        <w:spacing w:after="0" w:line="24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w w:val="86"/>
              </w:rPr>
              <w:t>September 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6"/>
          </w:tcPr>
          <w:p>
            <w:pPr>
              <w:jc w:val="center"/>
              <w:spacing w:after="0"/>
              <w:rPr>
                <w:sz w:val="20"/>
                <w:szCs w:val="20"/>
                <w:color w:val="auto"/>
              </w:rPr>
            </w:pPr>
            <w:r>
              <w:rPr>
                <w:rFonts w:ascii="Arial" w:cs="Arial" w:eastAsia="Arial" w:hAnsi="Arial"/>
                <w:sz w:val="18"/>
                <w:szCs w:val="18"/>
                <w:color w:val="auto"/>
                <w:w w:val="89"/>
              </w:rPr>
              <w:t>Three Months Ended September 24, 2011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gridSpan w:val="7"/>
          </w:tcPr>
          <w:p>
            <w:pPr>
              <w:jc w:val="center"/>
              <w:ind w:right="220"/>
              <w:spacing w:after="0"/>
              <w:rPr>
                <w:sz w:val="20"/>
                <w:szCs w:val="20"/>
                <w:color w:val="auto"/>
              </w:rPr>
            </w:pPr>
            <w:r>
              <w:rPr>
                <w:rFonts w:ascii="Arial" w:cs="Arial" w:eastAsia="Arial" w:hAnsi="Arial"/>
                <w:sz w:val="18"/>
                <w:szCs w:val="18"/>
                <w:color w:val="auto"/>
                <w:w w:val="89"/>
              </w:rPr>
              <w:t>Three Months Ended September 25, 2010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Income</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Shares</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4"/>
              <w:spacing w:after="0" w:line="201" w:lineRule="exact"/>
              <w:rPr>
                <w:sz w:val="20"/>
                <w:szCs w:val="20"/>
                <w:color w:val="auto"/>
              </w:rPr>
            </w:pPr>
            <w:r>
              <w:rPr>
                <w:rFonts w:ascii="Arial" w:cs="Arial" w:eastAsia="Arial" w:hAnsi="Arial"/>
                <w:sz w:val="18"/>
                <w:szCs w:val="18"/>
                <w:color w:val="auto"/>
                <w:w w:val="93"/>
              </w:rPr>
              <w:t>Per Share</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Shares</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6"/>
              </w:rPr>
              <w:t>Per Share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2"/>
              </w:rPr>
              <w:t>(Numerator)</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(Denominator)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4"/>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2"/>
              </w:rPr>
              <w:t>(Numerator)</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(Denominator)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2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Net Earnings Attributable</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 Controlling Interest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EPS – Basic</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80" w:type="dxa"/>
            <w:vAlign w:val="bottom"/>
          </w:tcPr>
          <w:p>
            <w:pPr>
              <w:spacing w:after="0"/>
              <w:rPr>
                <w:sz w:val="23"/>
                <w:szCs w:val="23"/>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0"/>
              </w:rPr>
              <w:t>Effect of dilutive securities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EPS - Diluted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assumed options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80" w:type="dxa"/>
            <w:vAlign w:val="bottom"/>
          </w:tcPr>
          <w:p>
            <w:pPr>
              <w:spacing w:after="0"/>
              <w:rPr>
                <w:sz w:val="23"/>
                <w:szCs w:val="23"/>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2"/>
        </w:trPr>
        <w:tc>
          <w:tcPr>
            <w:tcW w:w="580" w:type="dxa"/>
            <w:vAlign w:val="bottom"/>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754"/>
              <w:spacing w:after="0"/>
              <w:rPr>
                <w:sz w:val="20"/>
                <w:szCs w:val="20"/>
                <w:color w:val="auto"/>
              </w:rPr>
            </w:pPr>
            <w:r>
              <w:rPr>
                <w:rFonts w:ascii="Arial" w:cs="Arial" w:eastAsia="Arial" w:hAnsi="Arial"/>
                <w:sz w:val="14"/>
                <w:szCs w:val="14"/>
                <w:color w:val="auto"/>
              </w:rPr>
              <w:t>9</w:t>
            </w: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gridSpan w:val="7"/>
          </w:tcPr>
          <w:p>
            <w:pPr>
              <w:jc w:val="right"/>
              <w:ind w:right="470"/>
              <w:spacing w:after="0"/>
              <w:rPr>
                <w:sz w:val="20"/>
                <w:szCs w:val="20"/>
                <w:color w:val="auto"/>
              </w:rPr>
            </w:pPr>
            <w:r>
              <w:rPr>
                <w:rFonts w:ascii="Arial" w:cs="Arial" w:eastAsia="Arial" w:hAnsi="Arial"/>
                <w:sz w:val="18"/>
                <w:szCs w:val="18"/>
                <w:b w:val="1"/>
                <w:bCs w:val="1"/>
                <w:color w:val="auto"/>
                <w:w w:val="99"/>
              </w:rPr>
              <w:t>UNIVERSAL FOREST PRODUCTS, INC.</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6"/>
          </w:tcPr>
          <w:p>
            <w:pPr>
              <w:jc w:val="center"/>
              <w:ind w:right="10"/>
              <w:spacing w:after="0"/>
              <w:rPr>
                <w:sz w:val="20"/>
                <w:szCs w:val="20"/>
                <w:color w:val="auto"/>
              </w:rPr>
            </w:pPr>
            <w:r>
              <w:rPr>
                <w:rFonts w:ascii="Arial" w:cs="Arial" w:eastAsia="Arial" w:hAnsi="Arial"/>
                <w:sz w:val="18"/>
                <w:szCs w:val="18"/>
                <w:color w:val="auto"/>
                <w:w w:val="90"/>
              </w:rPr>
              <w:t>Nine Months Ended September 24, 2011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7"/>
          </w:tcPr>
          <w:p>
            <w:pPr>
              <w:jc w:val="center"/>
              <w:ind w:right="220"/>
              <w:spacing w:after="0"/>
              <w:rPr>
                <w:sz w:val="20"/>
                <w:szCs w:val="20"/>
                <w:color w:val="auto"/>
              </w:rPr>
            </w:pPr>
            <w:r>
              <w:rPr>
                <w:rFonts w:ascii="Arial" w:cs="Arial" w:eastAsia="Arial" w:hAnsi="Arial"/>
                <w:sz w:val="18"/>
                <w:szCs w:val="18"/>
                <w:color w:val="auto"/>
                <w:w w:val="90"/>
              </w:rPr>
              <w:t>Nine Months Ended September 25, 2010</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Income</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Shares</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3"/>
              </w:rPr>
              <w:t>Per Share</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Shares</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6"/>
              </w:rPr>
              <w:t>Per Share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2"/>
              </w:rPr>
              <w:t>(Numerator)</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(Denominator)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2"/>
              </w:rPr>
              <w:t>(Numerator)</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(Denominator)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2160" w:type="dxa"/>
            <w:vAlign w:val="bottom"/>
            <w:tcBorders>
              <w:right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Net Earnings Attributable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 Controlling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21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EPS – Basic</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available to</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80" w:type="dxa"/>
            <w:vAlign w:val="bottom"/>
          </w:tcPr>
          <w:p>
            <w:pPr>
              <w:spacing w:after="0"/>
              <w:rPr>
                <w:sz w:val="23"/>
                <w:szCs w:val="23"/>
                <w:color w:val="auto"/>
              </w:rPr>
            </w:pPr>
          </w:p>
        </w:tc>
        <w:tc>
          <w:tcPr>
            <w:tcW w:w="2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21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Effect of dilutive securities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21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EPS - Diluted</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available to</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and assumed options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80" w:type="dxa"/>
            <w:vAlign w:val="bottom"/>
          </w:tcPr>
          <w:p>
            <w:pPr>
              <w:spacing w:after="0"/>
              <w:rPr>
                <w:sz w:val="21"/>
                <w:szCs w:val="21"/>
                <w:color w:val="auto"/>
              </w:rPr>
            </w:pPr>
          </w:p>
        </w:tc>
        <w:tc>
          <w:tcPr>
            <w:tcW w:w="2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19,488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Options to purchase 110,000 and 10,000 shares were not included in the computation of diluted EPS for the quarter and nine months ended September 24, 2011 because the options’ exercise price was greater than the average market price of the common stock during the period and, therefore would be antidilutive.</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Options to purchase 130,000 and 10,000 shares were not included in the computation of diluted EPS for the quarter and nine months ended September 25, 2010 because the options’ exercise price was greater than the average market price of the common stock during the period and, therefore would be antidilutive.</w:t>
      </w:r>
    </w:p>
    <w:p>
      <w:pPr>
        <w:spacing w:after="0" w:line="204" w:lineRule="exact"/>
        <w:rPr>
          <w:sz w:val="20"/>
          <w:szCs w:val="20"/>
          <w:color w:val="auto"/>
        </w:rPr>
      </w:pPr>
    </w:p>
    <w:p>
      <w:pPr>
        <w:ind w:left="66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 AND NET LOSS ON DISPOSITION OF ASSETS, EARLY RETIRMENT AND OTHER IMPAIRMENTS AND EXIT CHARGES</w:t>
      </w:r>
    </w:p>
    <w:p>
      <w:pPr>
        <w:spacing w:after="0" w:line="192"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Included in “Assets held for sale” on our Consolidated Condensed Balance Sheets are certain property, plant and equipment totaling $5.1 million on September 24, 2011. The assets held for sale consist of certain vacant land and facilities we previously closed to better align manufacturing capacity with the current business environment. The fair values were determined based on appraisals or recent offers to acquire assets. These and other idle assets were evaluated based on the requirements of ASC 360, which resulted in impairment and other exit charges included in “Net loss on disposition of assets, early retirement and other impairment and exit charges” for the periods presented below. These amounts include the following, separated by reporting segment (in thousands):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7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UNIVERSAL FOREST PRODUCTS,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6"/>
          </w:tcPr>
          <w:p>
            <w:pPr>
              <w:jc w:val="right"/>
              <w:ind w:right="390"/>
              <w:spacing w:after="0"/>
              <w:rPr>
                <w:sz w:val="20"/>
                <w:szCs w:val="20"/>
                <w:color w:val="auto"/>
              </w:rPr>
            </w:pPr>
            <w:r>
              <w:rPr>
                <w:rFonts w:ascii="Arial" w:cs="Arial" w:eastAsia="Arial" w:hAnsi="Arial"/>
                <w:sz w:val="18"/>
                <w:szCs w:val="18"/>
                <w:color w:val="auto"/>
              </w:rPr>
              <w:t>Three Months Ended September 24, 2011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gridSpan w:val="8"/>
          </w:tcPr>
          <w:p>
            <w:pPr>
              <w:jc w:val="right"/>
              <w:ind w:right="800"/>
              <w:spacing w:after="0"/>
              <w:rPr>
                <w:sz w:val="20"/>
                <w:szCs w:val="20"/>
                <w:color w:val="auto"/>
              </w:rPr>
            </w:pPr>
            <w:r>
              <w:rPr>
                <w:rFonts w:ascii="Arial" w:cs="Arial" w:eastAsia="Arial" w:hAnsi="Arial"/>
                <w:sz w:val="18"/>
                <w:szCs w:val="18"/>
                <w:color w:val="auto"/>
              </w:rPr>
              <w:t>Three Months Ended September 25, 2010</w:t>
            </w:r>
          </w:p>
        </w:tc>
      </w:tr>
      <w:tr>
        <w:trPr>
          <w:trHeight w:val="202"/>
        </w:trPr>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top w:val="single" w:sz="8" w:color="auto"/>
            </w:tcBorders>
            <w:gridSpan w:val="2"/>
          </w:tcPr>
          <w:p>
            <w:pPr>
              <w:jc w:val="center"/>
              <w:ind w:right="50"/>
              <w:spacing w:after="0" w:line="201" w:lineRule="exact"/>
              <w:rPr>
                <w:sz w:val="20"/>
                <w:szCs w:val="20"/>
                <w:color w:val="auto"/>
              </w:rPr>
            </w:pPr>
            <w:r>
              <w:rPr>
                <w:rFonts w:ascii="Arial" w:cs="Arial" w:eastAsia="Arial" w:hAnsi="Arial"/>
                <w:sz w:val="18"/>
                <w:szCs w:val="18"/>
                <w:color w:val="auto"/>
                <w:w w:val="88"/>
              </w:rPr>
              <w:t>Eastern and</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8"/>
              </w:rPr>
              <w:t>Eastern and</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86"/>
              </w:rPr>
              <w:t>Western</w:t>
            </w:r>
          </w:p>
        </w:tc>
        <w:tc>
          <w:tcPr>
            <w:tcW w:w="20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Atlantic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rPr>
              <w:t>All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86"/>
              </w:rPr>
              <w:t>Western</w:t>
            </w:r>
          </w:p>
        </w:tc>
        <w:tc>
          <w:tcPr>
            <w:tcW w:w="1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Atlantic</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8"/>
                <w:szCs w:val="18"/>
                <w:color w:val="auto"/>
              </w:rPr>
              <w:t>All</w:t>
            </w:r>
          </w:p>
        </w:tc>
      </w:tr>
      <w:tr>
        <w:trPr>
          <w:trHeight w:val="237"/>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7"/>
              </w:rPr>
              <w:t>Divisions</w:t>
            </w:r>
          </w:p>
        </w:tc>
        <w:tc>
          <w:tcPr>
            <w:tcW w:w="20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Division</w:t>
            </w:r>
          </w:p>
        </w:tc>
        <w:tc>
          <w:tcPr>
            <w:tcW w:w="2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Corporate</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7"/>
              </w:rPr>
              <w:t>Divisions</w:t>
            </w:r>
          </w:p>
        </w:tc>
        <w:tc>
          <w:tcPr>
            <w:tcW w:w="18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Division</w:t>
            </w:r>
          </w:p>
        </w:tc>
        <w:tc>
          <w:tcPr>
            <w:tcW w:w="1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Corporate</w:t>
            </w:r>
          </w:p>
        </w:tc>
        <w:tc>
          <w:tcPr>
            <w:tcW w:w="360" w:type="dxa"/>
            <w:vAlign w:val="bottom"/>
          </w:tcPr>
          <w:p>
            <w:pPr>
              <w:spacing w:after="0"/>
              <w:rPr>
                <w:sz w:val="20"/>
                <w:szCs w:val="20"/>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Other</w:t>
            </w:r>
          </w:p>
        </w:tc>
      </w:tr>
      <w:tr>
        <w:trPr>
          <w:trHeight w:val="202"/>
        </w:trPr>
        <w:tc>
          <w:tcPr>
            <w:tcW w:w="580" w:type="dxa"/>
            <w:vAlign w:val="bottom"/>
          </w:tcPr>
          <w:p>
            <w:pPr>
              <w:spacing w:after="0"/>
              <w:rPr>
                <w:sz w:val="17"/>
                <w:szCs w:val="17"/>
                <w:color w:val="auto"/>
              </w:rPr>
            </w:pPr>
          </w:p>
        </w:tc>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Severances and</w:t>
            </w: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early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retirement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8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r>
      <w:tr>
        <w:trPr>
          <w:trHeight w:val="202"/>
        </w:trPr>
        <w:tc>
          <w:tcPr>
            <w:tcW w:w="580" w:type="dxa"/>
            <w:vAlign w:val="bottom"/>
          </w:tcPr>
          <w:p>
            <w:pPr>
              <w:spacing w:after="0"/>
              <w:rPr>
                <w:sz w:val="17"/>
                <w:szCs w:val="17"/>
                <w:color w:val="auto"/>
              </w:rPr>
            </w:pPr>
          </w:p>
        </w:tc>
        <w:tc>
          <w:tcPr>
            <w:tcW w:w="1200" w:type="dxa"/>
            <w:vAlign w:val="bottom"/>
            <w:gridSpan w:val="2"/>
          </w:tcPr>
          <w:p>
            <w:pPr>
              <w:spacing w:after="0" w:line="201" w:lineRule="exact"/>
              <w:rPr>
                <w:sz w:val="20"/>
                <w:szCs w:val="20"/>
                <w:color w:val="auto"/>
              </w:rPr>
            </w:pPr>
            <w:r>
              <w:rPr>
                <w:rFonts w:ascii="Arial" w:cs="Arial" w:eastAsia="Arial" w:hAnsi="Arial"/>
                <w:sz w:val="18"/>
                <w:szCs w:val="18"/>
                <w:color w:val="auto"/>
              </w:rPr>
              <w:t>Property, plant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200" w:type="dxa"/>
            <w:vAlign w:val="bottom"/>
            <w:gridSpan w:val="2"/>
          </w:tcPr>
          <w:p>
            <w:pPr>
              <w:spacing w:after="0" w:line="201" w:lineRule="exact"/>
              <w:rPr>
                <w:sz w:val="20"/>
                <w:szCs w:val="20"/>
                <w:color w:val="auto"/>
              </w:rPr>
            </w:pPr>
            <w:r>
              <w:rPr>
                <w:rFonts w:ascii="Arial" w:cs="Arial" w:eastAsia="Arial" w:hAnsi="Arial"/>
                <w:sz w:val="18"/>
                <w:szCs w:val="18"/>
                <w:color w:val="auto"/>
              </w:rPr>
              <w:t>Lease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termination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09"/>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8"/>
                <w:szCs w:val="18"/>
                <w:color w:val="auto"/>
              </w:rPr>
              <w:t>Nine Months Ended September 24, 2011</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25, 2010</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50"/>
              <w:spacing w:after="0" w:line="201" w:lineRule="exact"/>
              <w:rPr>
                <w:sz w:val="20"/>
                <w:szCs w:val="20"/>
                <w:color w:val="auto"/>
              </w:rPr>
            </w:pPr>
            <w:r>
              <w:rPr>
                <w:rFonts w:ascii="Arial" w:cs="Arial" w:eastAsia="Arial" w:hAnsi="Arial"/>
                <w:sz w:val="18"/>
                <w:szCs w:val="18"/>
                <w:color w:val="auto"/>
                <w:w w:val="88"/>
              </w:rPr>
              <w:t>Eastern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8"/>
              </w:rPr>
              <w:t>Eastern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86"/>
              </w:rPr>
              <w:t>Western</w:t>
            </w:r>
          </w:p>
        </w:tc>
        <w:tc>
          <w:tcPr>
            <w:tcW w:w="20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Atlantic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rPr>
              <w:t>All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86"/>
              </w:rPr>
              <w:t>Western</w:t>
            </w:r>
          </w:p>
        </w:tc>
        <w:tc>
          <w:tcPr>
            <w:tcW w:w="1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Atlantic</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8"/>
                <w:szCs w:val="18"/>
                <w:color w:val="auto"/>
              </w:rPr>
              <w:t>All</w:t>
            </w:r>
          </w:p>
        </w:tc>
      </w:tr>
      <w:tr>
        <w:trPr>
          <w:trHeight w:val="237"/>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7"/>
              </w:rPr>
              <w:t>Divisions</w:t>
            </w:r>
          </w:p>
        </w:tc>
        <w:tc>
          <w:tcPr>
            <w:tcW w:w="20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Division</w:t>
            </w:r>
          </w:p>
        </w:tc>
        <w:tc>
          <w:tcPr>
            <w:tcW w:w="2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Corporate</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7"/>
              </w:rPr>
              <w:t>Divisions</w:t>
            </w:r>
          </w:p>
        </w:tc>
        <w:tc>
          <w:tcPr>
            <w:tcW w:w="18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Division</w:t>
            </w:r>
          </w:p>
        </w:tc>
        <w:tc>
          <w:tcPr>
            <w:tcW w:w="1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Corporate</w:t>
            </w:r>
          </w:p>
        </w:tc>
        <w:tc>
          <w:tcPr>
            <w:tcW w:w="360" w:type="dxa"/>
            <w:vAlign w:val="bottom"/>
          </w:tcPr>
          <w:p>
            <w:pPr>
              <w:spacing w:after="0"/>
              <w:rPr>
                <w:sz w:val="20"/>
                <w:szCs w:val="20"/>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Other</w:t>
            </w:r>
          </w:p>
        </w:tc>
      </w:tr>
      <w:tr>
        <w:trPr>
          <w:trHeight w:val="202"/>
        </w:trPr>
        <w:tc>
          <w:tcPr>
            <w:tcW w:w="580" w:type="dxa"/>
            <w:vAlign w:val="bottom"/>
          </w:tcPr>
          <w:p>
            <w:pPr>
              <w:spacing w:after="0"/>
              <w:rPr>
                <w:sz w:val="17"/>
                <w:szCs w:val="17"/>
                <w:color w:val="auto"/>
              </w:rPr>
            </w:pPr>
          </w:p>
        </w:tc>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Severances and</w:t>
            </w: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early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retirement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8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200" w:type="dxa"/>
            <w:vAlign w:val="bottom"/>
            <w:gridSpan w:val="2"/>
          </w:tcPr>
          <w:p>
            <w:pPr>
              <w:spacing w:after="0" w:line="201" w:lineRule="exact"/>
              <w:rPr>
                <w:sz w:val="20"/>
                <w:szCs w:val="20"/>
                <w:color w:val="auto"/>
              </w:rPr>
            </w:pPr>
            <w:r>
              <w:rPr>
                <w:rFonts w:ascii="Arial" w:cs="Arial" w:eastAsia="Arial" w:hAnsi="Arial"/>
                <w:sz w:val="18"/>
                <w:szCs w:val="18"/>
                <w:color w:val="auto"/>
              </w:rPr>
              <w:t>Property, plant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86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3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02"/>
        </w:trPr>
        <w:tc>
          <w:tcPr>
            <w:tcW w:w="580" w:type="dxa"/>
            <w:vAlign w:val="bottom"/>
          </w:tcPr>
          <w:p>
            <w:pPr>
              <w:spacing w:after="0"/>
              <w:rPr>
                <w:sz w:val="17"/>
                <w:szCs w:val="17"/>
                <w:color w:val="auto"/>
              </w:rPr>
            </w:pPr>
          </w:p>
        </w:tc>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200" w:type="dxa"/>
            <w:vAlign w:val="bottom"/>
            <w:gridSpan w:val="2"/>
          </w:tcPr>
          <w:p>
            <w:pPr>
              <w:spacing w:after="0" w:line="201" w:lineRule="exact"/>
              <w:rPr>
                <w:sz w:val="20"/>
                <w:szCs w:val="20"/>
                <w:color w:val="auto"/>
              </w:rPr>
            </w:pPr>
            <w:r>
              <w:rPr>
                <w:rFonts w:ascii="Arial" w:cs="Arial" w:eastAsia="Arial" w:hAnsi="Arial"/>
                <w:sz w:val="18"/>
                <w:szCs w:val="18"/>
                <w:color w:val="auto"/>
              </w:rPr>
              <w:t>Lease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termination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Our chief executive officer resigned on June 20, 2011; on that same date we entered into a consulting and non-competition agreement with him. Therefore, we accrued for the present value of the future payments to him totaling $2.6 million at the end of June 2011. This amount is included in “severances and early retirement” expenses under Corporate in the table above.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72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UNIVERSAL FOREST PRODUCTS, INC.</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rPr>
              <w:t>The changes in assets held for sale are as follows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Net Book</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Value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Date of Sale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Net Sales Price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sale as of December 25, 2010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to held for use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(1,619)</w:t>
            </w: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Sale of certain real estate in Indianapolis, Indiana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May 17, 2011</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$0.7 million</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vMerge w:val="continue"/>
          </w:tcPr>
          <w:p>
            <w:pPr>
              <w:spacing w:after="0"/>
              <w:rPr>
                <w:sz w:val="20"/>
                <w:szCs w:val="20"/>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sale as of September 24, 2011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(f/k/a UFP Insurance Ltd.), a licensed captive insurance company.</w:t>
      </w:r>
    </w:p>
    <w:p>
      <w:pPr>
        <w:spacing w:after="0" w:line="197"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Janesville, WI; and Medley, FL. In addition, a reserve was established for our affiliate’s facility in Thornton, CA to remove certain lead containing materials which existed on the property at the time of purchase. During 2009, a subsidiary entered into a consent order with the State of Florida to conduct additional testing at the Auburndale, FL facility. We admitted no liability and the costs are not expected to be material.</w:t>
      </w:r>
    </w:p>
    <w:p>
      <w:pPr>
        <w:spacing w:after="0" w:line="205" w:lineRule="exact"/>
        <w:rPr>
          <w:rFonts w:ascii="Arial" w:cs="Arial" w:eastAsia="Arial" w:hAnsi="Arial"/>
          <w:sz w:val="18"/>
          <w:szCs w:val="18"/>
          <w:b w:val="1"/>
          <w:bCs w:val="1"/>
          <w:color w:val="auto"/>
        </w:rPr>
      </w:pPr>
    </w:p>
    <w:p>
      <w:pPr>
        <w:ind w:left="6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a consolidated basis, we have reserved approximately $3.2 million on September 24, 2011 and $4.2 million on September 25, 2010, representing the estimated costs to complete future remediation efforts. These amounts have not been reduced by an insurance receivable.</w:t>
      </w:r>
    </w:p>
    <w:p>
      <w:pPr>
        <w:spacing w:after="0" w:line="173"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 Our affiliates market a modest amount of CCA treated products for permitted, non-residential applications.</w:t>
      </w:r>
    </w:p>
    <w:p>
      <w:pPr>
        <w:spacing w:after="0" w:line="213"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addition, on September 24, 2011,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24, 2011, we had outstanding purchase commitments on capital projects of approximately $11.9 million.</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21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certain cases we supply building materials and labor to site-built construction projects or we jointly bid on contracts with framing companies for such projects. In some instances we are required to post payment and performance bonds to insure the owner that the products and installation services are completed in accordance with our contractual obligations. We have agreed to indemnify the surety for claims made against the bonds. As of September 24, 2011, we had approximately $14.6 million in outstanding payment and performance bonds, which expire during the next two years. In addition, approximately $29.0 million in payment and performance bonds are outstanding for completed projects which are still under warranty.</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three years. The estimated maximum aggregate exposure of these guarantees is approximately $0.5 million.</w:t>
      </w:r>
    </w:p>
    <w:p>
      <w:pPr>
        <w:spacing w:after="0" w:line="19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September 24, 2011, we had outstanding letters of credit totaling $31.3 million, primarily related to certain insurance contracts and industrial development revenue bonds described further below.</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lieu of cash deposits, we provide irrevocable letters of credit in favor of our insurers to guarantee our performance under certain insurance contracts. We currently have irrevocable letters of credit outstanding totaling approximately $18.9 million for these types of insurance arrangements. We have reserves recorded on our balance sheet, in accrued liabilities, that reflect our expected future liabilities under these insurance arrangements.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$12.4 million related to our outstanding industrial development revenue bonds. These letters of credit have varying terms but may be renewed at the option of the issuing banks.</w:t>
      </w:r>
    </w:p>
    <w:p>
      <w:pPr>
        <w:spacing w:after="0" w:line="21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93"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Many of our wood treating operations utilize "Subpart W" drip pads, defined as hazardous waste management units by the EPA. The rules regulating drip pads require that the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$0.7 million. As a result, this amount is recorded in other long-term liabilities on September 24, 2011.</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We did not enter into any new guarantee arrangements during the third quarter of 2011 which would require us to recognize a liability on our balance sheet.</w:t>
      </w:r>
    </w:p>
    <w:p>
      <w:pPr>
        <w:spacing w:after="0" w:line="19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56"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business combinations were completed in fiscal 2011. We completed the following business combinations in fiscal 2010 which were accounted for using the purchase method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 w:type="dxa"/>
            <w:vAlign w:val="bottom"/>
            <w:tcBorders>
              <w:right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Intangible</w:t>
            </w:r>
          </w:p>
        </w:tc>
        <w:tc>
          <w:tcPr>
            <w:tcW w:w="1320" w:type="dxa"/>
            <w:vAlign w:val="bottom"/>
            <w:tcBorders>
              <w:top w:val="single" w:sz="8" w:color="auto"/>
              <w:right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8"/>
              </w:rPr>
              <w:t>Net Tangible</w:t>
            </w:r>
          </w:p>
        </w:tc>
        <w:tc>
          <w:tcPr>
            <w:tcW w:w="14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Operating</w:t>
            </w:r>
          </w:p>
        </w:tc>
        <w:tc>
          <w:tcPr>
            <w:tcW w:w="2400" w:type="dxa"/>
            <w:vAlign w:val="bottom"/>
            <w:tcBorders>
              <w:top w:val="single" w:sz="8" w:color="auto"/>
              <w:right w:val="single" w:sz="8" w:color="auto"/>
            </w:tcBorders>
          </w:tcPr>
          <w:p>
            <w:pPr>
              <w:spacing w:after="0"/>
              <w:rPr>
                <w:sz w:val="21"/>
                <w:szCs w:val="2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Company Name</w:t>
            </w:r>
          </w:p>
        </w:tc>
        <w:tc>
          <w:tcPr>
            <w:tcW w:w="15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Acquisition Date</w:t>
            </w: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Purchase Price</w:t>
            </w:r>
          </w:p>
        </w:tc>
        <w:tc>
          <w:tcPr>
            <w:tcW w:w="160" w:type="dxa"/>
            <w:vAlign w:val="bottom"/>
          </w:tcPr>
          <w:p>
            <w:pPr>
              <w:spacing w:after="0"/>
              <w:rPr>
                <w:sz w:val="20"/>
                <w:szCs w:val="20"/>
                <w:color w:val="auto"/>
              </w:rPr>
            </w:pPr>
          </w:p>
        </w:tc>
        <w:tc>
          <w:tcPr>
            <w:tcW w:w="126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0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Assets</w:t>
            </w:r>
          </w:p>
        </w:tc>
        <w:tc>
          <w:tcPr>
            <w:tcW w:w="144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Segment</w:t>
            </w:r>
          </w:p>
        </w:tc>
        <w:tc>
          <w:tcPr>
            <w:tcW w:w="240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Business Description</w:t>
            </w:r>
          </w:p>
        </w:tc>
      </w:tr>
      <w:tr>
        <w:trPr>
          <w:trHeight w:val="34"/>
        </w:trPr>
        <w:tc>
          <w:tcPr>
            <w:tcW w:w="4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Shepherd</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Distribution</w:t>
            </w:r>
          </w:p>
        </w:tc>
        <w:tc>
          <w:tcPr>
            <w:tcW w:w="1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29, 2010</w:t>
            </w:r>
          </w:p>
        </w:tc>
        <w:tc>
          <w:tcPr>
            <w:tcW w:w="14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$5.9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4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24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Distributes shingle</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w:t>
            </w:r>
          </w:p>
        </w:tc>
        <w:tc>
          <w:tcPr>
            <w:tcW w:w="100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purchase)</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Division</w:t>
            </w:r>
          </w:p>
        </w:tc>
        <w:tc>
          <w:tcPr>
            <w:tcW w:w="24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underlayment, bottom board,</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6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(“Shepherd”)</w:t>
            </w:r>
          </w:p>
        </w:tc>
        <w:tc>
          <w:tcPr>
            <w:tcW w:w="158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c>
          <w:tcPr>
            <w:tcW w:w="24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house wrap, siding, poly film</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c>
          <w:tcPr>
            <w:tcW w:w="24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and other products to</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c>
          <w:tcPr>
            <w:tcW w:w="24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manufactured housing and RV</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c>
          <w:tcPr>
            <w:tcW w:w="24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customers. Headquartered in</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c>
          <w:tcPr>
            <w:tcW w:w="24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Elkhart, Indiana, it has</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58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c>
          <w:tcPr>
            <w:tcW w:w="240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distribution capabilities</w:t>
            </w:r>
          </w:p>
        </w:tc>
      </w:tr>
      <w:tr>
        <w:trPr>
          <w:trHeight w:val="269"/>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spacing w:after="0"/>
              <w:rPr>
                <w:sz w:val="22"/>
                <w:szCs w:val="22"/>
                <w:color w:val="auto"/>
              </w:rPr>
            </w:pPr>
          </w:p>
        </w:tc>
        <w:tc>
          <w:tcPr>
            <w:tcW w:w="1580" w:type="dxa"/>
            <w:vAlign w:val="bottom"/>
            <w:tcBorders>
              <w:bottom w:val="single" w:sz="8" w:color="CCEEFF"/>
              <w:right w:val="single" w:sz="8" w:color="auto"/>
            </w:tcBorders>
            <w:shd w:val="clear" w:color="auto" w:fill="CCEEFF"/>
          </w:tcPr>
          <w:p>
            <w:pPr>
              <w:spacing w:after="0"/>
              <w:rPr>
                <w:sz w:val="22"/>
                <w:szCs w:val="22"/>
                <w:color w:val="auto"/>
              </w:rPr>
            </w:pPr>
          </w:p>
        </w:tc>
        <w:tc>
          <w:tcPr>
            <w:tcW w:w="146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spacing w:after="0"/>
              <w:rPr>
                <w:sz w:val="22"/>
                <w:szCs w:val="22"/>
                <w:color w:val="auto"/>
              </w:rPr>
            </w:pPr>
          </w:p>
        </w:tc>
        <w:tc>
          <w:tcPr>
            <w:tcW w:w="1440" w:type="dxa"/>
            <w:vAlign w:val="bottom"/>
            <w:tcBorders>
              <w:bottom w:val="single" w:sz="8" w:color="CCEEFF"/>
              <w:right w:val="single" w:sz="8" w:color="auto"/>
            </w:tcBorders>
            <w:shd w:val="clear" w:color="auto" w:fill="CCEEFF"/>
          </w:tcPr>
          <w:p>
            <w:pPr>
              <w:spacing w:after="0"/>
              <w:rPr>
                <w:sz w:val="22"/>
                <w:szCs w:val="22"/>
                <w:color w:val="auto"/>
              </w:rPr>
            </w:pPr>
          </w:p>
        </w:tc>
        <w:tc>
          <w:tcPr>
            <w:tcW w:w="24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throughout the United States.</w:t>
            </w:r>
          </w:p>
        </w:tc>
      </w:tr>
      <w:tr>
        <w:trPr>
          <w:trHeight w:val="229"/>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Service</w:t>
            </w:r>
          </w:p>
        </w:tc>
        <w:tc>
          <w:tcPr>
            <w:tcW w:w="10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Supply</w:t>
            </w:r>
          </w:p>
        </w:tc>
        <w:tc>
          <w:tcPr>
            <w:tcW w:w="1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 8, 2010</w:t>
            </w:r>
          </w:p>
        </w:tc>
        <w:tc>
          <w:tcPr>
            <w:tcW w:w="1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$0.6 (asset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0.0</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c>
          <w:tcPr>
            <w:tcW w:w="1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Distribution</w:t>
            </w:r>
          </w:p>
        </w:tc>
        <w:tc>
          <w:tcPr>
            <w:tcW w:w="24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Distributes certain plumbing,</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Distribution, Inc.</w:t>
            </w: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purchase)</w:t>
            </w: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Division</w:t>
            </w:r>
          </w:p>
        </w:tc>
        <w:tc>
          <w:tcPr>
            <w:tcW w:w="2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electrical, adhesives, flooring,</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(“Service Supply”)</w:t>
            </w: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paint and other products to</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manufactured housing and RV</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customers. Headquartered in</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Cordele, Georgia, it has</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distribution capabilities</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throughout the United States.</w:t>
            </w: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are not presented.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rFonts w:ascii="Arial" w:cs="Arial" w:eastAsia="Arial" w:hAnsi="Arial"/>
          <w:sz w:val="18"/>
          <w:szCs w:val="18"/>
          <w:b w:val="1"/>
          <w:bCs w:val="1"/>
          <w:color w:val="auto"/>
        </w:rPr>
      </w:pPr>
    </w:p>
    <w:p>
      <w:pPr>
        <w:ind w:lef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50"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Our operating segments consist of Eastern, Western, Atlantic, Consumer Products and Distribution divisions. In accordance with ASC 280, due to similar economic characteristics, nature of products, distribution methods, and customers, we have aggregated our Eastern and Western operating segments into one reportable segment. The Atlantic division is considered a separate reportable segment. Our other divisions do not collectively form a reportable segment because their respective operations are dissimilar and they do not meet the applicable quantitative requirements. These operations have been included in the “All Other” column of the table below. As a result of returning to two geographical divisions, we are in the process of evaluating changes to our operating segments that will be effective in the fourth quarter.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color w:val="auto"/>
                <w:w w:val="99"/>
              </w:rPr>
              <w:t>Nine Months Ended September 24, 2011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6"/>
              </w:rPr>
              <w:t>Eastern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6"/>
              </w:rPr>
              <w:t>Western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Atlantic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Divisions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Division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Corporate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946,779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1,400,313</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Intersegment net sales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107,868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555"/>
        </w:trPr>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93"/>
              <w:spacing w:after="0"/>
              <w:rPr>
                <w:sz w:val="20"/>
                <w:szCs w:val="20"/>
                <w:color w:val="auto"/>
              </w:rPr>
            </w:pPr>
            <w:r>
              <w:rPr>
                <w:rFonts w:ascii="Arial" w:cs="Arial" w:eastAsia="Arial" w:hAnsi="Arial"/>
                <w:sz w:val="14"/>
                <w:szCs w:val="14"/>
                <w:color w:val="auto"/>
                <w:w w:val="89"/>
              </w:rPr>
              <w:t>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4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4980" w:type="dxa"/>
            <w:vAlign w:val="bottom"/>
            <w:gridSpan w:val="11"/>
          </w:tcPr>
          <w:p>
            <w:pPr>
              <w:jc w:val="right"/>
              <w:ind w:right="1000"/>
              <w:spacing w:after="0"/>
              <w:rPr>
                <w:sz w:val="20"/>
                <w:szCs w:val="20"/>
                <w:color w:val="auto"/>
              </w:rPr>
            </w:pPr>
            <w:r>
              <w:rPr>
                <w:rFonts w:ascii="Arial" w:cs="Arial" w:eastAsia="Arial" w:hAnsi="Arial"/>
                <w:sz w:val="18"/>
                <w:szCs w:val="18"/>
                <w:b w:val="1"/>
                <w:bCs w:val="1"/>
                <w:color w:val="auto"/>
              </w:rPr>
              <w:t>UNIVERSAL FOREST PRODUCTS, INC.</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8"/>
              </w:rPr>
              <w:t>Nine Months Ended September 25, 2010</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6"/>
              </w:rPr>
              <w:t>Eastern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6"/>
              </w:rPr>
              <w:t>Western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Atlantic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Divisions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Division</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Corporate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1,020,118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373,776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1,512,166</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Intersegment net sales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136,917</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32,598</w:t>
            </w:r>
          </w:p>
        </w:tc>
        <w:tc>
          <w:tcPr>
            <w:tcW w:w="12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October 12, 2011, our Board approved a semi-annual dividend of $0.20 per share, payable on December 15, 2011 to shareholders of record on December 1, 2011.</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Universal Forest Products, Inc. ("the Company") is a holding company that provides capital, management and administrative resources to subsidiaries that design, manufacture and market wood and wood-alternative products for DIY/retail home centers and other retailers, structural lumber and other products for the manufactured housing industry, engineered wood components for the site-built construction market, and specialty wood packaging and components and packing materials for various industries. The Company’s subsidiaries also provide framing services for the site-built market and forming products for concrete construction.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The Company is headquartered in Grand Rapids, Michigan, and its subsidiaries operate facilities throughout North America. For more about Universal Forest Products, Inc., go to </w:t>
      </w:r>
      <w:r>
        <w:rPr>
          <w:rFonts w:ascii="Arial" w:cs="Arial" w:eastAsia="Arial" w:hAnsi="Arial"/>
          <w:sz w:val="18"/>
          <w:szCs w:val="18"/>
          <w:u w:val="single" w:color="auto"/>
          <w:color w:val="auto"/>
        </w:rPr>
        <w:t>www.ufpi.com</w:t>
      </w:r>
      <w:r>
        <w:rPr>
          <w:rFonts w:ascii="Arial" w:cs="Arial" w:eastAsia="Arial" w:hAnsi="Arial"/>
          <w:sz w:val="18"/>
          <w:szCs w:val="18"/>
          <w:color w:val="auto"/>
        </w:rPr>
        <w:t>.</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Please be aware that: Any statements included in this report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 We are pleased to present this overview of 2011.</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third quarter of 2011 were impacted by the following:</w:t>
      </w:r>
    </w:p>
    <w:p>
      <w:pPr>
        <w:spacing w:after="0" w:line="252" w:lineRule="exact"/>
        <w:rPr>
          <w:sz w:val="20"/>
          <w:szCs w:val="20"/>
          <w:color w:val="auto"/>
        </w:rPr>
      </w:pPr>
    </w:p>
    <w:p>
      <w:pPr>
        <w:jc w:val="both"/>
        <w:ind w:left="340" w:hanging="332"/>
        <w:spacing w:after="0" w:line="272"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overall unit sales remained flat compared to the third quarter of 2010 due to a decline in sales to our residential construction and retail building materials markets, offset by increases in unit sales to our commercial construction and concrete forming, industrial and manufactured housing markets. We believe we gained additional share of the concrete forming and industrial markets we serve. Share gains in our industrial market were achieved by adding many new customers. We believe we have maintained our share of the retail building materials market based on the number of stores we serve of our customers compared to last year. We have also maintained our share of the manufactured housing market in the product lines we offer. Finally, within the last year we closed several plants that supply the site-built construction market in order to achieve profitability and cash flow goals. Consequently, we believe that these actions may temporarily cause us to lose some market share.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Lumber Market was up 6.4%, while the composite price for Southern Yellow Pine (SYP) declined 1.2% in the quarter compared to the same period of 2010. We estimate that lower SYP prices (which comprises up to 50% of our sales volume) among other factors, including competitive price pressure, reduced our overall selling prices by approximately 2% comparing the third quarter of 2011 and 2010.</w:t>
      </w:r>
    </w:p>
    <w:p>
      <w:pPr>
        <w:spacing w:after="0" w:line="20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retail building materials market has been adversely impacted by a decline in consumer demand attributed to several factors, including high unemployment rates, tighter credit availability, and home values which continue to decline in many parts of the country. The primary products we sell to this market include decking, fencing and other outdoor specialty products used in higher cost home improvement projects.</w:t>
      </w:r>
    </w:p>
    <w:p>
      <w:pPr>
        <w:spacing w:after="0" w:line="192"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National housing starts increased approximately 5% in the period from June through August of 2011 (our sales trail housing starts by about a month), compared to the same period of 2010.</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Shipments of HUD code manufactured homes were down 3% in July and August of 2011, compared to the same period of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160" w:type="dxa"/>
            <w:vAlign w:val="bottom"/>
          </w:tcPr>
          <w:p>
            <w:pPr>
              <w:jc w:val="center"/>
              <w:ind w:left="2870"/>
              <w:spacing w:after="0"/>
              <w:rPr>
                <w:sz w:val="20"/>
                <w:szCs w:val="20"/>
                <w:color w:val="auto"/>
              </w:rPr>
            </w:pPr>
            <w:r>
              <w:rPr>
                <w:rFonts w:ascii="Arial" w:cs="Arial" w:eastAsia="Arial" w:hAnsi="Arial"/>
                <w:sz w:val="18"/>
                <w:szCs w:val="18"/>
                <w:b w:val="1"/>
                <w:bCs w:val="1"/>
                <w:color w:val="auto"/>
              </w:rPr>
              <w:t>HISTORICAL LUMBER PRICES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gridSpan w:val="2"/>
          </w:tcPr>
          <w:p>
            <w:pPr>
              <w:spacing w:after="0"/>
              <w:rPr>
                <w:sz w:val="20"/>
                <w:szCs w:val="20"/>
                <w:color w:val="auto"/>
              </w:rPr>
            </w:pPr>
            <w:r>
              <w:rPr>
                <w:rFonts w:ascii="Arial" w:cs="Arial" w:eastAsia="Arial" w:hAnsi="Arial"/>
                <w:sz w:val="18"/>
                <w:szCs w:val="18"/>
                <w:color w:val="auto"/>
              </w:rPr>
              <w:t>The following table presents the Random Lengths framing lumber composite price: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7"/>
          </w:tcPr>
          <w:p>
            <w:pPr>
              <w:ind w:left="260"/>
              <w:spacing w:after="0"/>
              <w:rPr>
                <w:sz w:val="20"/>
                <w:szCs w:val="20"/>
                <w:color w:val="auto"/>
              </w:rPr>
            </w:pPr>
            <w:r>
              <w:rPr>
                <w:rFonts w:ascii="Arial" w:cs="Arial" w:eastAsia="Arial" w:hAnsi="Arial"/>
                <w:sz w:val="18"/>
                <w:szCs w:val="18"/>
                <w:color w:val="auto"/>
              </w:rPr>
              <w:t>Random Lengths Composite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color w:val="auto"/>
              </w:rPr>
              <w:t>Average $/MBF</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0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April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June</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August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average</w:t>
            </w:r>
          </w:p>
        </w:tc>
        <w:tc>
          <w:tcPr>
            <w:tcW w:w="10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Year-to-date average</w:t>
            </w:r>
          </w:p>
        </w:tc>
        <w:tc>
          <w:tcPr>
            <w:tcW w:w="10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8"/>
                <w:szCs w:val="18"/>
                <w:color w:val="auto"/>
              </w:rPr>
            </w:pP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Third quarter percentage change from 2010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 from 2010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8"/>
        </w:trPr>
        <w:tc>
          <w:tcPr>
            <w:tcW w:w="7320" w:type="dxa"/>
            <w:vAlign w:val="bottom"/>
            <w:gridSpan w:val="2"/>
          </w:tcPr>
          <w:p>
            <w:pPr>
              <w:jc w:val="right"/>
              <w:ind w:right="1450"/>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6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60" w:type="dxa"/>
            <w:vAlign w:val="bottom"/>
            <w:gridSpan w:val="5"/>
          </w:tcPr>
          <w:p>
            <w:pPr>
              <w:jc w:val="right"/>
              <w:ind w:right="160"/>
              <w:spacing w:after="0"/>
              <w:rPr>
                <w:sz w:val="20"/>
                <w:szCs w:val="20"/>
                <w:color w:val="auto"/>
              </w:rPr>
            </w:pPr>
            <w:r>
              <w:rPr>
                <w:rFonts w:ascii="Arial" w:cs="Arial" w:eastAsia="Arial" w:hAnsi="Arial"/>
                <w:sz w:val="18"/>
                <w:szCs w:val="18"/>
                <w:color w:val="auto"/>
              </w:rPr>
              <w:t>Random Lengths SYP</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color w:val="auto"/>
              </w:rPr>
              <w:t>Average $/MBF</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February</w:t>
            </w: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April</w:t>
            </w: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1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June</w:t>
            </w: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1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August</w:t>
            </w: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1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Third quarter average</w:t>
            </w:r>
          </w:p>
        </w:tc>
        <w:tc>
          <w:tcPr>
            <w:tcW w:w="23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23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percentage change from 2010</w:t>
            </w:r>
          </w:p>
        </w:tc>
        <w:tc>
          <w:tcPr>
            <w:tcW w:w="1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Year-to-date percentage change from 2010</w:t>
            </w:r>
          </w:p>
        </w:tc>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(13.4%)</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try to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gross margins are impacted by both (1) the relative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Lumber Market (i.e. whether prices are higher or lower from comparative periods), and</w:t>
      </w:r>
    </w:p>
    <w:p>
      <w:pPr>
        <w:spacing w:after="0" w:line="46" w:lineRule="exact"/>
        <w:rPr>
          <w:sz w:val="20"/>
          <w:szCs w:val="20"/>
          <w:color w:val="auto"/>
        </w:rPr>
      </w:pPr>
    </w:p>
    <w:p>
      <w:pPr>
        <w:jc w:val="both"/>
        <w:ind w:firstLine="8"/>
        <w:spacing w:after="0" w:line="25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52" w:lineRule="exact"/>
        <w:rPr>
          <w:sz w:val="20"/>
          <w:szCs w:val="20"/>
          <w:color w:val="auto"/>
        </w:rPr>
      </w:pPr>
    </w:p>
    <w:p>
      <w:pPr>
        <w:jc w:val="both"/>
        <w:ind w:left="340" w:hanging="332"/>
        <w:spacing w:after="0" w:line="29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185" w:lineRule="exact"/>
        <w:rPr>
          <w:rFonts w:ascii="Arial" w:cs="Arial" w:eastAsia="Arial" w:hAnsi="Arial"/>
          <w:sz w:val="16"/>
          <w:szCs w:val="16"/>
          <w:color w:val="auto"/>
        </w:rPr>
      </w:pPr>
    </w:p>
    <w:p>
      <w:pPr>
        <w:jc w:val="both"/>
        <w:ind w:left="340" w:hanging="332"/>
        <w:spacing w:after="0" w:line="293"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lumber prices. As a result of the decline in the housing market and our sales to residential and commercial builders, a greater percentage of our sales fall into this general pricing category. Consequently, we believe our profitability may be impacted to a much greater extent to changes in the trend of lumber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252" w:lineRule="exact"/>
        <w:rPr>
          <w:sz w:val="20"/>
          <w:szCs w:val="20"/>
          <w:color w:val="auto"/>
        </w:rPr>
      </w:pPr>
    </w:p>
    <w:p>
      <w:pPr>
        <w:jc w:val="both"/>
        <w:ind w:left="340" w:hanging="332"/>
        <w:spacing w:after="0" w:line="25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17%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r>
        <w:rPr>
          <w:rFonts w:ascii="Arial" w:cs="Arial" w:eastAsia="Arial" w:hAnsi="Arial"/>
          <w:sz w:val="18"/>
          <w:szCs w:val="18"/>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addition to the impact of the Lumber Market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on gross margins, changes in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within each period.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Period 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Period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Conversion cost</w:t>
            </w:r>
          </w:p>
        </w:tc>
        <w:tc>
          <w:tcPr>
            <w:tcW w:w="2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Adder</w:t>
            </w:r>
          </w:p>
        </w:tc>
        <w:tc>
          <w:tcPr>
            <w:tcW w:w="2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Gross margin</w:t>
            </w: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As is apparent from the preceding example, the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 Note G, "Business Combinations."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the periods indicated, the components of our Consolidated Condensed Statements of Earnings as a percentage of net sales.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780" w:type="dxa"/>
            <w:vAlign w:val="bottom"/>
            <w:gridSpan w:val="2"/>
          </w:tcPr>
          <w:p>
            <w:pPr>
              <w:jc w:val="right"/>
              <w:ind w:right="370"/>
              <w:spacing w:after="0"/>
              <w:rPr>
                <w:sz w:val="20"/>
                <w:szCs w:val="20"/>
                <w:color w:val="auto"/>
              </w:rPr>
            </w:pPr>
            <w:r>
              <w:rPr>
                <w:rFonts w:ascii="Arial" w:cs="Arial" w:eastAsia="Arial" w:hAnsi="Arial"/>
                <w:sz w:val="18"/>
                <w:szCs w:val="18"/>
                <w:color w:val="auto"/>
                <w:w w:val="99"/>
              </w:rPr>
              <w:t>For the Three Months Ended</w:t>
            </w:r>
          </w:p>
        </w:tc>
        <w:tc>
          <w:tcPr>
            <w:tcW w:w="2740" w:type="dxa"/>
            <w:vAlign w:val="bottom"/>
            <w:gridSpan w:val="3"/>
          </w:tcPr>
          <w:p>
            <w:pPr>
              <w:jc w:val="right"/>
              <w:ind w:right="420"/>
              <w:spacing w:after="0"/>
              <w:rPr>
                <w:sz w:val="20"/>
                <w:szCs w:val="20"/>
                <w:color w:val="auto"/>
              </w:rPr>
            </w:pPr>
            <w:r>
              <w:rPr>
                <w:rFonts w:ascii="Arial" w:cs="Arial" w:eastAsia="Arial" w:hAnsi="Arial"/>
                <w:sz w:val="18"/>
                <w:szCs w:val="18"/>
                <w:color w:val="auto"/>
              </w:rPr>
              <w:t>For the 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38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w w:val="91"/>
              </w:rPr>
              <w:t>September 24,</w:t>
            </w:r>
          </w:p>
        </w:tc>
        <w:tc>
          <w:tcPr>
            <w:tcW w:w="140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w w:val="93"/>
              </w:rPr>
              <w:t>September 25,</w:t>
            </w:r>
          </w:p>
        </w:tc>
        <w:tc>
          <w:tcPr>
            <w:tcW w:w="140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w w:val="93"/>
              </w:rPr>
              <w:t>September 24,</w:t>
            </w:r>
          </w:p>
        </w:tc>
        <w:tc>
          <w:tcPr>
            <w:tcW w:w="1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September 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2011</w:t>
            </w: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2010</w:t>
            </w: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2011</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goods sold</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88.4</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88.7</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11.6</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loss on disposition of assets, early retirement, and other impairment and</w:t>
            </w:r>
          </w:p>
        </w:tc>
        <w:tc>
          <w:tcPr>
            <w:tcW w:w="1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exit charges</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0.0</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net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earnings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and specialty wood packaging, components and packing materials for various industries. Our strategic long-term sales objectives include:</w:t>
      </w:r>
    </w:p>
    <w:p>
      <w:pPr>
        <w:spacing w:after="0" w:line="208" w:lineRule="exact"/>
        <w:rPr>
          <w:sz w:val="20"/>
          <w:szCs w:val="20"/>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packaging to industrial users, increasing our penetration of the concrete forms market, increasing our sales of engineered wood components for custom home, multi-family, military and light commercial construction, and increasing our market share with independent retailers.</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52"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sales of "value-added" products. Value-added product sales primarily consist of fencing, decking, lattice, and other specialty products sold to the retail building materials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new products and expanding our product offering for existing customers.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for the periods indicated, our gross sales (in thousands) and percentage change in gross sales by market classification.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5"/>
          </w:tcPr>
          <w:p>
            <w:pPr>
              <w:jc w:val="center"/>
              <w:ind w:right="290"/>
              <w:spacing w:after="0"/>
              <w:rPr>
                <w:sz w:val="20"/>
                <w:szCs w:val="20"/>
                <w:color w:val="auto"/>
              </w:rPr>
            </w:pPr>
            <w:r>
              <w:rPr>
                <w:rFonts w:ascii="Arial" w:cs="Arial" w:eastAsia="Arial" w:hAnsi="Arial"/>
                <w:sz w:val="18"/>
                <w:szCs w:val="18"/>
                <w:color w:val="auto"/>
                <w:w w:val="90"/>
              </w:rPr>
              <w:t>For the Three Months Ended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For the 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00" w:type="dxa"/>
            <w:vAlign w:val="bottom"/>
            <w:tcBorders>
              <w:top w:val="single" w:sz="8" w:color="auto"/>
            </w:tcBorders>
            <w:gridSpan w:val="2"/>
          </w:tcPr>
          <w:p>
            <w:pPr>
              <w:jc w:val="right"/>
              <w:ind w:right="110"/>
              <w:spacing w:after="0" w:line="201" w:lineRule="exact"/>
              <w:rPr>
                <w:sz w:val="20"/>
                <w:szCs w:val="20"/>
                <w:color w:val="auto"/>
              </w:rPr>
            </w:pPr>
            <w:r>
              <w:rPr>
                <w:rFonts w:ascii="Arial" w:cs="Arial" w:eastAsia="Arial" w:hAnsi="Arial"/>
                <w:sz w:val="18"/>
                <w:szCs w:val="18"/>
                <w:color w:val="auto"/>
                <w:w w:val="91"/>
              </w:rPr>
              <w:t>September 24,</w:t>
            </w:r>
          </w:p>
        </w:tc>
        <w:tc>
          <w:tcPr>
            <w:tcW w:w="1500" w:type="dxa"/>
            <w:vAlign w:val="bottom"/>
            <w:tcBorders>
              <w:top w:val="single" w:sz="8" w:color="auto"/>
            </w:tcBorders>
            <w:gridSpan w:val="3"/>
          </w:tcPr>
          <w:p>
            <w:pPr>
              <w:jc w:val="center"/>
              <w:ind w:right="140"/>
              <w:spacing w:after="0" w:line="201" w:lineRule="exact"/>
              <w:rPr>
                <w:sz w:val="20"/>
                <w:szCs w:val="20"/>
                <w:color w:val="auto"/>
              </w:rPr>
            </w:pPr>
            <w:r>
              <w:rPr>
                <w:rFonts w:ascii="Arial" w:cs="Arial" w:eastAsia="Arial" w:hAnsi="Arial"/>
                <w:sz w:val="18"/>
                <w:szCs w:val="18"/>
                <w:color w:val="auto"/>
                <w:w w:val="88"/>
              </w:rPr>
              <w:t>September 25,</w:t>
            </w:r>
          </w:p>
        </w:tc>
        <w:tc>
          <w:tcPr>
            <w:tcW w:w="1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90"/>
              <w:spacing w:after="0" w:line="201" w:lineRule="exact"/>
              <w:rPr>
                <w:sz w:val="20"/>
                <w:szCs w:val="20"/>
                <w:color w:val="auto"/>
              </w:rPr>
            </w:pPr>
            <w:r>
              <w:rPr>
                <w:rFonts w:ascii="Arial" w:cs="Arial" w:eastAsia="Arial" w:hAnsi="Arial"/>
                <w:sz w:val="18"/>
                <w:szCs w:val="18"/>
                <w:color w:val="auto"/>
                <w:w w:val="89"/>
              </w:rPr>
              <w:t>September 24,</w:t>
            </w:r>
          </w:p>
        </w:tc>
        <w:tc>
          <w:tcPr>
            <w:tcW w:w="1460" w:type="dxa"/>
            <w:vAlign w:val="bottom"/>
            <w:tcBorders>
              <w:top w:val="single" w:sz="8" w:color="auto"/>
            </w:tcBorders>
            <w:gridSpan w:val="3"/>
          </w:tcPr>
          <w:p>
            <w:pPr>
              <w:jc w:val="center"/>
              <w:ind w:right="140"/>
              <w:spacing w:after="0" w:line="201" w:lineRule="exact"/>
              <w:rPr>
                <w:sz w:val="20"/>
                <w:szCs w:val="20"/>
                <w:color w:val="auto"/>
              </w:rPr>
            </w:pPr>
            <w:r>
              <w:rPr>
                <w:rFonts w:ascii="Arial" w:cs="Arial" w:eastAsia="Arial" w:hAnsi="Arial"/>
                <w:sz w:val="18"/>
                <w:szCs w:val="18"/>
                <w:color w:val="auto"/>
                <w:w w:val="88"/>
              </w:rPr>
              <w:t>September 25,</w:t>
            </w: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40" w:type="dxa"/>
            <w:vAlign w:val="bottom"/>
            <w:gridSpan w:val="3"/>
          </w:tcPr>
          <w:p>
            <w:pPr>
              <w:spacing w:after="0" w:line="190" w:lineRule="exact"/>
              <w:rPr>
                <w:sz w:val="20"/>
                <w:szCs w:val="20"/>
                <w:color w:val="auto"/>
              </w:rPr>
            </w:pPr>
            <w:r>
              <w:rPr>
                <w:rFonts w:ascii="Arial" w:cs="Arial" w:eastAsia="Arial" w:hAnsi="Arial"/>
                <w:sz w:val="18"/>
                <w:szCs w:val="18"/>
                <w:color w:val="auto"/>
              </w:rPr>
              <w:t>Market Classification</w:t>
            </w:r>
          </w:p>
        </w:tc>
        <w:tc>
          <w:tcPr>
            <w:tcW w:w="240" w:type="dxa"/>
            <w:vAlign w:val="bottom"/>
          </w:tcPr>
          <w:p>
            <w:pPr>
              <w:spacing w:after="0"/>
              <w:rPr>
                <w:sz w:val="16"/>
                <w:szCs w:val="16"/>
                <w:color w:val="auto"/>
              </w:rPr>
            </w:pPr>
          </w:p>
        </w:tc>
        <w:tc>
          <w:tcPr>
            <w:tcW w:w="1060" w:type="dxa"/>
            <w:vAlign w:val="bottom"/>
          </w:tcPr>
          <w:p>
            <w:pPr>
              <w:jc w:val="right"/>
              <w:ind w:right="470"/>
              <w:spacing w:after="0" w:line="190"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6"/>
                <w:szCs w:val="16"/>
                <w:color w:val="auto"/>
              </w:rPr>
            </w:pPr>
          </w:p>
        </w:tc>
        <w:tc>
          <w:tcPr>
            <w:tcW w:w="920" w:type="dxa"/>
            <w:vAlign w:val="bottom"/>
          </w:tcPr>
          <w:p>
            <w:pPr>
              <w:jc w:val="center"/>
              <w:ind w:right="150"/>
              <w:spacing w:after="0" w:line="190" w:lineRule="exact"/>
              <w:rPr>
                <w:sz w:val="20"/>
                <w:szCs w:val="20"/>
                <w:color w:val="auto"/>
              </w:rPr>
            </w:pPr>
            <w:r>
              <w:rPr>
                <w:rFonts w:ascii="Arial" w:cs="Arial" w:eastAsia="Arial" w:hAnsi="Arial"/>
                <w:sz w:val="18"/>
                <w:szCs w:val="18"/>
                <w:color w:val="auto"/>
                <w:w w:val="89"/>
              </w:rPr>
              <w:t>2010</w:t>
            </w:r>
          </w:p>
        </w:tc>
        <w:tc>
          <w:tcPr>
            <w:tcW w:w="240" w:type="dxa"/>
            <w:vAlign w:val="bottom"/>
          </w:tcPr>
          <w:p>
            <w:pPr>
              <w:spacing w:after="0"/>
              <w:rPr>
                <w:sz w:val="16"/>
                <w:szCs w:val="16"/>
                <w:color w:val="auto"/>
              </w:rPr>
            </w:pPr>
          </w:p>
        </w:tc>
        <w:tc>
          <w:tcPr>
            <w:tcW w:w="126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 Change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30"/>
              <w:spacing w:after="0" w:line="190" w:lineRule="exact"/>
              <w:rPr>
                <w:sz w:val="20"/>
                <w:szCs w:val="20"/>
                <w:color w:val="auto"/>
              </w:rPr>
            </w:pPr>
            <w:r>
              <w:rPr>
                <w:rFonts w:ascii="Arial" w:cs="Arial" w:eastAsia="Arial" w:hAnsi="Arial"/>
                <w:sz w:val="18"/>
                <w:szCs w:val="18"/>
                <w:color w:val="auto"/>
              </w:rPr>
              <w:t>2011</w:t>
            </w:r>
          </w:p>
        </w:tc>
        <w:tc>
          <w:tcPr>
            <w:tcW w:w="320" w:type="dxa"/>
            <w:vAlign w:val="bottom"/>
          </w:tcPr>
          <w:p>
            <w:pPr>
              <w:spacing w:after="0"/>
              <w:rPr>
                <w:sz w:val="16"/>
                <w:szCs w:val="16"/>
                <w:color w:val="auto"/>
              </w:rPr>
            </w:pPr>
          </w:p>
        </w:tc>
        <w:tc>
          <w:tcPr>
            <w:tcW w:w="90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89"/>
              </w:rPr>
              <w:t>2010</w:t>
            </w:r>
          </w:p>
        </w:tc>
        <w:tc>
          <w:tcPr>
            <w:tcW w:w="240" w:type="dxa"/>
            <w:vAlign w:val="bottom"/>
          </w:tcPr>
          <w:p>
            <w:pPr>
              <w:spacing w:after="0"/>
              <w:rPr>
                <w:sz w:val="16"/>
                <w:szCs w:val="16"/>
                <w:color w:val="auto"/>
              </w:rPr>
            </w:pPr>
          </w:p>
        </w:tc>
        <w:tc>
          <w:tcPr>
            <w:tcW w:w="1220" w:type="dxa"/>
            <w:vAlign w:val="bottom"/>
            <w:gridSpan w:val="2"/>
          </w:tcPr>
          <w:p>
            <w:pPr>
              <w:jc w:val="right"/>
              <w:ind w:right="300"/>
              <w:spacing w:after="0" w:line="190"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Building Materials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210,912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222,842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673,720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762,929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52,174</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62,857</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156,660</w:t>
            </w:r>
          </w:p>
        </w:tc>
        <w:tc>
          <w:tcPr>
            <w:tcW w:w="3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183,596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Commercial Construction and Concrete</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Forming</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21,220</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19,003</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56,490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128,267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120,613</w:t>
            </w:r>
          </w:p>
        </w:tc>
        <w:tc>
          <w:tcPr>
            <w:tcW w:w="2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364,453</w:t>
            </w:r>
          </w:p>
        </w:tc>
        <w:tc>
          <w:tcPr>
            <w:tcW w:w="3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345,277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Manufactured Housing</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65,718</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177,351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195,941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Gross Sales</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478,291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489,490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1,428,674</w:t>
            </w:r>
          </w:p>
        </w:tc>
        <w:tc>
          <w:tcPr>
            <w:tcW w:w="3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1,538,048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(8,916)</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(25,882)</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468,941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480,574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1,400,313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1,512,166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right="20" w:hanging="659"/>
        <w:spacing w:after="0" w:line="264" w:lineRule="auto"/>
        <w:tabs>
          <w:tab w:leader="none" w:pos="640" w:val="left"/>
        </w:tabs>
        <w:rPr>
          <w:sz w:val="20"/>
          <w:szCs w:val="20"/>
          <w:color w:val="auto"/>
        </w:rPr>
      </w:pPr>
      <w:r>
        <w:rPr>
          <w:rFonts w:ascii="Arial" w:cs="Arial" w:eastAsia="Arial" w:hAnsi="Arial"/>
          <w:sz w:val="18"/>
          <w:szCs w:val="18"/>
          <w:color w:val="auto"/>
        </w:rPr>
        <w:t>Note:</w:t>
        <w:tab/>
        <w:t>In the second quarter of 2011, we made changes to our customer market classifications to improve our reporting by better aligning our customer market designations with available industry reporting and end market research. Prior year information has been restated to reflect these reclassifications. See also Exhibit 99(a).</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sales in the third quarter of 2011 decreased 2% compared to the same period of 2010, primarily due to an estimated 2% decrease in overall selling prices.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sales in the first nine months of 2011 decreased 7% compared to the same period of 2010, primarily due to an estimated 2% decrease in overall unit sales and an estimated 5% decrease in overall selling prices due to the Lumber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sales by market are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Retail Building Materials: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sales to the retail building materials market decreased 5% in the third quarter of 2011 compared to the same period of 2010, primarily due to an estimated 2% decrease in our overall unit sales and an estimated 3% decrease in our overall selling prices. Unit sales declined primarily due to a decrease in consumer spending for “big ticket” building materials products such as decking and fencing. As unemployment remains high and housing prices have decreased, we believe many homeowners have delayed plans for these projects. In the long-term, we believe this business will rebound as the economy improves and housing prices stabilize. In addition, our sales of composite decking have decreased as we are preparing to launch a new product in 2012. Selling prices have been impacted by lower prices for SYP and competitive factors.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retail building materials market decreased 12% in the first nine months of 2011 compared to the same period of 2010, primarily due to an estimated 5% decrease in our overall unit sales and an estimated 7% decrease in our overall selling prices. Unit sales declined due to the same factors mentioned in the paragraph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Residential Construction:</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sales to the residential construction market decreased 17% in the third quarter of 2011 compared to the same period of 2010 due to a 16% decrease in unit sales as a result of operations we have recently closed and an estimated 1% decrease in selling prices. Unit sales of plants that were operating in both comparative periods were flat. By comparison, national housing starts increased approximately 5% in the period from June through August of 2011 (our sales trail housing starts by about a month), compared to the same period of 2010. We have taken several recent plant closure actions in order to achieve profitability and cash flow objectives, which may temporarily result in a loss of market share.</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sales to the residential construction market decreased 15% in the first nine months of 2011 compared to the same period of 2010 due to a combination of a 15% decrease in unit sales as a result of operations we have recently closed and an estimated 4% decrease in selling prices, offset by an estimated 4% increase in unit sales out of plants that were operating in both periods. By comparison, national housing starts decreased approximately 4% in the period from December through August of 2011 (our sales trail housing starts by about a month), compared to the same period of 2010. We have taken several recent plant closure actions in order to achieve profitability and cash flow objectives, which may temporarily result in a loss of market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Commercial Construction and Concrete Forming:</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sales to the commercial construction and concrete forming market increased 12% in the third quarter of 2011 compared to the same period of 2010. Volume has increased as a result of adding a few large commercial accounts this quarter and continuing to gain share of the concrete forming market.</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sales to the commercial construction and concrete forming market increased 12% in the first nine months of 2011 compared to the same period of 2010, primarily due to continuing to gain share of the concrete forming market.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Industrial: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sales to the industrial market increased 6% in the third quarter of 2011 compared to the same period of 2010, primarily due to an estimated 6% increase in unit sales. Our rate of growth slowed this quarter primarily due to a decline in demand of existing customers, which we believe is a reflection of a slowdown in manufacturing output in the U.S. In addition, we had a decline in sales of our Mexican partnership as changes in exchange rates have made their pricing in the U.S. less competitive resulting in a loss of volume. We added almost 150 new customers again this quarter which allowed us to continue to add market share and grow unit sales this quarter.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industrial market increased 6% in the first nine months of 2011 compared to the same period of 2010, primarily due to an estimated 9% increase in unit sales, offset by an estimated 3% decrease in overall selling prices. Unit sales increased due to the same factors mentioned in the paragraph above.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Manufactured Housing and Recreation Vehicles: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manufactured housing market increased 2% in the third quarter of 2011 compared to 2010, primarily due to a combination of a 3% increase in unit sales and an estimated 1% decrease in overall selling prices. By comparison, shipments of HUD code manufactured homes were down 3% in July and August of 2011, compared to the same period of 2010.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sales to the manufactured housing market decreased 9% in the first nine months of 2011 compared to 2010, primarily due to a combination of a 7% decrease in unit sales out of existing operations and an estimated 5% decrease in overall selling prices, offset by a 3% increase in unit sales of new operations we acquired in 2010. By comparison, shipments of HUD code manufactured homes were down 10% in January through August of 2011, compared to the same period of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Value-Added and Commodity-Based Sales: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780" w:type="dxa"/>
            <w:vAlign w:val="bottom"/>
            <w:gridSpan w:val="3"/>
          </w:tcPr>
          <w:p>
            <w:pPr>
              <w:jc w:val="right"/>
              <w:ind w:right="650"/>
              <w:spacing w:after="0"/>
              <w:rPr>
                <w:sz w:val="20"/>
                <w:szCs w:val="20"/>
                <w:color w:val="auto"/>
              </w:rPr>
            </w:pPr>
            <w:r>
              <w:rPr>
                <w:rFonts w:ascii="Arial" w:cs="Arial" w:eastAsia="Arial" w:hAnsi="Arial"/>
                <w:sz w:val="18"/>
                <w:szCs w:val="18"/>
                <w:color w:val="auto"/>
              </w:rPr>
              <w:t>Three Months Ended</w:t>
            </w:r>
          </w:p>
        </w:tc>
        <w:tc>
          <w:tcPr>
            <w:tcW w:w="2740" w:type="dxa"/>
            <w:vAlign w:val="bottom"/>
            <w:gridSpan w:val="4"/>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88"/>
              </w:rPr>
              <w:t>September 24,</w:t>
            </w:r>
          </w:p>
        </w:tc>
        <w:tc>
          <w:tcPr>
            <w:tcW w:w="136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w w:val="89"/>
              </w:rPr>
              <w:t>September 25,</w:t>
            </w:r>
          </w:p>
        </w:tc>
        <w:tc>
          <w:tcPr>
            <w:tcW w:w="144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8"/>
              </w:rPr>
              <w:t>September 24,</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September 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540" w:type="dxa"/>
            <w:vAlign w:val="bottom"/>
            <w:gridSpan w:val="2"/>
          </w:tcPr>
          <w:p>
            <w:pPr>
              <w:jc w:val="right"/>
              <w:ind w:right="2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2010</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3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Commodity-Based</w:t>
            </w:r>
          </w:p>
        </w:tc>
        <w:tc>
          <w:tcPr>
            <w:tcW w:w="382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c>
          <w:tcPr>
            <w:tcW w:w="1360" w:type="dxa"/>
            <w:vAlign w:val="bottom"/>
          </w:tcPr>
          <w:p>
            <w:pPr>
              <w:jc w:val="right"/>
              <w:spacing w:after="0"/>
              <w:rPr>
                <w:sz w:val="20"/>
                <w:szCs w:val="20"/>
                <w:color w:val="auto"/>
              </w:rPr>
            </w:pPr>
            <w:r>
              <w:rPr>
                <w:rFonts w:ascii="Arial" w:cs="Arial" w:eastAsia="Arial" w:hAnsi="Arial"/>
                <w:sz w:val="18"/>
                <w:szCs w:val="18"/>
                <w:color w:val="auto"/>
              </w:rPr>
              <w:t>41.0%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0" w:type="dxa"/>
            <w:vAlign w:val="bottom"/>
          </w:tcPr>
          <w:p>
            <w:pPr>
              <w:jc w:val="right"/>
              <w:ind w:right="34"/>
              <w:spacing w:after="0"/>
              <w:rPr>
                <w:sz w:val="20"/>
                <w:szCs w:val="20"/>
                <w:color w:val="auto"/>
              </w:rPr>
            </w:pPr>
            <w:r>
              <w:rPr>
                <w:rFonts w:ascii="Arial" w:cs="Arial" w:eastAsia="Arial" w:hAnsi="Arial"/>
                <w:sz w:val="14"/>
                <w:szCs w:val="14"/>
                <w:color w:val="auto"/>
              </w:rPr>
              <w:t>25</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gross profit percentage increased to 11.6% from 11.3% comparing the third quarter of 2011 with the same period of 2010. Additionally, our gross profit dollars and overall unit sales were flat comparing the two periods. Our gross profit percentage was impacted by several factors.</w:t>
      </w:r>
    </w:p>
    <w:p>
      <w:pPr>
        <w:spacing w:after="0" w:line="197" w:lineRule="exact"/>
        <w:rPr>
          <w:sz w:val="20"/>
          <w:szCs w:val="20"/>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costs as a percentage of sales decreased 1.2% points as our inventory costs for most of the quarter were more in line with the current Lumber Market in 2011 than they were in 2010. As previously mentioned, the selling prices of the majority of our products are indexed to the current Lumber Market.</w:t>
      </w:r>
    </w:p>
    <w:p>
      <w:pPr>
        <w:spacing w:after="0" w:line="20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and overhead costs as a percentage of sales increased 0.2% points due in part to our decline in sales volume to the retail building materials and residential construction markets.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Freight costs as a percentage of sales increased 0.7% points due in part to higher fuel costs and transportation rates from carriers.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percentage decreased to 10.9% from 12.2% comparing the first nine months of 2011 with the same period of 2010. In addition, our gross profit dollars decreased by 17% comparing the first nine months of 2011 with the same period of 2010, which compares unfavorably to our 2% decrease in unit sales. The decline in our gross margin and profitability for the first nine months of 2011 was due to several factors.</w:t>
      </w:r>
    </w:p>
    <w:p>
      <w:pPr>
        <w:spacing w:after="0" w:line="208" w:lineRule="exact"/>
        <w:rPr>
          <w:sz w:val="20"/>
          <w:szCs w:val="20"/>
          <w:color w:val="auto"/>
        </w:rPr>
      </w:pPr>
    </w:p>
    <w:p>
      <w:pPr>
        <w:jc w:val="both"/>
        <w:ind w:left="980" w:hanging="324"/>
        <w:spacing w:after="0" w:line="25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Most notably, gross margins on sales to the retail building materials market declined primarily due to an increase in material costs as a percentage of sales to this market. This was primarily due to the Lumber Market, which decreased 11 consecutive weeks from the end of March 2011 through the end of May 2011. As a result, this adversely impacted our gross margins on products whose prices were indexed to the current Lumber Market at the time they are sold. Conversely, we were selling into a rising Lumber Market from January through most of May of 2010, which increased our gross margins on these products.</w:t>
      </w:r>
    </w:p>
    <w:p>
      <w:pPr>
        <w:spacing w:after="0" w:line="21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sales to our retail building materials, residential construction, and manufactured housing markets adversely impacted our margins due to fixed manufacturing costs. In addition, as these markets have contracted, competitive pricing pressure has become greater and adversely impacted 2011 margins.</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Freight costs as a percentage of sales increased primarily due to higher year over year fuel prices.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recorded a $2 million loss during the second quarter of 2011 on a construction project, which represents the entire loss we believe we will incur on the project.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Finally, inclement weather in the first quarter resulted in many lost production days and adversely impacted our efficiencies and profitability.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("SG&amp;A") expenses decreased by approximately $3.3 million, or 6.9%, in the third quarter of 2011 compared to the same period of 2010, while we reported flat unit sales. The decline in SG&amp;A was primarily due to a decrease in compensation and related expenses, executive retirement plan expenses, advertising, merchandising and promotional costs, and depreciation and amortization expense as a result of our continuing cost-cutting initiatives. These decreases were offset by increases in accrued bonus and bad debt expense.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("SG&amp;A") expenses decreased by approximately $14.0 million, or 9.3%, in the first nine of 2011 compared to the same period of 2010, while we reported a 2% decrease in unit sales. The decline in SG&amp;A was primarily due to a decrease in accrued bonus expense and compensation and related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ON DISPOSITION OF ASSETS, EARLY RETIREMENT AND OTHER IMPAIRMENT AND EXIT CHARGES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incurred approximately $1.3 million of charges in the first nine months of 2011 and $1.5 million in the first nine months of 2010 relating to asset impairments and other costs associated with idled facilities and down-sizing efforts combined with early retirement expenses. These costs were offset by gains on disposition of property, plant and equipment totaling approximately $0.2 million in the first nine months of 2011.</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chief executive officer resigned on June 20, 2011; on that same date we entered into a consulting and non-competition agreement with him. Therefore, we accrued for the present value of the future payments to him totaling $2.6 million at the end of June 2011.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review the performance of each our operations and make decisions to permanently or temporarily close operations based on a variety of factors including:</w:t>
      </w:r>
    </w:p>
    <w:p>
      <w:pPr>
        <w:spacing w:after="0" w:line="19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and projected earnings, cash flow and return on investment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and projected market demand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factors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growth opportunities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Personnel and management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currently have 14 operations which are experiencing operating losses and negative cash flow for the first nine months of 2011. The net book value of the long-lived assets of these operations, which could be subject to an impairment charge in the future, was $13.1 million at the end of September of 2011. In addition, these operations had future fixed operating lease payments totaling $0.3 million at the end of September of 2011.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costs were comparable in the third quarter and first nine months of 2011 compared to the same period of 2010 as there have been no significant changes in our debt structure or borrowing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35.5% in the third quarter of 2011 and 38.7% for same period of 2010. Our effective tax rate was 33.3% in the first nine months of 2011 and 35.9% for the same period of 2010. These differences were primarily due to the profits of our non-U.S. subsidiaries, which have a lower tax rate, and our non-wholly owned partnerships that we consolidate, which comprised a greater percentage of our year to date profits.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OFF-BALANCE SHEET TRANSACTIONS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tcPr>
          <w:p>
            <w:pPr>
              <w:ind w:left="4000"/>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200"/>
              <w:spacing w:after="0" w:line="201" w:lineRule="exact"/>
              <w:rPr>
                <w:sz w:val="20"/>
                <w:szCs w:val="20"/>
                <w:color w:val="auto"/>
              </w:rPr>
            </w:pPr>
            <w:r>
              <w:rPr>
                <w:rFonts w:ascii="Arial" w:cs="Arial" w:eastAsia="Arial" w:hAnsi="Arial"/>
                <w:sz w:val="18"/>
                <w:szCs w:val="18"/>
                <w:color w:val="auto"/>
                <w:w w:val="89"/>
              </w:rPr>
              <w:t>September 24,</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9"/>
              </w:rPr>
              <w:t>September 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(19,997)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(24,714)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18,649</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 We are currently below our internal targets but plan to manage our capital structure conservatively in light of current economic conditions.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25, 2010 balances in the accompanying unaudited consolidated condensed balance sheets.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increased to 51 days in the first nine months of 2011 from 43 days in the first nine months of 2010, due to a 1 day increase in our receivables cycle combined with a 7 day increase in our days supply of inventory, due to much higher inventory levels this year. In preparation for the 2011 selling season, we changed our purchasing strategy to buy inventory earlier at opportune times in an attempt to protect margins and avoid buying as much inventory during the peak of the season when lumber prices tend to rise.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was $2.1 million in the first nine months of 2011, which was comprised of net earnings of $6.2 million and $28.1 million of non-cash expenses, offset by a $32.2 million increase in working capital since the end of 2010. Working capital increased primarily due to the usual seasonality of our business combined with higher inventory levels than we expected at the end of September primarily due to weaker sales to the retail building materials market than we planned. Based on the seasonality of our operations, we currently anticipate achieving strong cash flows from operations for the balance of the year as we move beyond our seasonal peak for working capital requirements and manage our inventories down to a level necessary to support current demand.</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expenditures were $21.8 million in the first nine months of 2011. We currently plan to spend up to $35 million in 2011, which includes outstanding purchase commitments on existing capital projects totaling approximately $11.9 million on September 24, 2011. We intend to fund capital expenditures and purchase commitments through our operating cash flows for the balance of the year.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24, 2011, we had no outstanding balance on our $300 million revolving credit facility. The revolving credit facility also supports letters of credit totaling approximately $31.3 million on September 24, 2011.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September 24, 2011.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 Note F, "Commitments, Contingencies, and Guarantees."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25, 2010.</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340" w:hanging="332"/>
        <w:spacing w:after="0" w:line="31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24, 2011 (the “Evaluation Date”), have concluded that, as of such date, our disclosure controls and procedures were effective.</w:t>
      </w:r>
    </w:p>
    <w:p>
      <w:pPr>
        <w:spacing w:after="0" w:line="17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September 24, 2011, there were no changes in our internal control over financial reporting that materially affected, or is reasonably likely to materially affect, our internal control over financial reporting.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color w:val="auto"/>
              </w:rPr>
              <w:t>Fiscal Month</w:t>
            </w:r>
          </w:p>
        </w:tc>
        <w:tc>
          <w:tcPr>
            <w:tcW w:w="1080" w:type="dxa"/>
            <w:vAlign w:val="bottom"/>
          </w:tcPr>
          <w:p>
            <w:pPr>
              <w:ind w:left="440"/>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7"/>
                <w:szCs w:val="17"/>
                <w:color w:val="auto"/>
              </w:rPr>
            </w:pPr>
          </w:p>
        </w:tc>
        <w:tc>
          <w:tcPr>
            <w:tcW w:w="1080" w:type="dxa"/>
            <w:vAlign w:val="bottom"/>
          </w:tcPr>
          <w:p>
            <w:pPr>
              <w:ind w:left="44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7"/>
                <w:szCs w:val="17"/>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auto"/>
              </w:rPr>
              <w:t>(c)</w:t>
            </w:r>
          </w:p>
        </w:tc>
        <w:tc>
          <w:tcPr>
            <w:tcW w:w="220" w:type="dxa"/>
            <w:vAlign w:val="bottom"/>
          </w:tcPr>
          <w:p>
            <w:pPr>
              <w:spacing w:after="0"/>
              <w:rPr>
                <w:sz w:val="17"/>
                <w:szCs w:val="17"/>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June 26, 2011 – July 30, 2011</w:t>
            </w:r>
            <w:r>
              <w:rPr>
                <w:rFonts w:ascii="Arial" w:cs="Arial" w:eastAsia="Arial" w:hAnsi="Arial"/>
                <w:sz w:val="25"/>
                <w:szCs w:val="25"/>
                <w:color w:val="auto"/>
                <w:vertAlign w:val="superscript"/>
              </w:rPr>
              <w:t>(1)</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July 31 – August 27, 2011</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2,988,229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 September 24, 2011</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2,988,229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38" w:lineRule="exact"/>
        <w:rPr>
          <w:sz w:val="20"/>
          <w:szCs w:val="20"/>
          <w:color w:val="auto"/>
        </w:rPr>
      </w:pPr>
    </w:p>
    <w:p>
      <w:pPr>
        <w:jc w:val="both"/>
        <w:ind w:left="980" w:hanging="324"/>
        <w:spacing w:after="0" w:line="232" w:lineRule="auto"/>
        <w:tabs>
          <w:tab w:leader="none" w:pos="9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shares that may be repurchased under the program is almost 3 million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5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19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Exhibits.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Summary of historical quarterly sales based on our new market classifications.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(INS)</w:t>
        <w:tab/>
        <w:t>XBRL Instance Document.</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(SCH)</w:t>
      </w:r>
      <w:r>
        <w:rPr>
          <w:sz w:val="20"/>
          <w:szCs w:val="20"/>
          <w:color w:val="auto"/>
        </w:rPr>
        <w:tab/>
      </w:r>
      <w:r>
        <w:rPr>
          <w:rFonts w:ascii="Arial" w:cs="Arial" w:eastAsia="Arial" w:hAnsi="Arial"/>
          <w:sz w:val="16"/>
          <w:szCs w:val="16"/>
          <w:color w:val="auto"/>
        </w:rPr>
        <w:t>XBRL Schema Document.</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(CAL)</w:t>
      </w:r>
      <w:r>
        <w:rPr>
          <w:sz w:val="20"/>
          <w:szCs w:val="20"/>
          <w:color w:val="auto"/>
        </w:rPr>
        <w:tab/>
      </w:r>
      <w:r>
        <w:rPr>
          <w:rFonts w:ascii="Arial" w:cs="Arial" w:eastAsia="Arial" w:hAnsi="Arial"/>
          <w:sz w:val="16"/>
          <w:szCs w:val="16"/>
          <w:color w:val="auto"/>
        </w:rPr>
        <w:t>XBRL Taxonomy Extension Calculation Linkbase Document.</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(LAB)</w:t>
      </w:r>
      <w:r>
        <w:rPr>
          <w:sz w:val="20"/>
          <w:szCs w:val="20"/>
          <w:color w:val="auto"/>
        </w:rPr>
        <w:tab/>
      </w:r>
      <w:r>
        <w:rPr>
          <w:rFonts w:ascii="Arial" w:cs="Arial" w:eastAsia="Arial" w:hAnsi="Arial"/>
          <w:sz w:val="16"/>
          <w:szCs w:val="16"/>
          <w:color w:val="auto"/>
        </w:rPr>
        <w:t>XBRL Taxonomy Extension Label Linkbase Document.</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(PRE)</w:t>
        <w:tab/>
        <w:t>XBRL Taxonomy Extension Presentation Linkbase Document.</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(DEF)</w:t>
        <w:tab/>
        <w:t>XBRL Taxonomy Extension Definition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Indicates a compensatory arrangement.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5" w:lineRule="exact"/>
        <w:rPr>
          <w:sz w:val="20"/>
          <w:szCs w:val="20"/>
          <w:color w:val="auto"/>
        </w:rPr>
      </w:pPr>
    </w:p>
    <w:p>
      <w:pPr>
        <w:ind w:left="60"/>
        <w:spacing w:after="0"/>
        <w:tabs>
          <w:tab w:leader="none" w:pos="560" w:val="left"/>
          <w:tab w:leader="none" w:pos="5700" w:val="left"/>
        </w:tabs>
        <w:rPr>
          <w:sz w:val="20"/>
          <w:szCs w:val="20"/>
          <w:color w:val="auto"/>
        </w:rPr>
      </w:pPr>
      <w:r>
        <w:rPr>
          <w:rFonts w:ascii="Arial" w:cs="Arial" w:eastAsia="Arial" w:hAnsi="Arial"/>
          <w:sz w:val="18"/>
          <w:szCs w:val="18"/>
          <w:color w:val="auto"/>
        </w:rPr>
        <w:t>Date:</w:t>
        <w:tab/>
        <w:t>October 24, 2011</w:t>
      </w:r>
      <w:r>
        <w:rPr>
          <w:sz w:val="20"/>
          <w:szCs w:val="20"/>
          <w:color w:val="auto"/>
        </w:rPr>
        <w:tab/>
      </w:r>
      <w:r>
        <w:rPr>
          <w:rFonts w:ascii="Arial" w:cs="Arial" w:eastAsia="Arial" w:hAnsi="Arial"/>
          <w:sz w:val="16"/>
          <w:szCs w:val="16"/>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9436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3610" cy="1714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560" w:val="left"/>
          <w:tab w:leader="none" w:pos="5700" w:val="left"/>
        </w:tabs>
        <w:rPr>
          <w:sz w:val="20"/>
          <w:szCs w:val="20"/>
          <w:color w:val="auto"/>
        </w:rPr>
      </w:pPr>
      <w:r>
        <w:rPr>
          <w:rFonts w:ascii="Arial" w:cs="Arial" w:eastAsia="Arial" w:hAnsi="Arial"/>
          <w:sz w:val="18"/>
          <w:szCs w:val="18"/>
          <w:color w:val="auto"/>
        </w:rPr>
        <w:t>Date:</w:t>
        <w:tab/>
        <w:t>October 24, 2011</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9436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3610" cy="1714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Financial Officer, Principal Financial Officer and Principal Accounting</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INDEX</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52" w:lineRule="exact"/>
        <w:rPr>
          <w:sz w:val="20"/>
          <w:szCs w:val="20"/>
          <w:color w:val="auto"/>
        </w:rPr>
      </w:pPr>
    </w:p>
    <w:p>
      <w:pPr>
        <w:ind w:left="1300" w:hanging="129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9"/>
        </w:numPr>
        <w:rPr>
          <w:rFonts w:ascii="Arial" w:cs="Arial" w:eastAsia="Arial" w:hAnsi="Arial"/>
          <w:sz w:val="18"/>
          <w:szCs w:val="18"/>
          <w:u w:val="single" w:color="auto"/>
          <w:color w:val="0000EE"/>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97" w:lineRule="exact"/>
        <w:rPr>
          <w:rFonts w:ascii="Arial" w:cs="Arial" w:eastAsia="Arial" w:hAnsi="Arial"/>
          <w:sz w:val="18"/>
          <w:szCs w:val="18"/>
          <w:u w:val="single" w:color="auto"/>
          <w:color w:val="0000EE"/>
        </w:rPr>
      </w:pPr>
    </w:p>
    <w:p>
      <w:pPr>
        <w:ind w:left="1960" w:right="40" w:hanging="655"/>
        <w:spacing w:after="0" w:line="277" w:lineRule="auto"/>
        <w:tabs>
          <w:tab w:leader="none" w:pos="1960" w:val="left"/>
        </w:tabs>
        <w:numPr>
          <w:ilvl w:val="1"/>
          <w:numId w:val="29"/>
        </w:numPr>
        <w:rPr>
          <w:rFonts w:ascii="Arial" w:cs="Arial" w:eastAsia="Arial" w:hAnsi="Arial"/>
          <w:sz w:val="18"/>
          <w:szCs w:val="18"/>
          <w:u w:val="single" w:color="auto"/>
          <w:color w:val="0000EE"/>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97" w:lineRule="exact"/>
        <w:rPr>
          <w:rFonts w:ascii="Arial" w:cs="Arial" w:eastAsia="Arial" w:hAnsi="Arial"/>
          <w:sz w:val="18"/>
          <w:szCs w:val="18"/>
          <w:u w:val="single" w:color="auto"/>
          <w:color w:val="0000EE"/>
        </w:rPr>
      </w:pPr>
    </w:p>
    <w:p>
      <w:pPr>
        <w:ind w:left="1300" w:hanging="129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9"/>
        </w:numPr>
        <w:rPr>
          <w:rFonts w:ascii="Arial" w:cs="Arial" w:eastAsia="Arial" w:hAnsi="Arial"/>
          <w:sz w:val="18"/>
          <w:szCs w:val="18"/>
          <w:u w:val="single" w:color="auto"/>
          <w:color w:val="0000EE"/>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97" w:lineRule="exact"/>
        <w:rPr>
          <w:rFonts w:ascii="Arial" w:cs="Arial" w:eastAsia="Arial" w:hAnsi="Arial"/>
          <w:sz w:val="18"/>
          <w:szCs w:val="18"/>
          <w:u w:val="single" w:color="auto"/>
          <w:color w:val="0000EE"/>
        </w:rPr>
      </w:pPr>
    </w:p>
    <w:p>
      <w:pPr>
        <w:ind w:left="1960" w:right="40" w:hanging="655"/>
        <w:spacing w:after="0" w:line="277" w:lineRule="auto"/>
        <w:tabs>
          <w:tab w:leader="none" w:pos="1960" w:val="left"/>
        </w:tabs>
        <w:numPr>
          <w:ilvl w:val="1"/>
          <w:numId w:val="29"/>
        </w:numPr>
        <w:rPr>
          <w:rFonts w:ascii="Arial" w:cs="Arial" w:eastAsia="Arial" w:hAnsi="Arial"/>
          <w:sz w:val="18"/>
          <w:szCs w:val="18"/>
          <w:u w:val="single" w:color="auto"/>
          <w:color w:val="0000EE"/>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99</w:t>
            </w:r>
          </w:p>
        </w:tc>
        <w:tc>
          <w:tcPr>
            <w:tcW w:w="6320" w:type="dxa"/>
            <w:vAlign w:val="bottom"/>
            <w:gridSpan w:val="3"/>
          </w:tcPr>
          <w:p>
            <w:pPr>
              <w:spacing w:after="0"/>
              <w:rPr>
                <w:sz w:val="20"/>
                <w:szCs w:val="20"/>
                <w:color w:val="auto"/>
              </w:rPr>
            </w:pPr>
            <w:r>
              <w:rPr>
                <w:rFonts w:ascii="Arial" w:cs="Arial" w:eastAsia="Arial" w:hAnsi="Arial"/>
                <w:sz w:val="18"/>
                <w:szCs w:val="18"/>
                <w:color w:val="auto"/>
              </w:rPr>
              <w:t>Additional Exhibits.</w:t>
            </w:r>
          </w:p>
        </w:tc>
      </w:tr>
      <w:tr>
        <w:trPr>
          <w:trHeight w:val="419"/>
        </w:trPr>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EE"/>
              </w:rPr>
              <w:t>(a)</w:t>
            </w:r>
          </w:p>
        </w:tc>
        <w:tc>
          <w:tcPr>
            <w:tcW w:w="5760" w:type="dxa"/>
            <w:vAlign w:val="bottom"/>
          </w:tcPr>
          <w:p>
            <w:pPr>
              <w:ind w:left="100"/>
              <w:spacing w:after="0"/>
              <w:rPr>
                <w:sz w:val="20"/>
                <w:szCs w:val="20"/>
                <w:color w:val="auto"/>
              </w:rPr>
            </w:pPr>
            <w:r>
              <w:rPr>
                <w:rFonts w:ascii="Arial" w:cs="Arial" w:eastAsia="Arial" w:hAnsi="Arial"/>
                <w:sz w:val="18"/>
                <w:szCs w:val="18"/>
                <w:color w:val="auto"/>
                <w:w w:val="90"/>
              </w:rPr>
              <w:t>Summary of historical quarterly sales based on our new market classifications.</w:t>
            </w:r>
          </w:p>
        </w:tc>
      </w:tr>
      <w:tr>
        <w:trPr>
          <w:trHeight w:val="20"/>
        </w:trPr>
        <w:tc>
          <w:tcPr>
            <w:tcW w:w="13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480"/>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6320" w:type="dxa"/>
            <w:vAlign w:val="bottom"/>
            <w:gridSpan w:val="3"/>
          </w:tcPr>
          <w:p>
            <w:pPr>
              <w:spacing w:after="0"/>
              <w:rPr>
                <w:sz w:val="20"/>
                <w:szCs w:val="20"/>
                <w:color w:val="auto"/>
              </w:rPr>
            </w:pPr>
            <w:r>
              <w:rPr>
                <w:rFonts w:ascii="Arial" w:cs="Arial" w:eastAsia="Arial" w:hAnsi="Arial"/>
                <w:sz w:val="18"/>
                <w:szCs w:val="18"/>
                <w:color w:val="auto"/>
              </w:rPr>
              <w:t>Interactive Data File.</w:t>
            </w:r>
          </w:p>
        </w:tc>
      </w:tr>
      <w:tr>
        <w:trPr>
          <w:trHeight w:val="459"/>
        </w:trPr>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(INS)</w:t>
            </w:r>
          </w:p>
        </w:tc>
        <w:tc>
          <w:tcPr>
            <w:tcW w:w="576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59"/>
        </w:trPr>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(SCH)</w:t>
            </w:r>
          </w:p>
        </w:tc>
        <w:tc>
          <w:tcPr>
            <w:tcW w:w="5760" w:type="dxa"/>
            <w:vAlign w:val="bottom"/>
          </w:tcPr>
          <w:p>
            <w:pPr>
              <w:ind w:left="100"/>
              <w:spacing w:after="0"/>
              <w:rPr>
                <w:sz w:val="20"/>
                <w:szCs w:val="20"/>
                <w:color w:val="auto"/>
              </w:rPr>
            </w:pPr>
            <w:r>
              <w:rPr>
                <w:rFonts w:ascii="Arial" w:cs="Arial" w:eastAsia="Arial" w:hAnsi="Arial"/>
                <w:sz w:val="18"/>
                <w:szCs w:val="18"/>
                <w:color w:val="auto"/>
              </w:rPr>
              <w:t>XBRL Schema Document.</w:t>
            </w:r>
          </w:p>
        </w:tc>
      </w:tr>
      <w:tr>
        <w:trPr>
          <w:trHeight w:val="459"/>
        </w:trPr>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(CAL)</w:t>
            </w:r>
          </w:p>
        </w:tc>
        <w:tc>
          <w:tcPr>
            <w:tcW w:w="576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(LAB)</w:t>
            </w:r>
          </w:p>
        </w:tc>
        <w:tc>
          <w:tcPr>
            <w:tcW w:w="576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(PRE)</w:t>
            </w:r>
          </w:p>
        </w:tc>
        <w:tc>
          <w:tcPr>
            <w:tcW w:w="576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(DEF)</w:t>
            </w:r>
          </w:p>
        </w:tc>
        <w:tc>
          <w:tcPr>
            <w:tcW w:w="576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rPr>
          <w:sz w:val="20"/>
          <w:szCs w:val="20"/>
          <w:color w:val="auto"/>
        </w:rPr>
      </w:pPr>
      <w:r>
        <w:rPr>
          <w:rFonts w:ascii="Arial" w:cs="Arial" w:eastAsia="Arial" w:hAnsi="Arial"/>
          <w:sz w:val="18"/>
          <w:szCs w:val="18"/>
          <w:u w:val="single" w:color="auto"/>
          <w:color w:val="auto"/>
        </w:rPr>
        <w:t>______________________________________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Indicates a compensatory arrangement.</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6" w:name="page37"/>
    <w:bookmarkEnd w:id="36"/>
    <w:p>
      <w:pPr>
        <w:ind w:left="10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52"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 w:val="left"/>
          <w:tab w:leader="none" w:pos="6060" w:val="left"/>
        </w:tabs>
        <w:rPr>
          <w:sz w:val="20"/>
          <w:szCs w:val="20"/>
          <w:color w:val="auto"/>
        </w:rPr>
      </w:pPr>
      <w:r>
        <w:rPr>
          <w:rFonts w:ascii="Arial" w:cs="Arial" w:eastAsia="Arial" w:hAnsi="Arial"/>
          <w:sz w:val="18"/>
          <w:szCs w:val="18"/>
          <w:color w:val="auto"/>
        </w:rPr>
        <w:t>Date:</w:t>
        <w:tab/>
        <w:t>October 24, 2011</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10890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9025" cy="1714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7" w:name="page38"/>
    <w:bookmarkEnd w:id="37"/>
    <w:p>
      <w:pPr>
        <w:ind w:left="10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5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 w:val="left"/>
          <w:tab w:leader="none" w:pos="6060" w:val="left"/>
        </w:tabs>
        <w:rPr>
          <w:sz w:val="20"/>
          <w:szCs w:val="20"/>
          <w:color w:val="auto"/>
        </w:rPr>
      </w:pPr>
      <w:r>
        <w:rPr>
          <w:rFonts w:ascii="Arial" w:cs="Arial" w:eastAsia="Arial" w:hAnsi="Arial"/>
          <w:sz w:val="18"/>
          <w:szCs w:val="18"/>
          <w:color w:val="auto"/>
        </w:rPr>
        <w:t>Date:</w:t>
        <w:tab/>
        <w:t>October 24, 2011</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10890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9025" cy="1714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97" w:lineRule="exact"/>
        <w:rPr>
          <w:sz w:val="20"/>
          <w:szCs w:val="20"/>
          <w:color w:val="auto"/>
        </w:rPr>
      </w:pPr>
    </w:p>
    <w:p>
      <w:pPr>
        <w:ind w:firstLine="656"/>
        <w:spacing w:after="0" w:line="277" w:lineRule="auto"/>
        <w:tabs>
          <w:tab w:leader="none" w:pos="14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24, 2011,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firstLine="656"/>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24, 2011 fairly presents, in all material respects, the financial condition and results of operations of Universal Forest Products, Inc.</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October 24, 2011</w:t>
      </w:r>
      <w:r>
        <w:rPr>
          <w:sz w:val="20"/>
          <w:szCs w:val="20"/>
          <w:color w:val="auto"/>
        </w:rPr>
        <w:tab/>
      </w:r>
      <w:r>
        <w:rPr>
          <w:rFonts w:ascii="Arial" w:cs="Arial" w:eastAsia="Arial" w:hAnsi="Arial"/>
          <w:sz w:val="16"/>
          <w:szCs w:val="16"/>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188658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6585" cy="1714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97" w:lineRule="exact"/>
        <w:rPr>
          <w:sz w:val="20"/>
          <w:szCs w:val="20"/>
          <w:color w:val="auto"/>
        </w:rPr>
      </w:pPr>
    </w:p>
    <w:p>
      <w:pPr>
        <w:ind w:firstLine="656"/>
        <w:spacing w:after="0" w:line="277" w:lineRule="auto"/>
        <w:tabs>
          <w:tab w:leader="none" w:pos="14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24, 2011,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firstLine="656"/>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24, 2011 fairly presents, in all material respects, the financial condition and results of operations of Universal Forest Products, Inc.</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October 24, 2011</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188658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6585" cy="1714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w w:val="94"/>
              </w:rPr>
              <w:t>Exhibit 99(a)</w:t>
            </w:r>
          </w:p>
        </w:tc>
      </w:tr>
      <w:tr>
        <w:trPr>
          <w:trHeight w:val="459"/>
        </w:trPr>
        <w:tc>
          <w:tcPr>
            <w:tcW w:w="20" w:type="dxa"/>
            <w:vAlign w:val="bottom"/>
          </w:tcPr>
          <w:p>
            <w:pPr>
              <w:spacing w:after="0"/>
              <w:rPr>
                <w:sz w:val="24"/>
                <w:szCs w:val="24"/>
                <w:color w:val="auto"/>
              </w:rPr>
            </w:pPr>
          </w:p>
        </w:tc>
        <w:tc>
          <w:tcPr>
            <w:tcW w:w="10080" w:type="dxa"/>
            <w:vAlign w:val="bottom"/>
            <w:gridSpan w:val="9"/>
          </w:tcPr>
          <w:p>
            <w:pPr>
              <w:jc w:val="right"/>
              <w:ind w:right="810"/>
              <w:spacing w:after="0"/>
              <w:rPr>
                <w:sz w:val="20"/>
                <w:szCs w:val="20"/>
                <w:color w:val="auto"/>
              </w:rPr>
            </w:pPr>
            <w:r>
              <w:rPr>
                <w:rFonts w:ascii="Arial" w:cs="Arial" w:eastAsia="Arial" w:hAnsi="Arial"/>
                <w:sz w:val="18"/>
                <w:szCs w:val="18"/>
                <w:color w:val="auto"/>
              </w:rPr>
              <w:t>HISTORICAL QUARTERLY SALES BASED ON OUR NEW MARKET CLASSIFICATIONS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Market</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Q1 2010</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Q2 2010</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Q3 2010</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Q4 2010</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Total 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 Building Materials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187,026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353,059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222,842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153,540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916,467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95,591</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129,073</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120,613</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105,130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450,407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Construction and Concrete Forming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14,389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16,914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19,003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17,878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53,704</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67,035</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62,857</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57,718</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241,314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Manufactured Housing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48,936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82,831</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64,175</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49,828</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245,770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Gross Sales</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399,646</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648,912</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489,490</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384,094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1,922,142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392,958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638,635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480,574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378,685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1,890,851</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Market</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Q1 2009</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Q2 2009</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Q3 2009</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Q4 2009</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Total 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 Building Materials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186,475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320,527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236,861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146,827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890,691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76,837</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93,157</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99,476</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84,534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354,004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Construction and Concrete Forming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16,969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16,372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18,828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19,404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51,571</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52,778</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60,074</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45,496</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209,919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Manufactured Housing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37,255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45,485</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54,252</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49,186</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186,178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Gross Sales</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369,107</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528,319</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469,491</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345,447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1,712,365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(7,385)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361,722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514,945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457,768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338,565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1,673,000</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Market</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Q1 2008</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Q2 2008</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Q3 2008</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Q4 2008</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Total 2008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 Building Materials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201,800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374,326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285,595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174,006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1,035,727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102,570</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123,048</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119,869</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91,477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436,964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Construction and Concrete Forming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25,696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29,793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30,565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30,157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90,858</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112,987</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100,264</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72,661</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376,770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Manufactured Housing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77,593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85,444</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86,580</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58,902</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308,519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Gross Sales</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498,517</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725,598</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622,873</w:t>
            </w:r>
          </w:p>
        </w:tc>
        <w:tc>
          <w:tcPr>
            <w:tcW w:w="2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427,203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2,274,191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489,512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708,485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610,744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423,653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2,232,394</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8"/>
        </w:trPr>
        <w:tc>
          <w:tcPr>
            <w:tcW w:w="20" w:type="dxa"/>
            <w:vAlign w:val="bottom"/>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619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2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upperLetter"/>
      <w:start w:val="1"/>
    </w:lvl>
  </w:abstractNum>
  <w:abstractNum w:abstractNumId="3">
    <w:nsid w:val="3F2DBA31"/>
    <w:multiLevelType w:val="hybridMultilevel"/>
    <w:lvl w:ilvl="0">
      <w:lvlJc w:val="left"/>
      <w:lvlText w:val="%1."/>
      <w:numFmt w:val="upperLetter"/>
      <w:start w:val="3"/>
    </w:lvl>
  </w:abstractNum>
  <w:abstractNum w:abstractNumId="4">
    <w:nsid w:val="7C83E458"/>
    <w:multiLevelType w:val="hybridMultilevel"/>
    <w:lvl w:ilvl="0">
      <w:lvlJc w:val="left"/>
      <w:lvlText w:val="%1."/>
      <w:numFmt w:val="upperLetter"/>
      <w:start w:val="4"/>
    </w:lvl>
  </w:abstractNum>
  <w:abstractNum w:abstractNumId="5">
    <w:nsid w:val="257130A3"/>
    <w:multiLevelType w:val="hybridMultilevel"/>
    <w:lvl w:ilvl="0">
      <w:lvlJc w:val="left"/>
      <w:lvlText w:val="%1."/>
      <w:numFmt w:val="upperLetter"/>
      <w:start w:val="5"/>
    </w:lvl>
  </w:abstractNum>
  <w:abstractNum w:abstractNumId="6">
    <w:nsid w:val="62BBD95A"/>
    <w:multiLevelType w:val="hybridMultilevel"/>
    <w:lvl w:ilvl="0">
      <w:lvlJc w:val="left"/>
      <w:lvlText w:val="%1."/>
      <w:numFmt w:val="upperLetter"/>
      <w:start w:val="6"/>
    </w:lvl>
  </w:abstractNum>
  <w:abstractNum w:abstractNumId="7">
    <w:nsid w:val="436C6125"/>
    <w:multiLevelType w:val="hybridMultilevel"/>
    <w:lvl w:ilvl="0">
      <w:lvlJc w:val="left"/>
      <w:lvlText w:val="%1."/>
      <w:numFmt w:val="upperLetter"/>
      <w:start w:val="7"/>
    </w:lvl>
  </w:abstractNum>
  <w:abstractNum w:abstractNumId="8">
    <w:nsid w:val="628C895D"/>
    <w:multiLevelType w:val="hybridMultilevel"/>
    <w:lvl w:ilvl="0">
      <w:lvlJc w:val="left"/>
      <w:lvlText w:val="%1."/>
      <w:numFmt w:val="upperLetter"/>
      <w:start w:val="8"/>
    </w:lvl>
  </w:abstractNum>
  <w:abstractNum w:abstractNumId="9">
    <w:nsid w:val="333AB105"/>
    <w:multiLevelType w:val="hybridMultilevel"/>
    <w:lvl w:ilvl="0">
      <w:lvlJc w:val="left"/>
      <w:lvlText w:val="%1."/>
      <w:numFmt w:val="upperLetter"/>
      <w:start w:val="9"/>
    </w:lvl>
  </w:abstractNum>
  <w:abstractNum w:abstractNumId="10">
    <w:nsid w:val="721DA317"/>
    <w:multiLevelType w:val="hybridMultilevel"/>
    <w:lvl w:ilvl="0">
      <w:lvlJc w:val="left"/>
      <w:lvlText w:val="Ÿ"/>
      <w:numFmt w:val="bullet"/>
      <w:start w:val="1"/>
    </w:lvl>
  </w:abstractNum>
  <w:abstractNum w:abstractNumId="11">
    <w:nsid w:val="2443A858"/>
    <w:multiLevelType w:val="hybridMultilevel"/>
    <w:lvl w:ilvl="0">
      <w:lvlJc w:val="left"/>
      <w:lvlText w:val="Ÿ"/>
      <w:numFmt w:val="bullet"/>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Ÿ"/>
      <w:numFmt w:val="bullet"/>
      <w:start w:val="1"/>
    </w:lvl>
  </w:abstractNum>
  <w:abstractNum w:abstractNumId="14">
    <w:nsid w:val="75A2A8D4"/>
    <w:multiLevelType w:val="hybridMultilevel"/>
    <w:lvl w:ilvl="0">
      <w:lvlJc w:val="left"/>
      <w:lvlText w:val="Ÿ"/>
      <w:numFmt w:val="bullet"/>
      <w:start w:val="1"/>
    </w:lvl>
  </w:abstractNum>
  <w:abstractNum w:abstractNumId="15">
    <w:nsid w:val="8EDBDAB"/>
    <w:multiLevelType w:val="hybridMultilevel"/>
    <w:lvl w:ilvl="0">
      <w:lvlJc w:val="left"/>
      <w:lvlText w:val="Ÿ"/>
      <w:numFmt w:val="bullet"/>
      <w:start w:val="1"/>
    </w:lvl>
  </w:abstractNum>
  <w:abstractNum w:abstractNumId="16">
    <w:nsid w:val="79838CB2"/>
    <w:multiLevelType w:val="hybridMultilevel"/>
    <w:lvl w:ilvl="0">
      <w:lvlJc w:val="left"/>
      <w:lvlText w:val="Ÿ"/>
      <w:numFmt w:val="bullet"/>
      <w:start w:val="1"/>
    </w:lvl>
  </w:abstractNum>
  <w:abstractNum w:abstractNumId="17">
    <w:nsid w:val="4353D0CD"/>
    <w:multiLevelType w:val="hybridMultilevel"/>
    <w:lvl w:ilvl="0">
      <w:lvlJc w:val="left"/>
      <w:lvlText w:val="Ÿ"/>
      <w:numFmt w:val="bullet"/>
      <w:start w:val="1"/>
    </w:lvl>
  </w:abstractNum>
  <w:abstractNum w:abstractNumId="18">
    <w:nsid w:val="B03E0C6"/>
    <w:multiLevelType w:val="hybridMultilevel"/>
    <w:lvl w:ilvl="0">
      <w:lvlJc w:val="left"/>
      <w:lvlText w:val="Ÿ"/>
      <w:numFmt w:val="bullet"/>
      <w:start w:val="1"/>
    </w:lvl>
  </w:abstractNum>
  <w:abstractNum w:abstractNumId="19">
    <w:nsid w:val="189A769B"/>
    <w:multiLevelType w:val="hybridMultilevel"/>
    <w:lvl w:ilvl="0">
      <w:lvlJc w:val="left"/>
      <w:lvlText w:val="Ÿ"/>
      <w:numFmt w:val="bullet"/>
      <w:start w:val="1"/>
    </w:lvl>
  </w:abstractNum>
  <w:abstractNum w:abstractNumId="20">
    <w:nsid w:val="54E49EB4"/>
    <w:multiLevelType w:val="hybridMultilevel"/>
    <w:lvl w:ilvl="0">
      <w:lvlJc w:val="left"/>
      <w:lvlText w:val="Ÿ"/>
      <w:numFmt w:val="bullet"/>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31"/>
    </w:lvl>
    <w:lvl w:ilvl="1">
      <w:lvlJc w:val="left"/>
      <w:lvlText w:val="(%2)"/>
      <w:numFmt w:val="lowerLetter"/>
      <w:start w:val="1"/>
    </w:lvl>
  </w:abstractNum>
  <w:abstractNum w:abstractNumId="26">
    <w:nsid w:val="8138641"/>
    <w:multiLevelType w:val="hybridMultilevel"/>
    <w:lvl w:ilvl="0">
      <w:lvlJc w:val="left"/>
      <w:lvlText w:val="%1"/>
      <w:numFmt w:val="decimal"/>
      <w:start w:val="99"/>
    </w:lvl>
    <w:lvl w:ilvl="1">
      <w:lvlJc w:val="left"/>
      <w:lvlText w:val="(%2)"/>
      <w:numFmt w:val="lowerLetter"/>
      <w:start w:val="1"/>
    </w:lvl>
  </w:abstractNum>
  <w:abstractNum w:abstractNumId="27">
    <w:nsid w:val="1E7FF521"/>
    <w:multiLevelType w:val="hybridMultilevel"/>
    <w:lvl w:ilvl="0">
      <w:lvlJc w:val="left"/>
      <w:lvlText w:val="%1"/>
      <w:numFmt w:val="decimal"/>
      <w:start w:val="101"/>
    </w:lvl>
    <w:lvl w:ilvl="1">
      <w:lvlJc w:val="left"/>
      <w:lvlText w:val="%2"/>
      <w:numFmt w:val="lowerLetter"/>
      <w:start w:val="1"/>
    </w:lvl>
  </w:abstractNum>
  <w:abstractNum w:abstractNumId="28">
    <w:nsid w:val="7C3DBD3D"/>
    <w:multiLevelType w:val="hybridMultilevel"/>
    <w:lvl w:ilvl="0">
      <w:lvlJc w:val="left"/>
      <w:lvlText w:val="%1"/>
      <w:numFmt w:val="decimal"/>
      <w:start w:val="3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2019-12-10T12:50:25Z</dcterms:created>
  <dcterms:modified xsi:type="dcterms:W3CDTF">2019-12-10T12:50:25Z</dcterms:modified>
</cp:coreProperties>
</file>