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213995</wp:posOffset>
            </wp:positionV>
            <wp:extent cx="59258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25820" cy="2603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248285</wp:posOffset>
            </wp:positionV>
            <wp:extent cx="59258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25820"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jc w:val="center"/>
        <w:ind w:right="1420"/>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ind w:right="1420"/>
        <w:spacing w:after="0"/>
        <w:rPr>
          <w:sz w:val="20"/>
          <w:szCs w:val="20"/>
          <w:color w:val="auto"/>
        </w:rPr>
      </w:pPr>
      <w:r>
        <w:rPr>
          <w:rFonts w:ascii="Arial" w:cs="Arial" w:eastAsia="Arial" w:hAnsi="Arial"/>
          <w:sz w:val="22"/>
          <w:szCs w:val="22"/>
          <w:b w:val="1"/>
          <w:bCs w:val="1"/>
          <w:color w:val="auto"/>
        </w:rPr>
        <w:t>Washington, D.C. 20549</w:t>
      </w:r>
    </w:p>
    <w:p>
      <w:pPr>
        <w:spacing w:after="0" w:line="141" w:lineRule="exact"/>
        <w:rPr>
          <w:sz w:val="20"/>
          <w:szCs w:val="20"/>
          <w:color w:val="auto"/>
        </w:rPr>
      </w:pPr>
    </w:p>
    <w:p>
      <w:pPr>
        <w:ind w:left="4120"/>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0"/>
          <w:szCs w:val="20"/>
          <w:color w:val="auto"/>
        </w:rPr>
      </w:pPr>
    </w:p>
    <w:p>
      <w:pPr>
        <w:ind w:left="1460" w:right="3000" w:hanging="890"/>
        <w:spacing w:after="0" w:line="256" w:lineRule="auto"/>
        <w:tabs>
          <w:tab w:leader="none" w:pos="1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31"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 xml:space="preserve">For the quarterly period ended </w:t>
      </w:r>
      <w:r>
        <w:rPr>
          <w:rFonts w:ascii="Arial" w:cs="Arial" w:eastAsia="Arial" w:hAnsi="Arial"/>
          <w:sz w:val="18"/>
          <w:szCs w:val="18"/>
          <w:b w:val="1"/>
          <w:bCs w:val="1"/>
          <w:u w:val="single" w:color="auto"/>
          <w:color w:val="auto"/>
        </w:rPr>
        <w:t>March 27, 2010</w:t>
      </w:r>
    </w:p>
    <w:p>
      <w:pPr>
        <w:spacing w:after="0" w:line="185"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OR</w:t>
      </w:r>
    </w:p>
    <w:p>
      <w:pPr>
        <w:spacing w:after="0" w:line="216" w:lineRule="exact"/>
        <w:rPr>
          <w:sz w:val="20"/>
          <w:szCs w:val="20"/>
          <w:color w:val="auto"/>
        </w:rPr>
      </w:pPr>
    </w:p>
    <w:p>
      <w:pPr>
        <w:ind w:left="1460" w:right="2980" w:hanging="850"/>
        <w:spacing w:after="0" w:line="256" w:lineRule="auto"/>
        <w:tabs>
          <w:tab w:leader="none" w:pos="146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45"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b w:val="1"/>
          <w:bCs w:val="1"/>
          <w:u w:val="single" w:color="auto"/>
          <w:color w:val="auto"/>
        </w:rPr>
        <w:t>0-22684</w:t>
      </w:r>
    </w:p>
    <w:p>
      <w:pPr>
        <w:spacing w:after="0" w:line="160" w:lineRule="exact"/>
        <w:rPr>
          <w:sz w:val="20"/>
          <w:szCs w:val="20"/>
          <w:color w:val="auto"/>
        </w:rPr>
      </w:pPr>
    </w:p>
    <w:p>
      <w:pPr>
        <w:jc w:val="center"/>
        <w:ind w:right="1420"/>
        <w:spacing w:after="0"/>
        <w:rPr>
          <w:sz w:val="20"/>
          <w:szCs w:val="20"/>
          <w:color w:val="auto"/>
        </w:rPr>
      </w:pPr>
      <w:r>
        <w:rPr>
          <w:rFonts w:ascii="Arial" w:cs="Arial" w:eastAsia="Arial" w:hAnsi="Arial"/>
          <w:sz w:val="43"/>
          <w:szCs w:val="43"/>
          <w:b w:val="1"/>
          <w:bCs w:val="1"/>
          <w:color w:val="auto"/>
        </w:rPr>
        <w:t>UNIVERSAL FOREST PRODUCTS, INC.</w:t>
      </w:r>
    </w:p>
    <w:p>
      <w:pPr>
        <w:spacing w:after="0" w:line="50"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(Exact name of registrant as specified in its charter)</w:t>
      </w:r>
    </w:p>
    <w:p>
      <w:pPr>
        <w:spacing w:after="0" w:line="209"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4420" w:type="dxa"/>
            <w:vAlign w:val="bottom"/>
          </w:tcPr>
          <w:p>
            <w:pPr>
              <w:jc w:val="center"/>
              <w:spacing w:after="0"/>
              <w:rPr>
                <w:sz w:val="20"/>
                <w:szCs w:val="20"/>
                <w:color w:val="auto"/>
              </w:rPr>
            </w:pPr>
            <w:r>
              <w:rPr>
                <w:rFonts w:ascii="Arial" w:cs="Arial" w:eastAsia="Arial" w:hAnsi="Arial"/>
                <w:sz w:val="18"/>
                <w:szCs w:val="18"/>
                <w:color w:val="auto"/>
                <w:w w:val="97"/>
              </w:rPr>
              <w:t>Michigan</w:t>
            </w:r>
          </w:p>
        </w:tc>
        <w:tc>
          <w:tcPr>
            <w:tcW w:w="4900" w:type="dxa"/>
            <w:vAlign w:val="bottom"/>
            <w:gridSpan w:val="2"/>
          </w:tcPr>
          <w:p>
            <w:pPr>
              <w:jc w:val="right"/>
              <w:ind w:right="1690"/>
              <w:spacing w:after="0"/>
              <w:rPr>
                <w:sz w:val="20"/>
                <w:szCs w:val="20"/>
                <w:color w:val="auto"/>
              </w:rPr>
            </w:pPr>
            <w:r>
              <w:rPr>
                <w:rFonts w:ascii="Arial" w:cs="Arial" w:eastAsia="Arial" w:hAnsi="Arial"/>
                <w:sz w:val="18"/>
                <w:szCs w:val="18"/>
                <w:color w:val="auto"/>
              </w:rPr>
              <w:t>38-1465835</w:t>
            </w:r>
          </w:p>
        </w:tc>
      </w:tr>
      <w:tr>
        <w:trPr>
          <w:trHeight w:val="209"/>
        </w:trPr>
        <w:tc>
          <w:tcPr>
            <w:tcW w:w="4420" w:type="dxa"/>
            <w:vAlign w:val="bottom"/>
            <w:tcBorders>
              <w:top w:val="single" w:sz="8" w:color="auto"/>
            </w:tcBorders>
          </w:tcPr>
          <w:p>
            <w:pPr>
              <w:ind w:left="1140"/>
              <w:spacing w:after="0"/>
              <w:rPr>
                <w:sz w:val="20"/>
                <w:szCs w:val="20"/>
                <w:color w:val="auto"/>
              </w:rPr>
            </w:pPr>
            <w:r>
              <w:rPr>
                <w:rFonts w:ascii="Arial" w:cs="Arial" w:eastAsia="Arial" w:hAnsi="Arial"/>
                <w:sz w:val="18"/>
                <w:szCs w:val="18"/>
                <w:color w:val="auto"/>
              </w:rPr>
              <w:t>(State or other jurisdiction of</w:t>
            </w:r>
          </w:p>
        </w:tc>
        <w:tc>
          <w:tcPr>
            <w:tcW w:w="460" w:type="dxa"/>
            <w:vAlign w:val="bottom"/>
          </w:tcPr>
          <w:p>
            <w:pPr>
              <w:spacing w:after="0"/>
              <w:rPr>
                <w:sz w:val="18"/>
                <w:szCs w:val="18"/>
                <w:color w:val="auto"/>
              </w:rPr>
            </w:pPr>
          </w:p>
        </w:tc>
        <w:tc>
          <w:tcPr>
            <w:tcW w:w="4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(I.R.S. Employer</w:t>
            </w:r>
          </w:p>
        </w:tc>
      </w:tr>
      <w:tr>
        <w:trPr>
          <w:trHeight w:val="230"/>
        </w:trPr>
        <w:tc>
          <w:tcPr>
            <w:tcW w:w="4420" w:type="dxa"/>
            <w:vAlign w:val="bottom"/>
          </w:tcPr>
          <w:p>
            <w:pPr>
              <w:jc w:val="center"/>
              <w:spacing w:after="0"/>
              <w:rPr>
                <w:sz w:val="20"/>
                <w:szCs w:val="20"/>
                <w:color w:val="auto"/>
              </w:rPr>
            </w:pPr>
            <w:r>
              <w:rPr>
                <w:rFonts w:ascii="Arial" w:cs="Arial" w:eastAsia="Arial" w:hAnsi="Arial"/>
                <w:sz w:val="18"/>
                <w:szCs w:val="18"/>
                <w:color w:val="auto"/>
                <w:w w:val="93"/>
              </w:rPr>
              <w:t>incorporation or organization)</w:t>
            </w:r>
          </w:p>
        </w:tc>
        <w:tc>
          <w:tcPr>
            <w:tcW w:w="460" w:type="dxa"/>
            <w:vAlign w:val="bottom"/>
          </w:tcPr>
          <w:p>
            <w:pPr>
              <w:spacing w:after="0"/>
              <w:rPr>
                <w:sz w:val="20"/>
                <w:szCs w:val="20"/>
                <w:color w:val="auto"/>
              </w:rPr>
            </w:pPr>
          </w:p>
        </w:tc>
        <w:tc>
          <w:tcPr>
            <w:tcW w:w="4440" w:type="dxa"/>
            <w:vAlign w:val="bottom"/>
          </w:tcPr>
          <w:p>
            <w:pPr>
              <w:jc w:val="center"/>
              <w:spacing w:after="0"/>
              <w:rPr>
                <w:sz w:val="20"/>
                <w:szCs w:val="20"/>
                <w:color w:val="auto"/>
              </w:rPr>
            </w:pPr>
            <w:r>
              <w:rPr>
                <w:rFonts w:ascii="Arial" w:cs="Arial" w:eastAsia="Arial" w:hAnsi="Arial"/>
                <w:sz w:val="18"/>
                <w:szCs w:val="18"/>
                <w:color w:val="auto"/>
                <w:w w:val="94"/>
              </w:rPr>
              <w:t>Identification Number)</w:t>
            </w:r>
          </w:p>
        </w:tc>
      </w:tr>
      <w:tr>
        <w:trPr>
          <w:trHeight w:val="432"/>
        </w:trPr>
        <w:tc>
          <w:tcPr>
            <w:tcW w:w="4420" w:type="dxa"/>
            <w:vAlign w:val="bottom"/>
          </w:tcPr>
          <w:p>
            <w:pPr>
              <w:jc w:val="center"/>
              <w:spacing w:after="0"/>
              <w:rPr>
                <w:sz w:val="20"/>
                <w:szCs w:val="20"/>
                <w:color w:val="auto"/>
              </w:rPr>
            </w:pPr>
            <w:r>
              <w:rPr>
                <w:rFonts w:ascii="Arial" w:cs="Arial" w:eastAsia="Arial" w:hAnsi="Arial"/>
                <w:sz w:val="18"/>
                <w:szCs w:val="18"/>
                <w:color w:val="auto"/>
                <w:w w:val="92"/>
              </w:rPr>
              <w:t>2801 East Beltline NE, Grand Rapids, Michigan</w:t>
            </w:r>
          </w:p>
        </w:tc>
        <w:tc>
          <w:tcPr>
            <w:tcW w:w="4900" w:type="dxa"/>
            <w:vAlign w:val="bottom"/>
            <w:gridSpan w:val="2"/>
          </w:tcPr>
          <w:p>
            <w:pPr>
              <w:jc w:val="right"/>
              <w:ind w:right="1910"/>
              <w:spacing w:after="0"/>
              <w:rPr>
                <w:sz w:val="20"/>
                <w:szCs w:val="20"/>
                <w:color w:val="auto"/>
              </w:rPr>
            </w:pPr>
            <w:r>
              <w:rPr>
                <w:rFonts w:ascii="Arial" w:cs="Arial" w:eastAsia="Arial" w:hAnsi="Arial"/>
                <w:sz w:val="18"/>
                <w:szCs w:val="18"/>
                <w:color w:val="auto"/>
              </w:rPr>
              <w:t>49525</w:t>
            </w:r>
          </w:p>
        </w:tc>
      </w:tr>
      <w:tr>
        <w:trPr>
          <w:trHeight w:val="224"/>
        </w:trPr>
        <w:tc>
          <w:tcPr>
            <w:tcW w:w="4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460" w:type="dxa"/>
            <w:vAlign w:val="bottom"/>
          </w:tcPr>
          <w:p>
            <w:pPr>
              <w:spacing w:after="0"/>
              <w:rPr>
                <w:sz w:val="19"/>
                <w:szCs w:val="19"/>
                <w:color w:val="auto"/>
              </w:rPr>
            </w:pPr>
          </w:p>
        </w:tc>
        <w:tc>
          <w:tcPr>
            <w:tcW w:w="4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160" w:lineRule="exact"/>
        <w:rPr>
          <w:sz w:val="20"/>
          <w:szCs w:val="20"/>
          <w:color w:val="auto"/>
        </w:rPr>
      </w:pPr>
    </w:p>
    <w:p>
      <w:pPr>
        <w:jc w:val="center"/>
        <w:ind w:right="142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(616) 364-6161</w:t>
      </w:r>
    </w:p>
    <w:p>
      <w:pPr>
        <w:spacing w:after="0" w:line="198" w:lineRule="exact"/>
        <w:rPr>
          <w:sz w:val="20"/>
          <w:szCs w:val="20"/>
          <w:color w:val="auto"/>
        </w:rPr>
      </w:pPr>
    </w:p>
    <w:p>
      <w:pPr>
        <w:jc w:val="center"/>
        <w:ind w:right="1420"/>
        <w:spacing w:after="0"/>
        <w:rPr>
          <w:sz w:val="20"/>
          <w:szCs w:val="20"/>
          <w:color w:val="auto"/>
        </w:rPr>
      </w:pPr>
      <w:r>
        <w:rPr>
          <w:rFonts w:ascii="Arial" w:cs="Arial" w:eastAsia="Arial" w:hAnsi="Arial"/>
          <w:sz w:val="18"/>
          <w:szCs w:val="18"/>
          <w:color w:val="auto"/>
        </w:rPr>
        <w:t>NONE</w:t>
      </w:r>
    </w:p>
    <w:p>
      <w:pPr>
        <w:spacing w:after="0" w:line="23" w:lineRule="exact"/>
        <w:rPr>
          <w:sz w:val="20"/>
          <w:szCs w:val="20"/>
          <w:color w:val="auto"/>
        </w:rPr>
      </w:pPr>
    </w:p>
    <w:p>
      <w:pPr>
        <w:jc w:val="center"/>
        <w:ind w:right="142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1754505</wp:posOffset>
            </wp:positionH>
            <wp:positionV relativeFrom="paragraph">
              <wp:posOffset>-130810</wp:posOffset>
            </wp:positionV>
            <wp:extent cx="28384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38450" cy="8890"/>
                    </a:xfrm>
                    <a:prstGeom prst="rect">
                      <a:avLst/>
                    </a:prstGeom>
                    <a:noFill/>
                  </pic:spPr>
                </pic:pic>
              </a:graphicData>
            </a:graphic>
          </wp:anchor>
        </w:drawing>
      </w:r>
    </w:p>
    <w:p>
      <w:pPr>
        <w:spacing w:after="0" w:line="164" w:lineRule="exact"/>
        <w:rPr>
          <w:sz w:val="20"/>
          <w:szCs w:val="20"/>
          <w:color w:val="auto"/>
        </w:rPr>
      </w:pPr>
    </w:p>
    <w:p>
      <w:pPr>
        <w:jc w:val="both"/>
        <w:ind w:left="340" w:right="1760"/>
        <w:spacing w:after="0" w:line="228"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o</w:t>
      </w:r>
    </w:p>
    <w:p>
      <w:pPr>
        <w:spacing w:after="0" w:line="142" w:lineRule="exact"/>
        <w:rPr>
          <w:sz w:val="20"/>
          <w:szCs w:val="20"/>
          <w:color w:val="auto"/>
        </w:rPr>
      </w:pPr>
    </w:p>
    <w:p>
      <w:pPr>
        <w:jc w:val="both"/>
        <w:ind w:left="340" w:right="1760"/>
        <w:spacing w:after="0" w:line="259"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o No o</w:t>
      </w:r>
    </w:p>
    <w:p>
      <w:pPr>
        <w:spacing w:after="0" w:line="160" w:lineRule="exact"/>
        <w:rPr>
          <w:sz w:val="20"/>
          <w:szCs w:val="20"/>
          <w:color w:val="auto"/>
        </w:rPr>
      </w:pPr>
    </w:p>
    <w:p>
      <w:pPr>
        <w:jc w:val="both"/>
        <w:ind w:left="340" w:right="176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49" w:lineRule="exact"/>
        <w:rPr>
          <w:sz w:val="20"/>
          <w:szCs w:val="20"/>
          <w:color w:val="auto"/>
        </w:rPr>
      </w:pPr>
    </w:p>
    <w:p>
      <w:pPr>
        <w:ind w:left="340"/>
        <w:spacing w:after="0" w:line="207" w:lineRule="exact"/>
        <w:tabs>
          <w:tab w:leader="none" w:pos="3060" w:val="left"/>
          <w:tab w:leader="none" w:pos="5260" w:val="left"/>
          <w:tab w:leader="none" w:pos="750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 o</w:t>
      </w:r>
      <w:r>
        <w:rPr>
          <w:sz w:val="20"/>
          <w:szCs w:val="20"/>
          <w:color w:val="auto"/>
        </w:rPr>
        <w:tab/>
      </w:r>
      <w:r>
        <w:rPr>
          <w:rFonts w:ascii="Arial" w:cs="Arial" w:eastAsia="Arial" w:hAnsi="Arial"/>
          <w:sz w:val="18"/>
          <w:szCs w:val="18"/>
          <w:color w:val="auto"/>
        </w:rPr>
        <w:t>Non-Accelerated Filer o</w:t>
      </w:r>
      <w:r>
        <w:rPr>
          <w:sz w:val="20"/>
          <w:szCs w:val="20"/>
          <w:color w:val="auto"/>
        </w:rPr>
        <w:tab/>
      </w:r>
      <w:r>
        <w:rPr>
          <w:rFonts w:ascii="Arial" w:cs="Arial" w:eastAsia="Arial" w:hAnsi="Arial"/>
          <w:sz w:val="16"/>
          <w:szCs w:val="16"/>
          <w:color w:val="auto"/>
        </w:rPr>
        <w:t>Smaller reporting company o</w:t>
      </w:r>
    </w:p>
    <w:p>
      <w:pPr>
        <w:spacing w:after="0" w:line="185" w:lineRule="exact"/>
        <w:rPr>
          <w:sz w:val="20"/>
          <w:szCs w:val="20"/>
          <w:color w:val="auto"/>
        </w:rPr>
      </w:pPr>
    </w:p>
    <w:p>
      <w:pPr>
        <w:ind w:left="340"/>
        <w:spacing w:after="0" w:line="207" w:lineRule="exact"/>
        <w:rPr>
          <w:sz w:val="20"/>
          <w:szCs w:val="20"/>
          <w:color w:val="auto"/>
        </w:rPr>
      </w:pPr>
      <w:r>
        <w:rPr>
          <w:rFonts w:ascii="Arial" w:cs="Arial" w:eastAsia="Arial" w:hAnsi="Arial"/>
          <w:sz w:val="18"/>
          <w:szCs w:val="18"/>
          <w:color w:val="auto"/>
        </w:rPr>
        <w:t xml:space="preserve">Indicate by chec kmark whether the registrant is a shell company (as defined by Rule 12b-2 of the Exchange Act). Yes o No </w:t>
      </w:r>
      <w:r>
        <w:rPr>
          <w:rFonts w:ascii="MS PGothic" w:cs="MS PGothic" w:eastAsia="MS PGothic" w:hAnsi="MS PGothic"/>
          <w:sz w:val="18"/>
          <w:szCs w:val="18"/>
          <w:color w:val="auto"/>
        </w:rPr>
        <w:t>☑</w:t>
      </w:r>
    </w:p>
    <w:p>
      <w:pPr>
        <w:spacing w:after="0" w:line="2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4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4"/>
              </w:rPr>
              <w:t>Class</w:t>
            </w:r>
          </w:p>
        </w:tc>
        <w:tc>
          <w:tcPr>
            <w:tcW w:w="460" w:type="dxa"/>
            <w:vAlign w:val="bottom"/>
          </w:tcPr>
          <w:p>
            <w:pPr>
              <w:spacing w:after="0"/>
              <w:rPr>
                <w:sz w:val="20"/>
                <w:szCs w:val="20"/>
                <w:color w:val="auto"/>
              </w:rPr>
            </w:pPr>
          </w:p>
        </w:tc>
        <w:tc>
          <w:tcPr>
            <w:tcW w:w="4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Outstanding as of March 27, 2010</w:t>
            </w:r>
          </w:p>
        </w:tc>
        <w:tc>
          <w:tcPr>
            <w:tcW w:w="1760" w:type="dxa"/>
            <w:vAlign w:val="bottom"/>
          </w:tcPr>
          <w:p>
            <w:pPr>
              <w:spacing w:after="0"/>
              <w:rPr>
                <w:sz w:val="20"/>
                <w:szCs w:val="20"/>
                <w:color w:val="auto"/>
              </w:rPr>
            </w:pPr>
          </w:p>
        </w:tc>
      </w:tr>
      <w:tr>
        <w:trPr>
          <w:trHeight w:val="224"/>
        </w:trPr>
        <w:tc>
          <w:tcPr>
            <w:tcW w:w="340" w:type="dxa"/>
            <w:vAlign w:val="bottom"/>
          </w:tcPr>
          <w:p>
            <w:pPr>
              <w:spacing w:after="0"/>
              <w:rPr>
                <w:sz w:val="19"/>
                <w:szCs w:val="19"/>
                <w:color w:val="auto"/>
              </w:rPr>
            </w:pPr>
          </w:p>
        </w:tc>
        <w:tc>
          <w:tcPr>
            <w:tcW w:w="4420" w:type="dxa"/>
            <w:vAlign w:val="bottom"/>
          </w:tcPr>
          <w:p>
            <w:pPr>
              <w:jc w:val="center"/>
              <w:spacing w:after="0"/>
              <w:rPr>
                <w:sz w:val="20"/>
                <w:szCs w:val="20"/>
                <w:color w:val="auto"/>
              </w:rPr>
            </w:pPr>
            <w:r>
              <w:rPr>
                <w:rFonts w:ascii="Arial" w:cs="Arial" w:eastAsia="Arial" w:hAnsi="Arial"/>
                <w:sz w:val="18"/>
                <w:szCs w:val="18"/>
                <w:color w:val="auto"/>
                <w:w w:val="89"/>
              </w:rPr>
              <w:t>Common stock, no par value</w:t>
            </w:r>
          </w:p>
        </w:tc>
        <w:tc>
          <w:tcPr>
            <w:tcW w:w="460" w:type="dxa"/>
            <w:vAlign w:val="bottom"/>
          </w:tcPr>
          <w:p>
            <w:pPr>
              <w:spacing w:after="0"/>
              <w:rPr>
                <w:sz w:val="19"/>
                <w:szCs w:val="19"/>
                <w:color w:val="auto"/>
              </w:rPr>
            </w:pPr>
          </w:p>
        </w:tc>
        <w:tc>
          <w:tcPr>
            <w:tcW w:w="4440" w:type="dxa"/>
            <w:vAlign w:val="bottom"/>
          </w:tcPr>
          <w:p>
            <w:pPr>
              <w:jc w:val="right"/>
              <w:ind w:right="1730"/>
              <w:spacing w:after="0"/>
              <w:rPr>
                <w:sz w:val="20"/>
                <w:szCs w:val="20"/>
                <w:color w:val="auto"/>
              </w:rPr>
            </w:pPr>
            <w:r>
              <w:rPr>
                <w:rFonts w:ascii="Arial" w:cs="Arial" w:eastAsia="Arial" w:hAnsi="Arial"/>
                <w:sz w:val="18"/>
                <w:szCs w:val="18"/>
                <w:color w:val="auto"/>
              </w:rPr>
              <w:t>19,361,407</w:t>
            </w:r>
          </w:p>
        </w:tc>
        <w:tc>
          <w:tcPr>
            <w:tcW w:w="1760" w:type="dxa"/>
            <w:vAlign w:val="bottom"/>
          </w:tcPr>
          <w:p>
            <w:pPr>
              <w:spacing w:after="0"/>
              <w:rPr>
                <w:sz w:val="19"/>
                <w:szCs w:val="19"/>
                <w:color w:val="auto"/>
              </w:rPr>
            </w:pPr>
          </w:p>
        </w:tc>
      </w:tr>
      <w:tr>
        <w:trPr>
          <w:trHeight w:val="202"/>
        </w:trPr>
        <w:tc>
          <w:tcPr>
            <w:tcW w:w="340" w:type="dxa"/>
            <w:vAlign w:val="bottom"/>
          </w:tcPr>
          <w:p>
            <w:pPr>
              <w:spacing w:after="0"/>
              <w:rPr>
                <w:sz w:val="17"/>
                <w:szCs w:val="17"/>
                <w:color w:val="auto"/>
              </w:rPr>
            </w:pPr>
          </w:p>
        </w:tc>
        <w:tc>
          <w:tcPr>
            <w:tcW w:w="44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4440" w:type="dxa"/>
            <w:vAlign w:val="bottom"/>
            <w:tcBorders>
              <w:bottom w:val="single" w:sz="8" w:color="auto"/>
            </w:tcBorders>
          </w:tcPr>
          <w:p>
            <w:pPr>
              <w:spacing w:after="0"/>
              <w:rPr>
                <w:sz w:val="17"/>
                <w:szCs w:val="17"/>
                <w:color w:val="auto"/>
              </w:rPr>
            </w:pPr>
          </w:p>
        </w:tc>
        <w:tc>
          <w:tcPr>
            <w:tcW w:w="1760" w:type="dxa"/>
            <w:vAlign w:val="bottom"/>
          </w:tcPr>
          <w:p>
            <w:pPr>
              <w:spacing w:after="0"/>
              <w:rPr>
                <w:sz w:val="17"/>
                <w:szCs w:val="17"/>
                <w:color w:val="auto"/>
              </w:rPr>
            </w:pPr>
          </w:p>
        </w:tc>
      </w:tr>
      <w:tr>
        <w:trPr>
          <w:trHeight w:val="28"/>
        </w:trPr>
        <w:tc>
          <w:tcPr>
            <w:tcW w:w="340" w:type="dxa"/>
            <w:vAlign w:val="bottom"/>
          </w:tcPr>
          <w:p>
            <w:pPr>
              <w:spacing w:after="0"/>
              <w:rPr>
                <w:sz w:val="2"/>
                <w:szCs w:val="2"/>
                <w:color w:val="auto"/>
              </w:rPr>
            </w:pPr>
          </w:p>
        </w:tc>
        <w:tc>
          <w:tcPr>
            <w:tcW w:w="44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c>
          <w:tcPr>
            <w:tcW w:w="1760" w:type="dxa"/>
            <w:vAlign w:val="bottom"/>
          </w:tcPr>
          <w:p>
            <w:pPr>
              <w:spacing w:after="0"/>
              <w:rPr>
                <w:sz w:val="2"/>
                <w:szCs w:val="2"/>
                <w:color w:val="auto"/>
              </w:rPr>
            </w:pPr>
          </w:p>
        </w:tc>
      </w:tr>
      <w:tr>
        <w:trPr>
          <w:trHeight w:val="1010"/>
        </w:trPr>
        <w:tc>
          <w:tcPr>
            <w:tcW w:w="340" w:type="dxa"/>
            <w:vAlign w:val="bottom"/>
            <w:tcBorders>
              <w:bottom w:val="single" w:sz="8" w:color="808080"/>
            </w:tcBorders>
          </w:tcPr>
          <w:p>
            <w:pPr>
              <w:spacing w:after="0"/>
              <w:rPr>
                <w:sz w:val="24"/>
                <w:szCs w:val="24"/>
                <w:color w:val="auto"/>
              </w:rPr>
            </w:pPr>
          </w:p>
        </w:tc>
        <w:tc>
          <w:tcPr>
            <w:tcW w:w="442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444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60" w:type="dxa"/>
            <w:vAlign w:val="bottom"/>
            <w:gridSpan w:val="9"/>
          </w:tcPr>
          <w:p>
            <w:pPr>
              <w:jc w:val="center"/>
              <w:ind w:right="1660"/>
              <w:spacing w:after="0"/>
              <w:rPr>
                <w:sz w:val="20"/>
                <w:szCs w:val="20"/>
                <w:color w:val="auto"/>
              </w:rPr>
            </w:pPr>
            <w:r>
              <w:rPr>
                <w:rFonts w:ascii="Arial" w:cs="Arial" w:eastAsia="Arial" w:hAnsi="Arial"/>
                <w:sz w:val="18"/>
                <w:szCs w:val="18"/>
                <w:b w:val="1"/>
                <w:bCs w:val="1"/>
                <w:color w:val="auto"/>
                <w:w w:val="99"/>
              </w:rPr>
              <w:t>UNIVERSAL FOREST PRODUCTS, INC.</w:t>
            </w:r>
          </w:p>
        </w:tc>
        <w:tc>
          <w:tcPr>
            <w:tcW w:w="10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60" w:type="dxa"/>
            <w:vAlign w:val="bottom"/>
            <w:gridSpan w:val="9"/>
          </w:tcPr>
          <w:p>
            <w:pPr>
              <w:jc w:val="center"/>
              <w:ind w:right="1660"/>
              <w:spacing w:after="0"/>
              <w:rPr>
                <w:sz w:val="20"/>
                <w:szCs w:val="20"/>
                <w:color w:val="auto"/>
              </w:rPr>
            </w:pPr>
            <w:r>
              <w:rPr>
                <w:rFonts w:ascii="Arial" w:cs="Arial" w:eastAsia="Arial" w:hAnsi="Arial"/>
                <w:sz w:val="18"/>
                <w:szCs w:val="18"/>
                <w:b w:val="1"/>
                <w:bCs w:val="1"/>
                <w:color w:val="auto"/>
                <w:w w:val="98"/>
              </w:rPr>
              <w:t>TABLE OF CONTENTS</w:t>
            </w:r>
          </w:p>
        </w:tc>
        <w:tc>
          <w:tcPr>
            <w:tcW w:w="10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560" w:type="dxa"/>
            <w:vAlign w:val="bottom"/>
            <w:gridSpan w:val="20"/>
            <w:vMerge w:val="restart"/>
          </w:tcPr>
          <w:p>
            <w:pPr>
              <w:ind w:left="340"/>
              <w:spacing w:after="0"/>
              <w:rPr>
                <w:sz w:val="20"/>
                <w:szCs w:val="20"/>
                <w:color w:val="auto"/>
              </w:rPr>
            </w:pPr>
            <w:r>
              <w:rPr>
                <w:rFonts w:ascii="Arial" w:cs="Arial" w:eastAsia="Arial" w:hAnsi="Arial"/>
                <w:sz w:val="18"/>
                <w:szCs w:val="18"/>
                <w:b w:val="1"/>
                <w:bCs w:val="1"/>
                <w:color w:val="auto"/>
              </w:rPr>
              <w:t>PART I. FINANCIAL INFORMATION</w:t>
            </w:r>
          </w:p>
        </w:tc>
        <w:tc>
          <w:tcPr>
            <w:tcW w:w="2860" w:type="dxa"/>
            <w:vAlign w:val="bottom"/>
            <w:gridSpan w:val="2"/>
          </w:tcPr>
          <w:p>
            <w:pPr>
              <w:jc w:val="right"/>
              <w:ind w:right="2020"/>
              <w:spacing w:after="0"/>
              <w:rPr>
                <w:sz w:val="20"/>
                <w:szCs w:val="20"/>
                <w:color w:val="auto"/>
              </w:rPr>
            </w:pPr>
            <w:r>
              <w:rPr>
                <w:rFonts w:ascii="Arial" w:cs="Arial" w:eastAsia="Arial" w:hAnsi="Arial"/>
                <w:sz w:val="18"/>
                <w:szCs w:val="18"/>
                <w:b w:val="1"/>
                <w:bCs w:val="1"/>
                <w:color w:val="auto"/>
              </w:rPr>
              <w:t>Page No.</w:t>
            </w:r>
          </w:p>
        </w:tc>
        <w:tc>
          <w:tcPr>
            <w:tcW w:w="0" w:type="dxa"/>
            <w:vAlign w:val="bottom"/>
          </w:tcPr>
          <w:p>
            <w:pPr>
              <w:spacing w:after="0"/>
              <w:rPr>
                <w:sz w:val="1"/>
                <w:szCs w:val="1"/>
                <w:color w:val="auto"/>
              </w:rPr>
            </w:pPr>
          </w:p>
        </w:tc>
      </w:tr>
      <w:tr>
        <w:trPr>
          <w:trHeight w:val="210"/>
        </w:trPr>
        <w:tc>
          <w:tcPr>
            <w:tcW w:w="8560" w:type="dxa"/>
            <w:vAlign w:val="bottom"/>
            <w:gridSpan w:val="20"/>
            <w:vMerge w:val="continue"/>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20" w:type="dxa"/>
            <w:vAlign w:val="bottom"/>
            <w:gridSpan w:val="18"/>
          </w:tcPr>
          <w:p>
            <w:pPr>
              <w:spacing w:after="0"/>
              <w:rPr>
                <w:sz w:val="20"/>
                <w:szCs w:val="20"/>
                <w:color w:val="auto"/>
              </w:rPr>
            </w:pPr>
            <w:r>
              <w:rPr>
                <w:rFonts w:ascii="Arial" w:cs="Arial" w:eastAsia="Arial" w:hAnsi="Arial"/>
                <w:sz w:val="18"/>
                <w:szCs w:val="18"/>
                <w:color w:val="auto"/>
              </w:rPr>
              <w:t>Item 1. Financial Statements</w:t>
            </w:r>
          </w:p>
        </w:tc>
        <w:tc>
          <w:tcPr>
            <w:tcW w:w="10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32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Consolidated Condensed Balance Sheets at March 27, 2010, December 26, 2009 and March 28, 2009</w:t>
              </w:r>
            </w:hyperlink>
          </w:p>
        </w:tc>
        <w:tc>
          <w:tcPr>
            <w:tcW w:w="500" w:type="dxa"/>
            <w:vAlign w:val="bottom"/>
          </w:tcPr>
          <w:p>
            <w:pPr>
              <w:spacing w:after="0"/>
              <w:rPr>
                <w:sz w:val="24"/>
                <w:szCs w:val="24"/>
                <w:color w:val="auto"/>
              </w:rPr>
            </w:pPr>
          </w:p>
        </w:tc>
        <w:tc>
          <w:tcPr>
            <w:tcW w:w="2860" w:type="dxa"/>
            <w:vAlign w:val="bottom"/>
            <w:gridSpan w:val="2"/>
          </w:tcPr>
          <w:p>
            <w:pPr>
              <w:jc w:val="right"/>
              <w:ind w:right="18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20" w:type="dxa"/>
            <w:vAlign w:val="bottom"/>
            <w:gridSpan w:val="17"/>
          </w:tcPr>
          <w:p>
            <w:pPr>
              <w:spacing w:after="0"/>
              <w:rPr>
                <w:rFonts w:ascii="Arial" w:cs="Arial" w:eastAsia="Arial" w:hAnsi="Arial"/>
                <w:sz w:val="18"/>
                <w:szCs w:val="18"/>
                <w:color w:val="0000EE"/>
                <w:w w:val="98"/>
              </w:rPr>
            </w:pPr>
            <w:hyperlink w:anchor="page5">
              <w:r>
                <w:rPr>
                  <w:rFonts w:ascii="Arial" w:cs="Arial" w:eastAsia="Arial" w:hAnsi="Arial"/>
                  <w:sz w:val="18"/>
                  <w:szCs w:val="18"/>
                  <w:color w:val="0000EE"/>
                  <w:w w:val="98"/>
                </w:rPr>
                <w:t>Consolidated Condensed Statements of Earnings for the Three Months Ended March 27, 2010 and</w:t>
              </w:r>
            </w:hyperlink>
          </w:p>
        </w:tc>
        <w:tc>
          <w:tcPr>
            <w:tcW w:w="10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688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March 28, 2009</w:t>
              </w:r>
            </w:hyperlink>
          </w:p>
        </w:tc>
        <w:tc>
          <w:tcPr>
            <w:tcW w:w="740" w:type="dxa"/>
            <w:vAlign w:val="bottom"/>
            <w:gridSpan w:val="3"/>
          </w:tcPr>
          <w:p>
            <w:pPr>
              <w:spacing w:after="0"/>
              <w:rPr>
                <w:sz w:val="17"/>
                <w:szCs w:val="17"/>
                <w:color w:val="auto"/>
              </w:rPr>
            </w:pPr>
          </w:p>
        </w:tc>
        <w:tc>
          <w:tcPr>
            <w:tcW w:w="2860" w:type="dxa"/>
            <w:vAlign w:val="bottom"/>
            <w:gridSpan w:val="2"/>
          </w:tcPr>
          <w:p>
            <w:pPr>
              <w:jc w:val="right"/>
              <w:ind w:right="184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20" w:type="dxa"/>
            <w:vAlign w:val="bottom"/>
            <w:gridSpan w:val="17"/>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Condensed Statements of Equity for the Three Months Ended March 27, 2010 and</w:t>
              </w:r>
            </w:hyperlink>
          </w:p>
        </w:tc>
        <w:tc>
          <w:tcPr>
            <w:tcW w:w="10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672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March 28, 2009</w:t>
              </w:r>
            </w:hyperlink>
          </w:p>
        </w:tc>
        <w:tc>
          <w:tcPr>
            <w:tcW w:w="900" w:type="dxa"/>
            <w:vAlign w:val="bottom"/>
            <w:gridSpan w:val="4"/>
          </w:tcPr>
          <w:p>
            <w:pPr>
              <w:spacing w:after="0"/>
              <w:rPr>
                <w:sz w:val="17"/>
                <w:szCs w:val="17"/>
                <w:color w:val="auto"/>
              </w:rPr>
            </w:pPr>
          </w:p>
        </w:tc>
        <w:tc>
          <w:tcPr>
            <w:tcW w:w="2860" w:type="dxa"/>
            <w:vAlign w:val="bottom"/>
            <w:gridSpan w:val="2"/>
          </w:tcPr>
          <w:p>
            <w:pPr>
              <w:jc w:val="right"/>
              <w:ind w:right="184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30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Consolidated Condensed Statements of Cash Flows for the Three Months Ended March 27, 2010 and</w:t>
              </w:r>
            </w:hyperlink>
          </w:p>
        </w:tc>
        <w:tc>
          <w:tcPr>
            <w:tcW w:w="520" w:type="dxa"/>
            <w:vAlign w:val="bottom"/>
            <w:gridSpan w:val="2"/>
          </w:tcPr>
          <w:p>
            <w:pPr>
              <w:spacing w:after="0"/>
              <w:rPr>
                <w:sz w:val="24"/>
                <w:szCs w:val="24"/>
                <w:color w:val="auto"/>
              </w:rPr>
            </w:pPr>
          </w:p>
        </w:tc>
        <w:tc>
          <w:tcPr>
            <w:tcW w:w="10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20" w:type="dxa"/>
            <w:vAlign w:val="bottom"/>
            <w:gridSpan w:val="16"/>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March 28, 2009</w:t>
              </w:r>
            </w:hyperlink>
          </w:p>
        </w:tc>
        <w:tc>
          <w:tcPr>
            <w:tcW w:w="2860" w:type="dxa"/>
            <w:vAlign w:val="bottom"/>
            <w:gridSpan w:val="2"/>
          </w:tcPr>
          <w:p>
            <w:pPr>
              <w:jc w:val="right"/>
              <w:ind w:right="184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0" w:type="dxa"/>
            <w:vAlign w:val="bottom"/>
            <w:tcBorders>
              <w:bottom w:val="single" w:sz="8" w:color="0000EE"/>
            </w:tcBorders>
            <w:gridSpan w:val="9"/>
          </w:tcPr>
          <w:p>
            <w:pPr>
              <w:spacing w:after="0"/>
              <w:rPr>
                <w:rFonts w:ascii="Arial" w:cs="Arial" w:eastAsia="Arial" w:hAnsi="Arial"/>
                <w:sz w:val="18"/>
                <w:szCs w:val="18"/>
                <w:color w:val="0000EE"/>
                <w:w w:val="88"/>
              </w:rPr>
            </w:pPr>
            <w:hyperlink w:anchor="page8">
              <w:r>
                <w:rPr>
                  <w:rFonts w:ascii="Arial" w:cs="Arial" w:eastAsia="Arial" w:hAnsi="Arial"/>
                  <w:sz w:val="18"/>
                  <w:szCs w:val="18"/>
                  <w:color w:val="0000EE"/>
                  <w:w w:val="88"/>
                </w:rPr>
                <w:t>Notes to Consolidated Condensed Financial Statements</w:t>
              </w:r>
            </w:hyperlink>
          </w:p>
        </w:tc>
        <w:tc>
          <w:tcPr>
            <w:tcW w:w="3820" w:type="dxa"/>
            <w:vAlign w:val="bottom"/>
            <w:gridSpan w:val="8"/>
          </w:tcPr>
          <w:p>
            <w:pPr>
              <w:spacing w:after="0"/>
              <w:rPr>
                <w:sz w:val="24"/>
                <w:szCs w:val="24"/>
                <w:color w:val="auto"/>
              </w:rPr>
            </w:pPr>
          </w:p>
        </w:tc>
        <w:tc>
          <w:tcPr>
            <w:tcW w:w="2860" w:type="dxa"/>
            <w:vAlign w:val="bottom"/>
            <w:gridSpan w:val="2"/>
          </w:tcPr>
          <w:p>
            <w:pPr>
              <w:jc w:val="right"/>
              <w:ind w:right="1840"/>
              <w:spacing w:after="0"/>
              <w:rPr>
                <w:sz w:val="20"/>
                <w:szCs w:val="20"/>
                <w:color w:val="auto"/>
              </w:rPr>
            </w:pPr>
            <w:r>
              <w:rPr>
                <w:rFonts w:ascii="Arial" w:cs="Arial" w:eastAsia="Arial" w:hAnsi="Arial"/>
                <w:sz w:val="18"/>
                <w:szCs w:val="18"/>
                <w:color w:val="auto"/>
              </w:rPr>
              <w:t>7-14</w:t>
            </w:r>
          </w:p>
        </w:tc>
        <w:tc>
          <w:tcPr>
            <w:tcW w:w="0" w:type="dxa"/>
            <w:vAlign w:val="bottom"/>
          </w:tcPr>
          <w:p>
            <w:pPr>
              <w:spacing w:after="0"/>
              <w:rPr>
                <w:sz w:val="1"/>
                <w:szCs w:val="1"/>
                <w:color w:val="auto"/>
              </w:rPr>
            </w:pPr>
          </w:p>
        </w:tc>
      </w:tr>
      <w:tr>
        <w:trPr>
          <w:trHeight w:val="412"/>
        </w:trPr>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20" w:type="dxa"/>
            <w:vAlign w:val="bottom"/>
            <w:gridSpan w:val="18"/>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Item 2. Management’s Discussion and Analysis of Financial Condition and Results of Operations</w:t>
              </w:r>
            </w:hyperlink>
          </w:p>
        </w:tc>
        <w:tc>
          <w:tcPr>
            <w:tcW w:w="2860" w:type="dxa"/>
            <w:vAlign w:val="bottom"/>
            <w:gridSpan w:val="2"/>
          </w:tcPr>
          <w:p>
            <w:pPr>
              <w:jc w:val="right"/>
              <w:ind w:right="1840"/>
              <w:spacing w:after="0"/>
              <w:rPr>
                <w:sz w:val="20"/>
                <w:szCs w:val="20"/>
                <w:color w:val="auto"/>
              </w:rPr>
            </w:pPr>
            <w:r>
              <w:rPr>
                <w:rFonts w:ascii="Arial" w:cs="Arial" w:eastAsia="Arial" w:hAnsi="Arial"/>
                <w:sz w:val="18"/>
                <w:szCs w:val="18"/>
                <w:color w:val="auto"/>
              </w:rPr>
              <w:t>15-25</w:t>
            </w:r>
          </w:p>
        </w:tc>
        <w:tc>
          <w:tcPr>
            <w:tcW w:w="0" w:type="dxa"/>
            <w:vAlign w:val="bottom"/>
          </w:tcPr>
          <w:p>
            <w:pPr>
              <w:spacing w:after="0"/>
              <w:rPr>
                <w:sz w:val="1"/>
                <w:szCs w:val="1"/>
                <w:color w:val="auto"/>
              </w:rPr>
            </w:pPr>
          </w:p>
        </w:tc>
      </w:tr>
      <w:tr>
        <w:trPr>
          <w:trHeight w:val="412"/>
        </w:trPr>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92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92"/>
              </w:rPr>
            </w:pPr>
            <w:hyperlink w:anchor="page27">
              <w:r>
                <w:rPr>
                  <w:rFonts w:ascii="Arial" w:cs="Arial" w:eastAsia="Arial" w:hAnsi="Arial"/>
                  <w:sz w:val="18"/>
                  <w:szCs w:val="18"/>
                  <w:color w:val="0000EE"/>
                  <w:w w:val="92"/>
                </w:rPr>
                <w:t>Item 3. Quantitative and Qualitative Disclosures About Market Risk</w:t>
              </w:r>
            </w:hyperlink>
          </w:p>
        </w:tc>
        <w:tc>
          <w:tcPr>
            <w:tcW w:w="2080" w:type="dxa"/>
            <w:vAlign w:val="bottom"/>
            <w:tcBorders>
              <w:top w:val="single" w:sz="8" w:color="0000EE"/>
            </w:tcBorders>
          </w:tcPr>
          <w:p>
            <w:pPr>
              <w:spacing w:after="0"/>
              <w:rPr>
                <w:sz w:val="24"/>
                <w:szCs w:val="24"/>
                <w:color w:val="auto"/>
              </w:rPr>
            </w:pPr>
          </w:p>
        </w:tc>
        <w:tc>
          <w:tcPr>
            <w:tcW w:w="1020" w:type="dxa"/>
            <w:vAlign w:val="bottom"/>
            <w:gridSpan w:val="5"/>
          </w:tcPr>
          <w:p>
            <w:pPr>
              <w:spacing w:after="0"/>
              <w:rPr>
                <w:sz w:val="24"/>
                <w:szCs w:val="24"/>
                <w:color w:val="auto"/>
              </w:rPr>
            </w:pPr>
          </w:p>
        </w:tc>
        <w:tc>
          <w:tcPr>
            <w:tcW w:w="2860" w:type="dxa"/>
            <w:vAlign w:val="bottom"/>
            <w:gridSpan w:val="2"/>
          </w:tcPr>
          <w:p>
            <w:pPr>
              <w:jc w:val="right"/>
              <w:ind w:right="18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412"/>
        </w:trPr>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20" w:type="dxa"/>
            <w:vAlign w:val="bottom"/>
            <w:gridSpan w:val="18"/>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Item 4. Controls and Procedures</w:t>
              </w:r>
            </w:hyperlink>
          </w:p>
        </w:tc>
        <w:tc>
          <w:tcPr>
            <w:tcW w:w="2860" w:type="dxa"/>
            <w:vAlign w:val="bottom"/>
            <w:gridSpan w:val="2"/>
          </w:tcPr>
          <w:p>
            <w:pPr>
              <w:jc w:val="right"/>
              <w:ind w:right="18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3120" w:type="dxa"/>
            <w:vAlign w:val="bottom"/>
            <w:gridSpan w:val="7"/>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560" w:type="dxa"/>
            <w:vAlign w:val="bottom"/>
            <w:gridSpan w:val="20"/>
          </w:tcPr>
          <w:p>
            <w:pPr>
              <w:ind w:left="340"/>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PART II. OTHER INFORMATION</w:t>
              </w:r>
            </w:hyperlink>
          </w:p>
        </w:tc>
        <w:tc>
          <w:tcPr>
            <w:tcW w:w="10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3120" w:type="dxa"/>
            <w:vAlign w:val="bottom"/>
            <w:gridSpan w:val="7"/>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20" w:type="dxa"/>
            <w:vAlign w:val="bottom"/>
            <w:gridSpan w:val="18"/>
          </w:tcPr>
          <w:p>
            <w:pPr>
              <w:spacing w:after="0"/>
              <w:rPr>
                <w:sz w:val="20"/>
                <w:szCs w:val="20"/>
                <w:color w:val="auto"/>
              </w:rPr>
            </w:pPr>
            <w:r>
              <w:rPr>
                <w:rFonts w:ascii="Arial" w:cs="Arial" w:eastAsia="Arial" w:hAnsi="Arial"/>
                <w:sz w:val="18"/>
                <w:szCs w:val="18"/>
                <w:color w:val="auto"/>
              </w:rPr>
              <w:t>Item 1. Legal Proceedings — NONE</w:t>
            </w:r>
          </w:p>
        </w:tc>
        <w:tc>
          <w:tcPr>
            <w:tcW w:w="10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20" w:type="dxa"/>
            <w:vAlign w:val="bottom"/>
            <w:gridSpan w:val="18"/>
          </w:tcPr>
          <w:p>
            <w:pPr>
              <w:spacing w:after="0"/>
              <w:rPr>
                <w:sz w:val="20"/>
                <w:szCs w:val="20"/>
                <w:color w:val="auto"/>
              </w:rPr>
            </w:pPr>
            <w:r>
              <w:rPr>
                <w:rFonts w:ascii="Arial" w:cs="Arial" w:eastAsia="Arial" w:hAnsi="Arial"/>
                <w:sz w:val="18"/>
                <w:szCs w:val="18"/>
                <w:color w:val="auto"/>
              </w:rPr>
              <w:t>Item 1A. Risk Factors — NONE</w:t>
            </w:r>
          </w:p>
        </w:tc>
        <w:tc>
          <w:tcPr>
            <w:tcW w:w="10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90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28">
              <w:r>
                <w:rPr>
                  <w:rFonts w:ascii="Arial" w:cs="Arial" w:eastAsia="Arial" w:hAnsi="Arial"/>
                  <w:sz w:val="18"/>
                  <w:szCs w:val="18"/>
                  <w:color w:val="0000EE"/>
                  <w:w w:val="89"/>
                </w:rPr>
                <w:t>Item 2. Unregistered Sales of Equity Securities and Use of Proceeds</w:t>
              </w:r>
            </w:hyperlink>
          </w:p>
        </w:tc>
        <w:tc>
          <w:tcPr>
            <w:tcW w:w="3120" w:type="dxa"/>
            <w:vAlign w:val="bottom"/>
            <w:gridSpan w:val="7"/>
          </w:tcPr>
          <w:p>
            <w:pPr>
              <w:spacing w:after="0"/>
              <w:rPr>
                <w:sz w:val="24"/>
                <w:szCs w:val="24"/>
                <w:color w:val="auto"/>
              </w:rPr>
            </w:pPr>
          </w:p>
        </w:tc>
        <w:tc>
          <w:tcPr>
            <w:tcW w:w="2860" w:type="dxa"/>
            <w:vAlign w:val="bottom"/>
            <w:gridSpan w:val="2"/>
          </w:tcPr>
          <w:p>
            <w:pPr>
              <w:jc w:val="right"/>
              <w:ind w:right="18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453"/>
        </w:trPr>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20" w:type="dxa"/>
            <w:vAlign w:val="bottom"/>
            <w:gridSpan w:val="18"/>
          </w:tcPr>
          <w:p>
            <w:pPr>
              <w:spacing w:after="0"/>
              <w:rPr>
                <w:sz w:val="20"/>
                <w:szCs w:val="20"/>
                <w:color w:val="auto"/>
              </w:rPr>
            </w:pPr>
            <w:r>
              <w:rPr>
                <w:rFonts w:ascii="Arial" w:cs="Arial" w:eastAsia="Arial" w:hAnsi="Arial"/>
                <w:sz w:val="18"/>
                <w:szCs w:val="18"/>
                <w:color w:val="auto"/>
              </w:rPr>
              <w:t>Item 3. Defaults Upon Senior Securities — NONE</w:t>
            </w:r>
          </w:p>
        </w:tc>
        <w:tc>
          <w:tcPr>
            <w:tcW w:w="10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20" w:type="dxa"/>
            <w:vAlign w:val="bottom"/>
            <w:gridSpan w:val="18"/>
          </w:tcPr>
          <w:p>
            <w:pPr>
              <w:spacing w:after="0"/>
              <w:rPr>
                <w:sz w:val="20"/>
                <w:szCs w:val="20"/>
                <w:color w:val="auto"/>
              </w:rPr>
            </w:pPr>
            <w:r>
              <w:rPr>
                <w:rFonts w:ascii="Arial" w:cs="Arial" w:eastAsia="Arial" w:hAnsi="Arial"/>
                <w:sz w:val="18"/>
                <w:szCs w:val="18"/>
                <w:color w:val="auto"/>
              </w:rPr>
              <w:t>Item 4. (Removed and Reserved)</w:t>
            </w:r>
          </w:p>
        </w:tc>
        <w:tc>
          <w:tcPr>
            <w:tcW w:w="10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20" w:type="dxa"/>
            <w:vAlign w:val="bottom"/>
            <w:gridSpan w:val="18"/>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Item 5. Other Information</w:t>
              </w:r>
            </w:hyperlink>
          </w:p>
        </w:tc>
        <w:tc>
          <w:tcPr>
            <w:tcW w:w="2860" w:type="dxa"/>
            <w:vAlign w:val="bottom"/>
            <w:gridSpan w:val="2"/>
          </w:tcPr>
          <w:p>
            <w:pPr>
              <w:jc w:val="right"/>
              <w:ind w:right="18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412"/>
        </w:trPr>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2"/>
              </w:rPr>
            </w:pPr>
            <w:hyperlink w:anchor="page29">
              <w:r>
                <w:rPr>
                  <w:rFonts w:ascii="Arial" w:cs="Arial" w:eastAsia="Arial" w:hAnsi="Arial"/>
                  <w:sz w:val="18"/>
                  <w:szCs w:val="18"/>
                  <w:color w:val="0000EE"/>
                  <w:w w:val="92"/>
                </w:rPr>
                <w:t>Item 6. Exhibits</w:t>
              </w:r>
            </w:hyperlink>
          </w:p>
        </w:tc>
        <w:tc>
          <w:tcPr>
            <w:tcW w:w="700" w:type="dxa"/>
            <w:vAlign w:val="bottom"/>
            <w:tcBorders>
              <w:top w:val="single" w:sz="8" w:color="0000EE"/>
            </w:tcBorders>
            <w:gridSpan w:val="2"/>
          </w:tcPr>
          <w:p>
            <w:pPr>
              <w:spacing w:after="0"/>
              <w:rPr>
                <w:sz w:val="24"/>
                <w:szCs w:val="24"/>
                <w:color w:val="auto"/>
              </w:rPr>
            </w:pPr>
          </w:p>
        </w:tc>
        <w:tc>
          <w:tcPr>
            <w:tcW w:w="6160" w:type="dxa"/>
            <w:vAlign w:val="bottom"/>
            <w:gridSpan w:val="11"/>
          </w:tcPr>
          <w:p>
            <w:pPr>
              <w:spacing w:after="0"/>
              <w:rPr>
                <w:sz w:val="24"/>
                <w:szCs w:val="24"/>
                <w:color w:val="auto"/>
              </w:rPr>
            </w:pPr>
          </w:p>
        </w:tc>
        <w:tc>
          <w:tcPr>
            <w:tcW w:w="2860" w:type="dxa"/>
            <w:vAlign w:val="bottom"/>
            <w:gridSpan w:val="2"/>
          </w:tcPr>
          <w:p>
            <w:pPr>
              <w:jc w:val="right"/>
              <w:ind w:right="18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412"/>
        </w:trPr>
        <w:tc>
          <w:tcPr>
            <w:tcW w:w="380" w:type="dxa"/>
            <w:vAlign w:val="bottom"/>
          </w:tcPr>
          <w:p>
            <w:pPr>
              <w:spacing w:after="0"/>
              <w:rPr>
                <w:sz w:val="24"/>
                <w:szCs w:val="24"/>
                <w:color w:val="auto"/>
              </w:rPr>
            </w:pPr>
          </w:p>
        </w:tc>
        <w:tc>
          <w:tcPr>
            <w:tcW w:w="8180" w:type="dxa"/>
            <w:vAlign w:val="bottom"/>
            <w:gridSpan w:val="19"/>
          </w:tcPr>
          <w:p>
            <w:pPr>
              <w:spacing w:after="0"/>
              <w:rPr>
                <w:sz w:val="20"/>
                <w:szCs w:val="20"/>
                <w:color w:val="auto"/>
              </w:rPr>
            </w:pPr>
            <w:r>
              <w:rPr>
                <w:rFonts w:ascii="Arial" w:cs="Arial" w:eastAsia="Arial" w:hAnsi="Arial"/>
                <w:sz w:val="18"/>
                <w:szCs w:val="18"/>
                <w:color w:val="0000EE"/>
              </w:rPr>
              <w:t>Exhibit 31(a)</w:t>
            </w:r>
          </w:p>
        </w:tc>
        <w:tc>
          <w:tcPr>
            <w:tcW w:w="10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92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40" w:type="dxa"/>
            <w:vAlign w:val="bottom"/>
            <w:gridSpan w:val="14"/>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940" w:type="dxa"/>
            <w:vAlign w:val="bottom"/>
            <w:tcBorders>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91"/>
              </w:rPr>
              <w:t>Exhibit 31(b)</w:t>
            </w:r>
          </w:p>
        </w:tc>
        <w:tc>
          <w:tcPr>
            <w:tcW w:w="7240" w:type="dxa"/>
            <w:vAlign w:val="bottom"/>
            <w:gridSpan w:val="14"/>
          </w:tcPr>
          <w:p>
            <w:pPr>
              <w:spacing w:after="0"/>
              <w:rPr>
                <w:sz w:val="17"/>
                <w:szCs w:val="17"/>
                <w:color w:val="auto"/>
              </w:rPr>
            </w:pPr>
          </w:p>
        </w:tc>
        <w:tc>
          <w:tcPr>
            <w:tcW w:w="10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8180" w:type="dxa"/>
            <w:vAlign w:val="bottom"/>
            <w:gridSpan w:val="19"/>
          </w:tcPr>
          <w:p>
            <w:pPr>
              <w:spacing w:after="0" w:line="196" w:lineRule="exact"/>
              <w:rPr>
                <w:sz w:val="20"/>
                <w:szCs w:val="20"/>
                <w:color w:val="auto"/>
              </w:rPr>
            </w:pPr>
            <w:r>
              <w:rPr>
                <w:rFonts w:ascii="Arial" w:cs="Arial" w:eastAsia="Arial" w:hAnsi="Arial"/>
                <w:sz w:val="18"/>
                <w:szCs w:val="18"/>
                <w:color w:val="0000EE"/>
              </w:rPr>
              <w:t>Exhibit 32(a)</w:t>
            </w:r>
          </w:p>
        </w:tc>
        <w:tc>
          <w:tcPr>
            <w:tcW w:w="10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920" w:type="dxa"/>
            <w:vAlign w:val="bottom"/>
            <w:gridSpan w:val="4"/>
            <w:shd w:val="clear" w:color="auto" w:fill="0000EE"/>
          </w:tcPr>
          <w:p>
            <w:pPr>
              <w:spacing w:after="0" w:line="20" w:lineRule="exact"/>
              <w:rPr>
                <w:sz w:val="1"/>
                <w:szCs w:val="1"/>
                <w:color w:val="auto"/>
              </w:rPr>
            </w:pPr>
          </w:p>
        </w:tc>
        <w:tc>
          <w:tcPr>
            <w:tcW w:w="7260" w:type="dxa"/>
            <w:vAlign w:val="bottom"/>
            <w:gridSpan w:val="15"/>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8180" w:type="dxa"/>
            <w:vAlign w:val="bottom"/>
            <w:gridSpan w:val="19"/>
          </w:tcPr>
          <w:p>
            <w:pPr>
              <w:spacing w:after="0" w:line="196" w:lineRule="exact"/>
              <w:rPr>
                <w:sz w:val="20"/>
                <w:szCs w:val="20"/>
                <w:color w:val="auto"/>
              </w:rPr>
            </w:pPr>
            <w:r>
              <w:rPr>
                <w:rFonts w:ascii="Arial" w:cs="Arial" w:eastAsia="Arial" w:hAnsi="Arial"/>
                <w:sz w:val="18"/>
                <w:szCs w:val="18"/>
                <w:color w:val="0000EE"/>
              </w:rPr>
              <w:t>Exhibit 32(b)</w:t>
            </w:r>
          </w:p>
        </w:tc>
        <w:tc>
          <w:tcPr>
            <w:tcW w:w="10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30"/>
        </w:trPr>
        <w:tc>
          <w:tcPr>
            <w:tcW w:w="380" w:type="dxa"/>
            <w:vAlign w:val="bottom"/>
            <w:tcBorders>
              <w:bottom w:val="single" w:sz="8" w:color="808080"/>
            </w:tcBorders>
          </w:tcPr>
          <w:p>
            <w:pPr>
              <w:spacing w:after="0"/>
              <w:rPr>
                <w:sz w:val="24"/>
                <w:szCs w:val="24"/>
                <w:color w:val="auto"/>
              </w:rPr>
            </w:pPr>
          </w:p>
        </w:tc>
        <w:tc>
          <w:tcPr>
            <w:tcW w:w="160" w:type="dxa"/>
            <w:vAlign w:val="bottom"/>
            <w:tcBorders>
              <w:top w:val="single" w:sz="8" w:color="0000EE"/>
              <w:bottom w:val="single" w:sz="8" w:color="808080"/>
            </w:tcBorders>
          </w:tcPr>
          <w:p>
            <w:pPr>
              <w:spacing w:after="0"/>
              <w:rPr>
                <w:sz w:val="24"/>
                <w:szCs w:val="24"/>
                <w:color w:val="auto"/>
              </w:rPr>
            </w:pPr>
          </w:p>
        </w:tc>
        <w:tc>
          <w:tcPr>
            <w:tcW w:w="200" w:type="dxa"/>
            <w:vAlign w:val="bottom"/>
            <w:tcBorders>
              <w:top w:val="single" w:sz="8" w:color="0000EE"/>
              <w:bottom w:val="single" w:sz="8" w:color="808080"/>
            </w:tcBorders>
          </w:tcPr>
          <w:p>
            <w:pPr>
              <w:spacing w:after="0"/>
              <w:rPr>
                <w:sz w:val="24"/>
                <w:szCs w:val="24"/>
                <w:color w:val="auto"/>
              </w:rPr>
            </w:pPr>
          </w:p>
        </w:tc>
        <w:tc>
          <w:tcPr>
            <w:tcW w:w="200" w:type="dxa"/>
            <w:vAlign w:val="bottom"/>
            <w:tcBorders>
              <w:top w:val="single" w:sz="8" w:color="0000EE"/>
              <w:bottom w:val="single" w:sz="8" w:color="808080"/>
            </w:tcBorders>
          </w:tcPr>
          <w:p>
            <w:pPr>
              <w:spacing w:after="0"/>
              <w:rPr>
                <w:sz w:val="24"/>
                <w:szCs w:val="24"/>
                <w:color w:val="auto"/>
              </w:rPr>
            </w:pPr>
          </w:p>
        </w:tc>
        <w:tc>
          <w:tcPr>
            <w:tcW w:w="360" w:type="dxa"/>
            <w:vAlign w:val="bottom"/>
            <w:tcBorders>
              <w:top w:val="single" w:sz="8" w:color="0000EE"/>
              <w:bottom w:val="single" w:sz="8" w:color="808080"/>
            </w:tcBorders>
          </w:tcPr>
          <w:p>
            <w:pPr>
              <w:spacing w:after="0"/>
              <w:rPr>
                <w:sz w:val="24"/>
                <w:szCs w:val="24"/>
                <w:color w:val="auto"/>
              </w:rPr>
            </w:pPr>
          </w:p>
        </w:tc>
        <w:tc>
          <w:tcPr>
            <w:tcW w:w="20" w:type="dxa"/>
            <w:vAlign w:val="bottom"/>
            <w:tcBorders>
              <w:top w:val="single" w:sz="8" w:color="0000EE"/>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64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08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18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CONSOLIDATED CONDENSED BALANCE SHEETS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(Unaudited)</w:t>
      </w:r>
    </w:p>
    <w:p>
      <w:pPr>
        <w:spacing w:after="0" w:line="184"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(in thousands, except share data)</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8"/>
        </w:trPr>
        <w:tc>
          <w:tcPr>
            <w:tcW w:w="5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3"/>
          </w:tcPr>
          <w:p>
            <w:pPr>
              <w:jc w:val="right"/>
              <w:ind w:right="440"/>
              <w:spacing w:after="0"/>
              <w:rPr>
                <w:sz w:val="20"/>
                <w:szCs w:val="20"/>
                <w:color w:val="auto"/>
              </w:rPr>
            </w:pPr>
            <w:r>
              <w:rPr>
                <w:rFonts w:ascii="Arial" w:cs="Arial" w:eastAsia="Arial" w:hAnsi="Arial"/>
                <w:sz w:val="18"/>
                <w:szCs w:val="18"/>
                <w:color w:val="auto"/>
                <w:w w:val="89"/>
              </w:rPr>
              <w:t>March 27,</w:t>
            </w:r>
          </w:p>
        </w:tc>
        <w:tc>
          <w:tcPr>
            <w:tcW w:w="1360" w:type="dxa"/>
            <w:vAlign w:val="bottom"/>
            <w:gridSpan w:val="3"/>
          </w:tcPr>
          <w:p>
            <w:pPr>
              <w:spacing w:after="0"/>
              <w:rPr>
                <w:sz w:val="20"/>
                <w:szCs w:val="20"/>
                <w:color w:val="auto"/>
              </w:rPr>
            </w:pPr>
            <w:r>
              <w:rPr>
                <w:rFonts w:ascii="Arial" w:cs="Arial" w:eastAsia="Arial" w:hAnsi="Arial"/>
                <w:sz w:val="18"/>
                <w:szCs w:val="18"/>
                <w:color w:val="auto"/>
              </w:rPr>
              <w:t>December 26,</w:t>
            </w:r>
          </w:p>
        </w:tc>
        <w:tc>
          <w:tcPr>
            <w:tcW w:w="80" w:type="dxa"/>
            <w:vAlign w:val="bottom"/>
          </w:tcPr>
          <w:p>
            <w:pPr>
              <w:spacing w:after="0"/>
              <w:rPr>
                <w:sz w:val="24"/>
                <w:szCs w:val="24"/>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March 28,</w:t>
            </w:r>
          </w:p>
        </w:tc>
      </w:tr>
      <w:tr>
        <w:trPr>
          <w:trHeight w:val="230"/>
        </w:trPr>
        <w:tc>
          <w:tcPr>
            <w:tcW w:w="56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2010</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2009</w:t>
            </w:r>
          </w:p>
        </w:tc>
        <w:tc>
          <w:tcPr>
            <w:tcW w:w="3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2009</w:t>
            </w:r>
          </w:p>
        </w:tc>
        <w:tc>
          <w:tcPr>
            <w:tcW w:w="80" w:type="dxa"/>
            <w:vAlign w:val="bottom"/>
          </w:tcPr>
          <w:p>
            <w:pPr>
              <w:spacing w:after="0"/>
              <w:rPr>
                <w:sz w:val="20"/>
                <w:szCs w:val="20"/>
                <w:color w:val="auto"/>
              </w:rPr>
            </w:pPr>
          </w:p>
        </w:tc>
      </w:tr>
      <w:tr>
        <w:trPr>
          <w:trHeight w:val="210"/>
        </w:trPr>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14,346</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82,219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9,427</w:t>
            </w:r>
          </w:p>
        </w:tc>
      </w:tr>
      <w:tr>
        <w:trPr>
          <w:trHeight w:val="216"/>
        </w:trPr>
        <w:tc>
          <w:tcPr>
            <w:tcW w:w="5680" w:type="dxa"/>
            <w:vAlign w:val="bottom"/>
          </w:tcPr>
          <w:p>
            <w:pPr>
              <w:ind w:left="20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187,625</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107,383</w:t>
            </w:r>
          </w:p>
        </w:tc>
        <w:tc>
          <w:tcPr>
            <w:tcW w:w="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180,021</w:t>
            </w:r>
          </w:p>
        </w:tc>
      </w:tr>
      <w:tr>
        <w:trPr>
          <w:trHeight w:val="216"/>
        </w:trPr>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680" w:type="dxa"/>
            <w:vAlign w:val="bottom"/>
          </w:tcPr>
          <w:p>
            <w:pPr>
              <w:ind w:left="400"/>
              <w:spacing w:after="0"/>
              <w:rPr>
                <w:sz w:val="20"/>
                <w:szCs w:val="20"/>
                <w:color w:val="auto"/>
              </w:rPr>
            </w:pPr>
            <w:r>
              <w:rPr>
                <w:rFonts w:ascii="Arial" w:cs="Arial" w:eastAsia="Arial" w:hAnsi="Arial"/>
                <w:sz w:val="18"/>
                <w:szCs w:val="18"/>
                <w:color w:val="auto"/>
              </w:rPr>
              <w:t>Raw materials</w:t>
            </w:r>
          </w:p>
        </w:tc>
        <w:tc>
          <w:tcPr>
            <w:tcW w:w="100" w:type="dxa"/>
            <w:vAlign w:val="bottom"/>
          </w:tcPr>
          <w:p>
            <w:pPr>
              <w:spacing w:after="0"/>
              <w:rPr>
                <w:sz w:val="18"/>
                <w:szCs w:val="18"/>
                <w:color w:val="auto"/>
              </w:rPr>
            </w:pPr>
          </w:p>
        </w:tc>
        <w:tc>
          <w:tcPr>
            <w:tcW w:w="1180" w:type="dxa"/>
            <w:vAlign w:val="bottom"/>
            <w:gridSpan w:val="3"/>
          </w:tcPr>
          <w:p>
            <w:pPr>
              <w:jc w:val="right"/>
              <w:ind w:right="340"/>
              <w:spacing w:after="0"/>
              <w:rPr>
                <w:sz w:val="20"/>
                <w:szCs w:val="20"/>
                <w:color w:val="auto"/>
              </w:rPr>
            </w:pPr>
            <w:r>
              <w:rPr>
                <w:rFonts w:ascii="Arial" w:cs="Arial" w:eastAsia="Arial" w:hAnsi="Arial"/>
                <w:sz w:val="18"/>
                <w:szCs w:val="18"/>
                <w:color w:val="auto"/>
              </w:rPr>
              <w:t>112,004</w:t>
            </w:r>
          </w:p>
        </w:tc>
        <w:tc>
          <w:tcPr>
            <w:tcW w:w="20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89,956</w:t>
            </w:r>
          </w:p>
        </w:tc>
        <w:tc>
          <w:tcPr>
            <w:tcW w:w="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108,982</w:t>
            </w:r>
          </w:p>
        </w:tc>
      </w:tr>
      <w:tr>
        <w:trPr>
          <w:trHeight w:val="216"/>
        </w:trPr>
        <w:tc>
          <w:tcPr>
            <w:tcW w:w="5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Finished goods</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95,782</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72,192</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81,819</w:t>
            </w:r>
          </w:p>
        </w:tc>
      </w:tr>
      <w:tr>
        <w:trPr>
          <w:trHeight w:val="223"/>
        </w:trPr>
        <w:tc>
          <w:tcPr>
            <w:tcW w:w="5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207,786</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162,148</w:t>
            </w:r>
          </w:p>
        </w:tc>
        <w:tc>
          <w:tcPr>
            <w:tcW w:w="3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190,801</w:t>
            </w:r>
          </w:p>
        </w:tc>
        <w:tc>
          <w:tcPr>
            <w:tcW w:w="80" w:type="dxa"/>
            <w:vAlign w:val="bottom"/>
          </w:tcPr>
          <w:p>
            <w:pPr>
              <w:spacing w:after="0"/>
              <w:rPr>
                <w:sz w:val="19"/>
                <w:szCs w:val="19"/>
                <w:color w:val="auto"/>
              </w:rPr>
            </w:pPr>
          </w:p>
        </w:tc>
      </w:tr>
      <w:tr>
        <w:trPr>
          <w:trHeight w:val="216"/>
        </w:trPr>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Assets held for sale</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5,490</w:t>
            </w:r>
          </w:p>
        </w:tc>
      </w:tr>
      <w:tr>
        <w:trPr>
          <w:trHeight w:val="216"/>
        </w:trPr>
        <w:tc>
          <w:tcPr>
            <w:tcW w:w="5680" w:type="dxa"/>
            <w:vAlign w:val="bottom"/>
          </w:tcPr>
          <w:p>
            <w:pPr>
              <w:ind w:left="200"/>
              <w:spacing w:after="0"/>
              <w:rPr>
                <w:sz w:val="20"/>
                <w:szCs w:val="20"/>
                <w:color w:val="auto"/>
              </w:rPr>
            </w:pPr>
            <w:r>
              <w:rPr>
                <w:rFonts w:ascii="Arial" w:cs="Arial" w:eastAsia="Arial" w:hAnsi="Arial"/>
                <w:sz w:val="18"/>
                <w:szCs w:val="18"/>
                <w:color w:val="auto"/>
              </w:rPr>
              <w:t>Refundable income taxes</w:t>
            </w:r>
          </w:p>
        </w:tc>
        <w:tc>
          <w:tcPr>
            <w:tcW w:w="100" w:type="dxa"/>
            <w:vAlign w:val="bottom"/>
          </w:tcPr>
          <w:p>
            <w:pPr>
              <w:spacing w:after="0"/>
              <w:rPr>
                <w:sz w:val="18"/>
                <w:szCs w:val="18"/>
                <w:color w:val="auto"/>
              </w:rPr>
            </w:pPr>
          </w:p>
        </w:tc>
        <w:tc>
          <w:tcPr>
            <w:tcW w:w="118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10,391</w:t>
            </w:r>
          </w:p>
        </w:tc>
        <w:tc>
          <w:tcPr>
            <w:tcW w:w="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366</w:t>
            </w:r>
          </w:p>
        </w:tc>
      </w:tr>
      <w:tr>
        <w:trPr>
          <w:trHeight w:val="216"/>
        </w:trPr>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current assets</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21,718</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21,208</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17,513</w:t>
            </w:r>
          </w:p>
        </w:tc>
      </w:tr>
      <w:tr>
        <w:trPr>
          <w:trHeight w:val="224"/>
        </w:trPr>
        <w:tc>
          <w:tcPr>
            <w:tcW w:w="5680" w:type="dxa"/>
            <w:vAlign w:val="bottom"/>
          </w:tcPr>
          <w:p>
            <w:pPr>
              <w:ind w:left="600"/>
              <w:spacing w:after="0"/>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431,475</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383,349</w:t>
            </w:r>
          </w:p>
        </w:tc>
        <w:tc>
          <w:tcPr>
            <w:tcW w:w="3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403,618</w:t>
            </w:r>
          </w:p>
        </w:tc>
        <w:tc>
          <w:tcPr>
            <w:tcW w:w="80" w:type="dxa"/>
            <w:vAlign w:val="bottom"/>
          </w:tcPr>
          <w:p>
            <w:pPr>
              <w:spacing w:after="0"/>
              <w:rPr>
                <w:sz w:val="19"/>
                <w:szCs w:val="19"/>
                <w:color w:val="auto"/>
              </w:rPr>
            </w:pPr>
          </w:p>
        </w:tc>
      </w:tr>
      <w:tr>
        <w:trPr>
          <w:trHeight w:val="215"/>
        </w:trPr>
        <w:tc>
          <w:tcPr>
            <w:tcW w:w="5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4,311</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4,478</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3,522</w:t>
            </w: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GOODWILL AND INDEFINITE-LIVED INTANGIBLE ASSETS</w:t>
            </w: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156,732</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157,058</w:t>
            </w:r>
          </w:p>
        </w:tc>
        <w:tc>
          <w:tcPr>
            <w:tcW w:w="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156,937</w:t>
            </w: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 net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15,194</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16,693</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22,723</w:t>
            </w: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Property, plant and equipment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514,687</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510,774</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503,393</w:t>
            </w:r>
          </w:p>
        </w:tc>
      </w:tr>
      <w:tr>
        <w:trPr>
          <w:trHeight w:val="216"/>
        </w:trPr>
        <w:tc>
          <w:tcPr>
            <w:tcW w:w="5680" w:type="dxa"/>
            <w:vAlign w:val="bottom"/>
          </w:tcPr>
          <w:p>
            <w:pPr>
              <w:ind w:left="200"/>
              <w:spacing w:after="0"/>
              <w:rPr>
                <w:sz w:val="20"/>
                <w:szCs w:val="20"/>
                <w:color w:val="auto"/>
              </w:rPr>
            </w:pPr>
            <w:r>
              <w:rPr>
                <w:rFonts w:ascii="Arial" w:cs="Arial" w:eastAsia="Arial" w:hAnsi="Arial"/>
                <w:sz w:val="18"/>
                <w:szCs w:val="18"/>
                <w:color w:val="auto"/>
              </w:rPr>
              <w:t>Accumulated depreciation and amortization</w:t>
            </w:r>
          </w:p>
        </w:tc>
        <w:tc>
          <w:tcPr>
            <w:tcW w:w="100" w:type="dxa"/>
            <w:vAlign w:val="bottom"/>
          </w:tcPr>
          <w:p>
            <w:pPr>
              <w:spacing w:after="0"/>
              <w:rPr>
                <w:sz w:val="18"/>
                <w:szCs w:val="18"/>
                <w:color w:val="auto"/>
              </w:rPr>
            </w:pPr>
          </w:p>
        </w:tc>
        <w:tc>
          <w:tcPr>
            <w:tcW w:w="1180" w:type="dxa"/>
            <w:vAlign w:val="bottom"/>
            <w:gridSpan w:val="3"/>
          </w:tcPr>
          <w:p>
            <w:pPr>
              <w:jc w:val="right"/>
              <w:ind w:right="280"/>
              <w:spacing w:after="0"/>
              <w:rPr>
                <w:sz w:val="20"/>
                <w:szCs w:val="20"/>
                <w:color w:val="auto"/>
              </w:rPr>
            </w:pPr>
            <w:r>
              <w:rPr>
                <w:rFonts w:ascii="Arial" w:cs="Arial" w:eastAsia="Arial" w:hAnsi="Arial"/>
                <w:sz w:val="18"/>
                <w:szCs w:val="18"/>
                <w:color w:val="auto"/>
              </w:rPr>
              <w:t>(287,418)</w:t>
            </w:r>
          </w:p>
        </w:tc>
        <w:tc>
          <w:tcPr>
            <w:tcW w:w="20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(280,675)</w:t>
            </w:r>
          </w:p>
        </w:tc>
        <w:tc>
          <w:tcPr>
            <w:tcW w:w="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(263,144)</w:t>
            </w:r>
          </w:p>
        </w:tc>
      </w:tr>
      <w:tr>
        <w:trPr>
          <w:trHeight w:val="27"/>
        </w:trPr>
        <w:tc>
          <w:tcPr>
            <w:tcW w:w="5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56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PROPERTY, PLANT AND EQUIPMENT, NET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227,269</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230,099</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240,249</w:t>
            </w:r>
          </w:p>
        </w:tc>
      </w:tr>
      <w:tr>
        <w:trPr>
          <w:trHeight w:val="223"/>
        </w:trPr>
        <w:tc>
          <w:tcPr>
            <w:tcW w:w="5680" w:type="dxa"/>
            <w:vAlign w:val="bottom"/>
          </w:tcPr>
          <w:p>
            <w:pPr>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834,981</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791,677</w:t>
            </w:r>
          </w:p>
        </w:tc>
        <w:tc>
          <w:tcPr>
            <w:tcW w:w="3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827,049</w:t>
            </w:r>
          </w:p>
        </w:tc>
        <w:tc>
          <w:tcPr>
            <w:tcW w:w="80" w:type="dxa"/>
            <w:vAlign w:val="bottom"/>
          </w:tcPr>
          <w:p>
            <w:pPr>
              <w:spacing w:after="0"/>
              <w:rPr>
                <w:sz w:val="19"/>
                <w:szCs w:val="19"/>
                <w:color w:val="auto"/>
              </w:rPr>
            </w:pPr>
          </w:p>
        </w:tc>
      </w:tr>
      <w:tr>
        <w:trPr>
          <w:trHeight w:val="20"/>
        </w:trPr>
        <w:tc>
          <w:tcPr>
            <w:tcW w:w="5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5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96,889</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64,473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74,345</w:t>
            </w:r>
          </w:p>
        </w:tc>
      </w:tr>
      <w:tr>
        <w:trPr>
          <w:trHeight w:val="216"/>
        </w:trPr>
        <w:tc>
          <w:tcPr>
            <w:tcW w:w="5680" w:type="dxa"/>
            <w:vAlign w:val="bottom"/>
          </w:tcPr>
          <w:p>
            <w:pPr>
              <w:ind w:left="200"/>
              <w:spacing w:after="0"/>
              <w:rPr>
                <w:sz w:val="20"/>
                <w:szCs w:val="20"/>
                <w:color w:val="auto"/>
              </w:rPr>
            </w:pPr>
            <w:r>
              <w:rPr>
                <w:rFonts w:ascii="Arial" w:cs="Arial" w:eastAsia="Arial" w:hAnsi="Arial"/>
                <w:sz w:val="18"/>
                <w:szCs w:val="18"/>
                <w:color w:val="auto"/>
              </w:rPr>
              <w:t>Accrued liabilities:</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Compensation and benefits</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38,181</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48,340</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41,160</w:t>
            </w:r>
          </w:p>
        </w:tc>
      </w:tr>
      <w:tr>
        <w:trPr>
          <w:trHeight w:val="216"/>
        </w:trPr>
        <w:tc>
          <w:tcPr>
            <w:tcW w:w="5680" w:type="dxa"/>
            <w:vAlign w:val="bottom"/>
          </w:tcPr>
          <w:p>
            <w:pPr>
              <w:ind w:left="400"/>
              <w:spacing w:after="0"/>
              <w:rPr>
                <w:sz w:val="20"/>
                <w:szCs w:val="20"/>
                <w:color w:val="auto"/>
              </w:rPr>
            </w:pPr>
            <w:r>
              <w:rPr>
                <w:rFonts w:ascii="Arial" w:cs="Arial" w:eastAsia="Arial" w:hAnsi="Arial"/>
                <w:sz w:val="18"/>
                <w:szCs w:val="18"/>
                <w:color w:val="auto"/>
              </w:rPr>
              <w:t>Income taxes</w:t>
            </w:r>
          </w:p>
        </w:tc>
        <w:tc>
          <w:tcPr>
            <w:tcW w:w="100" w:type="dxa"/>
            <w:vAlign w:val="bottom"/>
          </w:tcPr>
          <w:p>
            <w:pPr>
              <w:spacing w:after="0"/>
              <w:rPr>
                <w:sz w:val="18"/>
                <w:szCs w:val="18"/>
                <w:color w:val="auto"/>
              </w:rPr>
            </w:pPr>
          </w:p>
        </w:tc>
        <w:tc>
          <w:tcPr>
            <w:tcW w:w="1180" w:type="dxa"/>
            <w:vAlign w:val="bottom"/>
            <w:gridSpan w:val="3"/>
          </w:tcPr>
          <w:p>
            <w:pPr>
              <w:jc w:val="right"/>
              <w:ind w:right="340"/>
              <w:spacing w:after="0"/>
              <w:rPr>
                <w:sz w:val="20"/>
                <w:szCs w:val="20"/>
                <w:color w:val="auto"/>
              </w:rPr>
            </w:pPr>
            <w:r>
              <w:rPr>
                <w:rFonts w:ascii="Arial" w:cs="Arial" w:eastAsia="Arial" w:hAnsi="Arial"/>
                <w:sz w:val="18"/>
                <w:szCs w:val="18"/>
                <w:color w:val="auto"/>
              </w:rPr>
              <w:t>919</w:t>
            </w:r>
          </w:p>
        </w:tc>
        <w:tc>
          <w:tcPr>
            <w:tcW w:w="20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5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23,654</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21,698</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21,888</w:t>
            </w:r>
          </w:p>
        </w:tc>
      </w:tr>
      <w:tr>
        <w:trPr>
          <w:trHeight w:val="216"/>
        </w:trPr>
        <w:tc>
          <w:tcPr>
            <w:tcW w:w="5680" w:type="dxa"/>
            <w:vAlign w:val="bottom"/>
          </w:tcPr>
          <w:p>
            <w:pPr>
              <w:ind w:left="200"/>
              <w:spacing w:after="0"/>
              <w:rPr>
                <w:sz w:val="20"/>
                <w:szCs w:val="20"/>
                <w:color w:val="auto"/>
              </w:rPr>
            </w:pPr>
            <w:r>
              <w:rPr>
                <w:rFonts w:ascii="Arial" w:cs="Arial" w:eastAsia="Arial" w:hAnsi="Arial"/>
                <w:sz w:val="18"/>
                <w:szCs w:val="18"/>
                <w:color w:val="auto"/>
              </w:rPr>
              <w:t>Current portion of long-term debt and capital lease obligations</w:t>
            </w:r>
          </w:p>
        </w:tc>
        <w:tc>
          <w:tcPr>
            <w:tcW w:w="100" w:type="dxa"/>
            <w:vAlign w:val="bottom"/>
          </w:tcPr>
          <w:p>
            <w:pPr>
              <w:spacing w:after="0"/>
              <w:rPr>
                <w:sz w:val="18"/>
                <w:szCs w:val="18"/>
                <w:color w:val="auto"/>
              </w:rPr>
            </w:pPr>
          </w:p>
        </w:tc>
        <w:tc>
          <w:tcPr>
            <w:tcW w:w="1180" w:type="dxa"/>
            <w:vAlign w:val="bottom"/>
            <w:gridSpan w:val="3"/>
          </w:tcPr>
          <w:p>
            <w:pPr>
              <w:jc w:val="right"/>
              <w:ind w:right="340"/>
              <w:spacing w:after="0"/>
              <w:rPr>
                <w:sz w:val="20"/>
                <w:szCs w:val="20"/>
                <w:color w:val="auto"/>
              </w:rPr>
            </w:pPr>
            <w:r>
              <w:rPr>
                <w:rFonts w:ascii="Arial" w:cs="Arial" w:eastAsia="Arial" w:hAnsi="Arial"/>
                <w:sz w:val="18"/>
                <w:szCs w:val="18"/>
                <w:color w:val="auto"/>
              </w:rPr>
              <w:t>683</w:t>
            </w:r>
          </w:p>
        </w:tc>
        <w:tc>
          <w:tcPr>
            <w:tcW w:w="20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673</w:t>
            </w:r>
          </w:p>
        </w:tc>
        <w:tc>
          <w:tcPr>
            <w:tcW w:w="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16,223</w:t>
            </w:r>
          </w:p>
        </w:tc>
      </w:tr>
      <w:tr>
        <w:trPr>
          <w:trHeight w:val="27"/>
        </w:trPr>
        <w:tc>
          <w:tcPr>
            <w:tcW w:w="5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56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160,326</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135,184</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153,616</w:t>
            </w:r>
          </w:p>
        </w:tc>
      </w:tr>
      <w:tr>
        <w:trPr>
          <w:trHeight w:val="418"/>
        </w:trPr>
        <w:tc>
          <w:tcPr>
            <w:tcW w:w="5680" w:type="dxa"/>
            <w:vAlign w:val="bottom"/>
          </w:tcPr>
          <w:p>
            <w:pPr>
              <w:spacing w:after="0"/>
              <w:rPr>
                <w:sz w:val="20"/>
                <w:szCs w:val="20"/>
                <w:color w:val="auto"/>
              </w:rPr>
            </w:pPr>
            <w:r>
              <w:rPr>
                <w:rFonts w:ascii="Arial" w:cs="Arial" w:eastAsia="Arial" w:hAnsi="Arial"/>
                <w:sz w:val="18"/>
                <w:szCs w:val="18"/>
                <w:color w:val="auto"/>
              </w:rPr>
              <w:t>LONG-TERM DEBT AND CAPITAL LEASE OBLIGATIONS, less</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0"/>
        </w:trPr>
        <w:tc>
          <w:tcPr>
            <w:tcW w:w="5680" w:type="dxa"/>
            <w:vAlign w:val="bottom"/>
          </w:tcPr>
          <w:p>
            <w:pPr>
              <w:ind w:left="200"/>
              <w:spacing w:after="0"/>
              <w:rPr>
                <w:sz w:val="20"/>
                <w:szCs w:val="20"/>
                <w:color w:val="auto"/>
              </w:rPr>
            </w:pPr>
            <w:r>
              <w:rPr>
                <w:rFonts w:ascii="Arial" w:cs="Arial" w:eastAsia="Arial" w:hAnsi="Arial"/>
                <w:sz w:val="18"/>
                <w:szCs w:val="18"/>
                <w:color w:val="auto"/>
              </w:rPr>
              <w:t>current portion</w:t>
            </w:r>
          </w:p>
        </w:tc>
        <w:tc>
          <w:tcPr>
            <w:tcW w:w="100" w:type="dxa"/>
            <w:vAlign w:val="bottom"/>
          </w:tcPr>
          <w:p>
            <w:pPr>
              <w:spacing w:after="0"/>
              <w:rPr>
                <w:sz w:val="20"/>
                <w:szCs w:val="20"/>
                <w:color w:val="auto"/>
              </w:rPr>
            </w:pPr>
          </w:p>
        </w:tc>
        <w:tc>
          <w:tcPr>
            <w:tcW w:w="1180" w:type="dxa"/>
            <w:vAlign w:val="bottom"/>
            <w:gridSpan w:val="3"/>
          </w:tcPr>
          <w:p>
            <w:pPr>
              <w:jc w:val="right"/>
              <w:ind w:right="340"/>
              <w:spacing w:after="0"/>
              <w:rPr>
                <w:sz w:val="20"/>
                <w:szCs w:val="20"/>
                <w:color w:val="auto"/>
              </w:rPr>
            </w:pPr>
            <w:r>
              <w:rPr>
                <w:rFonts w:ascii="Arial" w:cs="Arial" w:eastAsia="Arial" w:hAnsi="Arial"/>
                <w:sz w:val="18"/>
                <w:szCs w:val="18"/>
                <w:color w:val="auto"/>
              </w:rPr>
              <w:t>68,881</w:t>
            </w:r>
          </w:p>
        </w:tc>
        <w:tc>
          <w:tcPr>
            <w:tcW w:w="200" w:type="dxa"/>
            <w:vAlign w:val="bottom"/>
          </w:tcPr>
          <w:p>
            <w:pPr>
              <w:spacing w:after="0"/>
              <w:rPr>
                <w:sz w:val="20"/>
                <w:szCs w:val="20"/>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53,181</w:t>
            </w:r>
          </w:p>
        </w:tc>
        <w:tc>
          <w:tcPr>
            <w:tcW w:w="8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96,235</w:t>
            </w: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21,640</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21,707</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17,708</w:t>
            </w: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OTHER LIABILITIES</w:t>
            </w:r>
          </w:p>
        </w:tc>
        <w:tc>
          <w:tcPr>
            <w:tcW w:w="100" w:type="dxa"/>
            <w:vAlign w:val="bottom"/>
          </w:tcPr>
          <w:p>
            <w:pPr>
              <w:spacing w:after="0"/>
              <w:rPr>
                <w:sz w:val="18"/>
                <w:szCs w:val="18"/>
                <w:color w:val="auto"/>
              </w:rPr>
            </w:pPr>
          </w:p>
        </w:tc>
        <w:tc>
          <w:tcPr>
            <w:tcW w:w="1180" w:type="dxa"/>
            <w:vAlign w:val="bottom"/>
            <w:gridSpan w:val="3"/>
          </w:tcPr>
          <w:p>
            <w:pPr>
              <w:jc w:val="right"/>
              <w:ind w:right="340"/>
              <w:spacing w:after="0"/>
              <w:rPr>
                <w:sz w:val="20"/>
                <w:szCs w:val="20"/>
                <w:color w:val="auto"/>
              </w:rPr>
            </w:pPr>
            <w:r>
              <w:rPr>
                <w:rFonts w:ascii="Arial" w:cs="Arial" w:eastAsia="Arial" w:hAnsi="Arial"/>
                <w:sz w:val="18"/>
                <w:szCs w:val="18"/>
                <w:color w:val="auto"/>
              </w:rPr>
              <w:t>12,276</w:t>
            </w:r>
          </w:p>
        </w:tc>
        <w:tc>
          <w:tcPr>
            <w:tcW w:w="20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12,659</w:t>
            </w:r>
          </w:p>
        </w:tc>
        <w:tc>
          <w:tcPr>
            <w:tcW w:w="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12,153</w:t>
            </w:r>
          </w:p>
        </w:tc>
      </w:tr>
      <w:tr>
        <w:trPr>
          <w:trHeight w:val="27"/>
        </w:trPr>
        <w:tc>
          <w:tcPr>
            <w:tcW w:w="5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56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263,123</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222,731</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279,712</w:t>
            </w:r>
          </w:p>
        </w:tc>
      </w:tr>
      <w:tr>
        <w:trPr>
          <w:trHeight w:val="432"/>
        </w:trPr>
        <w:tc>
          <w:tcPr>
            <w:tcW w:w="5680" w:type="dxa"/>
            <w:vAlign w:val="bottom"/>
          </w:tcPr>
          <w:p>
            <w:pPr>
              <w:spacing w:after="0"/>
              <w:rPr>
                <w:sz w:val="20"/>
                <w:szCs w:val="20"/>
                <w:color w:val="auto"/>
              </w:rPr>
            </w:pPr>
            <w:r>
              <w:rPr>
                <w:rFonts w:ascii="Arial" w:cs="Arial" w:eastAsia="Arial" w:hAnsi="Arial"/>
                <w:sz w:val="18"/>
                <w:szCs w:val="18"/>
                <w:color w:val="auto"/>
              </w:rPr>
              <w:t>EQUITY:</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Controlling interest shareholders’ equity:</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2"/>
        </w:trPr>
        <w:tc>
          <w:tcPr>
            <w:tcW w:w="5680" w:type="dxa"/>
            <w:vAlign w:val="bottom"/>
          </w:tcPr>
          <w:p>
            <w:pPr>
              <w:ind w:left="400"/>
              <w:spacing w:after="0" w:line="201" w:lineRule="exact"/>
              <w:rPr>
                <w:sz w:val="20"/>
                <w:szCs w:val="20"/>
                <w:color w:val="auto"/>
              </w:rPr>
            </w:pPr>
            <w:r>
              <w:rPr>
                <w:rFonts w:ascii="Arial" w:cs="Arial" w:eastAsia="Arial" w:hAnsi="Arial"/>
                <w:sz w:val="18"/>
                <w:szCs w:val="18"/>
                <w:color w:val="auto"/>
                <w:w w:val="98"/>
              </w:rPr>
              <w:t>Preferred stock, no par value; shares authorized 1,000,000; issued</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5680" w:type="dxa"/>
            <w:vAlign w:val="bottom"/>
          </w:tcPr>
          <w:p>
            <w:pPr>
              <w:ind w:left="600"/>
              <w:spacing w:after="0"/>
              <w:rPr>
                <w:sz w:val="20"/>
                <w:szCs w:val="20"/>
                <w:color w:val="auto"/>
              </w:rPr>
            </w:pPr>
            <w:r>
              <w:rPr>
                <w:rFonts w:ascii="Arial" w:cs="Arial" w:eastAsia="Arial" w:hAnsi="Arial"/>
                <w:sz w:val="18"/>
                <w:szCs w:val="18"/>
                <w:color w:val="auto"/>
              </w:rPr>
              <w:t>and outstanding, none</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2"/>
        </w:trPr>
        <w:tc>
          <w:tcPr>
            <w:tcW w:w="568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w w:val="97"/>
              </w:rPr>
              <w:t>Common stock, no par value; shares authorized 40,000,000; issued</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56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and outstanding 19,361,407, 19,284,587 and 19,178,761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19,361</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19,285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19,179</w:t>
            </w:r>
          </w:p>
        </w:tc>
      </w:tr>
      <w:tr>
        <w:trPr>
          <w:trHeight w:val="216"/>
        </w:trPr>
        <w:tc>
          <w:tcPr>
            <w:tcW w:w="5680" w:type="dxa"/>
            <w:vAlign w:val="bottom"/>
          </w:tcPr>
          <w:p>
            <w:pPr>
              <w:ind w:left="40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134,109</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132,765</w:t>
            </w:r>
          </w:p>
        </w:tc>
        <w:tc>
          <w:tcPr>
            <w:tcW w:w="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129,558</w:t>
            </w:r>
          </w:p>
        </w:tc>
      </w:tr>
      <w:tr>
        <w:trPr>
          <w:trHeight w:val="216"/>
        </w:trPr>
        <w:tc>
          <w:tcPr>
            <w:tcW w:w="5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409,605</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409,278</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392,105</w:t>
            </w:r>
          </w:p>
        </w:tc>
      </w:tr>
      <w:tr>
        <w:trPr>
          <w:trHeight w:val="216"/>
        </w:trPr>
        <w:tc>
          <w:tcPr>
            <w:tcW w:w="5680" w:type="dxa"/>
            <w:vAlign w:val="bottom"/>
          </w:tcPr>
          <w:p>
            <w:pPr>
              <w:ind w:left="400"/>
              <w:spacing w:after="0"/>
              <w:rPr>
                <w:sz w:val="20"/>
                <w:szCs w:val="20"/>
                <w:color w:val="auto"/>
              </w:rPr>
            </w:pPr>
            <w:r>
              <w:rPr>
                <w:rFonts w:ascii="Arial" w:cs="Arial" w:eastAsia="Arial" w:hAnsi="Arial"/>
                <w:sz w:val="18"/>
                <w:szCs w:val="18"/>
                <w:color w:val="auto"/>
              </w:rPr>
              <w:t>Accumulated other comprehensive earnings</w:t>
            </w: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4,061</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3,633</w:t>
            </w:r>
          </w:p>
        </w:tc>
        <w:tc>
          <w:tcPr>
            <w:tcW w:w="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2,106</w:t>
            </w:r>
          </w:p>
        </w:tc>
      </w:tr>
      <w:tr>
        <w:trPr>
          <w:trHeight w:val="27"/>
        </w:trPr>
        <w:tc>
          <w:tcPr>
            <w:tcW w:w="5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5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567,136</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564,961</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542,948</w:t>
            </w:r>
          </w:p>
        </w:tc>
      </w:tr>
      <w:tr>
        <w:trPr>
          <w:trHeight w:val="216"/>
        </w:trPr>
        <w:tc>
          <w:tcPr>
            <w:tcW w:w="5680" w:type="dxa"/>
            <w:vAlign w:val="bottom"/>
          </w:tcPr>
          <w:p>
            <w:pPr>
              <w:ind w:left="400"/>
              <w:spacing w:after="0"/>
              <w:rPr>
                <w:sz w:val="20"/>
                <w:szCs w:val="20"/>
                <w:color w:val="auto"/>
              </w:rPr>
            </w:pPr>
            <w:r>
              <w:rPr>
                <w:rFonts w:ascii="Arial" w:cs="Arial" w:eastAsia="Arial" w:hAnsi="Arial"/>
                <w:sz w:val="18"/>
                <w:szCs w:val="18"/>
                <w:color w:val="auto"/>
              </w:rPr>
              <w:t>Employee stock notes receivable</w:t>
            </w:r>
          </w:p>
        </w:tc>
        <w:tc>
          <w:tcPr>
            <w:tcW w:w="100" w:type="dxa"/>
            <w:vAlign w:val="bottom"/>
          </w:tcPr>
          <w:p>
            <w:pPr>
              <w:spacing w:after="0"/>
              <w:rPr>
                <w:sz w:val="18"/>
                <w:szCs w:val="18"/>
                <w:color w:val="auto"/>
              </w:rPr>
            </w:pPr>
          </w:p>
        </w:tc>
        <w:tc>
          <w:tcPr>
            <w:tcW w:w="1180" w:type="dxa"/>
            <w:vAlign w:val="bottom"/>
            <w:gridSpan w:val="3"/>
          </w:tcPr>
          <w:p>
            <w:pPr>
              <w:jc w:val="right"/>
              <w:ind w:right="280"/>
              <w:spacing w:after="0"/>
              <w:rPr>
                <w:sz w:val="20"/>
                <w:szCs w:val="20"/>
                <w:color w:val="auto"/>
              </w:rPr>
            </w:pPr>
            <w:r>
              <w:rPr>
                <w:rFonts w:ascii="Arial" w:cs="Arial" w:eastAsia="Arial" w:hAnsi="Arial"/>
                <w:sz w:val="18"/>
                <w:szCs w:val="18"/>
                <w:color w:val="auto"/>
              </w:rPr>
              <w:t>(1,771)</w:t>
            </w:r>
          </w:p>
        </w:tc>
        <w:tc>
          <w:tcPr>
            <w:tcW w:w="20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(1,743)</w:t>
            </w:r>
          </w:p>
        </w:tc>
        <w:tc>
          <w:tcPr>
            <w:tcW w:w="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(1,672)</w:t>
            </w:r>
          </w:p>
        </w:tc>
      </w:tr>
      <w:tr>
        <w:trPr>
          <w:trHeight w:val="27"/>
        </w:trPr>
        <w:tc>
          <w:tcPr>
            <w:tcW w:w="5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5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565,365</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563,218</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541,276</w:t>
            </w:r>
          </w:p>
        </w:tc>
      </w:tr>
      <w:tr>
        <w:trPr>
          <w:trHeight w:val="216"/>
        </w:trPr>
        <w:tc>
          <w:tcPr>
            <w:tcW w:w="5680" w:type="dxa"/>
            <w:vAlign w:val="bottom"/>
          </w:tcPr>
          <w:p>
            <w:pPr>
              <w:ind w:left="200"/>
              <w:spacing w:after="0"/>
              <w:rPr>
                <w:sz w:val="20"/>
                <w:szCs w:val="20"/>
                <w:color w:val="auto"/>
              </w:rPr>
            </w:pPr>
            <w:r>
              <w:rPr>
                <w:rFonts w:ascii="Arial" w:cs="Arial" w:eastAsia="Arial" w:hAnsi="Arial"/>
                <w:sz w:val="18"/>
                <w:szCs w:val="18"/>
                <w:color w:val="auto"/>
              </w:rPr>
              <w:t>Noncontrolling interest</w:t>
            </w: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6,493</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5,728</w:t>
            </w:r>
          </w:p>
        </w:tc>
        <w:tc>
          <w:tcPr>
            <w:tcW w:w="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6,061</w:t>
            </w:r>
          </w:p>
        </w:tc>
      </w:tr>
      <w:tr>
        <w:trPr>
          <w:trHeight w:val="27"/>
        </w:trPr>
        <w:tc>
          <w:tcPr>
            <w:tcW w:w="5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56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EQUITY</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571,858</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568,946</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547,337</w:t>
            </w:r>
          </w:p>
        </w:tc>
      </w:tr>
      <w:tr>
        <w:trPr>
          <w:trHeight w:val="223"/>
        </w:trPr>
        <w:tc>
          <w:tcPr>
            <w:tcW w:w="5680" w:type="dxa"/>
            <w:vAlign w:val="bottom"/>
          </w:tcPr>
          <w:p>
            <w:pPr>
              <w:spacing w:after="0"/>
              <w:rPr>
                <w:sz w:val="20"/>
                <w:szCs w:val="20"/>
                <w:color w:val="auto"/>
              </w:rPr>
            </w:pPr>
            <w:r>
              <w:rPr>
                <w:rFonts w:ascii="Arial" w:cs="Arial" w:eastAsia="Arial" w:hAnsi="Arial"/>
                <w:sz w:val="18"/>
                <w:szCs w:val="18"/>
                <w:color w:val="auto"/>
              </w:rPr>
              <w:t>TOTAL LIABILITIES AND EQUITY</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834,981</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791,677</w:t>
            </w:r>
          </w:p>
        </w:tc>
        <w:tc>
          <w:tcPr>
            <w:tcW w:w="3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827,049</w:t>
            </w:r>
          </w:p>
        </w:tc>
        <w:tc>
          <w:tcPr>
            <w:tcW w:w="80" w:type="dxa"/>
            <w:vAlign w:val="bottom"/>
          </w:tcPr>
          <w:p>
            <w:pPr>
              <w:spacing w:after="0"/>
              <w:rPr>
                <w:sz w:val="19"/>
                <w:szCs w:val="19"/>
                <w:color w:val="auto"/>
              </w:rPr>
            </w:pPr>
          </w:p>
        </w:tc>
      </w:tr>
      <w:tr>
        <w:trPr>
          <w:trHeight w:val="20"/>
        </w:trPr>
        <w:tc>
          <w:tcPr>
            <w:tcW w:w="5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notes to unaudited consolidated condensed financial statements.</w:t>
      </w:r>
    </w:p>
    <w:p>
      <w:pPr>
        <w:sectPr>
          <w:pgSz w:w="11900" w:h="16838" w:orient="portrait"/>
          <w:cols w:equalWidth="0" w:num="1">
            <w:col w:w="10219"/>
          </w:cols>
          <w:pgMar w:left="240" w:top="419" w:right="1440" w:bottom="659"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659"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580" w:right="2080"/>
        <w:spacing w:after="0" w:line="275" w:lineRule="auto"/>
        <w:rPr>
          <w:sz w:val="20"/>
          <w:szCs w:val="20"/>
          <w:color w:val="auto"/>
        </w:rPr>
      </w:pPr>
      <w:r>
        <w:rPr>
          <w:rFonts w:ascii="Arial" w:cs="Arial" w:eastAsia="Arial" w:hAnsi="Arial"/>
          <w:sz w:val="18"/>
          <w:szCs w:val="18"/>
          <w:b w:val="1"/>
          <w:bCs w:val="1"/>
          <w:color w:val="auto"/>
        </w:rPr>
        <w:t xml:space="preserve">UNIVERSAL FOREST PRODUCTS, INC. CONSOLIDATED CONDENSED STATEMENTS OF EARNINGS </w:t>
      </w:r>
      <w:r>
        <w:rPr>
          <w:rFonts w:ascii="Arial" w:cs="Arial" w:eastAsia="Arial" w:hAnsi="Arial"/>
          <w:sz w:val="18"/>
          <w:szCs w:val="18"/>
          <w:color w:val="auto"/>
        </w:rPr>
        <w:t>(Unaudited)</w:t>
      </w:r>
    </w:p>
    <w:p>
      <w:pPr>
        <w:spacing w:after="0" w:line="367"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(in thousands, except per share data)</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60" w:type="dxa"/>
            <w:vAlign w:val="bottom"/>
            <w:gridSpan w:val="5"/>
          </w:tcPr>
          <w:p>
            <w:pPr>
              <w:jc w:val="right"/>
              <w:ind w:right="520"/>
              <w:spacing w:after="0"/>
              <w:rPr>
                <w:sz w:val="20"/>
                <w:szCs w:val="20"/>
                <w:color w:val="auto"/>
              </w:rPr>
            </w:pPr>
            <w:r>
              <w:rPr>
                <w:rFonts w:ascii="Arial" w:cs="Arial" w:eastAsia="Arial" w:hAnsi="Arial"/>
                <w:sz w:val="18"/>
                <w:szCs w:val="18"/>
                <w:color w:val="auto"/>
              </w:rPr>
              <w:t>Three Months Ended</w:t>
            </w:r>
          </w:p>
        </w:tc>
      </w:tr>
      <w:tr>
        <w:trPr>
          <w:trHeight w:val="195"/>
        </w:trPr>
        <w:tc>
          <w:tcPr>
            <w:tcW w:w="68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right"/>
              <w:ind w:right="480"/>
              <w:spacing w:after="0" w:line="195" w:lineRule="exact"/>
              <w:rPr>
                <w:sz w:val="20"/>
                <w:szCs w:val="20"/>
                <w:color w:val="auto"/>
              </w:rPr>
            </w:pPr>
            <w:r>
              <w:rPr>
                <w:rFonts w:ascii="Arial" w:cs="Arial" w:eastAsia="Arial" w:hAnsi="Arial"/>
                <w:sz w:val="18"/>
                <w:szCs w:val="18"/>
                <w:color w:val="auto"/>
                <w:w w:val="92"/>
              </w:rPr>
              <w:t>March 27,</w:t>
            </w: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50"/>
              <w:spacing w:after="0" w:line="195" w:lineRule="exact"/>
              <w:rPr>
                <w:sz w:val="20"/>
                <w:szCs w:val="20"/>
                <w:color w:val="auto"/>
              </w:rPr>
            </w:pPr>
            <w:r>
              <w:rPr>
                <w:rFonts w:ascii="Arial" w:cs="Arial" w:eastAsia="Arial" w:hAnsi="Arial"/>
                <w:sz w:val="18"/>
                <w:szCs w:val="18"/>
                <w:color w:val="auto"/>
                <w:w w:val="92"/>
              </w:rPr>
              <w:t>March 28,</w:t>
            </w:r>
          </w:p>
        </w:tc>
        <w:tc>
          <w:tcPr>
            <w:tcW w:w="100" w:type="dxa"/>
            <w:vAlign w:val="bottom"/>
          </w:tcPr>
          <w:p>
            <w:pPr>
              <w:spacing w:after="0"/>
              <w:rPr>
                <w:sz w:val="16"/>
                <w:szCs w:val="16"/>
                <w:color w:val="auto"/>
              </w:rPr>
            </w:pPr>
          </w:p>
        </w:tc>
      </w:tr>
      <w:tr>
        <w:trPr>
          <w:trHeight w:val="230"/>
        </w:trPr>
        <w:tc>
          <w:tcPr>
            <w:tcW w:w="68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2010</w:t>
            </w:r>
          </w:p>
        </w:tc>
        <w:tc>
          <w:tcPr>
            <w:tcW w:w="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20"/>
                <w:szCs w:val="20"/>
                <w:color w:val="auto"/>
              </w:rPr>
            </w:pPr>
          </w:p>
        </w:tc>
      </w:tr>
      <w:tr>
        <w:trPr>
          <w:trHeight w:val="210"/>
        </w:trPr>
        <w:tc>
          <w:tcPr>
            <w:tcW w:w="6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392,958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361,722</w:t>
            </w:r>
          </w:p>
        </w:tc>
      </w:tr>
      <w:tr>
        <w:trPr>
          <w:trHeight w:val="432"/>
        </w:trPr>
        <w:tc>
          <w:tcPr>
            <w:tcW w:w="6860" w:type="dxa"/>
            <w:vAlign w:val="bottom"/>
          </w:tcPr>
          <w:p>
            <w:pPr>
              <w:spacing w:after="0"/>
              <w:rPr>
                <w:sz w:val="20"/>
                <w:szCs w:val="20"/>
                <w:color w:val="auto"/>
              </w:rPr>
            </w:pPr>
            <w:r>
              <w:rPr>
                <w:rFonts w:ascii="Arial" w:cs="Arial" w:eastAsia="Arial" w:hAnsi="Arial"/>
                <w:sz w:val="18"/>
                <w:szCs w:val="18"/>
                <w:color w:val="auto"/>
              </w:rPr>
              <w:t>COST OF GOODS SOLD</w:t>
            </w:r>
          </w:p>
        </w:tc>
        <w:tc>
          <w:tcPr>
            <w:tcW w:w="100" w:type="dxa"/>
            <w:vAlign w:val="bottom"/>
          </w:tcPr>
          <w:p>
            <w:pPr>
              <w:spacing w:after="0"/>
              <w:rPr>
                <w:sz w:val="24"/>
                <w:szCs w:val="24"/>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341,324</w:t>
            </w:r>
          </w:p>
        </w:tc>
        <w:tc>
          <w:tcPr>
            <w:tcW w:w="120" w:type="dxa"/>
            <w:vAlign w:val="bottom"/>
          </w:tcPr>
          <w:p>
            <w:pPr>
              <w:spacing w:after="0"/>
              <w:rPr>
                <w:sz w:val="24"/>
                <w:szCs w:val="24"/>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314,901</w:t>
            </w:r>
          </w:p>
        </w:tc>
      </w:tr>
      <w:tr>
        <w:trPr>
          <w:trHeight w:val="223"/>
        </w:trPr>
        <w:tc>
          <w:tcPr>
            <w:tcW w:w="68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51,634</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46,821</w:t>
            </w:r>
          </w:p>
        </w:tc>
      </w:tr>
      <w:tr>
        <w:trPr>
          <w:trHeight w:val="432"/>
        </w:trPr>
        <w:tc>
          <w:tcPr>
            <w:tcW w:w="686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tcPr>
          <w:p>
            <w:pPr>
              <w:spacing w:after="0"/>
              <w:rPr>
                <w:sz w:val="24"/>
                <w:szCs w:val="24"/>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48,489</w:t>
            </w:r>
          </w:p>
        </w:tc>
        <w:tc>
          <w:tcPr>
            <w:tcW w:w="120" w:type="dxa"/>
            <w:vAlign w:val="bottom"/>
          </w:tcPr>
          <w:p>
            <w:pPr>
              <w:spacing w:after="0"/>
              <w:rPr>
                <w:sz w:val="24"/>
                <w:szCs w:val="24"/>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49,092</w:t>
            </w:r>
          </w:p>
        </w:tc>
      </w:tr>
      <w:tr>
        <w:trPr>
          <w:trHeight w:val="202"/>
        </w:trPr>
        <w:tc>
          <w:tcPr>
            <w:tcW w:w="6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LOSS (GAIN) ON DISPOSITION OF ASSETS AND OTHER IMPAIRMENT AND</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EXIT CHARGES</w:t>
            </w: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(1,136)</w:t>
            </w:r>
          </w:p>
        </w:tc>
      </w:tr>
      <w:tr>
        <w:trPr>
          <w:trHeight w:val="20"/>
        </w:trPr>
        <w:tc>
          <w:tcPr>
            <w:tcW w:w="6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9"/>
        </w:trPr>
        <w:tc>
          <w:tcPr>
            <w:tcW w:w="6860" w:type="dxa"/>
            <w:vAlign w:val="bottom"/>
          </w:tcPr>
          <w:p>
            <w:pPr>
              <w:spacing w:after="0"/>
              <w:rPr>
                <w:sz w:val="20"/>
                <w:szCs w:val="20"/>
                <w:color w:val="auto"/>
              </w:rPr>
            </w:pPr>
            <w:r>
              <w:rPr>
                <w:rFonts w:ascii="Arial" w:cs="Arial" w:eastAsia="Arial" w:hAnsi="Arial"/>
                <w:sz w:val="18"/>
                <w:szCs w:val="18"/>
                <w:color w:val="auto"/>
              </w:rPr>
              <w:t>EARNINGS (LOSS) FROM OPERATIONS</w:t>
            </w: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2,973</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(1,135)</w:t>
            </w:r>
          </w:p>
        </w:tc>
      </w:tr>
      <w:tr>
        <w:trPr>
          <w:trHeight w:val="216"/>
        </w:trPr>
        <w:tc>
          <w:tcPr>
            <w:tcW w:w="6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886</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1,074</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(83)</w:t>
            </w:r>
          </w:p>
        </w:tc>
      </w:tr>
      <w:tr>
        <w:trPr>
          <w:trHeight w:val="27"/>
        </w:trPr>
        <w:tc>
          <w:tcPr>
            <w:tcW w:w="6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991</w:t>
            </w:r>
          </w:p>
        </w:tc>
      </w:tr>
      <w:tr>
        <w:trPr>
          <w:trHeight w:val="20"/>
        </w:trPr>
        <w:tc>
          <w:tcPr>
            <w:tcW w:w="6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9"/>
        </w:trPr>
        <w:tc>
          <w:tcPr>
            <w:tcW w:w="6860" w:type="dxa"/>
            <w:vAlign w:val="bottom"/>
          </w:tcPr>
          <w:p>
            <w:pPr>
              <w:spacing w:after="0"/>
              <w:rPr>
                <w:sz w:val="20"/>
                <w:szCs w:val="20"/>
                <w:color w:val="auto"/>
              </w:rPr>
            </w:pPr>
            <w:r>
              <w:rPr>
                <w:rFonts w:ascii="Arial" w:cs="Arial" w:eastAsia="Arial" w:hAnsi="Arial"/>
                <w:sz w:val="18"/>
                <w:szCs w:val="18"/>
                <w:color w:val="auto"/>
              </w:rPr>
              <w:t>EARNINGS (LOSS) BEFORE INCOME TAXES</w:t>
            </w: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2,207</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(2,126)</w:t>
            </w:r>
          </w:p>
        </w:tc>
      </w:tr>
      <w:tr>
        <w:trPr>
          <w:trHeight w:val="216"/>
        </w:trPr>
        <w:tc>
          <w:tcPr>
            <w:tcW w:w="6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INCOME TAXES (BENEFIT)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(963)</w:t>
            </w:r>
          </w:p>
        </w:tc>
      </w:tr>
      <w:tr>
        <w:trPr>
          <w:trHeight w:val="20"/>
        </w:trPr>
        <w:tc>
          <w:tcPr>
            <w:tcW w:w="6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9"/>
        </w:trPr>
        <w:tc>
          <w:tcPr>
            <w:tcW w:w="6860" w:type="dxa"/>
            <w:vAlign w:val="bottom"/>
          </w:tcPr>
          <w:p>
            <w:pPr>
              <w:spacing w:after="0"/>
              <w:rPr>
                <w:sz w:val="20"/>
                <w:szCs w:val="20"/>
                <w:color w:val="auto"/>
              </w:rPr>
            </w:pPr>
            <w:r>
              <w:rPr>
                <w:rFonts w:ascii="Arial" w:cs="Arial" w:eastAsia="Arial" w:hAnsi="Arial"/>
                <w:sz w:val="18"/>
                <w:szCs w:val="18"/>
                <w:color w:val="auto"/>
              </w:rPr>
              <w:t>NET EARNINGS (LOSS)</w:t>
            </w: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1,720</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(1,163)</w:t>
            </w:r>
          </w:p>
        </w:tc>
      </w:tr>
      <w:tr>
        <w:trPr>
          <w:trHeight w:val="216"/>
        </w:trPr>
        <w:tc>
          <w:tcPr>
            <w:tcW w:w="6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LESS NET EARNINGS ATTRIBUTABLE TO NONCONTROLLING INTEREST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(733)</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w:t>
            </w:r>
          </w:p>
        </w:tc>
      </w:tr>
      <w:tr>
        <w:trPr>
          <w:trHeight w:val="20"/>
        </w:trPr>
        <w:tc>
          <w:tcPr>
            <w:tcW w:w="6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9"/>
        </w:trPr>
        <w:tc>
          <w:tcPr>
            <w:tcW w:w="6860" w:type="dxa"/>
            <w:vAlign w:val="bottom"/>
          </w:tcPr>
          <w:p>
            <w:pPr>
              <w:spacing w:after="0"/>
              <w:rPr>
                <w:sz w:val="20"/>
                <w:szCs w:val="20"/>
                <w:color w:val="auto"/>
              </w:rPr>
            </w:pPr>
            <w:r>
              <w:rPr>
                <w:rFonts w:ascii="Arial" w:cs="Arial" w:eastAsia="Arial" w:hAnsi="Arial"/>
                <w:sz w:val="18"/>
                <w:szCs w:val="18"/>
                <w:color w:val="auto"/>
              </w:rPr>
              <w:t>NET EARNINGS (LOSS) ATTRIBUTABLE TO CONTROLLING INTEREST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987</w:t>
            </w:r>
          </w:p>
        </w:tc>
        <w:tc>
          <w:tcPr>
            <w:tcW w:w="36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(1,207)</w:t>
            </w:r>
          </w:p>
        </w:tc>
      </w:tr>
      <w:tr>
        <w:trPr>
          <w:trHeight w:val="20"/>
        </w:trPr>
        <w:tc>
          <w:tcPr>
            <w:tcW w:w="6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EARNINGS (LOSS) PER SHARE — BASIC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0.05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(0.06)</w:t>
            </w:r>
          </w:p>
        </w:tc>
      </w:tr>
      <w:tr>
        <w:trPr>
          <w:trHeight w:val="432"/>
        </w:trPr>
        <w:tc>
          <w:tcPr>
            <w:tcW w:w="6860" w:type="dxa"/>
            <w:vAlign w:val="bottom"/>
          </w:tcPr>
          <w:p>
            <w:pPr>
              <w:spacing w:after="0"/>
              <w:rPr>
                <w:sz w:val="20"/>
                <w:szCs w:val="20"/>
                <w:color w:val="auto"/>
              </w:rPr>
            </w:pPr>
            <w:r>
              <w:rPr>
                <w:rFonts w:ascii="Arial" w:cs="Arial" w:eastAsia="Arial" w:hAnsi="Arial"/>
                <w:sz w:val="18"/>
                <w:szCs w:val="18"/>
                <w:color w:val="auto"/>
              </w:rPr>
              <w:t>EARNINGS (LOSS) PER SHARE — DILUTED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0.05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(0.06)</w:t>
            </w:r>
          </w:p>
        </w:tc>
      </w:tr>
      <w:tr>
        <w:trPr>
          <w:trHeight w:val="216"/>
        </w:trPr>
        <w:tc>
          <w:tcPr>
            <w:tcW w:w="6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FOR BASIC EARNINGS (LOSS)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19,258</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19,184</w:t>
            </w:r>
          </w:p>
        </w:tc>
      </w:tr>
      <w:tr>
        <w:trPr>
          <w:trHeight w:val="418"/>
        </w:trPr>
        <w:tc>
          <w:tcPr>
            <w:tcW w:w="6860" w:type="dxa"/>
            <w:vAlign w:val="bottom"/>
          </w:tcPr>
          <w:p>
            <w:pPr>
              <w:spacing w:after="0"/>
              <w:rPr>
                <w:sz w:val="20"/>
                <w:szCs w:val="20"/>
                <w:color w:val="auto"/>
              </w:rPr>
            </w:pPr>
            <w:r>
              <w:rPr>
                <w:rFonts w:ascii="Arial" w:cs="Arial" w:eastAsia="Arial" w:hAnsi="Arial"/>
                <w:sz w:val="18"/>
                <w:szCs w:val="18"/>
                <w:color w:val="auto"/>
              </w:rPr>
              <w:t>WEIGHTED AVERAGE SHARES OUTSTANDING FOR DILUTED EARNINGS</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6860" w:type="dxa"/>
            <w:vAlign w:val="bottom"/>
          </w:tcPr>
          <w:p>
            <w:pPr>
              <w:ind w:left="200"/>
              <w:spacing w:after="0"/>
              <w:rPr>
                <w:sz w:val="20"/>
                <w:szCs w:val="20"/>
                <w:color w:val="auto"/>
              </w:rPr>
            </w:pPr>
            <w:r>
              <w:rPr>
                <w:rFonts w:ascii="Arial" w:cs="Arial" w:eastAsia="Arial" w:hAnsi="Arial"/>
                <w:sz w:val="18"/>
                <w:szCs w:val="18"/>
                <w:color w:val="auto"/>
              </w:rPr>
              <w:t>(LOSS)</w:t>
            </w:r>
          </w:p>
        </w:tc>
        <w:tc>
          <w:tcPr>
            <w:tcW w:w="100" w:type="dxa"/>
            <w:vAlign w:val="bottom"/>
          </w:tcPr>
          <w:p>
            <w:pPr>
              <w:spacing w:after="0"/>
              <w:rPr>
                <w:sz w:val="20"/>
                <w:szCs w:val="20"/>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19,517</w:t>
            </w:r>
          </w:p>
        </w:tc>
        <w:tc>
          <w:tcPr>
            <w:tcW w:w="12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19,184</w:t>
            </w:r>
          </w:p>
        </w:tc>
      </w:tr>
    </w:tbl>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notes to unaudited consolidated condensed financial statements.</w:t>
      </w:r>
    </w:p>
    <w:p>
      <w:pPr>
        <w:spacing w:after="0" w:line="200" w:lineRule="exact"/>
        <w:rPr>
          <w:sz w:val="20"/>
          <w:szCs w:val="20"/>
          <w:color w:val="auto"/>
        </w:rPr>
      </w:pPr>
    </w:p>
    <w:p>
      <w:pPr>
        <w:spacing w:after="0" w:line="39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CONSOLIDATED CONDENSED STATEMENTS OF EQUITY</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thousands, except share and per share data)</w:t>
      </w:r>
    </w:p>
    <w:p>
      <w:pPr>
        <w:spacing w:after="0" w:line="139" w:lineRule="exact"/>
        <w:rPr>
          <w:sz w:val="20"/>
          <w:szCs w:val="20"/>
          <w:color w:val="auto"/>
        </w:rPr>
      </w:pPr>
    </w:p>
    <w:tbl>
      <w:tblPr>
        <w:tblLayout w:type="fixed"/>
        <w:tblInd w:w="340" w:type="dxa"/>
        <w:tblCellMar>
          <w:top w:w="0" w:type="dxa"/>
          <w:left w:w="0" w:type="dxa"/>
          <w:bottom w:w="0" w:type="dxa"/>
          <w:right w:w="0" w:type="dxa"/>
        </w:tblCellMar>
      </w:tblPr>
      <w:tr>
        <w:trPr>
          <w:trHeight w:val="167"/>
        </w:trPr>
        <w:tc>
          <w:tcPr>
            <w:tcW w:w="20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gridSpan w:val="8"/>
          </w:tcPr>
          <w:p>
            <w:pPr>
              <w:jc w:val="right"/>
              <w:ind w:right="700"/>
              <w:spacing w:after="0"/>
              <w:rPr>
                <w:sz w:val="20"/>
                <w:szCs w:val="20"/>
                <w:color w:val="auto"/>
              </w:rPr>
            </w:pPr>
            <w:r>
              <w:rPr>
                <w:rFonts w:ascii="Arial" w:cs="Arial" w:eastAsia="Arial" w:hAnsi="Arial"/>
                <w:sz w:val="14"/>
                <w:szCs w:val="14"/>
                <w:color w:val="auto"/>
                <w:w w:val="97"/>
              </w:rPr>
              <w:t>Controlling Interest Shareholders’ Equity</w:t>
            </w:r>
          </w:p>
        </w:tc>
        <w:tc>
          <w:tcPr>
            <w:tcW w:w="2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60" w:type="dxa"/>
            <w:vAlign w:val="bottom"/>
            <w:gridSpan w:val="3"/>
          </w:tcPr>
          <w:p>
            <w:pPr>
              <w:jc w:val="center"/>
              <w:ind w:right="280"/>
              <w:spacing w:after="0" w:line="123" w:lineRule="exact"/>
              <w:rPr>
                <w:sz w:val="20"/>
                <w:szCs w:val="20"/>
                <w:color w:val="auto"/>
              </w:rPr>
            </w:pPr>
            <w:r>
              <w:rPr>
                <w:rFonts w:ascii="Arial" w:cs="Arial" w:eastAsia="Arial" w:hAnsi="Arial"/>
                <w:sz w:val="14"/>
                <w:szCs w:val="14"/>
                <w:color w:val="auto"/>
                <w:w w:val="93"/>
              </w:rPr>
              <w:t>Accumulated</w:t>
            </w: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91"/>
              </w:rPr>
              <w:t>Other</w:t>
            </w:r>
          </w:p>
        </w:tc>
        <w:tc>
          <w:tcPr>
            <w:tcW w:w="98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Employees</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gridSpan w:val="3"/>
          </w:tcPr>
          <w:p>
            <w:pPr>
              <w:spacing w:after="0" w:line="149" w:lineRule="exact"/>
              <w:rPr>
                <w:sz w:val="20"/>
                <w:szCs w:val="20"/>
                <w:color w:val="auto"/>
              </w:rPr>
            </w:pPr>
            <w:r>
              <w:rPr>
                <w:rFonts w:ascii="Arial" w:cs="Arial" w:eastAsia="Arial" w:hAnsi="Arial"/>
                <w:sz w:val="14"/>
                <w:szCs w:val="14"/>
                <w:color w:val="auto"/>
              </w:rPr>
              <w:t>Additional Paid-</w:t>
            </w:r>
          </w:p>
        </w:tc>
        <w:tc>
          <w:tcPr>
            <w:tcW w:w="92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w w:val="99"/>
              </w:rPr>
              <w:t>Retained</w:t>
            </w:r>
          </w:p>
        </w:tc>
        <w:tc>
          <w:tcPr>
            <w:tcW w:w="1160" w:type="dxa"/>
            <w:vAlign w:val="bottom"/>
            <w:gridSpan w:val="3"/>
          </w:tcPr>
          <w:p>
            <w:pPr>
              <w:spacing w:after="0" w:line="149" w:lineRule="exact"/>
              <w:rPr>
                <w:sz w:val="20"/>
                <w:szCs w:val="20"/>
                <w:color w:val="auto"/>
              </w:rPr>
            </w:pPr>
            <w:r>
              <w:rPr>
                <w:rFonts w:ascii="Arial" w:cs="Arial" w:eastAsia="Arial" w:hAnsi="Arial"/>
                <w:sz w:val="14"/>
                <w:szCs w:val="14"/>
                <w:color w:val="auto"/>
              </w:rPr>
              <w:t>Comprehensive</w:t>
            </w:r>
          </w:p>
        </w:tc>
        <w:tc>
          <w:tcPr>
            <w:tcW w:w="980" w:type="dxa"/>
            <w:vAlign w:val="bottom"/>
            <w:gridSpan w:val="3"/>
          </w:tcPr>
          <w:p>
            <w:pPr>
              <w:spacing w:after="0" w:line="149" w:lineRule="exact"/>
              <w:rPr>
                <w:sz w:val="20"/>
                <w:szCs w:val="20"/>
                <w:color w:val="auto"/>
              </w:rPr>
            </w:pPr>
            <w:r>
              <w:rPr>
                <w:rFonts w:ascii="Arial" w:cs="Arial" w:eastAsia="Arial" w:hAnsi="Arial"/>
                <w:sz w:val="14"/>
                <w:szCs w:val="14"/>
                <w:color w:val="auto"/>
              </w:rPr>
              <w:t>Stock Notes</w:t>
            </w:r>
          </w:p>
        </w:tc>
        <w:tc>
          <w:tcPr>
            <w:tcW w:w="1160" w:type="dxa"/>
            <w:vAlign w:val="bottom"/>
            <w:gridSpan w:val="3"/>
          </w:tcPr>
          <w:p>
            <w:pPr>
              <w:spacing w:after="0" w:line="149" w:lineRule="exact"/>
              <w:rPr>
                <w:sz w:val="20"/>
                <w:szCs w:val="20"/>
                <w:color w:val="auto"/>
              </w:rPr>
            </w:pPr>
            <w:r>
              <w:rPr>
                <w:rFonts w:ascii="Arial" w:cs="Arial" w:eastAsia="Arial" w:hAnsi="Arial"/>
                <w:sz w:val="14"/>
                <w:szCs w:val="14"/>
                <w:color w:val="auto"/>
              </w:rPr>
              <w:t>Noncontrolling</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00" w:type="dxa"/>
            <w:vAlign w:val="bottom"/>
          </w:tcPr>
          <w:p>
            <w:pPr>
              <w:spacing w:after="0"/>
              <w:rPr>
                <w:sz w:val="14"/>
                <w:szCs w:val="14"/>
                <w:color w:val="auto"/>
              </w:rPr>
            </w:pPr>
          </w:p>
        </w:tc>
        <w:tc>
          <w:tcPr>
            <w:tcW w:w="1180" w:type="dxa"/>
            <w:vAlign w:val="bottom"/>
            <w:gridSpan w:val="4"/>
          </w:tcPr>
          <w:p>
            <w:pPr>
              <w:spacing w:after="0"/>
              <w:rPr>
                <w:sz w:val="20"/>
                <w:szCs w:val="20"/>
                <w:color w:val="auto"/>
              </w:rPr>
            </w:pPr>
            <w:r>
              <w:rPr>
                <w:rFonts w:ascii="Arial" w:cs="Arial" w:eastAsia="Arial" w:hAnsi="Arial"/>
                <w:sz w:val="14"/>
                <w:szCs w:val="14"/>
                <w:color w:val="auto"/>
              </w:rPr>
              <w:t>Common Stock</w:t>
            </w:r>
          </w:p>
        </w:tc>
        <w:tc>
          <w:tcPr>
            <w:tcW w:w="140" w:type="dxa"/>
            <w:vAlign w:val="bottom"/>
          </w:tcPr>
          <w:p>
            <w:pPr>
              <w:spacing w:after="0"/>
              <w:rPr>
                <w:sz w:val="14"/>
                <w:szCs w:val="14"/>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4"/>
                <w:szCs w:val="14"/>
                <w:color w:val="auto"/>
              </w:rPr>
              <w:t>In Capital</w:t>
            </w:r>
          </w:p>
        </w:tc>
        <w:tc>
          <w:tcPr>
            <w:tcW w:w="920" w:type="dxa"/>
            <w:vAlign w:val="bottom"/>
            <w:gridSpan w:val="3"/>
          </w:tcPr>
          <w:p>
            <w:pPr>
              <w:jc w:val="right"/>
              <w:ind w:right="340"/>
              <w:spacing w:after="0"/>
              <w:rPr>
                <w:sz w:val="20"/>
                <w:szCs w:val="20"/>
                <w:color w:val="auto"/>
              </w:rPr>
            </w:pPr>
            <w:r>
              <w:rPr>
                <w:rFonts w:ascii="Arial" w:cs="Arial" w:eastAsia="Arial" w:hAnsi="Arial"/>
                <w:sz w:val="14"/>
                <w:szCs w:val="14"/>
                <w:color w:val="auto"/>
              </w:rPr>
              <w:t>Earnings</w:t>
            </w:r>
          </w:p>
        </w:tc>
        <w:tc>
          <w:tcPr>
            <w:tcW w:w="120" w:type="dxa"/>
            <w:vAlign w:val="bottom"/>
          </w:tcPr>
          <w:p>
            <w:pPr>
              <w:spacing w:after="0"/>
              <w:rPr>
                <w:sz w:val="14"/>
                <w:szCs w:val="14"/>
                <w:color w:val="auto"/>
              </w:rPr>
            </w:pPr>
          </w:p>
        </w:tc>
        <w:tc>
          <w:tcPr>
            <w:tcW w:w="1040" w:type="dxa"/>
            <w:vAlign w:val="bottom"/>
            <w:gridSpan w:val="2"/>
          </w:tcPr>
          <w:p>
            <w:pPr>
              <w:jc w:val="center"/>
              <w:ind w:right="400"/>
              <w:spacing w:after="0"/>
              <w:rPr>
                <w:sz w:val="20"/>
                <w:szCs w:val="20"/>
                <w:color w:val="auto"/>
              </w:rPr>
            </w:pPr>
            <w:r>
              <w:rPr>
                <w:rFonts w:ascii="Arial" w:cs="Arial" w:eastAsia="Arial" w:hAnsi="Arial"/>
                <w:sz w:val="14"/>
                <w:szCs w:val="14"/>
                <w:color w:val="auto"/>
                <w:w w:val="94"/>
              </w:rPr>
              <w:t>Earnings</w:t>
            </w:r>
          </w:p>
        </w:tc>
        <w:tc>
          <w:tcPr>
            <w:tcW w:w="980" w:type="dxa"/>
            <w:vAlign w:val="bottom"/>
            <w:gridSpan w:val="3"/>
          </w:tcPr>
          <w:p>
            <w:pPr>
              <w:ind w:left="40"/>
              <w:spacing w:after="0"/>
              <w:rPr>
                <w:sz w:val="20"/>
                <w:szCs w:val="20"/>
                <w:color w:val="auto"/>
              </w:rPr>
            </w:pPr>
            <w:r>
              <w:rPr>
                <w:rFonts w:ascii="Arial" w:cs="Arial" w:eastAsia="Arial" w:hAnsi="Arial"/>
                <w:sz w:val="14"/>
                <w:szCs w:val="14"/>
                <w:color w:val="auto"/>
              </w:rPr>
              <w:t>Receivable</w:t>
            </w:r>
          </w:p>
        </w:tc>
        <w:tc>
          <w:tcPr>
            <w:tcW w:w="140" w:type="dxa"/>
            <w:vAlign w:val="bottom"/>
          </w:tcPr>
          <w:p>
            <w:pPr>
              <w:spacing w:after="0"/>
              <w:rPr>
                <w:sz w:val="14"/>
                <w:szCs w:val="14"/>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4"/>
                <w:szCs w:val="14"/>
                <w:color w:val="auto"/>
              </w:rPr>
              <w:t>Interest</w:t>
            </w:r>
          </w:p>
        </w:tc>
        <w:tc>
          <w:tcPr>
            <w:tcW w:w="120" w:type="dxa"/>
            <w:vAlign w:val="bottom"/>
          </w:tcPr>
          <w:p>
            <w:pPr>
              <w:spacing w:after="0"/>
              <w:rPr>
                <w:sz w:val="14"/>
                <w:szCs w:val="14"/>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2000" w:type="dxa"/>
            <w:vAlign w:val="bottom"/>
            <w:shd w:val="clear" w:color="auto" w:fill="CCEEFF"/>
          </w:tcPr>
          <w:p>
            <w:pPr>
              <w:spacing w:after="0" w:line="119" w:lineRule="exact"/>
              <w:rPr>
                <w:sz w:val="20"/>
                <w:szCs w:val="20"/>
                <w:color w:val="auto"/>
              </w:rPr>
            </w:pPr>
            <w:r>
              <w:rPr>
                <w:rFonts w:ascii="Arial" w:cs="Arial" w:eastAsia="Arial" w:hAnsi="Arial"/>
                <w:sz w:val="13"/>
                <w:szCs w:val="13"/>
                <w:b w:val="1"/>
                <w:bCs w:val="1"/>
                <w:color w:val="auto"/>
              </w:rPr>
              <w:t>Balance at December 27,</w:t>
            </w:r>
          </w:p>
        </w:tc>
        <w:tc>
          <w:tcPr>
            <w:tcW w:w="28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19,089</w:t>
            </w:r>
          </w:p>
        </w:tc>
        <w:tc>
          <w:tcPr>
            <w:tcW w:w="20" w:type="dxa"/>
            <w:vAlign w:val="bottom"/>
            <w:vMerge w:val="restart"/>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108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4"/>
                <w:szCs w:val="14"/>
                <w:b w:val="1"/>
                <w:bCs w:val="1"/>
                <w:color w:val="auto"/>
              </w:rPr>
              <w:t>128,830</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0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4"/>
                <w:szCs w:val="14"/>
                <w:b w:val="1"/>
                <w:bCs w:val="1"/>
                <w:color w:val="auto"/>
                <w:w w:val="98"/>
              </w:rPr>
              <w:t>393,312</w:t>
            </w:r>
          </w:p>
        </w:tc>
        <w:tc>
          <w:tcPr>
            <w:tcW w:w="12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104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4"/>
                <w:szCs w:val="14"/>
                <w:b w:val="1"/>
                <w:bCs w:val="1"/>
                <w:color w:val="auto"/>
              </w:rPr>
              <w:t>2,353</w:t>
            </w:r>
          </w:p>
        </w:tc>
        <w:tc>
          <w:tcPr>
            <w:tcW w:w="20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2"/>
            <w:vMerge w:val="restart"/>
            <w:shd w:val="clear" w:color="auto" w:fill="CCEEFF"/>
          </w:tcPr>
          <w:p>
            <w:pPr>
              <w:jc w:val="right"/>
              <w:ind w:right="199"/>
              <w:spacing w:after="0"/>
              <w:rPr>
                <w:sz w:val="20"/>
                <w:szCs w:val="20"/>
                <w:color w:val="auto"/>
              </w:rPr>
            </w:pPr>
            <w:r>
              <w:rPr>
                <w:rFonts w:ascii="Arial" w:cs="Arial" w:eastAsia="Arial" w:hAnsi="Arial"/>
                <w:sz w:val="14"/>
                <w:szCs w:val="14"/>
                <w:b w:val="1"/>
                <w:bCs w:val="1"/>
                <w:color w:val="auto"/>
              </w:rPr>
              <w:t>(1,701)</w:t>
            </w:r>
          </w:p>
        </w:tc>
        <w:tc>
          <w:tcPr>
            <w:tcW w:w="14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102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4"/>
                <w:szCs w:val="14"/>
                <w:b w:val="1"/>
                <w:bCs w:val="1"/>
                <w:color w:val="auto"/>
              </w:rPr>
              <w:t>6,343</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5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b w:val="1"/>
                <w:bCs w:val="1"/>
                <w:color w:val="auto"/>
                <w:w w:val="94"/>
              </w:rPr>
              <w:t>548,226</w:t>
            </w:r>
          </w:p>
        </w:tc>
        <w:tc>
          <w:tcPr>
            <w:tcW w:w="0" w:type="dxa"/>
            <w:vAlign w:val="bottom"/>
          </w:tcPr>
          <w:p>
            <w:pPr>
              <w:spacing w:after="0"/>
              <w:rPr>
                <w:sz w:val="1"/>
                <w:szCs w:val="1"/>
                <w:color w:val="auto"/>
              </w:rPr>
            </w:pPr>
          </w:p>
        </w:tc>
      </w:tr>
      <w:tr>
        <w:trPr>
          <w:trHeight w:val="171"/>
        </w:trPr>
        <w:tc>
          <w:tcPr>
            <w:tcW w:w="2000" w:type="dxa"/>
            <w:vAlign w:val="bottom"/>
            <w:shd w:val="clear" w:color="auto" w:fill="CCEEFF"/>
          </w:tcPr>
          <w:p>
            <w:pPr>
              <w:ind w:left="200"/>
              <w:spacing w:after="0"/>
              <w:rPr>
                <w:sz w:val="20"/>
                <w:szCs w:val="20"/>
                <w:color w:val="auto"/>
              </w:rPr>
            </w:pPr>
            <w:r>
              <w:rPr>
                <w:rFonts w:ascii="Arial" w:cs="Arial" w:eastAsia="Arial" w:hAnsi="Arial"/>
                <w:sz w:val="14"/>
                <w:szCs w:val="14"/>
                <w:b w:val="1"/>
                <w:bCs w:val="1"/>
                <w:color w:val="auto"/>
              </w:rPr>
              <w:t>2008</w:t>
            </w:r>
          </w:p>
        </w:tc>
        <w:tc>
          <w:tcPr>
            <w:tcW w:w="280" w:type="dxa"/>
            <w:vAlign w:val="bottom"/>
            <w:vMerge w:val="continue"/>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20" w:type="dxa"/>
            <w:vAlign w:val="bottom"/>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00" w:type="dxa"/>
            <w:vAlign w:val="bottom"/>
          </w:tcPr>
          <w:p>
            <w:pPr>
              <w:spacing w:after="0" w:line="149" w:lineRule="exact"/>
              <w:rPr>
                <w:sz w:val="20"/>
                <w:szCs w:val="20"/>
                <w:color w:val="auto"/>
              </w:rPr>
            </w:pPr>
            <w:r>
              <w:rPr>
                <w:rFonts w:ascii="Arial" w:cs="Arial" w:eastAsia="Arial" w:hAnsi="Arial"/>
                <w:sz w:val="14"/>
                <w:szCs w:val="14"/>
                <w:color w:val="auto"/>
              </w:rPr>
              <w:t>Comprehensive income:</w:t>
            </w: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earnings</w:t>
            </w: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(1,207)</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44</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00" w:type="dxa"/>
            <w:vAlign w:val="bottom"/>
          </w:tcPr>
          <w:p>
            <w:pPr>
              <w:ind w:left="200"/>
              <w:spacing w:after="0" w:line="130" w:lineRule="exact"/>
              <w:rPr>
                <w:sz w:val="20"/>
                <w:szCs w:val="20"/>
                <w:color w:val="auto"/>
              </w:rPr>
            </w:pPr>
            <w:r>
              <w:rPr>
                <w:rFonts w:ascii="Arial" w:cs="Arial" w:eastAsia="Arial" w:hAnsi="Arial"/>
                <w:sz w:val="14"/>
                <w:szCs w:val="14"/>
                <w:color w:val="auto"/>
              </w:rPr>
              <w:t>Foreign currency</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00" w:type="dxa"/>
            <w:vAlign w:val="bottom"/>
          </w:tcPr>
          <w:p>
            <w:pPr>
              <w:ind w:left="400"/>
              <w:spacing w:after="0"/>
              <w:rPr>
                <w:sz w:val="20"/>
                <w:szCs w:val="20"/>
                <w:color w:val="auto"/>
              </w:rPr>
            </w:pPr>
            <w:r>
              <w:rPr>
                <w:rFonts w:ascii="Arial" w:cs="Arial" w:eastAsia="Arial" w:hAnsi="Arial"/>
                <w:sz w:val="14"/>
                <w:szCs w:val="14"/>
                <w:color w:val="auto"/>
              </w:rPr>
              <w:t>translation adjustment</w:t>
            </w: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(247)</w:t>
            </w: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(256)</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Total comprehensive loss</w:t>
            </w: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(1,666)</w:t>
            </w:r>
          </w:p>
        </w:tc>
        <w:tc>
          <w:tcPr>
            <w:tcW w:w="0" w:type="dxa"/>
            <w:vAlign w:val="bottom"/>
          </w:tcPr>
          <w:p>
            <w:pPr>
              <w:spacing w:after="0"/>
              <w:rPr>
                <w:sz w:val="1"/>
                <w:szCs w:val="1"/>
                <w:color w:val="auto"/>
              </w:rPr>
            </w:pPr>
          </w:p>
        </w:tc>
      </w:tr>
      <w:tr>
        <w:trPr>
          <w:trHeight w:val="130"/>
        </w:trPr>
        <w:tc>
          <w:tcPr>
            <w:tcW w:w="2000" w:type="dxa"/>
            <w:vAlign w:val="bottom"/>
          </w:tcPr>
          <w:p>
            <w:pPr>
              <w:spacing w:after="0" w:line="130" w:lineRule="exact"/>
              <w:rPr>
                <w:sz w:val="20"/>
                <w:szCs w:val="20"/>
                <w:color w:val="auto"/>
              </w:rPr>
            </w:pPr>
            <w:r>
              <w:rPr>
                <w:rFonts w:ascii="Arial" w:cs="Arial" w:eastAsia="Arial" w:hAnsi="Arial"/>
                <w:sz w:val="14"/>
                <w:szCs w:val="14"/>
                <w:color w:val="auto"/>
              </w:rPr>
              <w:t>Distributions to noncontrolling</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00" w:type="dxa"/>
            <w:vAlign w:val="bottom"/>
          </w:tcPr>
          <w:p>
            <w:pPr>
              <w:ind w:left="200"/>
              <w:spacing w:after="0"/>
              <w:rPr>
                <w:sz w:val="20"/>
                <w:szCs w:val="20"/>
                <w:color w:val="auto"/>
              </w:rPr>
            </w:pPr>
            <w:r>
              <w:rPr>
                <w:rFonts w:ascii="Arial" w:cs="Arial" w:eastAsia="Arial" w:hAnsi="Arial"/>
                <w:sz w:val="14"/>
                <w:szCs w:val="14"/>
                <w:color w:val="auto"/>
              </w:rPr>
              <w:t>interest</w:t>
            </w: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(70)</w:t>
            </w:r>
          </w:p>
        </w:tc>
        <w:tc>
          <w:tcPr>
            <w:tcW w:w="120" w:type="dxa"/>
            <w:vAlign w:val="bottom"/>
          </w:tcPr>
          <w:p>
            <w:pPr>
              <w:spacing w:after="0"/>
              <w:rPr>
                <w:sz w:val="14"/>
                <w:szCs w:val="1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30"/>
        </w:trPr>
        <w:tc>
          <w:tcPr>
            <w:tcW w:w="20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15,602 shares</w:t>
            </w: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under employee stock plans</w:t>
            </w:r>
          </w:p>
        </w:tc>
        <w:tc>
          <w:tcPr>
            <w:tcW w:w="2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16</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301</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317</w:t>
            </w:r>
          </w:p>
        </w:tc>
        <w:tc>
          <w:tcPr>
            <w:tcW w:w="0" w:type="dxa"/>
            <w:vAlign w:val="bottom"/>
          </w:tcPr>
          <w:p>
            <w:pPr>
              <w:spacing w:after="0"/>
              <w:rPr>
                <w:sz w:val="1"/>
                <w:szCs w:val="1"/>
                <w:color w:val="auto"/>
              </w:rPr>
            </w:pPr>
          </w:p>
        </w:tc>
      </w:tr>
      <w:tr>
        <w:trPr>
          <w:trHeight w:val="130"/>
        </w:trPr>
        <w:tc>
          <w:tcPr>
            <w:tcW w:w="2000" w:type="dxa"/>
            <w:vAlign w:val="bottom"/>
          </w:tcPr>
          <w:p>
            <w:pPr>
              <w:spacing w:after="0" w:line="130" w:lineRule="exact"/>
              <w:rPr>
                <w:sz w:val="20"/>
                <w:szCs w:val="20"/>
                <w:color w:val="auto"/>
              </w:rPr>
            </w:pPr>
            <w:r>
              <w:rPr>
                <w:rFonts w:ascii="Arial" w:cs="Arial" w:eastAsia="Arial" w:hAnsi="Arial"/>
                <w:sz w:val="14"/>
                <w:szCs w:val="14"/>
                <w:color w:val="auto"/>
              </w:rPr>
              <w:t>Issuance of 3,630 shares under</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00" w:type="dxa"/>
            <w:vAlign w:val="bottom"/>
          </w:tcPr>
          <w:p>
            <w:pPr>
              <w:ind w:left="200"/>
              <w:spacing w:after="0"/>
              <w:rPr>
                <w:sz w:val="20"/>
                <w:szCs w:val="20"/>
                <w:color w:val="auto"/>
              </w:rPr>
            </w:pPr>
            <w:r>
              <w:rPr>
                <w:rFonts w:ascii="Arial" w:cs="Arial" w:eastAsia="Arial" w:hAnsi="Arial"/>
                <w:sz w:val="14"/>
                <w:szCs w:val="14"/>
                <w:color w:val="auto"/>
              </w:rPr>
              <w:t>stock grant programs</w:t>
            </w:r>
          </w:p>
        </w:tc>
        <w:tc>
          <w:tcPr>
            <w:tcW w:w="280" w:type="dxa"/>
            <w:vAlign w:val="bottom"/>
          </w:tcPr>
          <w:p>
            <w:pPr>
              <w:spacing w:after="0"/>
              <w:rPr>
                <w:sz w:val="14"/>
                <w:szCs w:val="14"/>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4"/>
                <w:szCs w:val="14"/>
                <w:color w:val="auto"/>
              </w:rPr>
              <w:t>4</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4"/>
                <w:szCs w:val="14"/>
                <w:color w:val="auto"/>
              </w:rPr>
              <w:t>74</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130"/>
        </w:trPr>
        <w:tc>
          <w:tcPr>
            <w:tcW w:w="20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72,179 shares</w:t>
            </w: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under deferred</w:t>
            </w: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compensation plans</w:t>
            </w:r>
          </w:p>
        </w:tc>
        <w:tc>
          <w:tcPr>
            <w:tcW w:w="2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72</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(72)</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00" w:type="dxa"/>
            <w:vAlign w:val="bottom"/>
          </w:tcPr>
          <w:p>
            <w:pPr>
              <w:spacing w:after="0" w:line="130" w:lineRule="exact"/>
              <w:rPr>
                <w:sz w:val="20"/>
                <w:szCs w:val="20"/>
                <w:color w:val="auto"/>
              </w:rPr>
            </w:pPr>
            <w:r>
              <w:rPr>
                <w:rFonts w:ascii="Arial" w:cs="Arial" w:eastAsia="Arial" w:hAnsi="Arial"/>
                <w:sz w:val="14"/>
                <w:szCs w:val="14"/>
                <w:color w:val="auto"/>
              </w:rPr>
              <w:t>Received 1,530 shares for the</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00" w:type="dxa"/>
            <w:vAlign w:val="bottom"/>
          </w:tcPr>
          <w:p>
            <w:pPr>
              <w:ind w:left="200"/>
              <w:spacing w:after="0"/>
              <w:rPr>
                <w:sz w:val="20"/>
                <w:szCs w:val="20"/>
                <w:color w:val="auto"/>
              </w:rPr>
            </w:pPr>
            <w:r>
              <w:rPr>
                <w:rFonts w:ascii="Arial" w:cs="Arial" w:eastAsia="Arial" w:hAnsi="Arial"/>
                <w:sz w:val="14"/>
                <w:szCs w:val="14"/>
                <w:color w:val="auto"/>
              </w:rPr>
              <w:t>exercise of stock options</w:t>
            </w:r>
          </w:p>
        </w:tc>
        <w:tc>
          <w:tcPr>
            <w:tcW w:w="280" w:type="dxa"/>
            <w:vAlign w:val="bottom"/>
          </w:tcPr>
          <w:p>
            <w:pPr>
              <w:spacing w:after="0"/>
              <w:rPr>
                <w:sz w:val="14"/>
                <w:szCs w:val="14"/>
                <w:color w:val="auto"/>
              </w:rPr>
            </w:pPr>
          </w:p>
        </w:tc>
        <w:tc>
          <w:tcPr>
            <w:tcW w:w="900" w:type="dxa"/>
            <w:vAlign w:val="bottom"/>
            <w:gridSpan w:val="3"/>
          </w:tcPr>
          <w:p>
            <w:pPr>
              <w:jc w:val="right"/>
              <w:ind w:right="240"/>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30"/>
        </w:trPr>
        <w:tc>
          <w:tcPr>
            <w:tcW w:w="20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Tax benefits from non-</w:t>
            </w: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qualified stock options</w:t>
            </w: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exercised</w:t>
            </w: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30"/>
        </w:trPr>
        <w:tc>
          <w:tcPr>
            <w:tcW w:w="2000" w:type="dxa"/>
            <w:vAlign w:val="bottom"/>
          </w:tcPr>
          <w:p>
            <w:pPr>
              <w:spacing w:after="0" w:line="130" w:lineRule="exact"/>
              <w:rPr>
                <w:sz w:val="20"/>
                <w:szCs w:val="20"/>
                <w:color w:val="auto"/>
              </w:rPr>
            </w:pPr>
            <w:r>
              <w:rPr>
                <w:rFonts w:ascii="Arial" w:cs="Arial" w:eastAsia="Arial" w:hAnsi="Arial"/>
                <w:sz w:val="14"/>
                <w:szCs w:val="14"/>
                <w:color w:val="auto"/>
              </w:rPr>
              <w:t>Deferred income tax asset</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00" w:type="dxa"/>
            <w:vAlign w:val="bottom"/>
          </w:tcPr>
          <w:p>
            <w:pPr>
              <w:ind w:left="200"/>
              <w:spacing w:after="0" w:line="149" w:lineRule="exact"/>
              <w:rPr>
                <w:sz w:val="20"/>
                <w:szCs w:val="20"/>
                <w:color w:val="auto"/>
              </w:rPr>
            </w:pPr>
            <w:r>
              <w:rPr>
                <w:rFonts w:ascii="Arial" w:cs="Arial" w:eastAsia="Arial" w:hAnsi="Arial"/>
                <w:sz w:val="14"/>
                <w:szCs w:val="14"/>
                <w:color w:val="auto"/>
              </w:rPr>
              <w:t>reversal for deferred</w:t>
            </w: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00" w:type="dxa"/>
            <w:vAlign w:val="bottom"/>
          </w:tcPr>
          <w:p>
            <w:pPr>
              <w:ind w:left="200"/>
              <w:spacing w:after="0"/>
              <w:rPr>
                <w:sz w:val="20"/>
                <w:szCs w:val="20"/>
                <w:color w:val="auto"/>
              </w:rPr>
            </w:pPr>
            <w:r>
              <w:rPr>
                <w:rFonts w:ascii="Arial" w:cs="Arial" w:eastAsia="Arial" w:hAnsi="Arial"/>
                <w:sz w:val="14"/>
                <w:szCs w:val="14"/>
                <w:color w:val="auto"/>
              </w:rPr>
              <w:t>compensation plans</w:t>
            </w: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(518)</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4"/>
                <w:szCs w:val="14"/>
                <w:color w:val="auto"/>
              </w:rPr>
              <w:t>(518)</w:t>
            </w:r>
          </w:p>
        </w:tc>
        <w:tc>
          <w:tcPr>
            <w:tcW w:w="0" w:type="dxa"/>
            <w:vAlign w:val="bottom"/>
          </w:tcPr>
          <w:p>
            <w:pPr>
              <w:spacing w:after="0"/>
              <w:rPr>
                <w:sz w:val="1"/>
                <w:szCs w:val="1"/>
                <w:color w:val="auto"/>
              </w:rPr>
            </w:pPr>
          </w:p>
        </w:tc>
      </w:tr>
      <w:tr>
        <w:trPr>
          <w:trHeight w:val="130"/>
        </w:trPr>
        <w:tc>
          <w:tcPr>
            <w:tcW w:w="20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Expense associated with share-</w:t>
            </w: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based compensation</w:t>
            </w: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arrangements</w:t>
            </w: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637</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637</w:t>
            </w:r>
          </w:p>
        </w:tc>
        <w:tc>
          <w:tcPr>
            <w:tcW w:w="0" w:type="dxa"/>
            <w:vAlign w:val="bottom"/>
          </w:tcPr>
          <w:p>
            <w:pPr>
              <w:spacing w:after="0"/>
              <w:rPr>
                <w:sz w:val="1"/>
                <w:szCs w:val="1"/>
                <w:color w:val="auto"/>
              </w:rPr>
            </w:pPr>
          </w:p>
        </w:tc>
      </w:tr>
      <w:tr>
        <w:trPr>
          <w:trHeight w:val="130"/>
        </w:trPr>
        <w:tc>
          <w:tcPr>
            <w:tcW w:w="2000" w:type="dxa"/>
            <w:vAlign w:val="bottom"/>
          </w:tcPr>
          <w:p>
            <w:pPr>
              <w:spacing w:after="0" w:line="130" w:lineRule="exact"/>
              <w:rPr>
                <w:sz w:val="20"/>
                <w:szCs w:val="20"/>
                <w:color w:val="auto"/>
              </w:rPr>
            </w:pPr>
            <w:r>
              <w:rPr>
                <w:rFonts w:ascii="Arial" w:cs="Arial" w:eastAsia="Arial" w:hAnsi="Arial"/>
                <w:sz w:val="14"/>
                <w:szCs w:val="14"/>
                <w:color w:val="auto"/>
              </w:rPr>
              <w:t>Accrued expense under</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00" w:type="dxa"/>
            <w:vAlign w:val="bottom"/>
          </w:tcPr>
          <w:p>
            <w:pPr>
              <w:ind w:left="200"/>
              <w:spacing w:after="0" w:line="149" w:lineRule="exact"/>
              <w:rPr>
                <w:sz w:val="20"/>
                <w:szCs w:val="20"/>
                <w:color w:val="auto"/>
              </w:rPr>
            </w:pPr>
            <w:r>
              <w:rPr>
                <w:rFonts w:ascii="Arial" w:cs="Arial" w:eastAsia="Arial" w:hAnsi="Arial"/>
                <w:sz w:val="14"/>
                <w:szCs w:val="14"/>
                <w:color w:val="auto"/>
              </w:rPr>
              <w:t>deferred compensation</w:t>
            </w: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00" w:type="dxa"/>
            <w:vAlign w:val="bottom"/>
          </w:tcPr>
          <w:p>
            <w:pPr>
              <w:ind w:left="200"/>
              <w:spacing w:after="0"/>
              <w:rPr>
                <w:sz w:val="20"/>
                <w:szCs w:val="20"/>
                <w:color w:val="auto"/>
              </w:rPr>
            </w:pPr>
            <w:r>
              <w:rPr>
                <w:rFonts w:ascii="Arial" w:cs="Arial" w:eastAsia="Arial" w:hAnsi="Arial"/>
                <w:sz w:val="14"/>
                <w:szCs w:val="14"/>
                <w:color w:val="auto"/>
              </w:rPr>
              <w:t>plans</w:t>
            </w: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4"/>
                <w:szCs w:val="14"/>
                <w:color w:val="auto"/>
              </w:rPr>
              <w:t>330</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rPr>
              <w:t>330</w:t>
            </w:r>
          </w:p>
        </w:tc>
        <w:tc>
          <w:tcPr>
            <w:tcW w:w="0" w:type="dxa"/>
            <w:vAlign w:val="bottom"/>
          </w:tcPr>
          <w:p>
            <w:pPr>
              <w:spacing w:after="0"/>
              <w:rPr>
                <w:sz w:val="1"/>
                <w:szCs w:val="1"/>
                <w:color w:val="auto"/>
              </w:rPr>
            </w:pPr>
          </w:p>
        </w:tc>
      </w:tr>
      <w:tr>
        <w:trPr>
          <w:trHeight w:val="130"/>
        </w:trPr>
        <w:tc>
          <w:tcPr>
            <w:tcW w:w="20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Payments received on</w:t>
            </w: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employee stock notes</w:t>
            </w: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receivable</w:t>
            </w: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39"/>
              <w:spacing w:after="0"/>
              <w:rPr>
                <w:sz w:val="20"/>
                <w:szCs w:val="20"/>
                <w:color w:val="auto"/>
              </w:rPr>
            </w:pPr>
            <w:r>
              <w:rPr>
                <w:rFonts w:ascii="Arial" w:cs="Arial" w:eastAsia="Arial" w:hAnsi="Arial"/>
                <w:sz w:val="14"/>
                <w:szCs w:val="14"/>
                <w:color w:val="auto"/>
              </w:rPr>
              <w:t>29</w:t>
            </w: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56"/>
        </w:trPr>
        <w:tc>
          <w:tcPr>
            <w:tcW w:w="2000" w:type="dxa"/>
            <w:vAlign w:val="bottom"/>
          </w:tcPr>
          <w:p>
            <w:pPr>
              <w:spacing w:after="0" w:line="155" w:lineRule="exact"/>
              <w:rPr>
                <w:sz w:val="20"/>
                <w:szCs w:val="20"/>
                <w:color w:val="auto"/>
              </w:rPr>
            </w:pPr>
            <w:r>
              <w:rPr>
                <w:rFonts w:ascii="Arial" w:cs="Arial" w:eastAsia="Arial" w:hAnsi="Arial"/>
                <w:sz w:val="14"/>
                <w:szCs w:val="14"/>
                <w:b w:val="1"/>
                <w:bCs w:val="1"/>
                <w:color w:val="auto"/>
              </w:rPr>
              <w:t>Balance at March 28, 2009</w:t>
            </w:r>
          </w:p>
        </w:tc>
        <w:tc>
          <w:tcPr>
            <w:tcW w:w="2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19,179</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129,558</w:t>
            </w:r>
          </w:p>
        </w:tc>
        <w:tc>
          <w:tcPr>
            <w:tcW w:w="2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4"/>
              </w:rPr>
              <w:t>392,105</w:t>
            </w:r>
          </w:p>
        </w:tc>
        <w:tc>
          <w:tcPr>
            <w:tcW w:w="30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2,106</w:t>
            </w:r>
          </w:p>
        </w:tc>
        <w:tc>
          <w:tcPr>
            <w:tcW w:w="28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(1,672</w:t>
            </w:r>
          </w:p>
        </w:tc>
        <w:tc>
          <w:tcPr>
            <w:tcW w:w="280" w:type="dxa"/>
            <w:vAlign w:val="bottom"/>
          </w:tcPr>
          <w:p>
            <w:pPr>
              <w:jc w:val="right"/>
              <w:ind w:right="199"/>
              <w:spacing w:after="0"/>
              <w:rPr>
                <w:sz w:val="20"/>
                <w:szCs w:val="20"/>
                <w:color w:val="auto"/>
              </w:rPr>
            </w:pPr>
            <w:r>
              <w:rPr>
                <w:rFonts w:ascii="Arial" w:cs="Arial" w:eastAsia="Arial" w:hAnsi="Arial"/>
                <w:sz w:val="8"/>
                <w:szCs w:val="8"/>
                <w:b w:val="1"/>
                <w:bCs w:val="1"/>
                <w:color w:val="auto"/>
                <w:w w:val="73"/>
              </w:rPr>
              <w:t>)</w:t>
            </w:r>
          </w:p>
        </w:tc>
        <w:tc>
          <w:tcPr>
            <w:tcW w:w="1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6,061</w:t>
            </w:r>
          </w:p>
        </w:tc>
        <w:tc>
          <w:tcPr>
            <w:tcW w:w="2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4"/>
              </w:rPr>
              <w:t>547,337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0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Balance at December 26,</w:t>
            </w:r>
          </w:p>
        </w:tc>
        <w:tc>
          <w:tcPr>
            <w:tcW w:w="28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6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19,285</w:t>
            </w:r>
          </w:p>
        </w:tc>
        <w:tc>
          <w:tcPr>
            <w:tcW w:w="26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108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4"/>
                <w:szCs w:val="14"/>
                <w:b w:val="1"/>
                <w:bCs w:val="1"/>
                <w:color w:val="auto"/>
              </w:rPr>
              <w:t>132,765</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0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4"/>
                <w:szCs w:val="14"/>
                <w:b w:val="1"/>
                <w:bCs w:val="1"/>
                <w:color w:val="auto"/>
                <w:w w:val="98"/>
              </w:rPr>
              <w:t>409,278</w:t>
            </w:r>
          </w:p>
        </w:tc>
        <w:tc>
          <w:tcPr>
            <w:tcW w:w="12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104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4"/>
                <w:szCs w:val="14"/>
                <w:b w:val="1"/>
                <w:bCs w:val="1"/>
                <w:color w:val="auto"/>
              </w:rPr>
              <w:t>3,633</w:t>
            </w:r>
          </w:p>
        </w:tc>
        <w:tc>
          <w:tcPr>
            <w:tcW w:w="20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2"/>
            <w:vMerge w:val="restart"/>
            <w:shd w:val="clear" w:color="auto" w:fill="CCEEFF"/>
          </w:tcPr>
          <w:p>
            <w:pPr>
              <w:jc w:val="right"/>
              <w:ind w:right="199"/>
              <w:spacing w:after="0"/>
              <w:rPr>
                <w:sz w:val="20"/>
                <w:szCs w:val="20"/>
                <w:color w:val="auto"/>
              </w:rPr>
            </w:pPr>
            <w:r>
              <w:rPr>
                <w:rFonts w:ascii="Arial" w:cs="Arial" w:eastAsia="Arial" w:hAnsi="Arial"/>
                <w:sz w:val="14"/>
                <w:szCs w:val="14"/>
                <w:b w:val="1"/>
                <w:bCs w:val="1"/>
                <w:color w:val="auto"/>
              </w:rPr>
              <w:t>(1,743)</w:t>
            </w:r>
          </w:p>
        </w:tc>
        <w:tc>
          <w:tcPr>
            <w:tcW w:w="14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102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4"/>
                <w:szCs w:val="14"/>
                <w:b w:val="1"/>
                <w:bCs w:val="1"/>
                <w:color w:val="auto"/>
              </w:rPr>
              <w:t>5,728</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5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b w:val="1"/>
                <w:bCs w:val="1"/>
                <w:color w:val="auto"/>
                <w:w w:val="94"/>
              </w:rPr>
              <w:t>568,946</w:t>
            </w:r>
          </w:p>
        </w:tc>
        <w:tc>
          <w:tcPr>
            <w:tcW w:w="0" w:type="dxa"/>
            <w:vAlign w:val="bottom"/>
          </w:tcPr>
          <w:p>
            <w:pPr>
              <w:spacing w:after="0"/>
              <w:rPr>
                <w:sz w:val="1"/>
                <w:szCs w:val="1"/>
                <w:color w:val="auto"/>
              </w:rPr>
            </w:pPr>
          </w:p>
        </w:tc>
      </w:tr>
      <w:tr>
        <w:trPr>
          <w:trHeight w:val="171"/>
        </w:trPr>
        <w:tc>
          <w:tcPr>
            <w:tcW w:w="2000" w:type="dxa"/>
            <w:vAlign w:val="bottom"/>
            <w:shd w:val="clear" w:color="auto" w:fill="CCEEFF"/>
          </w:tcPr>
          <w:p>
            <w:pPr>
              <w:ind w:left="200"/>
              <w:spacing w:after="0"/>
              <w:rPr>
                <w:sz w:val="20"/>
                <w:szCs w:val="20"/>
                <w:color w:val="auto"/>
              </w:rPr>
            </w:pPr>
            <w:r>
              <w:rPr>
                <w:rFonts w:ascii="Arial" w:cs="Arial" w:eastAsia="Arial" w:hAnsi="Arial"/>
                <w:sz w:val="14"/>
                <w:szCs w:val="14"/>
                <w:b w:val="1"/>
                <w:bCs w:val="1"/>
                <w:color w:val="auto"/>
              </w:rPr>
              <w:t>2009</w:t>
            </w:r>
          </w:p>
        </w:tc>
        <w:tc>
          <w:tcPr>
            <w:tcW w:w="280" w:type="dxa"/>
            <w:vAlign w:val="bottom"/>
            <w:vMerge w:val="continue"/>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00" w:type="dxa"/>
            <w:vAlign w:val="bottom"/>
          </w:tcPr>
          <w:p>
            <w:pPr>
              <w:spacing w:after="0" w:line="149" w:lineRule="exact"/>
              <w:rPr>
                <w:sz w:val="20"/>
                <w:szCs w:val="20"/>
                <w:color w:val="auto"/>
              </w:rPr>
            </w:pPr>
            <w:r>
              <w:rPr>
                <w:rFonts w:ascii="Arial" w:cs="Arial" w:eastAsia="Arial" w:hAnsi="Arial"/>
                <w:sz w:val="14"/>
                <w:szCs w:val="14"/>
                <w:color w:val="auto"/>
              </w:rPr>
              <w:t>Comprehensive income:</w:t>
            </w: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earnings</w:t>
            </w: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987</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733</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00" w:type="dxa"/>
            <w:vAlign w:val="bottom"/>
          </w:tcPr>
          <w:p>
            <w:pPr>
              <w:ind w:left="200"/>
              <w:spacing w:after="0" w:line="130" w:lineRule="exact"/>
              <w:rPr>
                <w:sz w:val="20"/>
                <w:szCs w:val="20"/>
                <w:color w:val="auto"/>
              </w:rPr>
            </w:pPr>
            <w:r>
              <w:rPr>
                <w:rFonts w:ascii="Arial" w:cs="Arial" w:eastAsia="Arial" w:hAnsi="Arial"/>
                <w:sz w:val="14"/>
                <w:szCs w:val="14"/>
                <w:color w:val="auto"/>
              </w:rPr>
              <w:t>Foreign currency</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00" w:type="dxa"/>
            <w:vAlign w:val="bottom"/>
          </w:tcPr>
          <w:p>
            <w:pPr>
              <w:ind w:left="400"/>
              <w:spacing w:after="0"/>
              <w:rPr>
                <w:sz w:val="20"/>
                <w:szCs w:val="20"/>
                <w:color w:val="auto"/>
              </w:rPr>
            </w:pPr>
            <w:r>
              <w:rPr>
                <w:rFonts w:ascii="Arial" w:cs="Arial" w:eastAsia="Arial" w:hAnsi="Arial"/>
                <w:sz w:val="14"/>
                <w:szCs w:val="14"/>
                <w:color w:val="auto"/>
              </w:rPr>
              <w:t>translation adjustment</w:t>
            </w: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4"/>
                <w:szCs w:val="14"/>
                <w:color w:val="auto"/>
              </w:rPr>
              <w:t>428</w:t>
            </w: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4"/>
                <w:szCs w:val="14"/>
                <w:color w:val="auto"/>
              </w:rPr>
              <w:t>122</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0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rPr>
              <w:t>Total comprehensive</w:t>
            </w: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00" w:type="dxa"/>
            <w:vAlign w:val="bottom"/>
            <w:shd w:val="clear" w:color="auto" w:fill="CCEEFF"/>
          </w:tcPr>
          <w:p>
            <w:pPr>
              <w:ind w:left="400"/>
              <w:spacing w:after="0"/>
              <w:rPr>
                <w:sz w:val="20"/>
                <w:szCs w:val="20"/>
                <w:color w:val="auto"/>
              </w:rPr>
            </w:pPr>
            <w:r>
              <w:rPr>
                <w:rFonts w:ascii="Arial" w:cs="Arial" w:eastAsia="Arial" w:hAnsi="Arial"/>
                <w:sz w:val="14"/>
                <w:szCs w:val="14"/>
                <w:color w:val="auto"/>
              </w:rPr>
              <w:t>earnings</w:t>
            </w: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2,270</w:t>
            </w:r>
          </w:p>
        </w:tc>
        <w:tc>
          <w:tcPr>
            <w:tcW w:w="0" w:type="dxa"/>
            <w:vAlign w:val="bottom"/>
          </w:tcPr>
          <w:p>
            <w:pPr>
              <w:spacing w:after="0"/>
              <w:rPr>
                <w:sz w:val="1"/>
                <w:szCs w:val="1"/>
                <w:color w:val="auto"/>
              </w:rPr>
            </w:pPr>
          </w:p>
        </w:tc>
      </w:tr>
      <w:tr>
        <w:trPr>
          <w:trHeight w:val="130"/>
        </w:trPr>
        <w:tc>
          <w:tcPr>
            <w:tcW w:w="2000" w:type="dxa"/>
            <w:vAlign w:val="bottom"/>
          </w:tcPr>
          <w:p>
            <w:pPr>
              <w:spacing w:after="0" w:line="130" w:lineRule="exact"/>
              <w:rPr>
                <w:sz w:val="20"/>
                <w:szCs w:val="20"/>
                <w:color w:val="auto"/>
              </w:rPr>
            </w:pPr>
            <w:r>
              <w:rPr>
                <w:rFonts w:ascii="Arial" w:cs="Arial" w:eastAsia="Arial" w:hAnsi="Arial"/>
                <w:sz w:val="14"/>
                <w:szCs w:val="14"/>
                <w:color w:val="auto"/>
              </w:rPr>
              <w:t>Distributions to noncontrolling</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00" w:type="dxa"/>
            <w:vAlign w:val="bottom"/>
          </w:tcPr>
          <w:p>
            <w:pPr>
              <w:ind w:left="200"/>
              <w:spacing w:after="0"/>
              <w:rPr>
                <w:sz w:val="20"/>
                <w:szCs w:val="20"/>
                <w:color w:val="auto"/>
              </w:rPr>
            </w:pPr>
            <w:r>
              <w:rPr>
                <w:rFonts w:ascii="Arial" w:cs="Arial" w:eastAsia="Arial" w:hAnsi="Arial"/>
                <w:sz w:val="14"/>
                <w:szCs w:val="14"/>
                <w:color w:val="auto"/>
              </w:rPr>
              <w:t>interest</w:t>
            </w: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(90)</w:t>
            </w:r>
          </w:p>
        </w:tc>
        <w:tc>
          <w:tcPr>
            <w:tcW w:w="120" w:type="dxa"/>
            <w:vAlign w:val="bottom"/>
          </w:tcPr>
          <w:p>
            <w:pPr>
              <w:spacing w:after="0"/>
              <w:rPr>
                <w:sz w:val="14"/>
                <w:szCs w:val="1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130"/>
        </w:trPr>
        <w:tc>
          <w:tcPr>
            <w:tcW w:w="20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14,945 shares</w:t>
            </w: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under employee stock plans</w:t>
            </w:r>
          </w:p>
        </w:tc>
        <w:tc>
          <w:tcPr>
            <w:tcW w:w="2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15</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264</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279</w:t>
            </w:r>
          </w:p>
        </w:tc>
        <w:tc>
          <w:tcPr>
            <w:tcW w:w="0" w:type="dxa"/>
            <w:vAlign w:val="bottom"/>
          </w:tcPr>
          <w:p>
            <w:pPr>
              <w:spacing w:after="0"/>
              <w:rPr>
                <w:sz w:val="1"/>
                <w:szCs w:val="1"/>
                <w:color w:val="auto"/>
              </w:rPr>
            </w:pPr>
          </w:p>
        </w:tc>
      </w:tr>
      <w:tr>
        <w:trPr>
          <w:trHeight w:val="130"/>
        </w:trPr>
        <w:tc>
          <w:tcPr>
            <w:tcW w:w="2000" w:type="dxa"/>
            <w:vAlign w:val="bottom"/>
          </w:tcPr>
          <w:p>
            <w:pPr>
              <w:spacing w:after="0" w:line="130" w:lineRule="exact"/>
              <w:rPr>
                <w:sz w:val="20"/>
                <w:szCs w:val="20"/>
                <w:color w:val="auto"/>
              </w:rPr>
            </w:pPr>
            <w:r>
              <w:rPr>
                <w:rFonts w:ascii="Arial" w:cs="Arial" w:eastAsia="Arial" w:hAnsi="Arial"/>
                <w:sz w:val="14"/>
                <w:szCs w:val="14"/>
                <w:color w:val="auto"/>
              </w:rPr>
              <w:t>Issuance of 76,045 shares</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00" w:type="dxa"/>
            <w:vAlign w:val="bottom"/>
          </w:tcPr>
          <w:p>
            <w:pPr>
              <w:ind w:left="200"/>
              <w:spacing w:after="0"/>
              <w:rPr>
                <w:sz w:val="20"/>
                <w:szCs w:val="20"/>
                <w:color w:val="auto"/>
              </w:rPr>
            </w:pPr>
            <w:r>
              <w:rPr>
                <w:rFonts w:ascii="Arial" w:cs="Arial" w:eastAsia="Arial" w:hAnsi="Arial"/>
                <w:sz w:val="14"/>
                <w:szCs w:val="14"/>
                <w:color w:val="auto"/>
              </w:rPr>
              <w:t>under stock grant programs</w:t>
            </w:r>
          </w:p>
        </w:tc>
        <w:tc>
          <w:tcPr>
            <w:tcW w:w="280" w:type="dxa"/>
            <w:vAlign w:val="bottom"/>
          </w:tcPr>
          <w:p>
            <w:pPr>
              <w:spacing w:after="0"/>
              <w:rPr>
                <w:sz w:val="14"/>
                <w:szCs w:val="14"/>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4"/>
                <w:szCs w:val="14"/>
                <w:color w:val="auto"/>
              </w:rPr>
              <w:t>76</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4"/>
                <w:szCs w:val="14"/>
                <w:color w:val="auto"/>
              </w:rPr>
              <w:t>37</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r>
        <w:trPr>
          <w:trHeight w:val="130"/>
        </w:trPr>
        <w:tc>
          <w:tcPr>
            <w:tcW w:w="20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5,830 shares under</w:t>
            </w: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deferred compensation</w:t>
            </w: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plans</w:t>
            </w:r>
          </w:p>
        </w:tc>
        <w:tc>
          <w:tcPr>
            <w:tcW w:w="2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00" w:type="dxa"/>
            <w:vAlign w:val="bottom"/>
          </w:tcPr>
          <w:p>
            <w:pPr>
              <w:spacing w:after="0" w:line="149" w:lineRule="exact"/>
              <w:rPr>
                <w:sz w:val="20"/>
                <w:szCs w:val="20"/>
                <w:color w:val="auto"/>
              </w:rPr>
            </w:pPr>
            <w:r>
              <w:rPr>
                <w:rFonts w:ascii="Arial" w:cs="Arial" w:eastAsia="Arial" w:hAnsi="Arial"/>
                <w:sz w:val="14"/>
                <w:szCs w:val="14"/>
                <w:color w:val="auto"/>
              </w:rPr>
              <w:t>Repurchase of 20,000 shares</w:t>
            </w:r>
          </w:p>
        </w:tc>
        <w:tc>
          <w:tcPr>
            <w:tcW w:w="280" w:type="dxa"/>
            <w:vAlign w:val="bottom"/>
          </w:tcPr>
          <w:p>
            <w:pPr>
              <w:spacing w:after="0"/>
              <w:rPr>
                <w:sz w:val="12"/>
                <w:szCs w:val="12"/>
                <w:color w:val="auto"/>
              </w:rPr>
            </w:pPr>
          </w:p>
        </w:tc>
        <w:tc>
          <w:tcPr>
            <w:tcW w:w="90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(20)</w:t>
            </w: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(660)</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(680)</w:t>
            </w:r>
          </w:p>
        </w:tc>
        <w:tc>
          <w:tcPr>
            <w:tcW w:w="0" w:type="dxa"/>
            <w:vAlign w:val="bottom"/>
          </w:tcPr>
          <w:p>
            <w:pPr>
              <w:spacing w:after="0"/>
              <w:rPr>
                <w:sz w:val="1"/>
                <w:szCs w:val="1"/>
                <w:color w:val="auto"/>
              </w:rPr>
            </w:pPr>
          </w:p>
        </w:tc>
      </w:tr>
      <w:tr>
        <w:trPr>
          <w:trHeight w:val="130"/>
        </w:trPr>
        <w:tc>
          <w:tcPr>
            <w:tcW w:w="20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Tax benefits from non-</w:t>
            </w: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qualified stock options</w:t>
            </w: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exercised</w:t>
            </w: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79</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130"/>
        </w:trPr>
        <w:tc>
          <w:tcPr>
            <w:tcW w:w="2000" w:type="dxa"/>
            <w:vAlign w:val="bottom"/>
          </w:tcPr>
          <w:p>
            <w:pPr>
              <w:spacing w:after="0" w:line="130" w:lineRule="exact"/>
              <w:rPr>
                <w:sz w:val="20"/>
                <w:szCs w:val="20"/>
                <w:color w:val="auto"/>
              </w:rPr>
            </w:pPr>
            <w:r>
              <w:rPr>
                <w:rFonts w:ascii="Arial" w:cs="Arial" w:eastAsia="Arial" w:hAnsi="Arial"/>
                <w:sz w:val="14"/>
                <w:szCs w:val="14"/>
                <w:color w:val="auto"/>
              </w:rPr>
              <w:t>Expense associated with share-</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00" w:type="dxa"/>
            <w:vAlign w:val="bottom"/>
          </w:tcPr>
          <w:p>
            <w:pPr>
              <w:ind w:left="200"/>
              <w:spacing w:after="0" w:line="149" w:lineRule="exact"/>
              <w:rPr>
                <w:sz w:val="20"/>
                <w:szCs w:val="20"/>
                <w:color w:val="auto"/>
              </w:rPr>
            </w:pPr>
            <w:r>
              <w:rPr>
                <w:rFonts w:ascii="Arial" w:cs="Arial" w:eastAsia="Arial" w:hAnsi="Arial"/>
                <w:sz w:val="14"/>
                <w:szCs w:val="14"/>
                <w:color w:val="auto"/>
              </w:rPr>
              <w:t>based compensation</w:t>
            </w: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00" w:type="dxa"/>
            <w:vAlign w:val="bottom"/>
          </w:tcPr>
          <w:p>
            <w:pPr>
              <w:ind w:left="200"/>
              <w:spacing w:after="0"/>
              <w:rPr>
                <w:sz w:val="20"/>
                <w:szCs w:val="20"/>
                <w:color w:val="auto"/>
              </w:rPr>
            </w:pPr>
            <w:r>
              <w:rPr>
                <w:rFonts w:ascii="Arial" w:cs="Arial" w:eastAsia="Arial" w:hAnsi="Arial"/>
                <w:sz w:val="14"/>
                <w:szCs w:val="14"/>
                <w:color w:val="auto"/>
              </w:rPr>
              <w:t>arrangements</w:t>
            </w: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4"/>
                <w:szCs w:val="14"/>
                <w:color w:val="auto"/>
              </w:rPr>
              <w:t>660</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rPr>
              <w:t>660</w:t>
            </w:r>
          </w:p>
        </w:tc>
        <w:tc>
          <w:tcPr>
            <w:tcW w:w="0" w:type="dxa"/>
            <w:vAlign w:val="bottom"/>
          </w:tcPr>
          <w:p>
            <w:pPr>
              <w:spacing w:after="0"/>
              <w:rPr>
                <w:sz w:val="1"/>
                <w:szCs w:val="1"/>
                <w:color w:val="auto"/>
              </w:rPr>
            </w:pPr>
          </w:p>
        </w:tc>
      </w:tr>
      <w:tr>
        <w:trPr>
          <w:trHeight w:val="130"/>
        </w:trPr>
        <w:tc>
          <w:tcPr>
            <w:tcW w:w="20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Accrued expense under</w:t>
            </w: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deferred compensation</w:t>
            </w: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plans</w:t>
            </w: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327</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327</w:t>
            </w:r>
          </w:p>
        </w:tc>
        <w:tc>
          <w:tcPr>
            <w:tcW w:w="0" w:type="dxa"/>
            <w:vAlign w:val="bottom"/>
          </w:tcPr>
          <w:p>
            <w:pPr>
              <w:spacing w:after="0"/>
              <w:rPr>
                <w:sz w:val="1"/>
                <w:szCs w:val="1"/>
                <w:color w:val="auto"/>
              </w:rPr>
            </w:pPr>
          </w:p>
        </w:tc>
      </w:tr>
      <w:tr>
        <w:trPr>
          <w:trHeight w:val="149"/>
        </w:trPr>
        <w:tc>
          <w:tcPr>
            <w:tcW w:w="2000" w:type="dxa"/>
            <w:vAlign w:val="bottom"/>
          </w:tcPr>
          <w:p>
            <w:pPr>
              <w:spacing w:after="0" w:line="149" w:lineRule="exact"/>
              <w:rPr>
                <w:sz w:val="20"/>
                <w:szCs w:val="20"/>
                <w:color w:val="auto"/>
              </w:rPr>
            </w:pPr>
            <w:r>
              <w:rPr>
                <w:rFonts w:ascii="Arial" w:cs="Arial" w:eastAsia="Arial" w:hAnsi="Arial"/>
                <w:sz w:val="14"/>
                <w:szCs w:val="14"/>
                <w:color w:val="auto"/>
              </w:rPr>
              <w:t>Notes receivable adjustment</w:t>
            </w: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(18)</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tcPr>
          <w:p>
            <w:pPr>
              <w:jc w:val="right"/>
              <w:ind w:right="199"/>
              <w:spacing w:after="0" w:line="149" w:lineRule="exact"/>
              <w:rPr>
                <w:sz w:val="20"/>
                <w:szCs w:val="20"/>
                <w:color w:val="auto"/>
              </w:rPr>
            </w:pPr>
            <w:r>
              <w:rPr>
                <w:rFonts w:ascii="Arial" w:cs="Arial" w:eastAsia="Arial" w:hAnsi="Arial"/>
                <w:sz w:val="14"/>
                <w:szCs w:val="14"/>
                <w:color w:val="auto"/>
              </w:rPr>
              <w:t>(37)</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30"/>
        </w:trPr>
        <w:tc>
          <w:tcPr>
            <w:tcW w:w="20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Payments received on</w:t>
            </w: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employee stock notes</w:t>
            </w: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receivable</w:t>
            </w: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39"/>
              <w:spacing w:after="0"/>
              <w:rPr>
                <w:sz w:val="20"/>
                <w:szCs w:val="20"/>
                <w:color w:val="auto"/>
              </w:rPr>
            </w:pPr>
            <w:r>
              <w:rPr>
                <w:rFonts w:ascii="Arial" w:cs="Arial" w:eastAsia="Arial" w:hAnsi="Arial"/>
                <w:sz w:val="14"/>
                <w:szCs w:val="14"/>
                <w:color w:val="auto"/>
              </w:rPr>
              <w:t>9</w:t>
            </w: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56"/>
        </w:trPr>
        <w:tc>
          <w:tcPr>
            <w:tcW w:w="2000" w:type="dxa"/>
            <w:vAlign w:val="bottom"/>
          </w:tcPr>
          <w:p>
            <w:pPr>
              <w:spacing w:after="0" w:line="155" w:lineRule="exact"/>
              <w:rPr>
                <w:sz w:val="20"/>
                <w:szCs w:val="20"/>
                <w:color w:val="auto"/>
              </w:rPr>
            </w:pPr>
            <w:r>
              <w:rPr>
                <w:rFonts w:ascii="Arial" w:cs="Arial" w:eastAsia="Arial" w:hAnsi="Arial"/>
                <w:sz w:val="14"/>
                <w:szCs w:val="14"/>
                <w:b w:val="1"/>
                <w:bCs w:val="1"/>
                <w:color w:val="auto"/>
              </w:rPr>
              <w:t>Balance at March 27, 2010</w:t>
            </w:r>
          </w:p>
        </w:tc>
        <w:tc>
          <w:tcPr>
            <w:tcW w:w="2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19,361</w:t>
            </w:r>
          </w:p>
        </w:tc>
        <w:tc>
          <w:tcPr>
            <w:tcW w:w="2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134,109</w:t>
            </w:r>
          </w:p>
        </w:tc>
        <w:tc>
          <w:tcPr>
            <w:tcW w:w="2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4"/>
              </w:rPr>
              <w:t>409,605</w:t>
            </w:r>
          </w:p>
        </w:tc>
        <w:tc>
          <w:tcPr>
            <w:tcW w:w="30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4,061</w:t>
            </w:r>
          </w:p>
        </w:tc>
        <w:tc>
          <w:tcPr>
            <w:tcW w:w="28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(1,771</w:t>
            </w:r>
          </w:p>
        </w:tc>
        <w:tc>
          <w:tcPr>
            <w:tcW w:w="280" w:type="dxa"/>
            <w:vAlign w:val="bottom"/>
          </w:tcPr>
          <w:p>
            <w:pPr>
              <w:jc w:val="right"/>
              <w:ind w:right="199"/>
              <w:spacing w:after="0"/>
              <w:rPr>
                <w:sz w:val="20"/>
                <w:szCs w:val="20"/>
                <w:color w:val="auto"/>
              </w:rPr>
            </w:pPr>
            <w:r>
              <w:rPr>
                <w:rFonts w:ascii="Arial" w:cs="Arial" w:eastAsia="Arial" w:hAnsi="Arial"/>
                <w:sz w:val="8"/>
                <w:szCs w:val="8"/>
                <w:b w:val="1"/>
                <w:bCs w:val="1"/>
                <w:color w:val="auto"/>
                <w:w w:val="73"/>
              </w:rPr>
              <w:t>)</w:t>
            </w:r>
          </w:p>
        </w:tc>
        <w:tc>
          <w:tcPr>
            <w:tcW w:w="1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6,493</w:t>
            </w:r>
          </w:p>
        </w:tc>
        <w:tc>
          <w:tcPr>
            <w:tcW w:w="2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4"/>
              </w:rPr>
              <w:t>571,858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notes to unaudited consolidated condensed financial statements.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580" w:right="1960"/>
        <w:spacing w:after="0" w:line="275" w:lineRule="auto"/>
        <w:rPr>
          <w:sz w:val="20"/>
          <w:szCs w:val="20"/>
          <w:color w:val="auto"/>
        </w:rPr>
      </w:pPr>
      <w:r>
        <w:rPr>
          <w:rFonts w:ascii="Arial" w:cs="Arial" w:eastAsia="Arial" w:hAnsi="Arial"/>
          <w:sz w:val="18"/>
          <w:szCs w:val="18"/>
          <w:b w:val="1"/>
          <w:bCs w:val="1"/>
          <w:color w:val="auto"/>
        </w:rPr>
        <w:t xml:space="preserve">UNIVERSAL FOREST PRODUCTS, INC. CONSOLIDATED CONDENSED STATEMENTS OF CASH FLOWS </w:t>
      </w:r>
      <w:r>
        <w:rPr>
          <w:rFonts w:ascii="Arial" w:cs="Arial" w:eastAsia="Arial" w:hAnsi="Arial"/>
          <w:sz w:val="18"/>
          <w:szCs w:val="18"/>
          <w:color w:val="auto"/>
        </w:rPr>
        <w:t>(Unaudited)</w:t>
      </w:r>
    </w:p>
    <w:p>
      <w:pPr>
        <w:spacing w:after="0" w:line="367"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(in thousands)</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60" w:type="dxa"/>
            <w:vAlign w:val="bottom"/>
            <w:gridSpan w:val="5"/>
          </w:tcPr>
          <w:p>
            <w:pPr>
              <w:jc w:val="right"/>
              <w:ind w:right="520"/>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195"/>
        </w:trPr>
        <w:tc>
          <w:tcPr>
            <w:tcW w:w="68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right"/>
              <w:ind w:right="480"/>
              <w:spacing w:after="0" w:line="195" w:lineRule="exact"/>
              <w:rPr>
                <w:sz w:val="20"/>
                <w:szCs w:val="20"/>
                <w:color w:val="auto"/>
              </w:rPr>
            </w:pPr>
            <w:r>
              <w:rPr>
                <w:rFonts w:ascii="Arial" w:cs="Arial" w:eastAsia="Arial" w:hAnsi="Arial"/>
                <w:sz w:val="18"/>
                <w:szCs w:val="18"/>
                <w:color w:val="auto"/>
                <w:w w:val="92"/>
              </w:rPr>
              <w:t>March 27,</w:t>
            </w: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50"/>
              <w:spacing w:after="0" w:line="195" w:lineRule="exact"/>
              <w:rPr>
                <w:sz w:val="20"/>
                <w:szCs w:val="20"/>
                <w:color w:val="auto"/>
              </w:rPr>
            </w:pPr>
            <w:r>
              <w:rPr>
                <w:rFonts w:ascii="Arial" w:cs="Arial" w:eastAsia="Arial" w:hAnsi="Arial"/>
                <w:sz w:val="18"/>
                <w:szCs w:val="18"/>
                <w:color w:val="auto"/>
                <w:w w:val="92"/>
              </w:rPr>
              <w:t>March 28,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8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2010</w:t>
            </w:r>
          </w:p>
        </w:tc>
        <w:tc>
          <w:tcPr>
            <w:tcW w:w="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Net earnings attributable to controlling interest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987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(1,207)</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earnings to net cash from operating activities: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200"/>
              <w:spacing w:after="0"/>
              <w:rPr>
                <w:sz w:val="20"/>
                <w:szCs w:val="20"/>
                <w:color w:val="auto"/>
              </w:rPr>
            </w:pPr>
            <w:r>
              <w:rPr>
                <w:rFonts w:ascii="Arial" w:cs="Arial" w:eastAsia="Arial" w:hAnsi="Arial"/>
                <w:sz w:val="18"/>
                <w:szCs w:val="18"/>
                <w:color w:val="auto"/>
              </w:rPr>
              <w:t>Depreciation</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7,630</w:t>
            </w:r>
          </w:p>
        </w:tc>
        <w:tc>
          <w:tcPr>
            <w:tcW w:w="1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8,417</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of intangibles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1,825</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2,563</w:t>
            </w:r>
          </w:p>
        </w:tc>
        <w:tc>
          <w:tcPr>
            <w:tcW w:w="0" w:type="dxa"/>
            <w:vAlign w:val="bottom"/>
          </w:tcPr>
          <w:p>
            <w:pPr>
              <w:spacing w:after="0"/>
              <w:rPr>
                <w:sz w:val="1"/>
                <w:szCs w:val="1"/>
                <w:color w:val="auto"/>
              </w:rPr>
            </w:pPr>
          </w:p>
        </w:tc>
      </w:tr>
      <w:tr>
        <w:trPr>
          <w:trHeight w:val="216"/>
        </w:trPr>
        <w:tc>
          <w:tcPr>
            <w:tcW w:w="6860" w:type="dxa"/>
            <w:vAlign w:val="bottom"/>
          </w:tcPr>
          <w:p>
            <w:pPr>
              <w:ind w:left="200"/>
              <w:spacing w:after="0"/>
              <w:rPr>
                <w:sz w:val="20"/>
                <w:szCs w:val="20"/>
                <w:color w:val="auto"/>
              </w:rPr>
            </w:pPr>
            <w:r>
              <w:rPr>
                <w:rFonts w:ascii="Arial" w:cs="Arial" w:eastAsia="Arial" w:hAnsi="Arial"/>
                <w:sz w:val="18"/>
                <w:szCs w:val="18"/>
                <w:color w:val="auto"/>
              </w:rPr>
              <w:t>Expense associated with share-based compensation arrangements</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660</w:t>
            </w:r>
          </w:p>
        </w:tc>
        <w:tc>
          <w:tcPr>
            <w:tcW w:w="1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Excess tax benefits from share-based compensation arrangements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tcPr>
          <w:p>
            <w:pPr>
              <w:ind w:left="200"/>
              <w:spacing w:after="0"/>
              <w:rPr>
                <w:sz w:val="20"/>
                <w:szCs w:val="20"/>
                <w:color w:val="auto"/>
              </w:rPr>
            </w:pPr>
            <w:r>
              <w:rPr>
                <w:rFonts w:ascii="Arial" w:cs="Arial" w:eastAsia="Arial" w:hAnsi="Arial"/>
                <w:sz w:val="18"/>
                <w:szCs w:val="18"/>
                <w:color w:val="auto"/>
              </w:rPr>
              <w:t>Expense associated with stock grant plans</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income taxes (credit)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6"/>
        </w:trPr>
        <w:tc>
          <w:tcPr>
            <w:tcW w:w="6860" w:type="dxa"/>
            <w:vAlign w:val="bottom"/>
          </w:tcPr>
          <w:p>
            <w:pPr>
              <w:ind w:left="200"/>
              <w:spacing w:after="0"/>
              <w:rPr>
                <w:sz w:val="20"/>
                <w:szCs w:val="20"/>
                <w:color w:val="auto"/>
              </w:rPr>
            </w:pPr>
            <w:r>
              <w:rPr>
                <w:rFonts w:ascii="Arial" w:cs="Arial" w:eastAsia="Arial" w:hAnsi="Arial"/>
                <w:sz w:val="18"/>
                <w:szCs w:val="18"/>
                <w:color w:val="auto"/>
              </w:rPr>
              <w:t>Net earnings attributable to noncontrolling interest</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733</w:t>
            </w:r>
          </w:p>
        </w:tc>
        <w:tc>
          <w:tcPr>
            <w:tcW w:w="1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(gain) loss on sale or impairment of property, plant and equipment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(1,599)</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Changes in:</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receivable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(80,239)</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(41,760)</w:t>
            </w:r>
          </w:p>
        </w:tc>
        <w:tc>
          <w:tcPr>
            <w:tcW w:w="0" w:type="dxa"/>
            <w:vAlign w:val="bottom"/>
          </w:tcPr>
          <w:p>
            <w:pPr>
              <w:spacing w:after="0"/>
              <w:rPr>
                <w:sz w:val="1"/>
                <w:szCs w:val="1"/>
                <w:color w:val="auto"/>
              </w:rPr>
            </w:pPr>
          </w:p>
        </w:tc>
      </w:tr>
      <w:tr>
        <w:trPr>
          <w:trHeight w:val="216"/>
        </w:trPr>
        <w:tc>
          <w:tcPr>
            <w:tcW w:w="6860" w:type="dxa"/>
            <w:vAlign w:val="bottom"/>
          </w:tcPr>
          <w:p>
            <w:pPr>
              <w:ind w:left="20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(45,022)</w:t>
            </w:r>
          </w:p>
        </w:tc>
        <w:tc>
          <w:tcPr>
            <w:tcW w:w="1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2,353</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32,340</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11,231</w:t>
            </w:r>
          </w:p>
        </w:tc>
        <w:tc>
          <w:tcPr>
            <w:tcW w:w="0" w:type="dxa"/>
            <w:vAlign w:val="bottom"/>
          </w:tcPr>
          <w:p>
            <w:pPr>
              <w:spacing w:after="0"/>
              <w:rPr>
                <w:sz w:val="1"/>
                <w:szCs w:val="1"/>
                <w:color w:val="auto"/>
              </w:rPr>
            </w:pPr>
          </w:p>
        </w:tc>
      </w:tr>
      <w:tr>
        <w:trPr>
          <w:trHeight w:val="216"/>
        </w:trPr>
        <w:tc>
          <w:tcPr>
            <w:tcW w:w="6860" w:type="dxa"/>
            <w:vAlign w:val="bottom"/>
          </w:tcPr>
          <w:p>
            <w:pPr>
              <w:ind w:left="200"/>
              <w:spacing w:after="0"/>
              <w:rPr>
                <w:sz w:val="20"/>
                <w:szCs w:val="20"/>
                <w:color w:val="auto"/>
              </w:rPr>
            </w:pPr>
            <w:r>
              <w:rPr>
                <w:rFonts w:ascii="Arial" w:cs="Arial" w:eastAsia="Arial" w:hAnsi="Arial"/>
                <w:sz w:val="18"/>
                <w:szCs w:val="18"/>
                <w:color w:val="auto"/>
              </w:rPr>
              <w:t>Accrued liabilities and other</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3,066</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972</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CASH FROM OPERATING ACTIVITIES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(78,106)</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(18,057)</w:t>
            </w:r>
          </w:p>
        </w:tc>
        <w:tc>
          <w:tcPr>
            <w:tcW w:w="0" w:type="dxa"/>
            <w:vAlign w:val="bottom"/>
          </w:tcPr>
          <w:p>
            <w:pPr>
              <w:spacing w:after="0"/>
              <w:rPr>
                <w:sz w:val="1"/>
                <w:szCs w:val="1"/>
                <w:color w:val="auto"/>
              </w:rPr>
            </w:pPr>
          </w:p>
        </w:tc>
      </w:tr>
      <w:tr>
        <w:trPr>
          <w:trHeight w:val="432"/>
        </w:trPr>
        <w:tc>
          <w:tcPr>
            <w:tcW w:w="686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Purchase of property, plant and equipment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(4,622)</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(3,217)</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Acquisitions, net of cash received</w:t>
            </w:r>
          </w:p>
        </w:tc>
        <w:tc>
          <w:tcPr>
            <w:tcW w:w="10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(634)</w:t>
            </w:r>
          </w:p>
        </w:tc>
        <w:tc>
          <w:tcPr>
            <w:tcW w:w="1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property, plant and equipment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189</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5,575</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Advances on notes receivable</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Collections of notes receivable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Insurance proceeds</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4"/>
        </w:trPr>
        <w:tc>
          <w:tcPr>
            <w:tcW w:w="6860" w:type="dxa"/>
            <w:vAlign w:val="bottom"/>
          </w:tcPr>
          <w:p>
            <w:pPr>
              <w:ind w:left="200"/>
              <w:spacing w:after="0"/>
              <w:rPr>
                <w:sz w:val="20"/>
                <w:szCs w:val="20"/>
                <w:color w:val="auto"/>
              </w:rPr>
            </w:pPr>
            <w:r>
              <w:rPr>
                <w:rFonts w:ascii="Arial" w:cs="Arial" w:eastAsia="Arial" w:hAnsi="Arial"/>
                <w:sz w:val="18"/>
                <w:szCs w:val="18"/>
                <w:color w:val="auto"/>
              </w:rPr>
              <w:t>NET CASH FROM INVESTING ACTIVITIES</w:t>
            </w: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(5,039)</w:t>
            </w:r>
          </w:p>
        </w:tc>
        <w:tc>
          <w:tcPr>
            <w:tcW w:w="3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Net borrowings (repayments) under revolving credit facilities</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15,686</w:t>
            </w:r>
          </w:p>
        </w:tc>
        <w:tc>
          <w:tcPr>
            <w:tcW w:w="1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10,577</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Repayment of long-term debt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Borrowings of long-term debt</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common stock</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279</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Distributions to noncontrolling interest</w:t>
            </w:r>
          </w:p>
        </w:tc>
        <w:tc>
          <w:tcPr>
            <w:tcW w:w="10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Repurchase of common stock</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(680)</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Excess tax benefits from share-based compensation arrangements</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6860" w:type="dxa"/>
            <w:vAlign w:val="bottom"/>
          </w:tcPr>
          <w:p>
            <w:pPr>
              <w:ind w:left="200"/>
              <w:spacing w:after="0"/>
              <w:rPr>
                <w:sz w:val="20"/>
                <w:szCs w:val="20"/>
                <w:color w:val="auto"/>
              </w:rPr>
            </w:pPr>
            <w:r>
              <w:rPr>
                <w:rFonts w:ascii="Arial" w:cs="Arial" w:eastAsia="Arial" w:hAnsi="Arial"/>
                <w:sz w:val="18"/>
                <w:szCs w:val="18"/>
                <w:color w:val="auto"/>
              </w:rPr>
              <w:t>NET CASH FROM FINANCING ACTIVITIES</w:t>
            </w:r>
          </w:p>
        </w:tc>
        <w:tc>
          <w:tcPr>
            <w:tcW w:w="1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15,272</w:t>
            </w:r>
          </w:p>
        </w:tc>
        <w:tc>
          <w:tcPr>
            <w:tcW w:w="3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(67,873)</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(3,910)</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CASH AND CASH EQUIVALENTS, BEGINNING OF YEAR</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82,219</w:t>
            </w:r>
          </w:p>
        </w:tc>
        <w:tc>
          <w:tcPr>
            <w:tcW w:w="1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13,337</w:t>
            </w:r>
          </w:p>
        </w:tc>
        <w:tc>
          <w:tcPr>
            <w:tcW w:w="0" w:type="dxa"/>
            <w:vAlign w:val="bottom"/>
          </w:tcPr>
          <w:p>
            <w:pPr>
              <w:spacing w:after="0"/>
              <w:rPr>
                <w:sz w:val="1"/>
                <w:szCs w:val="1"/>
                <w:color w:val="auto"/>
              </w:rPr>
            </w:pPr>
          </w:p>
        </w:tc>
      </w:tr>
      <w:tr>
        <w:trPr>
          <w:trHeight w:val="223"/>
        </w:trPr>
        <w:tc>
          <w:tcPr>
            <w:tcW w:w="68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14,346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9,427</w:t>
            </w:r>
          </w:p>
        </w:tc>
        <w:tc>
          <w:tcPr>
            <w:tcW w:w="0" w:type="dxa"/>
            <w:vAlign w:val="bottom"/>
          </w:tcPr>
          <w:p>
            <w:pPr>
              <w:spacing w:after="0"/>
              <w:rPr>
                <w:sz w:val="1"/>
                <w:szCs w:val="1"/>
                <w:color w:val="auto"/>
              </w:rPr>
            </w:pPr>
          </w:p>
        </w:tc>
      </w:tr>
      <w:tr>
        <w:trPr>
          <w:trHeight w:val="20"/>
        </w:trPr>
        <w:tc>
          <w:tcPr>
            <w:tcW w:w="6860" w:type="dxa"/>
            <w:vAlign w:val="bottom"/>
            <w:vMerge w:val="restart"/>
          </w:tcPr>
          <w:p>
            <w:pPr>
              <w:spacing w:after="0"/>
              <w:rPr>
                <w:sz w:val="20"/>
                <w:szCs w:val="20"/>
                <w:color w:val="auto"/>
              </w:rPr>
            </w:pPr>
            <w:r>
              <w:rPr>
                <w:rFonts w:ascii="Arial" w:cs="Arial" w:eastAsia="Arial" w:hAnsi="Arial"/>
                <w:sz w:val="18"/>
                <w:szCs w:val="18"/>
                <w:color w:val="auto"/>
              </w:rPr>
              <w:t>SUPPLEMENTAL SCHEDULE OF CASH FLOW INFORMATION: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8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Cash paid (refunded) during the period for:</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200"/>
              <w:spacing w:after="0"/>
              <w:rPr>
                <w:sz w:val="20"/>
                <w:szCs w:val="20"/>
                <w:color w:val="auto"/>
              </w:rPr>
            </w:pPr>
            <w:r>
              <w:rPr>
                <w:rFonts w:ascii="Arial" w:cs="Arial" w:eastAsia="Arial" w:hAnsi="Arial"/>
                <w:sz w:val="18"/>
                <w:szCs w:val="18"/>
                <w:color w:val="auto"/>
              </w:rPr>
              <w:t>Interest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256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(10,789)</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(7,138)</w:t>
            </w:r>
          </w:p>
        </w:tc>
        <w:tc>
          <w:tcPr>
            <w:tcW w:w="0" w:type="dxa"/>
            <w:vAlign w:val="bottom"/>
          </w:tcPr>
          <w:p>
            <w:pPr>
              <w:spacing w:after="0"/>
              <w:rPr>
                <w:sz w:val="1"/>
                <w:szCs w:val="1"/>
                <w:color w:val="auto"/>
              </w:rPr>
            </w:pPr>
          </w:p>
        </w:tc>
      </w:tr>
      <w:tr>
        <w:trPr>
          <w:trHeight w:val="432"/>
        </w:trPr>
        <w:tc>
          <w:tcPr>
            <w:tcW w:w="6860" w:type="dxa"/>
            <w:vAlign w:val="bottom"/>
          </w:tcPr>
          <w:p>
            <w:pPr>
              <w:spacing w:after="0"/>
              <w:rPr>
                <w:sz w:val="20"/>
                <w:szCs w:val="20"/>
                <w:color w:val="auto"/>
              </w:rPr>
            </w:pPr>
            <w:r>
              <w:rPr>
                <w:rFonts w:ascii="Arial" w:cs="Arial" w:eastAsia="Arial" w:hAnsi="Arial"/>
                <w:sz w:val="18"/>
                <w:szCs w:val="18"/>
                <w:color w:val="auto"/>
              </w:rPr>
              <w:t>NON-CASH FINANCING ACTIVITIES:</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Common stock issued under deferred compensation plans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2,351</w:t>
            </w:r>
          </w:p>
        </w:tc>
        <w:tc>
          <w:tcPr>
            <w:tcW w:w="0" w:type="dxa"/>
            <w:vAlign w:val="bottom"/>
          </w:tcPr>
          <w:p>
            <w:pPr>
              <w:spacing w:after="0"/>
              <w:rPr>
                <w:sz w:val="1"/>
                <w:szCs w:val="1"/>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Stock received for the exercise of stock options, net</w:t>
            </w:r>
          </w:p>
        </w:tc>
        <w:tc>
          <w:tcPr>
            <w:tcW w:w="100" w:type="dxa"/>
            <w:vAlign w:val="bottom"/>
          </w:tcPr>
          <w:p>
            <w:pPr>
              <w:spacing w:after="0"/>
              <w:rPr>
                <w:sz w:val="20"/>
                <w:szCs w:val="20"/>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notes to unaudited consolidated condensed financial statements.</w:t>
      </w:r>
    </w:p>
    <w:p>
      <w:pPr>
        <w:sectPr>
          <w:pgSz w:w="11900" w:h="16838" w:orient="portrait"/>
          <w:cols w:equalWidth="0" w:num="1">
            <w:col w:w="10219"/>
          </w:cols>
          <w:pgMar w:left="240" w:top="419" w:right="1440" w:bottom="807"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807"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UNIVERSAL FOREST PRODUCTS, INC.</w:t>
      </w:r>
    </w:p>
    <w:p>
      <w:pPr>
        <w:spacing w:after="0" w:line="19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UNAUDITED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CONSOLIDATED CONDENSED FINANCIAL STATEMENTS</w:t>
      </w:r>
    </w:p>
    <w:p>
      <w:pPr>
        <w:spacing w:after="0" w:line="166" w:lineRule="exact"/>
        <w:rPr>
          <w:sz w:val="20"/>
          <w:szCs w:val="20"/>
          <w:color w:val="auto"/>
        </w:rPr>
      </w:pPr>
    </w:p>
    <w:p>
      <w:pPr>
        <w:ind w:left="680" w:hanging="348"/>
        <w:spacing w:after="0"/>
        <w:tabs>
          <w:tab w:leader="none" w:pos="6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61" w:lineRule="exact"/>
        <w:rPr>
          <w:rFonts w:ascii="Arial" w:cs="Arial" w:eastAsia="Arial" w:hAnsi="Arial"/>
          <w:sz w:val="18"/>
          <w:szCs w:val="18"/>
          <w:b w:val="1"/>
          <w:bCs w:val="1"/>
          <w:color w:val="auto"/>
        </w:rPr>
      </w:pPr>
    </w:p>
    <w:p>
      <w:pPr>
        <w:jc w:val="both"/>
        <w:ind w:left="680" w:right="559"/>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accompanying unaudited, interim, consolidated, condensed financial statements (the “Financial Statements”) include our accounts and those of our wholly-owned and majority-owned subsidiaries and partnerships, and have been prepared pursuant to the rules and regulations of the Securities and Exchange Commission. Accordingly, the Financial Statements do not include all of the information and footnotes normally included in the annual consolidated financial statements prepared in accordance with accounting principles generally accepted in the United States. All intercompany transactions and balances have been eliminated.</w:t>
      </w:r>
    </w:p>
    <w:p>
      <w:pPr>
        <w:spacing w:after="0" w:line="152" w:lineRule="exact"/>
        <w:rPr>
          <w:rFonts w:ascii="Arial" w:cs="Arial" w:eastAsia="Arial" w:hAnsi="Arial"/>
          <w:sz w:val="18"/>
          <w:szCs w:val="18"/>
          <w:b w:val="1"/>
          <w:bCs w:val="1"/>
          <w:color w:val="auto"/>
        </w:rPr>
      </w:pPr>
    </w:p>
    <w:p>
      <w:pPr>
        <w:jc w:val="both"/>
        <w:ind w:left="680" w:right="559"/>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In our opinion, the Financial Statements contain all material adjustments necessary to present fairly our consolidated financial position, results of operations and cash flows for the interim periods presented. All such adjustments are of a normal recurring nature. These Financial Statements should be read in conjunction with the annual consolidated financial statements, and footnotes thereto, included in our Annual Report to Shareholders on Form 10-K for the fiscal year ended December 26, 2009.</w:t>
      </w:r>
    </w:p>
    <w:p>
      <w:pPr>
        <w:spacing w:after="0" w:line="157" w:lineRule="exact"/>
        <w:rPr>
          <w:rFonts w:ascii="Arial" w:cs="Arial" w:eastAsia="Arial" w:hAnsi="Arial"/>
          <w:sz w:val="18"/>
          <w:szCs w:val="18"/>
          <w:b w:val="1"/>
          <w:bCs w:val="1"/>
          <w:color w:val="auto"/>
        </w:rPr>
      </w:pPr>
    </w:p>
    <w:p>
      <w:pPr>
        <w:ind w:left="680" w:hanging="348"/>
        <w:spacing w:after="0"/>
        <w:tabs>
          <w:tab w:leader="none" w:pos="6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w:t>
      </w:r>
    </w:p>
    <w:p>
      <w:pPr>
        <w:spacing w:after="0" w:line="161" w:lineRule="exact"/>
        <w:rPr>
          <w:rFonts w:ascii="Arial" w:cs="Arial" w:eastAsia="Arial" w:hAnsi="Arial"/>
          <w:sz w:val="18"/>
          <w:szCs w:val="18"/>
          <w:b w:val="1"/>
          <w:bCs w:val="1"/>
          <w:color w:val="auto"/>
        </w:rPr>
      </w:pPr>
    </w:p>
    <w:p>
      <w:pPr>
        <w:jc w:val="both"/>
        <w:ind w:left="680" w:right="559"/>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 xml:space="preserve">Effective at the beginning of the fiscal year ended December 27, 2008, we adopted ASC 820, </w:t>
      </w:r>
      <w:r>
        <w:rPr>
          <w:rFonts w:ascii="Arial" w:cs="Arial" w:eastAsia="Arial" w:hAnsi="Arial"/>
          <w:sz w:val="16"/>
          <w:szCs w:val="16"/>
          <w:i w:val="1"/>
          <w:iCs w:val="1"/>
          <w:color w:val="auto"/>
        </w:rPr>
        <w:t>Fair Value Measurements</w:t>
      </w:r>
      <w:r>
        <w:rPr>
          <w:rFonts w:ascii="Arial" w:cs="Arial" w:eastAsia="Arial" w:hAnsi="Arial"/>
          <w:sz w:val="16"/>
          <w:szCs w:val="16"/>
          <w:color w:val="auto"/>
        </w:rPr>
        <w:t xml:space="preserve"> (“ASC 820”). This new standard establishes a framework for measuring the fair value of assets and liabilities. This framework is intended to provide increased consistency in how fair value determinations are made under various existing accounting standards which permit, or in some cases require, estimates of fair market value. ASC 820 also expands financial statement disclosure requirements about a company’s use of fair value measurements, including the effect of such measures on earnings. The adoption has not had a material impact on our consolidated financial statements.</w:t>
      </w:r>
    </w:p>
    <w:p>
      <w:pPr>
        <w:spacing w:after="0" w:line="124" w:lineRule="exact"/>
        <w:rPr>
          <w:rFonts w:ascii="Arial" w:cs="Arial" w:eastAsia="Arial" w:hAnsi="Arial"/>
          <w:sz w:val="18"/>
          <w:szCs w:val="18"/>
          <w:b w:val="1"/>
          <w:bCs w:val="1"/>
          <w:color w:val="auto"/>
        </w:rPr>
      </w:pPr>
    </w:p>
    <w:p>
      <w:pPr>
        <w:ind w:left="680" w:right="559"/>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Effective at the beginning of the fiscal year ended December 26, 2009, we adopted the nonfinancial asset and liability provisions of ASC 820 that were previously deferred by the standard.</w:t>
      </w:r>
    </w:p>
    <w:p>
      <w:pPr>
        <w:spacing w:after="0" w:line="200" w:lineRule="exact"/>
        <w:rPr>
          <w:sz w:val="20"/>
          <w:szCs w:val="20"/>
          <w:color w:val="auto"/>
        </w:rPr>
      </w:pPr>
    </w:p>
    <w:p>
      <w:pPr>
        <w:spacing w:after="0" w:line="3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3240" w:type="dxa"/>
            <w:vAlign w:val="bottom"/>
            <w:gridSpan w:val="4"/>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534"/>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1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80" w:type="dxa"/>
            <w:vAlign w:val="bottom"/>
            <w:gridSpan w:val="9"/>
          </w:tcPr>
          <w:p>
            <w:pPr>
              <w:jc w:val="right"/>
              <w:spacing w:after="0"/>
              <w:rPr>
                <w:sz w:val="20"/>
                <w:szCs w:val="20"/>
                <w:color w:val="auto"/>
              </w:rPr>
            </w:pPr>
            <w:r>
              <w:rPr>
                <w:rFonts w:ascii="Arial" w:cs="Arial" w:eastAsia="Arial" w:hAnsi="Arial"/>
                <w:sz w:val="18"/>
                <w:szCs w:val="18"/>
                <w:b w:val="1"/>
                <w:bCs w:val="1"/>
                <w:color w:val="auto"/>
                <w:w w:val="98"/>
              </w:rPr>
              <w:t>UNIVERSAL FOREST PRODUCTS, INC.</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05"/>
        </w:trPr>
        <w:tc>
          <w:tcPr>
            <w:tcW w:w="340" w:type="dxa"/>
            <w:vAlign w:val="bottom"/>
          </w:tcPr>
          <w:p>
            <w:pPr>
              <w:spacing w:after="0"/>
              <w:rPr>
                <w:sz w:val="24"/>
                <w:szCs w:val="24"/>
                <w:color w:val="auto"/>
              </w:rPr>
            </w:pPr>
          </w:p>
        </w:tc>
        <w:tc>
          <w:tcPr>
            <w:tcW w:w="5080" w:type="dxa"/>
            <w:vAlign w:val="bottom"/>
            <w:gridSpan w:val="10"/>
          </w:tcPr>
          <w:p>
            <w:pPr>
              <w:ind w:left="340"/>
              <w:spacing w:after="0"/>
              <w:rPr>
                <w:sz w:val="20"/>
                <w:szCs w:val="20"/>
                <w:color w:val="auto"/>
              </w:rPr>
            </w:pPr>
            <w:r>
              <w:rPr>
                <w:rFonts w:ascii="Arial" w:cs="Arial" w:eastAsia="Arial" w:hAnsi="Arial"/>
                <w:sz w:val="18"/>
                <w:szCs w:val="18"/>
                <w:color w:val="auto"/>
              </w:rPr>
              <w:t>Assets and liabilities measured at fair value are as follows:</w:t>
            </w: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color w:val="auto"/>
                <w:w w:val="99"/>
              </w:rPr>
              <w:t>March 27, 2010</w:t>
            </w:r>
          </w:p>
        </w:tc>
        <w:tc>
          <w:tcPr>
            <w:tcW w:w="82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color w:val="auto"/>
                <w:w w:val="97"/>
              </w:rPr>
              <w:t>March 28, 2009</w:t>
            </w: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95"/>
        </w:trPr>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center"/>
              <w:ind w:right="440"/>
              <w:spacing w:after="0" w:line="195" w:lineRule="exact"/>
              <w:rPr>
                <w:sz w:val="20"/>
                <w:szCs w:val="20"/>
                <w:color w:val="auto"/>
              </w:rPr>
            </w:pPr>
            <w:r>
              <w:rPr>
                <w:rFonts w:ascii="Arial" w:cs="Arial" w:eastAsia="Arial" w:hAnsi="Arial"/>
                <w:sz w:val="18"/>
                <w:szCs w:val="18"/>
                <w:color w:val="auto"/>
                <w:w w:val="87"/>
              </w:rPr>
              <w:t>Quoted</w:t>
            </w:r>
          </w:p>
        </w:tc>
        <w:tc>
          <w:tcPr>
            <w:tcW w:w="820" w:type="dxa"/>
            <w:vAlign w:val="bottom"/>
          </w:tcPr>
          <w:p>
            <w:pPr>
              <w:jc w:val="center"/>
              <w:spacing w:after="0" w:line="195" w:lineRule="exact"/>
              <w:rPr>
                <w:sz w:val="20"/>
                <w:szCs w:val="20"/>
                <w:color w:val="auto"/>
              </w:rPr>
            </w:pPr>
            <w:r>
              <w:rPr>
                <w:rFonts w:ascii="Arial" w:cs="Arial" w:eastAsia="Arial" w:hAnsi="Arial"/>
                <w:sz w:val="18"/>
                <w:szCs w:val="18"/>
                <w:color w:val="auto"/>
                <w:w w:val="87"/>
              </w:rPr>
              <w:t>Prices</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center"/>
              <w:ind w:right="460"/>
              <w:spacing w:after="0" w:line="195" w:lineRule="exact"/>
              <w:rPr>
                <w:sz w:val="20"/>
                <w:szCs w:val="20"/>
                <w:color w:val="auto"/>
              </w:rPr>
            </w:pPr>
            <w:r>
              <w:rPr>
                <w:rFonts w:ascii="Arial" w:cs="Arial" w:eastAsia="Arial" w:hAnsi="Arial"/>
                <w:sz w:val="18"/>
                <w:szCs w:val="18"/>
                <w:color w:val="auto"/>
                <w:w w:val="91"/>
              </w:rPr>
              <w:t>Quoted</w:t>
            </w:r>
          </w:p>
        </w:tc>
        <w:tc>
          <w:tcPr>
            <w:tcW w:w="120" w:type="dxa"/>
            <w:vAlign w:val="bottom"/>
          </w:tcPr>
          <w:p>
            <w:pPr>
              <w:spacing w:after="0"/>
              <w:rPr>
                <w:sz w:val="16"/>
                <w:szCs w:val="16"/>
                <w:color w:val="auto"/>
              </w:rPr>
            </w:pPr>
          </w:p>
        </w:tc>
        <w:tc>
          <w:tcPr>
            <w:tcW w:w="680" w:type="dxa"/>
            <w:vAlign w:val="bottom"/>
          </w:tcPr>
          <w:p>
            <w:pPr>
              <w:jc w:val="center"/>
              <w:ind w:right="30"/>
              <w:spacing w:after="0" w:line="195" w:lineRule="exact"/>
              <w:rPr>
                <w:sz w:val="20"/>
                <w:szCs w:val="20"/>
                <w:color w:val="auto"/>
              </w:rPr>
            </w:pPr>
            <w:r>
              <w:rPr>
                <w:rFonts w:ascii="Arial" w:cs="Arial" w:eastAsia="Arial" w:hAnsi="Arial"/>
                <w:sz w:val="18"/>
                <w:szCs w:val="18"/>
                <w:color w:val="auto"/>
                <w:w w:val="87"/>
              </w:rPr>
              <w:t>Prices</w:t>
            </w:r>
          </w:p>
        </w:tc>
        <w:tc>
          <w:tcPr>
            <w:tcW w:w="80" w:type="dxa"/>
            <w:vAlign w:val="bottom"/>
          </w:tcPr>
          <w:p>
            <w:pPr>
              <w:spacing w:after="0"/>
              <w:rPr>
                <w:sz w:val="16"/>
                <w:szCs w:val="16"/>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3"/>
          </w:tcPr>
          <w:p>
            <w:pPr>
              <w:jc w:val="center"/>
              <w:ind w:right="340"/>
              <w:spacing w:after="0"/>
              <w:rPr>
                <w:sz w:val="20"/>
                <w:szCs w:val="20"/>
                <w:color w:val="auto"/>
              </w:rPr>
            </w:pPr>
            <w:r>
              <w:rPr>
                <w:rFonts w:ascii="Arial" w:cs="Arial" w:eastAsia="Arial" w:hAnsi="Arial"/>
                <w:sz w:val="18"/>
                <w:szCs w:val="18"/>
                <w:color w:val="auto"/>
                <w:w w:val="92"/>
              </w:rPr>
              <w:t>Prices in</w:t>
            </w:r>
          </w:p>
        </w:tc>
        <w:tc>
          <w:tcPr>
            <w:tcW w:w="1300" w:type="dxa"/>
            <w:vAlign w:val="bottom"/>
            <w:gridSpan w:val="3"/>
          </w:tcPr>
          <w:p>
            <w:pPr>
              <w:jc w:val="center"/>
              <w:ind w:right="390"/>
              <w:spacing w:after="0"/>
              <w:rPr>
                <w:sz w:val="20"/>
                <w:szCs w:val="20"/>
                <w:color w:val="auto"/>
              </w:rPr>
            </w:pPr>
            <w:r>
              <w:rPr>
                <w:rFonts w:ascii="Arial" w:cs="Arial" w:eastAsia="Arial" w:hAnsi="Arial"/>
                <w:sz w:val="18"/>
                <w:szCs w:val="18"/>
                <w:color w:val="auto"/>
                <w:w w:val="95"/>
              </w:rPr>
              <w:t>with Other</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3"/>
          </w:tcPr>
          <w:p>
            <w:pPr>
              <w:jc w:val="center"/>
              <w:ind w:right="360"/>
              <w:spacing w:after="0"/>
              <w:rPr>
                <w:sz w:val="20"/>
                <w:szCs w:val="20"/>
                <w:color w:val="auto"/>
              </w:rPr>
            </w:pPr>
            <w:r>
              <w:rPr>
                <w:rFonts w:ascii="Arial" w:cs="Arial" w:eastAsia="Arial" w:hAnsi="Arial"/>
                <w:sz w:val="18"/>
                <w:szCs w:val="18"/>
                <w:color w:val="auto"/>
                <w:w w:val="89"/>
              </w:rPr>
              <w:t>Prices in</w:t>
            </w:r>
          </w:p>
        </w:tc>
        <w:tc>
          <w:tcPr>
            <w:tcW w:w="880" w:type="dxa"/>
            <w:vAlign w:val="bottom"/>
            <w:gridSpan w:val="3"/>
          </w:tcPr>
          <w:p>
            <w:pPr>
              <w:ind w:left="20"/>
              <w:spacing w:after="0"/>
              <w:rPr>
                <w:sz w:val="20"/>
                <w:szCs w:val="20"/>
                <w:color w:val="auto"/>
              </w:rPr>
            </w:pPr>
            <w:r>
              <w:rPr>
                <w:rFonts w:ascii="Arial" w:cs="Arial" w:eastAsia="Arial" w:hAnsi="Arial"/>
                <w:sz w:val="18"/>
                <w:szCs w:val="18"/>
                <w:color w:val="auto"/>
              </w:rPr>
              <w:t>with Other</w:t>
            </w: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440"/>
              <w:spacing w:after="0"/>
              <w:rPr>
                <w:sz w:val="20"/>
                <w:szCs w:val="20"/>
                <w:color w:val="auto"/>
              </w:rPr>
            </w:pPr>
            <w:r>
              <w:rPr>
                <w:rFonts w:ascii="Arial" w:cs="Arial" w:eastAsia="Arial" w:hAnsi="Arial"/>
                <w:sz w:val="18"/>
                <w:szCs w:val="18"/>
                <w:color w:val="auto"/>
                <w:w w:val="97"/>
              </w:rPr>
              <w:t>Active</w:t>
            </w:r>
          </w:p>
        </w:tc>
        <w:tc>
          <w:tcPr>
            <w:tcW w:w="1300" w:type="dxa"/>
            <w:vAlign w:val="bottom"/>
            <w:gridSpan w:val="3"/>
          </w:tcPr>
          <w:p>
            <w:pPr>
              <w:jc w:val="center"/>
              <w:ind w:right="390"/>
              <w:spacing w:after="0"/>
              <w:rPr>
                <w:sz w:val="20"/>
                <w:szCs w:val="20"/>
                <w:color w:val="auto"/>
              </w:rPr>
            </w:pPr>
            <w:r>
              <w:rPr>
                <w:rFonts w:ascii="Arial" w:cs="Arial" w:eastAsia="Arial" w:hAnsi="Arial"/>
                <w:sz w:val="18"/>
                <w:szCs w:val="18"/>
                <w:color w:val="auto"/>
                <w:w w:val="89"/>
              </w:rPr>
              <w:t>Observable</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440"/>
              <w:spacing w:after="0"/>
              <w:rPr>
                <w:sz w:val="20"/>
                <w:szCs w:val="20"/>
                <w:color w:val="auto"/>
              </w:rPr>
            </w:pPr>
            <w:r>
              <w:rPr>
                <w:rFonts w:ascii="Arial" w:cs="Arial" w:eastAsia="Arial" w:hAnsi="Arial"/>
                <w:sz w:val="18"/>
                <w:szCs w:val="18"/>
                <w:color w:val="auto"/>
                <w:w w:val="97"/>
              </w:rPr>
              <w:t>Active</w:t>
            </w:r>
          </w:p>
        </w:tc>
        <w:tc>
          <w:tcPr>
            <w:tcW w:w="880" w:type="dxa"/>
            <w:vAlign w:val="bottom"/>
            <w:gridSpan w:val="3"/>
          </w:tcPr>
          <w:p>
            <w:pPr>
              <w:spacing w:after="0"/>
              <w:rPr>
                <w:sz w:val="20"/>
                <w:szCs w:val="20"/>
                <w:color w:val="auto"/>
              </w:rPr>
            </w:pPr>
            <w:r>
              <w:rPr>
                <w:rFonts w:ascii="Arial" w:cs="Arial" w:eastAsia="Arial" w:hAnsi="Arial"/>
                <w:sz w:val="18"/>
                <w:szCs w:val="18"/>
                <w:color w:val="auto"/>
                <w:w w:val="93"/>
              </w:rPr>
              <w:t>Observable</w:t>
            </w: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3"/>
          </w:tcPr>
          <w:p>
            <w:pPr>
              <w:jc w:val="center"/>
              <w:ind w:right="340"/>
              <w:spacing w:after="0"/>
              <w:rPr>
                <w:sz w:val="20"/>
                <w:szCs w:val="20"/>
                <w:color w:val="auto"/>
              </w:rPr>
            </w:pPr>
            <w:r>
              <w:rPr>
                <w:rFonts w:ascii="Arial" w:cs="Arial" w:eastAsia="Arial" w:hAnsi="Arial"/>
                <w:sz w:val="18"/>
                <w:szCs w:val="18"/>
                <w:color w:val="auto"/>
                <w:w w:val="93"/>
              </w:rPr>
              <w:t>Markets</w:t>
            </w:r>
          </w:p>
        </w:tc>
        <w:tc>
          <w:tcPr>
            <w:tcW w:w="1300" w:type="dxa"/>
            <w:vAlign w:val="bottom"/>
            <w:gridSpan w:val="3"/>
          </w:tcPr>
          <w:p>
            <w:pPr>
              <w:jc w:val="center"/>
              <w:ind w:right="390"/>
              <w:spacing w:after="0"/>
              <w:rPr>
                <w:sz w:val="20"/>
                <w:szCs w:val="20"/>
                <w:color w:val="auto"/>
              </w:rPr>
            </w:pPr>
            <w:r>
              <w:rPr>
                <w:rFonts w:ascii="Arial" w:cs="Arial" w:eastAsia="Arial" w:hAnsi="Arial"/>
                <w:sz w:val="18"/>
                <w:szCs w:val="18"/>
                <w:color w:val="auto"/>
                <w:w w:val="93"/>
              </w:rPr>
              <w:t>Inputs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3"/>
          </w:tcPr>
          <w:p>
            <w:pPr>
              <w:jc w:val="center"/>
              <w:ind w:right="360"/>
              <w:spacing w:after="0"/>
              <w:rPr>
                <w:sz w:val="20"/>
                <w:szCs w:val="20"/>
                <w:color w:val="auto"/>
              </w:rPr>
            </w:pPr>
            <w:r>
              <w:rPr>
                <w:rFonts w:ascii="Arial" w:cs="Arial" w:eastAsia="Arial" w:hAnsi="Arial"/>
                <w:sz w:val="18"/>
                <w:szCs w:val="18"/>
                <w:color w:val="auto"/>
                <w:w w:val="90"/>
              </w:rPr>
              <w:t>Markets</w:t>
            </w:r>
          </w:p>
        </w:tc>
        <w:tc>
          <w:tcPr>
            <w:tcW w:w="120" w:type="dxa"/>
            <w:vAlign w:val="bottom"/>
          </w:tcPr>
          <w:p>
            <w:pPr>
              <w:spacing w:after="0"/>
              <w:rPr>
                <w:sz w:val="18"/>
                <w:szCs w:val="18"/>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Inputs</w:t>
            </w:r>
          </w:p>
        </w:tc>
      </w:tr>
      <w:tr>
        <w:trPr>
          <w:trHeight w:val="230"/>
        </w:trPr>
        <w:tc>
          <w:tcPr>
            <w:tcW w:w="340" w:type="dxa"/>
            <w:vAlign w:val="bottom"/>
          </w:tcPr>
          <w:p>
            <w:pPr>
              <w:spacing w:after="0"/>
              <w:rPr>
                <w:sz w:val="20"/>
                <w:szCs w:val="20"/>
                <w:color w:val="auto"/>
              </w:rPr>
            </w:pPr>
          </w:p>
        </w:tc>
        <w:tc>
          <w:tcPr>
            <w:tcW w:w="2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 thousands)</w:t>
            </w: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4"/>
              </w:rPr>
              <w:t>(Level 1)</w:t>
            </w:r>
          </w:p>
        </w:tc>
        <w:tc>
          <w:tcPr>
            <w:tcW w:w="340" w:type="dxa"/>
            <w:vAlign w:val="bottom"/>
          </w:tcPr>
          <w:p>
            <w:pPr>
              <w:spacing w:after="0"/>
              <w:rPr>
                <w:sz w:val="20"/>
                <w:szCs w:val="20"/>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(Level 2)</w:t>
            </w:r>
          </w:p>
        </w:tc>
        <w:tc>
          <w:tcPr>
            <w:tcW w:w="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4"/>
              </w:rPr>
              <w:t>(Level 1)</w:t>
            </w:r>
          </w:p>
        </w:tc>
        <w:tc>
          <w:tcPr>
            <w:tcW w:w="360" w:type="dxa"/>
            <w:vAlign w:val="bottom"/>
          </w:tcPr>
          <w:p>
            <w:pPr>
              <w:spacing w:after="0"/>
              <w:rPr>
                <w:sz w:val="20"/>
                <w:szCs w:val="20"/>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7"/>
              </w:rPr>
              <w:t>(Level 2)</w:t>
            </w:r>
          </w:p>
        </w:tc>
        <w:tc>
          <w:tcPr>
            <w:tcW w:w="8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2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432"/>
        </w:trPr>
        <w:tc>
          <w:tcPr>
            <w:tcW w:w="340" w:type="dxa"/>
            <w:vAlign w:val="bottom"/>
          </w:tcPr>
          <w:p>
            <w:pPr>
              <w:spacing w:after="0"/>
              <w:rPr>
                <w:sz w:val="24"/>
                <w:szCs w:val="24"/>
                <w:color w:val="auto"/>
              </w:rPr>
            </w:pPr>
          </w:p>
        </w:tc>
        <w:tc>
          <w:tcPr>
            <w:tcW w:w="2900" w:type="dxa"/>
            <w:vAlign w:val="bottom"/>
            <w:gridSpan w:val="3"/>
          </w:tcPr>
          <w:p>
            <w:pPr>
              <w:ind w:left="200"/>
              <w:spacing w:after="0"/>
              <w:rPr>
                <w:sz w:val="20"/>
                <w:szCs w:val="20"/>
                <w:color w:val="auto"/>
              </w:rPr>
            </w:pPr>
            <w:r>
              <w:rPr>
                <w:rFonts w:ascii="Arial" w:cs="Arial" w:eastAsia="Arial" w:hAnsi="Arial"/>
                <w:sz w:val="18"/>
                <w:szCs w:val="18"/>
                <w:color w:val="auto"/>
              </w:rPr>
              <w:t>Trading marketable securities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1,010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1,010</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633</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633</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29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Assets held for sale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r>
      <w:tr>
        <w:trPr>
          <w:trHeight w:val="216"/>
        </w:trPr>
        <w:tc>
          <w:tcPr>
            <w:tcW w:w="340" w:type="dxa"/>
            <w:vAlign w:val="bottom"/>
          </w:tcPr>
          <w:p>
            <w:pPr>
              <w:spacing w:after="0"/>
              <w:rPr>
                <w:sz w:val="18"/>
                <w:szCs w:val="18"/>
                <w:color w:val="auto"/>
              </w:rPr>
            </w:pPr>
          </w:p>
        </w:tc>
        <w:tc>
          <w:tcPr>
            <w:tcW w:w="2900" w:type="dxa"/>
            <w:vAlign w:val="bottom"/>
            <w:gridSpan w:val="3"/>
          </w:tcPr>
          <w:p>
            <w:pPr>
              <w:ind w:left="200"/>
              <w:spacing w:after="0"/>
              <w:rPr>
                <w:sz w:val="20"/>
                <w:szCs w:val="20"/>
                <w:color w:val="auto"/>
              </w:rPr>
            </w:pPr>
            <w:r>
              <w:rPr>
                <w:rFonts w:ascii="Arial" w:cs="Arial" w:eastAsia="Arial" w:hAnsi="Arial"/>
                <w:sz w:val="18"/>
                <w:szCs w:val="18"/>
                <w:color w:val="auto"/>
              </w:rPr>
              <w:t>Property, plant and equipment</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154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154</w:t>
            </w: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1,787</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633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1,154</w:t>
            </w: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680" w:right="559"/>
        <w:spacing w:after="0" w:line="255" w:lineRule="auto"/>
        <w:rPr>
          <w:sz w:val="20"/>
          <w:szCs w:val="20"/>
          <w:color w:val="auto"/>
        </w:rPr>
      </w:pPr>
      <w:r>
        <w:rPr>
          <w:rFonts w:ascii="Arial" w:cs="Arial" w:eastAsia="Arial" w:hAnsi="Arial"/>
          <w:sz w:val="18"/>
          <w:szCs w:val="18"/>
          <w:color w:val="auto"/>
        </w:rPr>
        <w:t xml:space="preserve">Effective at the beginning of the fiscal year ended December 27, 2008, we adopted ASC 825, </w:t>
      </w:r>
      <w:r>
        <w:rPr>
          <w:rFonts w:ascii="Arial" w:cs="Arial" w:eastAsia="Arial" w:hAnsi="Arial"/>
          <w:sz w:val="18"/>
          <w:szCs w:val="18"/>
          <w:i w:val="1"/>
          <w:iCs w:val="1"/>
          <w:color w:val="auto"/>
        </w:rPr>
        <w:t>The Fair Value Option for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Assets and Financial Liabilities </w:t>
      </w:r>
      <w:r>
        <w:rPr>
          <w:rFonts w:ascii="Arial" w:cs="Arial" w:eastAsia="Arial" w:hAnsi="Arial"/>
          <w:sz w:val="18"/>
          <w:szCs w:val="18"/>
          <w:color w:val="auto"/>
        </w:rPr>
        <w:t>(“ASC 825”). ASC 825 allows companies to choose to measure certain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instruments and certain other items at fair value. The statement requires that unrealized gains and losses are reported in earnings for items measured using the fair value option and establishes presentation and disclosure requirements. We have elected not to apply the fair value option to any of our financial instruments except for those expressly required by U.S. GAAP.</w:t>
      </w:r>
    </w:p>
    <w:p>
      <w:pPr>
        <w:spacing w:after="0" w:line="149" w:lineRule="exact"/>
        <w:rPr>
          <w:sz w:val="20"/>
          <w:szCs w:val="20"/>
          <w:color w:val="auto"/>
        </w:rPr>
      </w:pPr>
    </w:p>
    <w:p>
      <w:pPr>
        <w:ind w:left="680" w:hanging="348"/>
        <w:spacing w:after="0"/>
        <w:tabs>
          <w:tab w:leader="none" w:pos="6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202" w:lineRule="exact"/>
        <w:rPr>
          <w:rFonts w:ascii="Arial" w:cs="Arial" w:eastAsia="Arial" w:hAnsi="Arial"/>
          <w:sz w:val="18"/>
          <w:szCs w:val="18"/>
          <w:b w:val="1"/>
          <w:bCs w:val="1"/>
          <w:color w:val="auto"/>
        </w:rPr>
      </w:pPr>
    </w:p>
    <w:p>
      <w:pPr>
        <w:jc w:val="both"/>
        <w:ind w:left="680" w:right="559"/>
        <w:spacing w:after="0" w:line="288" w:lineRule="auto"/>
        <w:rPr>
          <w:rFonts w:ascii="Arial" w:cs="Arial" w:eastAsia="Arial" w:hAnsi="Arial"/>
          <w:sz w:val="18"/>
          <w:szCs w:val="18"/>
          <w:b w:val="1"/>
          <w:bCs w:val="1"/>
          <w:color w:val="auto"/>
        </w:rPr>
      </w:pPr>
      <w:r>
        <w:rPr>
          <w:rFonts w:ascii="Arial" w:cs="Arial" w:eastAsia="Arial" w:hAnsi="Arial"/>
          <w:sz w:val="16"/>
          <w:szCs w:val="16"/>
          <w:color w:val="auto"/>
        </w:rPr>
        <w:t>Earnings on construction contracts are reflected in operations using either percentage-of-completion accounting, which includes the cost to cost and units of delivery methods, or completed contract accounting, depending on the nature of the business at individual operations. Under percentage-of-completion using the cost to cost method, revenues and related earnings on construction contracts are measured by the relationships of actual costs incurred related to the total estimated costs. Under percentage-of-completion using the units of delivery method, revenues and related earnings on construction contracts are measured by the relationships of actual units produced related to the total number of units. Revisions in earnings estimates on the construction contracts are recorded in the accounting period in which the basis for such revisions becomes known. Projected losses on individual contracts are charged to operations in their entirety when such losses become apparent. Under the completed contract method, revenues and related earnings are recorded when the contracted work is complete and losses are charged to operations in their entirety when such losses become apparent.</w:t>
      </w:r>
    </w:p>
    <w:p>
      <w:pPr>
        <w:spacing w:after="0" w:line="200" w:lineRule="exact"/>
        <w:rPr>
          <w:sz w:val="20"/>
          <w:szCs w:val="20"/>
          <w:color w:val="auto"/>
        </w:rPr>
      </w:pPr>
    </w:p>
    <w:p>
      <w:pPr>
        <w:spacing w:after="0" w:line="32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UNIVERSAL FOREST PRODUCTS, INC.</w:t>
      </w:r>
    </w:p>
    <w:p>
      <w:pPr>
        <w:spacing w:after="0" w:line="202" w:lineRule="exact"/>
        <w:rPr>
          <w:sz w:val="20"/>
          <w:szCs w:val="20"/>
          <w:color w:val="auto"/>
        </w:rPr>
      </w:pPr>
    </w:p>
    <w:p>
      <w:pPr>
        <w:ind w:left="680" w:right="559"/>
        <w:spacing w:after="0" w:line="277" w:lineRule="auto"/>
        <w:rPr>
          <w:sz w:val="20"/>
          <w:szCs w:val="20"/>
          <w:color w:val="auto"/>
        </w:rPr>
      </w:pPr>
      <w:r>
        <w:rPr>
          <w:rFonts w:ascii="Arial" w:cs="Arial" w:eastAsia="Arial" w:hAnsi="Arial"/>
          <w:sz w:val="18"/>
          <w:szCs w:val="18"/>
          <w:color w:val="auto"/>
        </w:rPr>
        <w:t>The following table presents the balances of percentage-of-completion accounts which are included in “Other current assets” and “Accrued liabilities: Other”, respectively (in thousands):</w:t>
      </w:r>
    </w:p>
    <w:p>
      <w:pPr>
        <w:spacing w:after="0" w:line="170"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8"/>
                <w:szCs w:val="18"/>
                <w:color w:val="auto"/>
                <w:w w:val="92"/>
              </w:rPr>
              <w:t>March 27,</w:t>
            </w:r>
          </w:p>
        </w:tc>
        <w:tc>
          <w:tcPr>
            <w:tcW w:w="1360" w:type="dxa"/>
            <w:vAlign w:val="bottom"/>
            <w:gridSpan w:val="3"/>
          </w:tcPr>
          <w:p>
            <w:pPr>
              <w:spacing w:after="0"/>
              <w:rPr>
                <w:sz w:val="20"/>
                <w:szCs w:val="20"/>
                <w:color w:val="auto"/>
              </w:rPr>
            </w:pPr>
            <w:r>
              <w:rPr>
                <w:rFonts w:ascii="Arial" w:cs="Arial" w:eastAsia="Arial" w:hAnsi="Arial"/>
                <w:sz w:val="18"/>
                <w:szCs w:val="18"/>
                <w:color w:val="auto"/>
              </w:rPr>
              <w:t>December 26,</w:t>
            </w:r>
          </w:p>
        </w:tc>
        <w:tc>
          <w:tcPr>
            <w:tcW w:w="80" w:type="dxa"/>
            <w:vAlign w:val="bottom"/>
          </w:tcPr>
          <w:p>
            <w:pPr>
              <w:spacing w:after="0"/>
              <w:rPr>
                <w:sz w:val="18"/>
                <w:szCs w:val="18"/>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March 28,</w:t>
            </w:r>
          </w:p>
        </w:tc>
      </w:tr>
      <w:tr>
        <w:trPr>
          <w:trHeight w:val="230"/>
        </w:trPr>
        <w:tc>
          <w:tcPr>
            <w:tcW w:w="56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2010</w:t>
            </w:r>
          </w:p>
        </w:tc>
        <w:tc>
          <w:tcPr>
            <w:tcW w:w="3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2009</w:t>
            </w:r>
          </w:p>
        </w:tc>
        <w:tc>
          <w:tcPr>
            <w:tcW w:w="3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2009</w:t>
            </w:r>
          </w:p>
        </w:tc>
        <w:tc>
          <w:tcPr>
            <w:tcW w:w="80" w:type="dxa"/>
            <w:vAlign w:val="bottom"/>
          </w:tcPr>
          <w:p>
            <w:pPr>
              <w:spacing w:after="0"/>
              <w:rPr>
                <w:sz w:val="20"/>
                <w:szCs w:val="20"/>
                <w:color w:val="auto"/>
              </w:rPr>
            </w:pPr>
          </w:p>
        </w:tc>
      </w:tr>
      <w:tr>
        <w:trPr>
          <w:trHeight w:val="210"/>
        </w:trPr>
        <w:tc>
          <w:tcPr>
            <w:tcW w:w="5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Cost and Earnings in Excess of Billings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9,355</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9,998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4,200</w:t>
            </w:r>
          </w:p>
        </w:tc>
      </w:t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Billings in Excess of Cost and Earnings</w:t>
            </w:r>
          </w:p>
        </w:tc>
        <w:tc>
          <w:tcPr>
            <w:tcW w:w="100" w:type="dxa"/>
            <w:vAlign w:val="bottom"/>
          </w:tcPr>
          <w:p>
            <w:pPr>
              <w:spacing w:after="0"/>
              <w:rPr>
                <w:sz w:val="20"/>
                <w:szCs w:val="20"/>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8,297</w:t>
            </w:r>
          </w:p>
        </w:tc>
        <w:tc>
          <w:tcPr>
            <w:tcW w:w="200" w:type="dxa"/>
            <w:vAlign w:val="bottom"/>
          </w:tcPr>
          <w:p>
            <w:pPr>
              <w:spacing w:after="0"/>
              <w:rPr>
                <w:sz w:val="20"/>
                <w:szCs w:val="20"/>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8,954</w:t>
            </w:r>
          </w:p>
        </w:tc>
        <w:tc>
          <w:tcPr>
            <w:tcW w:w="8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7,101</w:t>
            </w:r>
          </w:p>
        </w:tc>
      </w:tr>
    </w:tbl>
    <w:p>
      <w:pPr>
        <w:spacing w:after="0" w:line="143" w:lineRule="exact"/>
        <w:rPr>
          <w:sz w:val="20"/>
          <w:szCs w:val="20"/>
          <w:color w:val="auto"/>
        </w:rPr>
      </w:pPr>
    </w:p>
    <w:p>
      <w:pPr>
        <w:ind w:left="680" w:hanging="348"/>
        <w:spacing w:after="0"/>
        <w:tabs>
          <w:tab w:leader="none" w:pos="6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EARNINGS (LOSS) PER SHARE</w:t>
      </w:r>
    </w:p>
    <w:p>
      <w:pPr>
        <w:spacing w:after="0" w:line="188" w:lineRule="exact"/>
        <w:rPr>
          <w:rFonts w:ascii="Arial" w:cs="Arial" w:eastAsia="Arial" w:hAnsi="Arial"/>
          <w:sz w:val="18"/>
          <w:szCs w:val="18"/>
          <w:b w:val="1"/>
          <w:bCs w:val="1"/>
          <w:color w:val="auto"/>
        </w:rPr>
      </w:pPr>
    </w:p>
    <w:p>
      <w:pPr>
        <w:ind w:left="680" w:right="559"/>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 reconciliation of the changes in the numerator and the denominator from the calculation of basic EPS to the calculation of diluted EPS follows (in thousands, except per share data):</w:t>
      </w:r>
    </w:p>
    <w:p>
      <w:pPr>
        <w:spacing w:after="0" w:line="170"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2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60" w:type="dxa"/>
            <w:vAlign w:val="bottom"/>
            <w:gridSpan w:val="7"/>
          </w:tcPr>
          <w:p>
            <w:pPr>
              <w:ind w:left="160"/>
              <w:spacing w:after="0"/>
              <w:rPr>
                <w:sz w:val="20"/>
                <w:szCs w:val="20"/>
                <w:color w:val="auto"/>
              </w:rPr>
            </w:pPr>
            <w:r>
              <w:rPr>
                <w:rFonts w:ascii="Arial" w:cs="Arial" w:eastAsia="Arial" w:hAnsi="Arial"/>
                <w:sz w:val="18"/>
                <w:szCs w:val="18"/>
                <w:color w:val="auto"/>
              </w:rPr>
              <w:t>Three Months Ended March 27, 2010</w:t>
            </w:r>
          </w:p>
        </w:tc>
        <w:tc>
          <w:tcPr>
            <w:tcW w:w="180" w:type="dxa"/>
            <w:vAlign w:val="bottom"/>
          </w:tcPr>
          <w:p>
            <w:pPr>
              <w:spacing w:after="0"/>
              <w:rPr>
                <w:sz w:val="20"/>
                <w:szCs w:val="20"/>
                <w:color w:val="auto"/>
              </w:rPr>
            </w:pPr>
          </w:p>
        </w:tc>
        <w:tc>
          <w:tcPr>
            <w:tcW w:w="3200" w:type="dxa"/>
            <w:vAlign w:val="bottom"/>
            <w:gridSpan w:val="7"/>
          </w:tcPr>
          <w:p>
            <w:pPr>
              <w:jc w:val="right"/>
              <w:ind w:right="380"/>
              <w:spacing w:after="0"/>
              <w:rPr>
                <w:sz w:val="20"/>
                <w:szCs w:val="20"/>
                <w:color w:val="auto"/>
              </w:rPr>
            </w:pPr>
            <w:r>
              <w:rPr>
                <w:rFonts w:ascii="Arial" w:cs="Arial" w:eastAsia="Arial" w:hAnsi="Arial"/>
                <w:sz w:val="18"/>
                <w:szCs w:val="18"/>
                <w:color w:val="auto"/>
                <w:w w:val="93"/>
              </w:rPr>
              <w:t>Three Months Ended March 28, 2009</w:t>
            </w:r>
          </w:p>
        </w:tc>
      </w:tr>
      <w:tr>
        <w:trPr>
          <w:trHeight w:val="195"/>
        </w:trPr>
        <w:tc>
          <w:tcPr>
            <w:tcW w:w="23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ind w:left="40"/>
              <w:spacing w:after="0" w:line="195" w:lineRule="exact"/>
              <w:rPr>
                <w:sz w:val="20"/>
                <w:szCs w:val="20"/>
                <w:color w:val="auto"/>
              </w:rPr>
            </w:pPr>
            <w:r>
              <w:rPr>
                <w:rFonts w:ascii="Arial" w:cs="Arial" w:eastAsia="Arial" w:hAnsi="Arial"/>
                <w:sz w:val="18"/>
                <w:szCs w:val="18"/>
                <w:color w:val="auto"/>
              </w:rPr>
              <w:t>Income</w:t>
            </w:r>
          </w:p>
        </w:tc>
        <w:tc>
          <w:tcPr>
            <w:tcW w:w="1380" w:type="dxa"/>
            <w:vAlign w:val="bottom"/>
            <w:tcBorders>
              <w:top w:val="single" w:sz="8" w:color="auto"/>
            </w:tcBorders>
            <w:gridSpan w:val="2"/>
          </w:tcPr>
          <w:p>
            <w:pPr>
              <w:jc w:val="center"/>
              <w:ind w:right="300"/>
              <w:spacing w:after="0" w:line="195" w:lineRule="exact"/>
              <w:rPr>
                <w:sz w:val="20"/>
                <w:szCs w:val="20"/>
                <w:color w:val="auto"/>
              </w:rPr>
            </w:pPr>
            <w:r>
              <w:rPr>
                <w:rFonts w:ascii="Arial" w:cs="Arial" w:eastAsia="Arial" w:hAnsi="Arial"/>
                <w:sz w:val="18"/>
                <w:szCs w:val="18"/>
                <w:color w:val="auto"/>
                <w:w w:val="84"/>
              </w:rPr>
              <w:t>Shares</w:t>
            </w:r>
          </w:p>
        </w:tc>
        <w:tc>
          <w:tcPr>
            <w:tcW w:w="740" w:type="dxa"/>
            <w:vAlign w:val="bottom"/>
            <w:tcBorders>
              <w:top w:val="single" w:sz="8" w:color="auto"/>
            </w:tcBorders>
            <w:gridSpan w:val="2"/>
          </w:tcPr>
          <w:p>
            <w:pPr>
              <w:ind w:left="20"/>
              <w:spacing w:after="0" w:line="195" w:lineRule="exact"/>
              <w:rPr>
                <w:sz w:val="20"/>
                <w:szCs w:val="20"/>
                <w:color w:val="auto"/>
              </w:rPr>
            </w:pPr>
            <w:r>
              <w:rPr>
                <w:rFonts w:ascii="Arial" w:cs="Arial" w:eastAsia="Arial" w:hAnsi="Arial"/>
                <w:sz w:val="18"/>
                <w:szCs w:val="18"/>
                <w:color w:val="auto"/>
                <w:w w:val="86"/>
              </w:rPr>
              <w:t>Per Share</w:t>
            </w:r>
          </w:p>
        </w:tc>
        <w:tc>
          <w:tcPr>
            <w:tcW w:w="3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right"/>
              <w:ind w:right="560"/>
              <w:spacing w:after="0" w:line="195" w:lineRule="exact"/>
              <w:rPr>
                <w:sz w:val="20"/>
                <w:szCs w:val="20"/>
                <w:color w:val="auto"/>
              </w:rPr>
            </w:pPr>
            <w:r>
              <w:rPr>
                <w:rFonts w:ascii="Arial" w:cs="Arial" w:eastAsia="Arial" w:hAnsi="Arial"/>
                <w:sz w:val="18"/>
                <w:szCs w:val="18"/>
                <w:color w:val="auto"/>
              </w:rPr>
              <w:t>Loss</w:t>
            </w:r>
          </w:p>
        </w:tc>
        <w:tc>
          <w:tcPr>
            <w:tcW w:w="1380" w:type="dxa"/>
            <w:vAlign w:val="bottom"/>
            <w:tcBorders>
              <w:top w:val="single" w:sz="8" w:color="auto"/>
            </w:tcBorders>
            <w:gridSpan w:val="2"/>
          </w:tcPr>
          <w:p>
            <w:pPr>
              <w:jc w:val="right"/>
              <w:ind w:right="600"/>
              <w:spacing w:after="0" w:line="195" w:lineRule="exact"/>
              <w:rPr>
                <w:sz w:val="20"/>
                <w:szCs w:val="20"/>
                <w:color w:val="auto"/>
              </w:rPr>
            </w:pPr>
            <w:r>
              <w:rPr>
                <w:rFonts w:ascii="Arial" w:cs="Arial" w:eastAsia="Arial" w:hAnsi="Arial"/>
                <w:sz w:val="18"/>
                <w:szCs w:val="18"/>
                <w:color w:val="auto"/>
              </w:rPr>
              <w:t>Shares</w:t>
            </w:r>
          </w:p>
        </w:tc>
        <w:tc>
          <w:tcPr>
            <w:tcW w:w="740" w:type="dxa"/>
            <w:vAlign w:val="bottom"/>
            <w:tcBorders>
              <w:top w:val="single" w:sz="8" w:color="auto"/>
            </w:tcBorders>
            <w:gridSpan w:val="2"/>
          </w:tcPr>
          <w:p>
            <w:pPr>
              <w:jc w:val="right"/>
              <w:spacing w:after="0" w:line="195" w:lineRule="exact"/>
              <w:rPr>
                <w:sz w:val="20"/>
                <w:szCs w:val="20"/>
                <w:color w:val="auto"/>
              </w:rPr>
            </w:pPr>
            <w:r>
              <w:rPr>
                <w:rFonts w:ascii="Arial" w:cs="Arial" w:eastAsia="Arial" w:hAnsi="Arial"/>
                <w:sz w:val="18"/>
                <w:szCs w:val="18"/>
                <w:color w:val="auto"/>
                <w:w w:val="86"/>
              </w:rPr>
              <w:t>Per Share</w:t>
            </w:r>
          </w:p>
        </w:tc>
        <w:tc>
          <w:tcPr>
            <w:tcW w:w="80" w:type="dxa"/>
            <w:vAlign w:val="bottom"/>
          </w:tcPr>
          <w:p>
            <w:pPr>
              <w:spacing w:after="0"/>
              <w:rPr>
                <w:sz w:val="16"/>
                <w:szCs w:val="16"/>
                <w:color w:val="auto"/>
              </w:rPr>
            </w:pPr>
          </w:p>
        </w:tc>
      </w:tr>
      <w:tr>
        <w:trPr>
          <w:trHeight w:val="230"/>
        </w:trPr>
        <w:tc>
          <w:tcPr>
            <w:tcW w:w="2340" w:type="dxa"/>
            <w:vAlign w:val="bottom"/>
          </w:tcPr>
          <w:p>
            <w:pPr>
              <w:spacing w:after="0"/>
              <w:rPr>
                <w:sz w:val="20"/>
                <w:szCs w:val="20"/>
                <w:color w:val="auto"/>
              </w:rPr>
            </w:pPr>
          </w:p>
        </w:tc>
        <w:tc>
          <w:tcPr>
            <w:tcW w:w="1180" w:type="dxa"/>
            <w:vAlign w:val="bottom"/>
            <w:gridSpan w:val="3"/>
          </w:tcPr>
          <w:p>
            <w:pPr>
              <w:spacing w:after="0"/>
              <w:rPr>
                <w:sz w:val="20"/>
                <w:szCs w:val="20"/>
                <w:color w:val="auto"/>
              </w:rPr>
            </w:pPr>
            <w:r>
              <w:rPr>
                <w:rFonts w:ascii="Arial" w:cs="Arial" w:eastAsia="Arial" w:hAnsi="Arial"/>
                <w:sz w:val="18"/>
                <w:szCs w:val="18"/>
                <w:color w:val="auto"/>
              </w:rPr>
              <w:t>(Numerator)</w:t>
            </w: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(Denominator)</w:t>
            </w:r>
          </w:p>
        </w:tc>
        <w:tc>
          <w:tcPr>
            <w:tcW w:w="1040" w:type="dxa"/>
            <w:vAlign w:val="bottom"/>
            <w:gridSpan w:val="3"/>
          </w:tcPr>
          <w:p>
            <w:pPr>
              <w:ind w:left="80"/>
              <w:spacing w:after="0"/>
              <w:rPr>
                <w:sz w:val="20"/>
                <w:szCs w:val="20"/>
                <w:color w:val="auto"/>
              </w:rPr>
            </w:pPr>
            <w:r>
              <w:rPr>
                <w:rFonts w:ascii="Arial" w:cs="Arial" w:eastAsia="Arial" w:hAnsi="Arial"/>
                <w:sz w:val="18"/>
                <w:szCs w:val="18"/>
                <w:color w:val="auto"/>
              </w:rPr>
              <w:t>Amount</w:t>
            </w:r>
          </w:p>
        </w:tc>
        <w:tc>
          <w:tcPr>
            <w:tcW w:w="1180" w:type="dxa"/>
            <w:vAlign w:val="bottom"/>
            <w:gridSpan w:val="3"/>
          </w:tcPr>
          <w:p>
            <w:pPr>
              <w:spacing w:after="0"/>
              <w:rPr>
                <w:sz w:val="20"/>
                <w:szCs w:val="20"/>
                <w:color w:val="auto"/>
              </w:rPr>
            </w:pPr>
            <w:r>
              <w:rPr>
                <w:rFonts w:ascii="Arial" w:cs="Arial" w:eastAsia="Arial" w:hAnsi="Arial"/>
                <w:sz w:val="18"/>
                <w:szCs w:val="18"/>
                <w:color w:val="auto"/>
              </w:rPr>
              <w:t>(Numerator)</w:t>
            </w: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(Denominator)</w:t>
            </w:r>
          </w:p>
        </w:tc>
        <w:tc>
          <w:tcPr>
            <w:tcW w:w="820" w:type="dxa"/>
            <w:vAlign w:val="bottom"/>
            <w:gridSpan w:val="3"/>
          </w:tcPr>
          <w:p>
            <w:pPr>
              <w:jc w:val="right"/>
              <w:ind w:right="160"/>
              <w:spacing w:after="0"/>
              <w:rPr>
                <w:sz w:val="20"/>
                <w:szCs w:val="20"/>
                <w:color w:val="auto"/>
              </w:rPr>
            </w:pPr>
            <w:r>
              <w:rPr>
                <w:rFonts w:ascii="Arial" w:cs="Arial" w:eastAsia="Arial" w:hAnsi="Arial"/>
                <w:sz w:val="18"/>
                <w:szCs w:val="18"/>
                <w:color w:val="auto"/>
              </w:rPr>
              <w:t>Amount</w:t>
            </w:r>
          </w:p>
        </w:tc>
      </w:tr>
      <w:tr>
        <w:trPr>
          <w:trHeight w:val="210"/>
        </w:trPr>
        <w:tc>
          <w:tcPr>
            <w:tcW w:w="23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23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Net Earnings (Loss)</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234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Attributable to</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234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Controlling Interest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987</w:t>
            </w:r>
          </w:p>
        </w:tc>
        <w:tc>
          <w:tcPr>
            <w:tcW w:w="10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(1,207)</w:t>
            </w:r>
          </w:p>
        </w:tc>
        <w:tc>
          <w:tcPr>
            <w:tcW w:w="10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432"/>
        </w:trPr>
        <w:tc>
          <w:tcPr>
            <w:tcW w:w="2340" w:type="dxa"/>
            <w:vAlign w:val="bottom"/>
          </w:tcPr>
          <w:p>
            <w:pPr>
              <w:spacing w:after="0"/>
              <w:rPr>
                <w:sz w:val="20"/>
                <w:szCs w:val="20"/>
                <w:color w:val="auto"/>
              </w:rPr>
            </w:pPr>
            <w:r>
              <w:rPr>
                <w:rFonts w:ascii="Arial" w:cs="Arial" w:eastAsia="Arial" w:hAnsi="Arial"/>
                <w:sz w:val="18"/>
                <w:szCs w:val="18"/>
                <w:b w:val="1"/>
                <w:bCs w:val="1"/>
                <w:color w:val="auto"/>
              </w:rPr>
              <w:t>EPS — Basic</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2"/>
        </w:trPr>
        <w:tc>
          <w:tcPr>
            <w:tcW w:w="2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Income available to common</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2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stockholders</w:t>
            </w: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987</w:t>
            </w: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19,258</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0.05</w:t>
            </w:r>
          </w:p>
        </w:tc>
        <w:tc>
          <w:tcPr>
            <w:tcW w:w="1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(1,207)</w:t>
            </w: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19,184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(0.06)</w:t>
            </w:r>
          </w:p>
        </w:tc>
      </w:tr>
      <w:tr>
        <w:trPr>
          <w:trHeight w:val="432"/>
        </w:trPr>
        <w:tc>
          <w:tcPr>
            <w:tcW w:w="2340" w:type="dxa"/>
            <w:vAlign w:val="bottom"/>
          </w:tcPr>
          <w:p>
            <w:pPr>
              <w:spacing w:after="0"/>
              <w:rPr>
                <w:sz w:val="20"/>
                <w:szCs w:val="20"/>
                <w:color w:val="auto"/>
              </w:rPr>
            </w:pPr>
            <w:r>
              <w:rPr>
                <w:rFonts w:ascii="Arial" w:cs="Arial" w:eastAsia="Arial" w:hAnsi="Arial"/>
                <w:sz w:val="18"/>
                <w:szCs w:val="18"/>
                <w:b w:val="1"/>
                <w:bCs w:val="1"/>
                <w:color w:val="auto"/>
              </w:rPr>
              <w:t>Effect of dilutive securities</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Options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259</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439"/>
        </w:trPr>
        <w:tc>
          <w:tcPr>
            <w:tcW w:w="2340" w:type="dxa"/>
            <w:vAlign w:val="bottom"/>
          </w:tcPr>
          <w:p>
            <w:pPr>
              <w:spacing w:after="0"/>
              <w:rPr>
                <w:sz w:val="20"/>
                <w:szCs w:val="20"/>
                <w:color w:val="auto"/>
              </w:rPr>
            </w:pPr>
            <w:r>
              <w:rPr>
                <w:rFonts w:ascii="Arial" w:cs="Arial" w:eastAsia="Arial" w:hAnsi="Arial"/>
                <w:sz w:val="18"/>
                <w:szCs w:val="18"/>
                <w:b w:val="1"/>
                <w:bCs w:val="1"/>
                <w:color w:val="auto"/>
              </w:rPr>
              <w:t>EPS — Diluted</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2"/>
        </w:trPr>
        <w:tc>
          <w:tcPr>
            <w:tcW w:w="2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Income available to common</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23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8"/>
              </w:rPr>
              <w:t>stockholders and assumed</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2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options exercised</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987</w:t>
            </w: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19,517</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(1,207)</w:t>
            </w: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19,184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(0.06)</w:t>
            </w:r>
          </w:p>
        </w:tc>
      </w:tr>
      <w:tr>
        <w:trPr>
          <w:trHeight w:val="20"/>
        </w:trPr>
        <w:tc>
          <w:tcPr>
            <w:tcW w:w="2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No options were excluded from the computation of diluted EPS for the quarter ended March 27, 2010.</w:t>
      </w:r>
    </w:p>
    <w:p>
      <w:pPr>
        <w:spacing w:after="0" w:line="185" w:lineRule="exact"/>
        <w:rPr>
          <w:sz w:val="20"/>
          <w:szCs w:val="20"/>
          <w:color w:val="auto"/>
        </w:rPr>
      </w:pPr>
    </w:p>
    <w:p>
      <w:pPr>
        <w:ind w:left="680" w:right="559"/>
        <w:spacing w:after="0" w:line="277" w:lineRule="auto"/>
        <w:rPr>
          <w:sz w:val="20"/>
          <w:szCs w:val="20"/>
          <w:color w:val="auto"/>
        </w:rPr>
      </w:pPr>
      <w:r>
        <w:rPr>
          <w:rFonts w:ascii="Arial" w:cs="Arial" w:eastAsia="Arial" w:hAnsi="Arial"/>
          <w:sz w:val="18"/>
          <w:szCs w:val="18"/>
          <w:color w:val="auto"/>
        </w:rPr>
        <w:t>Options to purchase shares and certain other shares of common stock were not included in the computation of diluted EPS because they were anti-dilutive given the net loss for the quarter ended March 28, 2009.</w:t>
      </w:r>
    </w:p>
    <w:p>
      <w:pPr>
        <w:spacing w:after="0" w:line="200" w:lineRule="exact"/>
        <w:rPr>
          <w:sz w:val="20"/>
          <w:szCs w:val="20"/>
          <w:color w:val="auto"/>
        </w:rPr>
      </w:pPr>
    </w:p>
    <w:p>
      <w:pPr>
        <w:spacing w:after="0" w:line="3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UNIVERSAL FOREST PRODUCTS, INC.</w:t>
      </w:r>
    </w:p>
    <w:p>
      <w:pPr>
        <w:spacing w:after="0" w:line="185" w:lineRule="exact"/>
        <w:rPr>
          <w:sz w:val="20"/>
          <w:szCs w:val="20"/>
          <w:color w:val="auto"/>
        </w:rPr>
      </w:pPr>
    </w:p>
    <w:p>
      <w:pPr>
        <w:ind w:left="680" w:right="559" w:hanging="348"/>
        <w:spacing w:after="0" w:line="282" w:lineRule="auto"/>
        <w:tabs>
          <w:tab w:leader="none" w:pos="6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ASSETS HELD FOR SALE AND NET LOSS (GAIN) ON DISPOSITION OF ASSETS AND OTHER IMPAIRMENTS AND EXIT CHARGES</w:t>
      </w:r>
    </w:p>
    <w:p>
      <w:pPr>
        <w:spacing w:after="0" w:line="125" w:lineRule="exact"/>
        <w:rPr>
          <w:rFonts w:ascii="Arial" w:cs="Arial" w:eastAsia="Arial" w:hAnsi="Arial"/>
          <w:sz w:val="18"/>
          <w:szCs w:val="18"/>
          <w:b w:val="1"/>
          <w:bCs w:val="1"/>
          <w:color w:val="auto"/>
        </w:rPr>
      </w:pPr>
    </w:p>
    <w:p>
      <w:pPr>
        <w:jc w:val="both"/>
        <w:ind w:left="680" w:right="559"/>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Included in “Assets held for sale” on our Consolidated Condensed Balance Sheets are certain property, plant and equipment totaling $5.5 million on March 28, 2009. The assets held for sale consist of certain vacant land and several facilities we closed to better align manufacturing capacity with the current business environment. The fair values were determined based on appraisals or recent offers to acquire the assets. These and other idle assets were evaluated based on the requirements of ASC 360, which resulted in certain impairment and other exit charges. “Net (gain) loss on disposition of assets and other impairment and exit charges” consists of the following amounts, separated by reporting segment, for the periods presented below (in millions):</w:t>
      </w:r>
    </w:p>
    <w:p>
      <w:pPr>
        <w:spacing w:after="0" w:line="189"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p>
        </w:tc>
        <w:tc>
          <w:tcPr>
            <w:tcW w:w="3000" w:type="dxa"/>
            <w:vAlign w:val="bottom"/>
            <w:gridSpan w:val="5"/>
          </w:tcPr>
          <w:p>
            <w:pPr>
              <w:spacing w:after="0"/>
              <w:rPr>
                <w:sz w:val="20"/>
                <w:szCs w:val="20"/>
                <w:color w:val="auto"/>
              </w:rPr>
            </w:pPr>
            <w:r>
              <w:rPr>
                <w:rFonts w:ascii="Arial" w:cs="Arial" w:eastAsia="Arial" w:hAnsi="Arial"/>
                <w:sz w:val="18"/>
                <w:szCs w:val="18"/>
                <w:color w:val="auto"/>
                <w:w w:val="99"/>
              </w:rPr>
              <w:t>Three Months Ended March 27, 2010</w:t>
            </w:r>
          </w:p>
        </w:tc>
        <w:tc>
          <w:tcPr>
            <w:tcW w:w="2760" w:type="dxa"/>
            <w:vAlign w:val="bottom"/>
            <w:gridSpan w:val="5"/>
          </w:tcPr>
          <w:p>
            <w:pPr>
              <w:spacing w:after="0"/>
              <w:rPr>
                <w:sz w:val="20"/>
                <w:szCs w:val="20"/>
                <w:color w:val="auto"/>
              </w:rPr>
            </w:pPr>
            <w:r>
              <w:rPr>
                <w:rFonts w:ascii="Arial" w:cs="Arial" w:eastAsia="Arial" w:hAnsi="Arial"/>
                <w:sz w:val="18"/>
                <w:szCs w:val="18"/>
                <w:color w:val="auto"/>
                <w:w w:val="91"/>
              </w:rPr>
              <w:t>Three Months Ended March 28, 2009</w:t>
            </w:r>
          </w:p>
        </w:tc>
      </w:tr>
      <w:tr>
        <w:trPr>
          <w:trHeight w:val="195"/>
        </w:trPr>
        <w:tc>
          <w:tcPr>
            <w:tcW w:w="35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2"/>
          </w:tcPr>
          <w:p>
            <w:pPr>
              <w:jc w:val="center"/>
              <w:ind w:right="600"/>
              <w:spacing w:after="0" w:line="195" w:lineRule="exact"/>
              <w:rPr>
                <w:sz w:val="20"/>
                <w:szCs w:val="20"/>
                <w:color w:val="auto"/>
              </w:rPr>
            </w:pPr>
            <w:r>
              <w:rPr>
                <w:rFonts w:ascii="Arial" w:cs="Arial" w:eastAsia="Arial" w:hAnsi="Arial"/>
                <w:sz w:val="18"/>
                <w:szCs w:val="18"/>
                <w:color w:val="auto"/>
                <w:w w:val="90"/>
              </w:rPr>
              <w:t>Northern,</w:t>
            </w:r>
          </w:p>
        </w:tc>
        <w:tc>
          <w:tcPr>
            <w:tcW w:w="112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jc w:val="center"/>
              <w:ind w:right="580"/>
              <w:spacing w:after="0" w:line="195" w:lineRule="exact"/>
              <w:rPr>
                <w:sz w:val="20"/>
                <w:szCs w:val="20"/>
                <w:color w:val="auto"/>
              </w:rPr>
            </w:pPr>
            <w:r>
              <w:rPr>
                <w:rFonts w:ascii="Arial" w:cs="Arial" w:eastAsia="Arial" w:hAnsi="Arial"/>
                <w:sz w:val="18"/>
                <w:szCs w:val="18"/>
                <w:color w:val="auto"/>
                <w:w w:val="90"/>
              </w:rPr>
              <w:t>Northern,</w:t>
            </w:r>
          </w:p>
        </w:tc>
        <w:tc>
          <w:tcPr>
            <w:tcW w:w="11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216"/>
        </w:trPr>
        <w:tc>
          <w:tcPr>
            <w:tcW w:w="3560" w:type="dxa"/>
            <w:vAlign w:val="bottom"/>
          </w:tcPr>
          <w:p>
            <w:pPr>
              <w:spacing w:after="0"/>
              <w:rPr>
                <w:sz w:val="18"/>
                <w:szCs w:val="18"/>
                <w:color w:val="auto"/>
              </w:rPr>
            </w:pPr>
          </w:p>
        </w:tc>
        <w:tc>
          <w:tcPr>
            <w:tcW w:w="1560" w:type="dxa"/>
            <w:vAlign w:val="bottom"/>
            <w:gridSpan w:val="3"/>
          </w:tcPr>
          <w:p>
            <w:pPr>
              <w:jc w:val="center"/>
              <w:ind w:right="440"/>
              <w:spacing w:after="0"/>
              <w:rPr>
                <w:sz w:val="20"/>
                <w:szCs w:val="20"/>
                <w:color w:val="auto"/>
              </w:rPr>
            </w:pPr>
            <w:r>
              <w:rPr>
                <w:rFonts w:ascii="Arial" w:cs="Arial" w:eastAsia="Arial" w:hAnsi="Arial"/>
                <w:sz w:val="18"/>
                <w:szCs w:val="18"/>
                <w:color w:val="auto"/>
                <w:w w:val="88"/>
              </w:rPr>
              <w:t>Southern and</w:t>
            </w: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gridSpan w:val="3"/>
          </w:tcPr>
          <w:p>
            <w:pPr>
              <w:jc w:val="center"/>
              <w:ind w:right="440"/>
              <w:spacing w:after="0"/>
              <w:rPr>
                <w:sz w:val="20"/>
                <w:szCs w:val="20"/>
                <w:color w:val="auto"/>
              </w:rPr>
            </w:pPr>
            <w:r>
              <w:rPr>
                <w:rFonts w:ascii="Arial" w:cs="Arial" w:eastAsia="Arial" w:hAnsi="Arial"/>
                <w:sz w:val="18"/>
                <w:szCs w:val="18"/>
                <w:color w:val="auto"/>
                <w:w w:val="88"/>
              </w:rPr>
              <w:t>Southern and</w:t>
            </w: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600"/>
              <w:spacing w:after="0"/>
              <w:rPr>
                <w:sz w:val="20"/>
                <w:szCs w:val="20"/>
                <w:color w:val="auto"/>
              </w:rPr>
            </w:pPr>
            <w:r>
              <w:rPr>
                <w:rFonts w:ascii="Arial" w:cs="Arial" w:eastAsia="Arial" w:hAnsi="Arial"/>
                <w:sz w:val="18"/>
                <w:szCs w:val="18"/>
                <w:color w:val="auto"/>
                <w:w w:val="89"/>
              </w:rPr>
              <w:t>Western</w:t>
            </w:r>
          </w:p>
        </w:tc>
        <w:tc>
          <w:tcPr>
            <w:tcW w:w="1440" w:type="dxa"/>
            <w:vAlign w:val="bottom"/>
            <w:gridSpan w:val="2"/>
          </w:tcPr>
          <w:p>
            <w:pPr>
              <w:jc w:val="center"/>
              <w:ind w:right="300"/>
              <w:spacing w:after="0"/>
              <w:rPr>
                <w:sz w:val="20"/>
                <w:szCs w:val="20"/>
                <w:color w:val="auto"/>
              </w:rPr>
            </w:pPr>
            <w:r>
              <w:rPr>
                <w:rFonts w:ascii="Arial" w:cs="Arial" w:eastAsia="Arial" w:hAnsi="Arial"/>
                <w:sz w:val="18"/>
                <w:szCs w:val="18"/>
                <w:color w:val="auto"/>
              </w:rPr>
              <w:t>All</w:t>
            </w:r>
          </w:p>
        </w:tc>
        <w:tc>
          <w:tcPr>
            <w:tcW w:w="140" w:type="dxa"/>
            <w:vAlign w:val="bottom"/>
          </w:tcPr>
          <w:p>
            <w:pPr>
              <w:spacing w:after="0"/>
              <w:rPr>
                <w:sz w:val="18"/>
                <w:szCs w:val="18"/>
                <w:color w:val="auto"/>
              </w:rPr>
            </w:pPr>
          </w:p>
        </w:tc>
        <w:tc>
          <w:tcPr>
            <w:tcW w:w="1420" w:type="dxa"/>
            <w:vAlign w:val="bottom"/>
            <w:gridSpan w:val="2"/>
          </w:tcPr>
          <w:p>
            <w:pPr>
              <w:jc w:val="center"/>
              <w:ind w:right="580"/>
              <w:spacing w:after="0"/>
              <w:rPr>
                <w:sz w:val="20"/>
                <w:szCs w:val="20"/>
                <w:color w:val="auto"/>
              </w:rPr>
            </w:pPr>
            <w:r>
              <w:rPr>
                <w:rFonts w:ascii="Arial" w:cs="Arial" w:eastAsia="Arial" w:hAnsi="Arial"/>
                <w:sz w:val="18"/>
                <w:szCs w:val="18"/>
                <w:color w:val="auto"/>
                <w:w w:val="89"/>
              </w:rPr>
              <w:t>Western</w:t>
            </w:r>
          </w:p>
        </w:tc>
        <w:tc>
          <w:tcPr>
            <w:tcW w:w="1200" w:type="dxa"/>
            <w:vAlign w:val="bottom"/>
            <w:gridSpan w:val="2"/>
          </w:tcPr>
          <w:p>
            <w:pPr>
              <w:jc w:val="center"/>
              <w:ind w:right="80"/>
              <w:spacing w:after="0"/>
              <w:rPr>
                <w:sz w:val="20"/>
                <w:szCs w:val="20"/>
                <w:color w:val="auto"/>
              </w:rPr>
            </w:pPr>
            <w:r>
              <w:rPr>
                <w:rFonts w:ascii="Arial" w:cs="Arial" w:eastAsia="Arial" w:hAnsi="Arial"/>
                <w:sz w:val="18"/>
                <w:szCs w:val="18"/>
                <w:color w:val="auto"/>
              </w:rPr>
              <w:t>All</w:t>
            </w:r>
          </w:p>
        </w:tc>
      </w:tr>
      <w:tr>
        <w:trPr>
          <w:trHeight w:val="230"/>
        </w:trPr>
        <w:tc>
          <w:tcPr>
            <w:tcW w:w="35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4"/>
              </w:rPr>
              <w:t>Divisions</w:t>
            </w:r>
          </w:p>
        </w:tc>
        <w:tc>
          <w:tcPr>
            <w:tcW w:w="44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Other</w:t>
            </w:r>
          </w:p>
        </w:tc>
        <w:tc>
          <w:tcPr>
            <w:tcW w:w="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4"/>
              </w:rPr>
              <w:t>Divisions</w:t>
            </w:r>
          </w:p>
        </w:tc>
        <w:tc>
          <w:tcPr>
            <w:tcW w:w="44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Other</w:t>
            </w:r>
          </w:p>
        </w:tc>
        <w:tc>
          <w:tcPr>
            <w:tcW w:w="80" w:type="dxa"/>
            <w:vAlign w:val="bottom"/>
          </w:tcPr>
          <w:p>
            <w:pPr>
              <w:spacing w:after="0"/>
              <w:rPr>
                <w:sz w:val="20"/>
                <w:szCs w:val="20"/>
                <w:color w:val="auto"/>
              </w:rPr>
            </w:pPr>
          </w:p>
        </w:tc>
      </w:tr>
      <w:tr>
        <w:trPr>
          <w:trHeight w:val="210"/>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Severances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0.2</w:t>
            </w: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0.5</w:t>
            </w: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440"/>
              <w:spacing w:after="0"/>
              <w:rPr>
                <w:sz w:val="20"/>
                <w:szCs w:val="20"/>
                <w:color w:val="auto"/>
              </w:rPr>
            </w:pPr>
            <w:r>
              <w:rPr>
                <w:rFonts w:ascii="Arial" w:cs="Arial" w:eastAsia="Arial" w:hAnsi="Arial"/>
                <w:sz w:val="18"/>
                <w:szCs w:val="18"/>
                <w:color w:val="auto"/>
              </w:rPr>
              <w:t>0.8</w:t>
            </w: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real estate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w:t>
            </w: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bl>
    <w:p>
      <w:pPr>
        <w:spacing w:after="0" w:line="171" w:lineRule="exact"/>
        <w:rPr>
          <w:sz w:val="20"/>
          <w:szCs w:val="20"/>
          <w:color w:val="auto"/>
        </w:rPr>
      </w:pPr>
    </w:p>
    <w:p>
      <w:pPr>
        <w:ind w:left="680" w:hanging="348"/>
        <w:spacing w:after="0"/>
        <w:tabs>
          <w:tab w:leader="none" w:pos="6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CONTINGENCIES, AND GUARANTEES</w:t>
      </w:r>
    </w:p>
    <w:p>
      <w:pPr>
        <w:spacing w:after="0" w:line="188" w:lineRule="exact"/>
        <w:rPr>
          <w:rFonts w:ascii="Arial" w:cs="Arial" w:eastAsia="Arial" w:hAnsi="Arial"/>
          <w:sz w:val="18"/>
          <w:szCs w:val="18"/>
          <w:b w:val="1"/>
          <w:bCs w:val="1"/>
          <w:color w:val="auto"/>
        </w:rPr>
      </w:pPr>
    </w:p>
    <w:p>
      <w:pPr>
        <w:ind w:left="680" w:right="559"/>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We are self-insured for environmental impairment liability, including certain liabilities which are insured through a wholly owned subsidiary, UFP Insurance Ltd., a licensed captive insurance company.</w:t>
      </w:r>
    </w:p>
    <w:p>
      <w:pPr>
        <w:spacing w:after="0" w:line="129" w:lineRule="exact"/>
        <w:rPr>
          <w:rFonts w:ascii="Arial" w:cs="Arial" w:eastAsia="Arial" w:hAnsi="Arial"/>
          <w:sz w:val="18"/>
          <w:szCs w:val="18"/>
          <w:b w:val="1"/>
          <w:bCs w:val="1"/>
          <w:color w:val="auto"/>
        </w:rPr>
      </w:pPr>
    </w:p>
    <w:p>
      <w:pPr>
        <w:jc w:val="both"/>
        <w:ind w:left="680" w:right="559"/>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We own and operate a number of facilities throughout the United States that chemically treat lumber products. In connection with the ownership and operation of these and other real properties, and the disposal or treatment of hazardous or toxic substances, we may, under various federal, state, and local environmental laws, ordinances, and regulations, be potentially liable for removal and remediation costs, as well as other potential costs, damages, and expenses. Environmental reserves, calculated with no discount rate, have been established to cover remediation activities at our affiliates’ wood preservation facilities in Stockertown, PA; Elizabeth City, NC; Auburndale, FL; Gordon, PA; Janesville, WI; Medley, FL; and Ponce, PR. In addition, a reserve was established for our affiliate’s facility in Thornton, CA to remove certain lead containing materials which existed on the property at the time of purchase.</w:t>
      </w:r>
    </w:p>
    <w:p>
      <w:pPr>
        <w:spacing w:after="0" w:line="151" w:lineRule="exact"/>
        <w:rPr>
          <w:rFonts w:ascii="Arial" w:cs="Arial" w:eastAsia="Arial" w:hAnsi="Arial"/>
          <w:sz w:val="18"/>
          <w:szCs w:val="18"/>
          <w:b w:val="1"/>
          <w:bCs w:val="1"/>
          <w:color w:val="auto"/>
        </w:rPr>
      </w:pPr>
    </w:p>
    <w:p>
      <w:pPr>
        <w:jc w:val="both"/>
        <w:ind w:left="680" w:right="559"/>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On a consolidated basis, we have reserved approximately $4.2 million on March 27, 2010 and $4.3 million on March 28, 2009, representing the estimated costs to complete future remediation efforts. These amounts have not been reduced by an insurance receivable.</w:t>
      </w:r>
    </w:p>
    <w:p>
      <w:pPr>
        <w:spacing w:after="0" w:line="140" w:lineRule="exact"/>
        <w:rPr>
          <w:rFonts w:ascii="Arial" w:cs="Arial" w:eastAsia="Arial" w:hAnsi="Arial"/>
          <w:sz w:val="18"/>
          <w:szCs w:val="18"/>
          <w:b w:val="1"/>
          <w:bCs w:val="1"/>
          <w:color w:val="auto"/>
        </w:rPr>
      </w:pPr>
    </w:p>
    <w:p>
      <w:pPr>
        <w:jc w:val="both"/>
        <w:ind w:left="680" w:right="559"/>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From time to time, various special interest environmental groups have petitioned certain states requesting restrictions on the use or disposal of CCA treated products. The wood preservation industry trade groups are working with the individual states and their regulatory agencies to provide an accurate, factual background which demonstrates that the present method of uses and disposal is scientifically supported. We market a modest amount of CCA treated products for permitted, non-residential applications.</w:t>
      </w:r>
    </w:p>
    <w:p>
      <w:pPr>
        <w:spacing w:after="0" w:line="200" w:lineRule="exact"/>
        <w:rPr>
          <w:sz w:val="20"/>
          <w:szCs w:val="20"/>
          <w:color w:val="auto"/>
        </w:rPr>
      </w:pPr>
    </w:p>
    <w:p>
      <w:pPr>
        <w:spacing w:after="0" w:line="35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UNIVERSAL FOREST PRODUCTS, INC.</w:t>
      </w:r>
    </w:p>
    <w:p>
      <w:pPr>
        <w:spacing w:after="0" w:line="189" w:lineRule="exact"/>
        <w:rPr>
          <w:sz w:val="20"/>
          <w:szCs w:val="20"/>
          <w:color w:val="auto"/>
        </w:rPr>
      </w:pPr>
    </w:p>
    <w:p>
      <w:pPr>
        <w:jc w:val="both"/>
        <w:ind w:left="680" w:right="559"/>
        <w:spacing w:after="0" w:line="277" w:lineRule="auto"/>
        <w:rPr>
          <w:sz w:val="20"/>
          <w:szCs w:val="20"/>
          <w:color w:val="auto"/>
        </w:rPr>
      </w:pPr>
      <w:r>
        <w:rPr>
          <w:rFonts w:ascii="Arial" w:cs="Arial" w:eastAsia="Arial" w:hAnsi="Arial"/>
          <w:sz w:val="18"/>
          <w:szCs w:val="18"/>
          <w:color w:val="auto"/>
        </w:rPr>
        <w:t>We have not accrued for any potential loss related to the contingencies above. However, potential liabilities of this nature are not conducive to precise estimates and are subject to change.</w:t>
      </w:r>
    </w:p>
    <w:p>
      <w:pPr>
        <w:spacing w:after="0" w:line="130" w:lineRule="exact"/>
        <w:rPr>
          <w:sz w:val="20"/>
          <w:szCs w:val="20"/>
          <w:color w:val="auto"/>
        </w:rPr>
      </w:pPr>
    </w:p>
    <w:p>
      <w:pPr>
        <w:jc w:val="both"/>
        <w:ind w:left="680" w:right="559"/>
        <w:spacing w:after="0" w:line="264" w:lineRule="auto"/>
        <w:rPr>
          <w:sz w:val="20"/>
          <w:szCs w:val="20"/>
          <w:color w:val="auto"/>
        </w:rPr>
      </w:pPr>
      <w:r>
        <w:rPr>
          <w:rFonts w:ascii="Arial" w:cs="Arial" w:eastAsia="Arial" w:hAnsi="Arial"/>
          <w:sz w:val="18"/>
          <w:szCs w:val="18"/>
          <w:color w:val="auto"/>
        </w:rPr>
        <w:t>In addition, on March 27, 2010, we were parties either as plaintiff or a defendant to a number of lawsuits and claims arising through the normal course of our business. In the opinion of management, our consolidated financial statements will not be materially affected by the outcome of these contingencies and claims.</w:t>
      </w:r>
    </w:p>
    <w:p>
      <w:pPr>
        <w:spacing w:after="0" w:line="154" w:lineRule="exact"/>
        <w:rPr>
          <w:sz w:val="20"/>
          <w:szCs w:val="20"/>
          <w:color w:val="auto"/>
        </w:rPr>
      </w:pPr>
    </w:p>
    <w:p>
      <w:pPr>
        <w:ind w:left="680"/>
        <w:spacing w:after="0"/>
        <w:rPr>
          <w:sz w:val="20"/>
          <w:szCs w:val="20"/>
          <w:color w:val="auto"/>
        </w:rPr>
      </w:pPr>
      <w:r>
        <w:rPr>
          <w:rFonts w:ascii="Arial" w:cs="Arial" w:eastAsia="Arial" w:hAnsi="Arial"/>
          <w:sz w:val="17"/>
          <w:szCs w:val="17"/>
          <w:color w:val="auto"/>
        </w:rPr>
        <w:t>On March 27, 2010, we had outstanding purchase commitments on capital projects of approximately $3.0 million.</w:t>
      </w:r>
    </w:p>
    <w:p>
      <w:pPr>
        <w:spacing w:after="0" w:line="196" w:lineRule="exact"/>
        <w:rPr>
          <w:sz w:val="20"/>
          <w:szCs w:val="20"/>
          <w:color w:val="auto"/>
        </w:rPr>
      </w:pPr>
    </w:p>
    <w:p>
      <w:pPr>
        <w:jc w:val="both"/>
        <w:ind w:left="680" w:right="559"/>
        <w:spacing w:after="0" w:line="302" w:lineRule="auto"/>
        <w:rPr>
          <w:sz w:val="20"/>
          <w:szCs w:val="20"/>
          <w:color w:val="auto"/>
        </w:rPr>
      </w:pPr>
      <w:r>
        <w:rPr>
          <w:rFonts w:ascii="Arial" w:cs="Arial" w:eastAsia="Arial" w:hAnsi="Arial"/>
          <w:sz w:val="16"/>
          <w:szCs w:val="16"/>
          <w:color w:val="auto"/>
        </w:rPr>
        <w:t>We provide a variety of warranties for products we manufacture. Historically, warranty claims have not been material. We distribute products manufactured by other companies, some of which are no longer in business. While we do not warrant these products, we have received claims as a distributor of these products when the manufacturer no longer exists or has the ability to pay. Historically these costs have not had a material affect on our consolidated financial statements.</w:t>
      </w:r>
    </w:p>
    <w:p>
      <w:pPr>
        <w:spacing w:after="0" w:line="114" w:lineRule="exact"/>
        <w:rPr>
          <w:sz w:val="20"/>
          <w:szCs w:val="20"/>
          <w:color w:val="auto"/>
        </w:rPr>
      </w:pPr>
    </w:p>
    <w:p>
      <w:pPr>
        <w:jc w:val="both"/>
        <w:ind w:left="680" w:right="559"/>
        <w:spacing w:after="0" w:line="255" w:lineRule="auto"/>
        <w:rPr>
          <w:sz w:val="20"/>
          <w:szCs w:val="20"/>
          <w:color w:val="auto"/>
        </w:rPr>
      </w:pPr>
      <w:r>
        <w:rPr>
          <w:rFonts w:ascii="Arial" w:cs="Arial" w:eastAsia="Arial" w:hAnsi="Arial"/>
          <w:sz w:val="18"/>
          <w:szCs w:val="18"/>
          <w:color w:val="auto"/>
        </w:rPr>
        <w:t>In certain cases we supply building materials and labor to site-built construction projects or we jointly bid on contracts with framing companies for such projects. In some instances we are required to post payment and performance bonds to insure the owner that the products and installation services are completed in accordance with our contractual obligations. We have agreed to indemnify the surety for claims made against the bonds. As of March 27, 2010, we had approximately $16.0 million in outstanding payment and performance bonds for projects in progress, which expire during the next two years. In addition, approximately $27.1 million in payment and performance bonds are outstanding for completed projects which are still under warranty.</w:t>
      </w:r>
    </w:p>
    <w:p>
      <w:pPr>
        <w:spacing w:after="0" w:line="162" w:lineRule="exact"/>
        <w:rPr>
          <w:sz w:val="20"/>
          <w:szCs w:val="20"/>
          <w:color w:val="auto"/>
        </w:rPr>
      </w:pPr>
    </w:p>
    <w:p>
      <w:pPr>
        <w:jc w:val="both"/>
        <w:ind w:left="680" w:right="559"/>
        <w:spacing w:after="0" w:line="276" w:lineRule="auto"/>
        <w:rPr>
          <w:sz w:val="20"/>
          <w:szCs w:val="20"/>
          <w:color w:val="auto"/>
        </w:rPr>
      </w:pPr>
      <w:r>
        <w:rPr>
          <w:rFonts w:ascii="Arial" w:cs="Arial" w:eastAsia="Arial" w:hAnsi="Arial"/>
          <w:sz w:val="17"/>
          <w:szCs w:val="17"/>
          <w:color w:val="auto"/>
        </w:rPr>
        <w:t>We have entered into operating leases for certain personal property assets that include a guarantee of a portion of the residual value of the leased assets. If at the expiration of the initial lease term we do not exercise our option to purchase the leased assets and these assets are sold by the lessor for a price below a predetermined amount, we will reimburse the lessor for a certain portion of the shortfall. These operating leases will expire periodically over the next five years. The estimated maximum aggregate exposure of these guarantees is approximately $1.3 million.</w:t>
      </w:r>
    </w:p>
    <w:p>
      <w:pPr>
        <w:spacing w:after="0" w:line="132" w:lineRule="exact"/>
        <w:rPr>
          <w:sz w:val="20"/>
          <w:szCs w:val="20"/>
          <w:color w:val="auto"/>
        </w:rPr>
      </w:pPr>
    </w:p>
    <w:p>
      <w:pPr>
        <w:jc w:val="both"/>
        <w:ind w:left="680" w:right="559"/>
        <w:spacing w:after="0" w:line="277" w:lineRule="auto"/>
        <w:rPr>
          <w:sz w:val="20"/>
          <w:szCs w:val="20"/>
          <w:color w:val="auto"/>
        </w:rPr>
      </w:pPr>
      <w:r>
        <w:rPr>
          <w:rFonts w:ascii="Arial" w:cs="Arial" w:eastAsia="Arial" w:hAnsi="Arial"/>
          <w:sz w:val="18"/>
          <w:szCs w:val="18"/>
          <w:color w:val="auto"/>
        </w:rPr>
        <w:t>On March 27, 2010, we had outstanding letters of credit totaling $32.3 million, primarily related to certain insurance contracts and industrial development revenue bonds as further described below.</w:t>
      </w:r>
    </w:p>
    <w:p>
      <w:pPr>
        <w:spacing w:after="0" w:line="200" w:lineRule="exact"/>
        <w:rPr>
          <w:sz w:val="20"/>
          <w:szCs w:val="20"/>
          <w:color w:val="auto"/>
        </w:rPr>
      </w:pPr>
    </w:p>
    <w:p>
      <w:pPr>
        <w:spacing w:after="0" w:line="3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UNIVERSAL FOREST PRODUCTS, INC.</w:t>
      </w:r>
    </w:p>
    <w:p>
      <w:pPr>
        <w:spacing w:after="0" w:line="189" w:lineRule="exact"/>
        <w:rPr>
          <w:sz w:val="20"/>
          <w:szCs w:val="20"/>
          <w:color w:val="auto"/>
        </w:rPr>
      </w:pPr>
    </w:p>
    <w:p>
      <w:pPr>
        <w:jc w:val="both"/>
        <w:ind w:left="680" w:right="559"/>
        <w:spacing w:after="0" w:line="279" w:lineRule="auto"/>
        <w:rPr>
          <w:sz w:val="20"/>
          <w:szCs w:val="20"/>
          <w:color w:val="auto"/>
        </w:rPr>
      </w:pPr>
      <w:r>
        <w:rPr>
          <w:rFonts w:ascii="Arial" w:cs="Arial" w:eastAsia="Arial" w:hAnsi="Arial"/>
          <w:sz w:val="17"/>
          <w:szCs w:val="17"/>
          <w:color w:val="auto"/>
        </w:rPr>
        <w:t>In lieu of cash deposits, we provide irrevocable letters of credit in favor of our insurers to guarantee our performance under certain insurance contracts. We currently have irrevocable letters of credit outstanding totaling approximately $19.3 million for these types of insurance arrangements. We have reserves recorded on our balance sheet, in accrued liabilities, that reflect our expected future liabilities under these insurance arrangements.</w:t>
      </w:r>
    </w:p>
    <w:p>
      <w:pPr>
        <w:spacing w:after="0" w:line="131" w:lineRule="exact"/>
        <w:rPr>
          <w:sz w:val="20"/>
          <w:szCs w:val="20"/>
          <w:color w:val="auto"/>
        </w:rPr>
      </w:pPr>
    </w:p>
    <w:p>
      <w:pPr>
        <w:jc w:val="both"/>
        <w:ind w:left="680" w:right="559"/>
        <w:spacing w:after="0" w:line="257" w:lineRule="auto"/>
        <w:rPr>
          <w:sz w:val="20"/>
          <w:szCs w:val="20"/>
          <w:color w:val="auto"/>
        </w:rPr>
      </w:pPr>
      <w:r>
        <w:rPr>
          <w:rFonts w:ascii="Arial" w:cs="Arial" w:eastAsia="Arial" w:hAnsi="Arial"/>
          <w:sz w:val="18"/>
          <w:szCs w:val="18"/>
          <w:color w:val="auto"/>
        </w:rPr>
        <w:t>We are required to provide irrevocable letters of credit in favor of the bond trustees for all of the industrial development revenue bonds that we have issued. These letters of credit guarantee principal and interest payments to the bondholders. We currently have irrevocable letters of credit outstanding totaling approximately $12.4 million related to our outstanding industrial development revenue bonds. These letters of credit have varying terms but may be renewed at the option of the issuing banks.</w:t>
      </w:r>
    </w:p>
    <w:p>
      <w:pPr>
        <w:spacing w:after="0" w:line="161" w:lineRule="exact"/>
        <w:rPr>
          <w:sz w:val="20"/>
          <w:szCs w:val="20"/>
          <w:color w:val="auto"/>
        </w:rPr>
      </w:pPr>
    </w:p>
    <w:p>
      <w:pPr>
        <w:jc w:val="both"/>
        <w:ind w:left="680" w:right="559"/>
        <w:spacing w:after="0" w:line="259" w:lineRule="auto"/>
        <w:rPr>
          <w:sz w:val="20"/>
          <w:szCs w:val="20"/>
          <w:color w:val="auto"/>
        </w:rPr>
      </w:pPr>
      <w:r>
        <w:rPr>
          <w:rFonts w:ascii="Arial" w:cs="Arial" w:eastAsia="Arial" w:hAnsi="Arial"/>
          <w:sz w:val="18"/>
          <w:szCs w:val="18"/>
          <w:color w:val="auto"/>
        </w:rPr>
        <w:t>Certain wholly owned domestic subsidiaries have guaranteed the indebtedness of Universal Forest Products, Inc. in certain debt agreements, including the Series 2002-A Senior Notes and our revolving credit facility. The maximum exposure of these guarantees is limited to the indebtedness outstanding under these debt arrangements and this exposure will expire concurrent with the expiration of the debt agreements.</w:t>
      </w:r>
    </w:p>
    <w:p>
      <w:pPr>
        <w:spacing w:after="0" w:line="146" w:lineRule="exact"/>
        <w:rPr>
          <w:sz w:val="20"/>
          <w:szCs w:val="20"/>
          <w:color w:val="auto"/>
        </w:rPr>
      </w:pPr>
    </w:p>
    <w:p>
      <w:pPr>
        <w:jc w:val="both"/>
        <w:ind w:left="680" w:right="559"/>
        <w:spacing w:after="0" w:line="254" w:lineRule="auto"/>
        <w:rPr>
          <w:sz w:val="20"/>
          <w:szCs w:val="20"/>
          <w:color w:val="auto"/>
        </w:rPr>
      </w:pPr>
      <w:r>
        <w:rPr>
          <w:rFonts w:ascii="Arial" w:cs="Arial" w:eastAsia="Arial" w:hAnsi="Arial"/>
          <w:sz w:val="18"/>
          <w:szCs w:val="18"/>
          <w:color w:val="auto"/>
        </w:rPr>
        <w:t>Many of our wood treating operations utilize “Subpart W” drip pads, defined as hazardous waste management units by the EPA. The rules regulating drip pads require that the pad be “closed” at the point that it is no longer intended to be used for wood treating operations or to manage hazardous waste. Closure involves identification and disposal of contaminants which are required to be removed from the facility. The cost of closure is dependent upon a number of factors including, but not limited to, identification and removal of contaminants, cleanup standards that vary from state to state, and the time period over which the cleanup would be completed. Based on our present knowledge of existing circumstances, it is considered probable that these costs will approximate $0.3 million. As a result, this amount is recorded in other long-term liabilities on March 27, 2010.</w:t>
      </w:r>
    </w:p>
    <w:p>
      <w:pPr>
        <w:spacing w:after="0" w:line="152" w:lineRule="exact"/>
        <w:rPr>
          <w:sz w:val="20"/>
          <w:szCs w:val="20"/>
          <w:color w:val="auto"/>
        </w:rPr>
      </w:pPr>
    </w:p>
    <w:p>
      <w:pPr>
        <w:jc w:val="both"/>
        <w:ind w:left="680" w:right="559"/>
        <w:spacing w:after="0" w:line="277" w:lineRule="auto"/>
        <w:rPr>
          <w:sz w:val="20"/>
          <w:szCs w:val="20"/>
          <w:color w:val="auto"/>
        </w:rPr>
      </w:pPr>
      <w:r>
        <w:rPr>
          <w:rFonts w:ascii="Arial" w:cs="Arial" w:eastAsia="Arial" w:hAnsi="Arial"/>
          <w:sz w:val="18"/>
          <w:szCs w:val="18"/>
          <w:color w:val="auto"/>
        </w:rPr>
        <w:t>We did not enter into any new guarantee arrangements during the first quarter of 2010 which would require us to recognize a liability on our balance sheet.</w:t>
      </w:r>
    </w:p>
    <w:p>
      <w:pPr>
        <w:spacing w:after="0" w:line="200" w:lineRule="exact"/>
        <w:rPr>
          <w:sz w:val="20"/>
          <w:szCs w:val="20"/>
          <w:color w:val="auto"/>
        </w:rPr>
      </w:pPr>
    </w:p>
    <w:p>
      <w:pPr>
        <w:spacing w:after="0" w:line="3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UNIVERSAL FOREST PRODUCTS, INC.</w:t>
      </w:r>
    </w:p>
    <w:p>
      <w:pPr>
        <w:spacing w:after="0" w:line="185" w:lineRule="exact"/>
        <w:rPr>
          <w:sz w:val="20"/>
          <w:szCs w:val="20"/>
          <w:color w:val="auto"/>
        </w:rPr>
      </w:pPr>
    </w:p>
    <w:p>
      <w:pPr>
        <w:ind w:left="680" w:hanging="348"/>
        <w:spacing w:after="0"/>
        <w:tabs>
          <w:tab w:leader="none" w:pos="6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COMBINATIONS</w:t>
      </w:r>
    </w:p>
    <w:p>
      <w:pPr>
        <w:spacing w:after="0" w:line="188" w:lineRule="exact"/>
        <w:rPr>
          <w:rFonts w:ascii="Arial" w:cs="Arial" w:eastAsia="Arial" w:hAnsi="Arial"/>
          <w:sz w:val="18"/>
          <w:szCs w:val="18"/>
          <w:b w:val="1"/>
          <w:bCs w:val="1"/>
          <w:color w:val="auto"/>
        </w:rPr>
      </w:pPr>
    </w:p>
    <w:p>
      <w:pPr>
        <w:ind w:left="680" w:right="559"/>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No business combinations were completed in fiscal 2009. We completed the following business combinations in fiscal 2010 which were accounted for using the purchase method (in millions).</w:t>
      </w:r>
    </w:p>
    <w:p>
      <w:pPr>
        <w:spacing w:after="0" w:line="82"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1400" w:type="dxa"/>
            <w:vAlign w:val="bottom"/>
            <w:vMerge w:val="restart"/>
          </w:tcPr>
          <w:p>
            <w:pPr>
              <w:spacing w:after="0"/>
              <w:rPr>
                <w:sz w:val="20"/>
                <w:szCs w:val="20"/>
                <w:color w:val="auto"/>
              </w:rPr>
            </w:pPr>
            <w:r>
              <w:rPr>
                <w:rFonts w:ascii="Arial" w:cs="Arial" w:eastAsia="Arial" w:hAnsi="Arial"/>
                <w:sz w:val="14"/>
                <w:szCs w:val="14"/>
                <w:b w:val="1"/>
                <w:bCs w:val="1"/>
                <w:color w:val="auto"/>
              </w:rPr>
              <w:t>Company</w:t>
            </w:r>
          </w:p>
        </w:tc>
        <w:tc>
          <w:tcPr>
            <w:tcW w:w="140" w:type="dxa"/>
            <w:vAlign w:val="bottom"/>
          </w:tcPr>
          <w:p>
            <w:pPr>
              <w:spacing w:after="0"/>
              <w:rPr>
                <w:sz w:val="14"/>
                <w:szCs w:val="14"/>
                <w:color w:val="auto"/>
              </w:rPr>
            </w:pPr>
          </w:p>
        </w:tc>
        <w:tc>
          <w:tcPr>
            <w:tcW w:w="10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Acquisition</w:t>
            </w:r>
          </w:p>
        </w:tc>
        <w:tc>
          <w:tcPr>
            <w:tcW w:w="11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Purchase</w:t>
            </w:r>
          </w:p>
        </w:tc>
        <w:tc>
          <w:tcPr>
            <w:tcW w:w="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Intangible</w:t>
            </w:r>
          </w:p>
        </w:tc>
        <w:tc>
          <w:tcPr>
            <w:tcW w:w="80" w:type="dxa"/>
            <w:vAlign w:val="bottom"/>
          </w:tcPr>
          <w:p>
            <w:pPr>
              <w:spacing w:after="0"/>
              <w:rPr>
                <w:sz w:val="14"/>
                <w:szCs w:val="14"/>
                <w:color w:val="auto"/>
              </w:rPr>
            </w:pPr>
          </w:p>
        </w:tc>
        <w:tc>
          <w:tcPr>
            <w:tcW w:w="6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Net</w:t>
            </w:r>
          </w:p>
        </w:tc>
        <w:tc>
          <w:tcPr>
            <w:tcW w:w="8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Reportable</w:t>
            </w:r>
          </w:p>
        </w:tc>
        <w:tc>
          <w:tcPr>
            <w:tcW w:w="3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4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7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Tangible</w:t>
            </w:r>
          </w:p>
        </w:tc>
        <w:tc>
          <w:tcPr>
            <w:tcW w:w="880" w:type="dxa"/>
            <w:vAlign w:val="bottom"/>
            <w:gridSpan w:val="2"/>
            <w:vMerge w:val="continue"/>
          </w:tcPr>
          <w:p>
            <w:pPr>
              <w:spacing w:after="0"/>
              <w:rPr>
                <w:sz w:val="12"/>
                <w:szCs w:val="12"/>
                <w:color w:val="auto"/>
              </w:rPr>
            </w:pPr>
          </w:p>
        </w:tc>
        <w:tc>
          <w:tcPr>
            <w:tcW w:w="3080" w:type="dxa"/>
            <w:vAlign w:val="bottom"/>
            <w:vMerge w:val="restart"/>
          </w:tcPr>
          <w:p>
            <w:pPr>
              <w:ind w:left="900"/>
              <w:spacing w:after="0"/>
              <w:rPr>
                <w:sz w:val="20"/>
                <w:szCs w:val="20"/>
                <w:color w:val="auto"/>
              </w:rPr>
            </w:pPr>
            <w:r>
              <w:rPr>
                <w:rFonts w:ascii="Arial" w:cs="Arial" w:eastAsia="Arial" w:hAnsi="Arial"/>
                <w:sz w:val="14"/>
                <w:szCs w:val="14"/>
                <w:b w:val="1"/>
                <w:bCs w:val="1"/>
                <w:color w:val="auto"/>
              </w:rPr>
              <w:t>Business Description</w:t>
            </w:r>
          </w:p>
        </w:tc>
        <w:tc>
          <w:tcPr>
            <w:tcW w:w="0" w:type="dxa"/>
            <w:vAlign w:val="bottom"/>
          </w:tcPr>
          <w:p>
            <w:pPr>
              <w:spacing w:after="0"/>
              <w:rPr>
                <w:sz w:val="1"/>
                <w:szCs w:val="1"/>
                <w:color w:val="auto"/>
              </w:rPr>
            </w:pPr>
          </w:p>
        </w:tc>
      </w:tr>
      <w:tr>
        <w:trPr>
          <w:trHeight w:val="171"/>
        </w:trPr>
        <w:tc>
          <w:tcPr>
            <w:tcW w:w="1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4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22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Price</w:t>
            </w: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Assets</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82"/>
              </w:rPr>
              <w:t>Assets</w:t>
            </w:r>
          </w:p>
        </w:tc>
        <w:tc>
          <w:tcPr>
            <w:tcW w:w="22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Segment</w:t>
            </w:r>
          </w:p>
        </w:tc>
        <w:tc>
          <w:tcPr>
            <w:tcW w:w="220" w:type="dxa"/>
            <w:vAlign w:val="bottom"/>
          </w:tcPr>
          <w:p>
            <w:pPr>
              <w:spacing w:after="0"/>
              <w:rPr>
                <w:sz w:val="14"/>
                <w:szCs w:val="14"/>
                <w:color w:val="auto"/>
              </w:rPr>
            </w:pPr>
          </w:p>
        </w:tc>
        <w:tc>
          <w:tcPr>
            <w:tcW w:w="30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40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rPr>
              <w:t>Service Supply</w:t>
            </w:r>
          </w:p>
        </w:tc>
        <w:tc>
          <w:tcPr>
            <w:tcW w:w="140" w:type="dxa"/>
            <w:vAlign w:val="bottom"/>
            <w:shd w:val="clear" w:color="auto" w:fill="CCEEFF"/>
          </w:tcPr>
          <w:p>
            <w:pPr>
              <w:spacing w:after="0"/>
              <w:rPr>
                <w:sz w:val="10"/>
                <w:szCs w:val="10"/>
                <w:color w:val="auto"/>
              </w:rPr>
            </w:pPr>
          </w:p>
        </w:tc>
        <w:tc>
          <w:tcPr>
            <w:tcW w:w="1040" w:type="dxa"/>
            <w:vAlign w:val="bottom"/>
            <w:gridSpan w:val="2"/>
            <w:shd w:val="clear" w:color="auto" w:fill="CCEEFF"/>
          </w:tcPr>
          <w:p>
            <w:pPr>
              <w:jc w:val="center"/>
              <w:ind w:right="200"/>
              <w:spacing w:after="0" w:line="123" w:lineRule="exact"/>
              <w:rPr>
                <w:sz w:val="20"/>
                <w:szCs w:val="20"/>
                <w:color w:val="auto"/>
              </w:rPr>
            </w:pPr>
            <w:r>
              <w:rPr>
                <w:rFonts w:ascii="Arial" w:cs="Arial" w:eastAsia="Arial" w:hAnsi="Arial"/>
                <w:sz w:val="14"/>
                <w:szCs w:val="14"/>
                <w:color w:val="auto"/>
                <w:w w:val="93"/>
              </w:rPr>
              <w:t>March 8, 2010</w:t>
            </w:r>
          </w:p>
        </w:tc>
        <w:tc>
          <w:tcPr>
            <w:tcW w:w="920" w:type="dxa"/>
            <w:vAlign w:val="bottom"/>
            <w:shd w:val="clear" w:color="auto" w:fill="CCEEFF"/>
          </w:tcPr>
          <w:p>
            <w:pPr>
              <w:jc w:val="center"/>
              <w:spacing w:after="0" w:line="123" w:lineRule="exact"/>
              <w:rPr>
                <w:sz w:val="20"/>
                <w:szCs w:val="20"/>
                <w:color w:val="auto"/>
              </w:rPr>
            </w:pPr>
            <w:r>
              <w:rPr>
                <w:rFonts w:ascii="Arial" w:cs="Arial" w:eastAsia="Arial" w:hAnsi="Arial"/>
                <w:sz w:val="14"/>
                <w:szCs w:val="14"/>
                <w:color w:val="auto"/>
                <w:w w:val="95"/>
              </w:rPr>
              <w:t>$0.6</w:t>
            </w: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20"/>
              <w:spacing w:after="0" w:line="123" w:lineRule="exact"/>
              <w:rPr>
                <w:sz w:val="20"/>
                <w:szCs w:val="20"/>
                <w:color w:val="auto"/>
              </w:rPr>
            </w:pPr>
            <w:r>
              <w:rPr>
                <w:rFonts w:ascii="Arial" w:cs="Arial" w:eastAsia="Arial" w:hAnsi="Arial"/>
                <w:sz w:val="14"/>
                <w:szCs w:val="14"/>
                <w:color w:val="auto"/>
              </w:rPr>
              <w:t>0.0</w:t>
            </w:r>
          </w:p>
        </w:tc>
        <w:tc>
          <w:tcPr>
            <w:tcW w:w="80" w:type="dxa"/>
            <w:vAlign w:val="bottom"/>
            <w:shd w:val="clear" w:color="auto" w:fill="CCEEFF"/>
          </w:tcPr>
          <w:p>
            <w:pPr>
              <w:jc w:val="right"/>
              <w:spacing w:after="0" w:line="123" w:lineRule="exact"/>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220"/>
              <w:spacing w:after="0" w:line="123" w:lineRule="exact"/>
              <w:rPr>
                <w:sz w:val="20"/>
                <w:szCs w:val="20"/>
                <w:color w:val="auto"/>
              </w:rPr>
            </w:pPr>
            <w:r>
              <w:rPr>
                <w:rFonts w:ascii="Arial" w:cs="Arial" w:eastAsia="Arial" w:hAnsi="Arial"/>
                <w:sz w:val="14"/>
                <w:szCs w:val="14"/>
                <w:color w:val="auto"/>
              </w:rPr>
              <w:t>0.6</w:t>
            </w:r>
          </w:p>
        </w:tc>
        <w:tc>
          <w:tcPr>
            <w:tcW w:w="880" w:type="dxa"/>
            <w:vAlign w:val="bottom"/>
            <w:gridSpan w:val="2"/>
            <w:shd w:val="clear" w:color="auto" w:fill="CCEEFF"/>
          </w:tcPr>
          <w:p>
            <w:pPr>
              <w:jc w:val="center"/>
              <w:ind w:right="200"/>
              <w:spacing w:after="0" w:line="123" w:lineRule="exact"/>
              <w:rPr>
                <w:sz w:val="20"/>
                <w:szCs w:val="20"/>
                <w:color w:val="auto"/>
              </w:rPr>
            </w:pPr>
            <w:r>
              <w:rPr>
                <w:rFonts w:ascii="Arial" w:cs="Arial" w:eastAsia="Arial" w:hAnsi="Arial"/>
                <w:sz w:val="14"/>
                <w:szCs w:val="14"/>
                <w:color w:val="auto"/>
                <w:w w:val="91"/>
              </w:rPr>
              <w:t>Southern</w:t>
            </w:r>
          </w:p>
        </w:tc>
        <w:tc>
          <w:tcPr>
            <w:tcW w:w="308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rPr>
              <w:t>Distributes products to the manufactured housing</w:t>
            </w:r>
          </w:p>
        </w:tc>
        <w:tc>
          <w:tcPr>
            <w:tcW w:w="0" w:type="dxa"/>
            <w:vAlign w:val="bottom"/>
          </w:tcPr>
          <w:p>
            <w:pPr>
              <w:spacing w:after="0"/>
              <w:rPr>
                <w:sz w:val="1"/>
                <w:szCs w:val="1"/>
                <w:color w:val="auto"/>
              </w:rPr>
            </w:pPr>
          </w:p>
        </w:tc>
      </w:tr>
      <w:tr>
        <w:trPr>
          <w:trHeight w:val="149"/>
        </w:trPr>
        <w:tc>
          <w:tcPr>
            <w:tcW w:w="14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Distribution, Inc.</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88"/>
              </w:rPr>
              <w:t>(asset purchase)</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rPr>
              <w:t>Division</w:t>
            </w: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market including certain plumbing, electrical,</w:t>
            </w:r>
          </w:p>
        </w:tc>
        <w:tc>
          <w:tcPr>
            <w:tcW w:w="0" w:type="dxa"/>
            <w:vAlign w:val="bottom"/>
          </w:tcPr>
          <w:p>
            <w:pPr>
              <w:spacing w:after="0"/>
              <w:rPr>
                <w:sz w:val="1"/>
                <w:szCs w:val="1"/>
                <w:color w:val="auto"/>
              </w:rPr>
            </w:pPr>
          </w:p>
        </w:tc>
      </w:tr>
      <w:tr>
        <w:trPr>
          <w:trHeight w:val="149"/>
        </w:trPr>
        <w:tc>
          <w:tcPr>
            <w:tcW w:w="14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(“Service Supply”)</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adhesives, flooring paint and other manufactured</w:t>
            </w:r>
          </w:p>
        </w:tc>
        <w:tc>
          <w:tcPr>
            <w:tcW w:w="0" w:type="dxa"/>
            <w:vAlign w:val="bottom"/>
          </w:tcPr>
          <w:p>
            <w:pPr>
              <w:spacing w:after="0"/>
              <w:rPr>
                <w:sz w:val="1"/>
                <w:szCs w:val="1"/>
                <w:color w:val="auto"/>
              </w:rPr>
            </w:pPr>
          </w:p>
        </w:tc>
      </w:tr>
      <w:tr>
        <w:trPr>
          <w:trHeight w:val="149"/>
        </w:trPr>
        <w:tc>
          <w:tcPr>
            <w:tcW w:w="1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housing products. Headquartered in Cordele,</w:t>
            </w:r>
          </w:p>
        </w:tc>
        <w:tc>
          <w:tcPr>
            <w:tcW w:w="0" w:type="dxa"/>
            <w:vAlign w:val="bottom"/>
          </w:tcPr>
          <w:p>
            <w:pPr>
              <w:spacing w:after="0"/>
              <w:rPr>
                <w:sz w:val="1"/>
                <w:szCs w:val="1"/>
                <w:color w:val="auto"/>
              </w:rPr>
            </w:pPr>
          </w:p>
        </w:tc>
      </w:tr>
      <w:tr>
        <w:trPr>
          <w:trHeight w:val="149"/>
        </w:trPr>
        <w:tc>
          <w:tcPr>
            <w:tcW w:w="1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7"/>
              </w:rPr>
              <w:t>Georgia, it has distribution centers and capabilities</w:t>
            </w:r>
          </w:p>
        </w:tc>
        <w:tc>
          <w:tcPr>
            <w:tcW w:w="0" w:type="dxa"/>
            <w:vAlign w:val="bottom"/>
          </w:tcPr>
          <w:p>
            <w:pPr>
              <w:spacing w:after="0"/>
              <w:rPr>
                <w:sz w:val="1"/>
                <w:szCs w:val="1"/>
                <w:color w:val="auto"/>
              </w:rPr>
            </w:pPr>
          </w:p>
        </w:tc>
      </w:tr>
      <w:tr>
        <w:trPr>
          <w:trHeight w:val="167"/>
        </w:trPr>
        <w:tc>
          <w:tcPr>
            <w:tcW w:w="1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4"/>
                <w:szCs w:val="14"/>
                <w:color w:val="auto"/>
              </w:rPr>
              <w:t>throughout the United States.</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left="680" w:right="559"/>
        <w:spacing w:after="0" w:line="264" w:lineRule="auto"/>
        <w:rPr>
          <w:sz w:val="20"/>
          <w:szCs w:val="20"/>
          <w:color w:val="auto"/>
        </w:rPr>
      </w:pPr>
      <w:r>
        <w:rPr>
          <w:rFonts w:ascii="Arial" w:cs="Arial" w:eastAsia="Arial" w:hAnsi="Arial"/>
          <w:sz w:val="18"/>
          <w:szCs w:val="18"/>
          <w:color w:val="auto"/>
        </w:rPr>
        <w:t>The purchase price allocation for D-Stake Mill and Manufacturing Company (“D-Stake”) was adjusted as follows (in millions) during the first quarter of fiscal 2010 as a result of a change in the valuation of the intangible assets acquired. The impact of the adjustment on earnings was negligible.</w:t>
      </w:r>
    </w:p>
    <w:p>
      <w:pPr>
        <w:spacing w:after="0" w:line="18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3"/>
          </w:tcPr>
          <w:p>
            <w:pPr>
              <w:jc w:val="center"/>
              <w:ind w:right="80"/>
              <w:spacing w:after="0"/>
              <w:rPr>
                <w:sz w:val="20"/>
                <w:szCs w:val="20"/>
                <w:color w:val="auto"/>
              </w:rPr>
            </w:pPr>
            <w:r>
              <w:rPr>
                <w:rFonts w:ascii="Arial" w:cs="Arial" w:eastAsia="Arial" w:hAnsi="Arial"/>
                <w:sz w:val="18"/>
                <w:szCs w:val="18"/>
                <w:color w:val="auto"/>
                <w:w w:val="99"/>
              </w:rPr>
              <w:t>Goodwill -</w:t>
            </w:r>
          </w:p>
        </w:tc>
      </w:tr>
      <w:tr>
        <w:trPr>
          <w:trHeight w:val="216"/>
        </w:trPr>
        <w:tc>
          <w:tcPr>
            <w:tcW w:w="4380" w:type="dxa"/>
            <w:vAlign w:val="bottom"/>
          </w:tcPr>
          <w:p>
            <w:pPr>
              <w:spacing w:after="0"/>
              <w:rPr>
                <w:sz w:val="18"/>
                <w:szCs w:val="18"/>
                <w:color w:val="auto"/>
              </w:rPr>
            </w:pPr>
          </w:p>
        </w:tc>
        <w:tc>
          <w:tcPr>
            <w:tcW w:w="1320" w:type="dxa"/>
            <w:vAlign w:val="bottom"/>
            <w:gridSpan w:val="3"/>
          </w:tcPr>
          <w:p>
            <w:pPr>
              <w:spacing w:after="0"/>
              <w:rPr>
                <w:sz w:val="20"/>
                <w:szCs w:val="20"/>
                <w:color w:val="auto"/>
              </w:rPr>
            </w:pPr>
            <w:r>
              <w:rPr>
                <w:rFonts w:ascii="Arial" w:cs="Arial" w:eastAsia="Arial" w:hAnsi="Arial"/>
                <w:sz w:val="18"/>
                <w:szCs w:val="18"/>
                <w:color w:val="auto"/>
              </w:rPr>
              <w:t>Non-compete</w:t>
            </w:r>
          </w:p>
        </w:tc>
        <w:tc>
          <w:tcPr>
            <w:tcW w:w="132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Customer</w:t>
            </w:r>
          </w:p>
        </w:tc>
        <w:tc>
          <w:tcPr>
            <w:tcW w:w="1300" w:type="dxa"/>
            <w:vAlign w:val="bottom"/>
            <w:gridSpan w:val="3"/>
          </w:tcPr>
          <w:p>
            <w:pPr>
              <w:jc w:val="right"/>
              <w:ind w:right="440"/>
              <w:spacing w:after="0"/>
              <w:rPr>
                <w:sz w:val="20"/>
                <w:szCs w:val="20"/>
                <w:color w:val="auto"/>
              </w:rPr>
            </w:pPr>
            <w:r>
              <w:rPr>
                <w:rFonts w:ascii="Arial" w:cs="Arial" w:eastAsia="Arial" w:hAnsi="Arial"/>
                <w:sz w:val="18"/>
                <w:szCs w:val="18"/>
                <w:color w:val="auto"/>
              </w:rPr>
              <w:t>Goodwill -</w:t>
            </w:r>
          </w:p>
        </w:tc>
        <w:tc>
          <w:tcPr>
            <w:tcW w:w="200" w:type="dxa"/>
            <w:vAlign w:val="bottom"/>
          </w:tcPr>
          <w:p>
            <w:pPr>
              <w:spacing w:after="0"/>
              <w:rPr>
                <w:sz w:val="18"/>
                <w:szCs w:val="18"/>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Tax</w:t>
            </w:r>
          </w:p>
        </w:tc>
      </w:tr>
      <w:tr>
        <w:trPr>
          <w:trHeight w:val="230"/>
        </w:trPr>
        <w:tc>
          <w:tcPr>
            <w:tcW w:w="4380" w:type="dxa"/>
            <w:vAlign w:val="bottom"/>
          </w:tcPr>
          <w:p>
            <w:pPr>
              <w:spacing w:after="0"/>
              <w:rPr>
                <w:sz w:val="20"/>
                <w:szCs w:val="20"/>
                <w:color w:val="auto"/>
              </w:rPr>
            </w:pPr>
          </w:p>
        </w:tc>
        <w:tc>
          <w:tcPr>
            <w:tcW w:w="980" w:type="dxa"/>
            <w:vAlign w:val="bottom"/>
            <w:gridSpan w:val="2"/>
          </w:tcPr>
          <w:p>
            <w:pPr>
              <w:ind w:left="80"/>
              <w:spacing w:after="0"/>
              <w:rPr>
                <w:sz w:val="20"/>
                <w:szCs w:val="20"/>
                <w:color w:val="auto"/>
              </w:rPr>
            </w:pPr>
            <w:r>
              <w:rPr>
                <w:rFonts w:ascii="Arial" w:cs="Arial" w:eastAsia="Arial" w:hAnsi="Arial"/>
                <w:sz w:val="18"/>
                <w:szCs w:val="18"/>
                <w:color w:val="auto"/>
                <w:w w:val="92"/>
              </w:rPr>
              <w:t>agreements</w:t>
            </w:r>
          </w:p>
        </w:tc>
        <w:tc>
          <w:tcPr>
            <w:tcW w:w="340" w:type="dxa"/>
            <w:vAlign w:val="bottom"/>
          </w:tcPr>
          <w:p>
            <w:pPr>
              <w:spacing w:after="0"/>
              <w:rPr>
                <w:sz w:val="20"/>
                <w:szCs w:val="20"/>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Relationships</w:t>
            </w:r>
          </w:p>
        </w:tc>
        <w:tc>
          <w:tcPr>
            <w:tcW w:w="200" w:type="dxa"/>
            <w:vAlign w:val="bottom"/>
          </w:tcPr>
          <w:p>
            <w:pPr>
              <w:spacing w:after="0"/>
              <w:rPr>
                <w:sz w:val="20"/>
                <w:szCs w:val="20"/>
                <w:color w:val="auto"/>
              </w:rPr>
            </w:pPr>
          </w:p>
        </w:tc>
        <w:tc>
          <w:tcPr>
            <w:tcW w:w="1100" w:type="dxa"/>
            <w:vAlign w:val="bottom"/>
            <w:gridSpan w:val="2"/>
          </w:tcPr>
          <w:p>
            <w:pPr>
              <w:jc w:val="right"/>
              <w:ind w:right="640"/>
              <w:spacing w:after="0"/>
              <w:rPr>
                <w:sz w:val="20"/>
                <w:szCs w:val="20"/>
                <w:color w:val="auto"/>
              </w:rPr>
            </w:pPr>
            <w:r>
              <w:rPr>
                <w:rFonts w:ascii="Arial" w:cs="Arial" w:eastAsia="Arial" w:hAnsi="Arial"/>
                <w:sz w:val="18"/>
                <w:szCs w:val="18"/>
                <w:color w:val="auto"/>
              </w:rPr>
              <w:t>Total</w:t>
            </w:r>
          </w:p>
        </w:tc>
        <w:tc>
          <w:tcPr>
            <w:tcW w:w="1000" w:type="dxa"/>
            <w:vAlign w:val="bottom"/>
            <w:gridSpan w:val="3"/>
          </w:tcPr>
          <w:p>
            <w:pPr>
              <w:jc w:val="center"/>
              <w:ind w:right="80"/>
              <w:spacing w:after="0"/>
              <w:rPr>
                <w:sz w:val="20"/>
                <w:szCs w:val="20"/>
                <w:color w:val="auto"/>
              </w:rPr>
            </w:pPr>
            <w:r>
              <w:rPr>
                <w:rFonts w:ascii="Arial" w:cs="Arial" w:eastAsia="Arial" w:hAnsi="Arial"/>
                <w:sz w:val="18"/>
                <w:szCs w:val="18"/>
                <w:color w:val="auto"/>
                <w:w w:val="94"/>
              </w:rPr>
              <w:t>Deductible</w:t>
            </w:r>
          </w:p>
        </w:tc>
      </w:tr>
      <w:tr>
        <w:trPr>
          <w:trHeight w:val="20"/>
        </w:trPr>
        <w:tc>
          <w:tcPr>
            <w:tcW w:w="43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D-Stake</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CEEFF"/>
          </w:tcPr>
          <w:p>
            <w:pPr>
              <w:jc w:val="right"/>
              <w:ind w:right="35"/>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Purchase price allocation adjustments</w:t>
            </w:r>
          </w:p>
        </w:tc>
        <w:tc>
          <w:tcPr>
            <w:tcW w:w="4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(1.6)</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(0.3)</w:t>
            </w: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(0.3)</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D-Stake — final</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w:t>
            </w: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w:t>
            </w:r>
          </w:p>
        </w:tc>
      </w:tr>
    </w:tbl>
    <w:p>
      <w:pPr>
        <w:spacing w:after="0" w:line="161" w:lineRule="exact"/>
        <w:rPr>
          <w:sz w:val="20"/>
          <w:szCs w:val="20"/>
          <w:color w:val="auto"/>
        </w:rPr>
      </w:pPr>
    </w:p>
    <w:p>
      <w:pPr>
        <w:ind w:left="680" w:right="559"/>
        <w:spacing w:after="0" w:line="277" w:lineRule="auto"/>
        <w:rPr>
          <w:sz w:val="20"/>
          <w:szCs w:val="20"/>
          <w:color w:val="auto"/>
        </w:rPr>
      </w:pPr>
      <w:r>
        <w:rPr>
          <w:rFonts w:ascii="Arial" w:cs="Arial" w:eastAsia="Arial" w:hAnsi="Arial"/>
          <w:sz w:val="18"/>
          <w:szCs w:val="18"/>
          <w:color w:val="auto"/>
        </w:rPr>
        <w:t>The business combinations mentioned above were not significant to our operating results individually or in aggregate, and thus pro forma results are not presented.</w:t>
      </w:r>
    </w:p>
    <w:p>
      <w:pPr>
        <w:spacing w:after="0" w:line="126" w:lineRule="exact"/>
        <w:rPr>
          <w:sz w:val="20"/>
          <w:szCs w:val="20"/>
          <w:color w:val="auto"/>
        </w:rPr>
      </w:pPr>
    </w:p>
    <w:p>
      <w:pPr>
        <w:ind w:left="680" w:hanging="348"/>
        <w:spacing w:after="0"/>
        <w:tabs>
          <w:tab w:leader="none" w:pos="6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202" w:lineRule="exact"/>
        <w:rPr>
          <w:rFonts w:ascii="Arial" w:cs="Arial" w:eastAsia="Arial" w:hAnsi="Arial"/>
          <w:sz w:val="18"/>
          <w:szCs w:val="18"/>
          <w:b w:val="1"/>
          <w:bCs w:val="1"/>
          <w:color w:val="auto"/>
        </w:rPr>
      </w:pPr>
    </w:p>
    <w:p>
      <w:pPr>
        <w:jc w:val="both"/>
        <w:ind w:left="680" w:right="559"/>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 xml:space="preserve">ASC 280, </w:t>
      </w:r>
      <w:r>
        <w:rPr>
          <w:rFonts w:ascii="Arial" w:cs="Arial" w:eastAsia="Arial" w:hAnsi="Arial"/>
          <w:sz w:val="17"/>
          <w:szCs w:val="17"/>
          <w:i w:val="1"/>
          <w:iCs w:val="1"/>
          <w:color w:val="auto"/>
        </w:rPr>
        <w:t>Disclosures about Segments of an Enterprise and Related Information</w:t>
      </w:r>
      <w:r>
        <w:rPr>
          <w:rFonts w:ascii="Arial" w:cs="Arial" w:eastAsia="Arial" w:hAnsi="Arial"/>
          <w:sz w:val="17"/>
          <w:szCs w:val="17"/>
          <w:color w:val="auto"/>
        </w:rPr>
        <w:t xml:space="preserve"> (“ASC 280”) defines operating segments as components of an enterprise about which separate financial information is available that is evaluated regularly by the chief operating decision maker in deciding how to allocate resources and in assessing performance.</w:t>
      </w:r>
    </w:p>
    <w:p>
      <w:pPr>
        <w:spacing w:after="0" w:line="125" w:lineRule="exact"/>
        <w:rPr>
          <w:rFonts w:ascii="Arial" w:cs="Arial" w:eastAsia="Arial" w:hAnsi="Arial"/>
          <w:sz w:val="18"/>
          <w:szCs w:val="18"/>
          <w:b w:val="1"/>
          <w:bCs w:val="1"/>
          <w:color w:val="auto"/>
        </w:rPr>
      </w:pPr>
    </w:p>
    <w:p>
      <w:pPr>
        <w:jc w:val="both"/>
        <w:ind w:left="680" w:right="559"/>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Beginning January 1, 2010, our Eastern Division was divided into two divisions: a Northern Division and a Southern Division. This change was made in order to drive faster growth by allowing field leadership to concentrate on a smaller entity, thereby having a bigger impact on growth. The presentation of the reportable segment amounts was not impacted.</w:t>
      </w:r>
    </w:p>
    <w:p>
      <w:pPr>
        <w:spacing w:after="0" w:line="200" w:lineRule="exact"/>
        <w:rPr>
          <w:sz w:val="20"/>
          <w:szCs w:val="20"/>
          <w:color w:val="auto"/>
        </w:rPr>
      </w:pPr>
    </w:p>
    <w:p>
      <w:pPr>
        <w:spacing w:after="0" w:line="3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UNIVERSAL FOREST PRODUCTS, INC.</w:t>
      </w:r>
    </w:p>
    <w:p>
      <w:pPr>
        <w:spacing w:after="0" w:line="189" w:lineRule="exact"/>
        <w:rPr>
          <w:sz w:val="20"/>
          <w:szCs w:val="20"/>
          <w:color w:val="auto"/>
        </w:rPr>
      </w:pPr>
    </w:p>
    <w:p>
      <w:pPr>
        <w:jc w:val="both"/>
        <w:ind w:left="680" w:right="559"/>
        <w:spacing w:after="0" w:line="291" w:lineRule="auto"/>
        <w:rPr>
          <w:sz w:val="20"/>
          <w:szCs w:val="20"/>
          <w:color w:val="auto"/>
        </w:rPr>
      </w:pPr>
      <w:r>
        <w:rPr>
          <w:rFonts w:ascii="Arial" w:cs="Arial" w:eastAsia="Arial" w:hAnsi="Arial"/>
          <w:sz w:val="16"/>
          <w:szCs w:val="16"/>
          <w:color w:val="auto"/>
        </w:rPr>
        <w:t>Under the definition of a segment, our Northern, Southern, Western and Consumer Products Divisions may be considered an operating segment of our business. Under ASC 280, segments may be aggregated if the segments have similar economic characteristics and if the nature of the products, distribution methods, customers and regulatory environments are similar. Based on these criteria, we have aggregated our Northern, Southern and Western Divisions into one reporting segment, which have the same totals as our former Easter and Western Divisions. Our Consumer Products Division is included in the “All Other” column in the table below. Our divisions operate manufacturing and treating facilities throughout North America. A summary of results for the first three months of 2010 and 2009 are presented below (in thousands).</w:t>
      </w:r>
    </w:p>
    <w:p>
      <w:pPr>
        <w:spacing w:after="0" w:line="167"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2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80" w:type="dxa"/>
            <w:vAlign w:val="bottom"/>
            <w:gridSpan w:val="6"/>
          </w:tcPr>
          <w:p>
            <w:pPr>
              <w:ind w:left="120"/>
              <w:spacing w:after="0"/>
              <w:rPr>
                <w:sz w:val="20"/>
                <w:szCs w:val="20"/>
                <w:color w:val="auto"/>
              </w:rPr>
            </w:pPr>
            <w:r>
              <w:rPr>
                <w:rFonts w:ascii="Arial" w:cs="Arial" w:eastAsia="Arial" w:hAnsi="Arial"/>
                <w:sz w:val="18"/>
                <w:szCs w:val="18"/>
                <w:color w:val="auto"/>
              </w:rPr>
              <w:t>Three Months Ended March 27, 2010</w:t>
            </w:r>
          </w:p>
        </w:tc>
        <w:tc>
          <w:tcPr>
            <w:tcW w:w="100" w:type="dxa"/>
            <w:vAlign w:val="bottom"/>
          </w:tcPr>
          <w:p>
            <w:pPr>
              <w:spacing w:after="0"/>
              <w:rPr>
                <w:sz w:val="20"/>
                <w:szCs w:val="20"/>
                <w:color w:val="auto"/>
              </w:rPr>
            </w:pPr>
          </w:p>
        </w:tc>
        <w:tc>
          <w:tcPr>
            <w:tcW w:w="3100" w:type="dxa"/>
            <w:vAlign w:val="bottom"/>
            <w:gridSpan w:val="6"/>
          </w:tcPr>
          <w:p>
            <w:pPr>
              <w:jc w:val="right"/>
              <w:ind w:right="280"/>
              <w:spacing w:after="0"/>
              <w:rPr>
                <w:sz w:val="20"/>
                <w:szCs w:val="20"/>
                <w:color w:val="auto"/>
              </w:rPr>
            </w:pPr>
            <w:r>
              <w:rPr>
                <w:rFonts w:ascii="Arial" w:cs="Arial" w:eastAsia="Arial" w:hAnsi="Arial"/>
                <w:sz w:val="18"/>
                <w:szCs w:val="18"/>
                <w:color w:val="auto"/>
                <w:w w:val="93"/>
              </w:rPr>
              <w:t>Three Months Ended March 28, 2009</w:t>
            </w:r>
          </w:p>
        </w:tc>
      </w:tr>
      <w:tr>
        <w:trPr>
          <w:trHeight w:val="195"/>
        </w:trPr>
        <w:tc>
          <w:tcPr>
            <w:tcW w:w="26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center"/>
              <w:ind w:right="460"/>
              <w:spacing w:after="0" w:line="195" w:lineRule="exact"/>
              <w:rPr>
                <w:sz w:val="20"/>
                <w:szCs w:val="20"/>
                <w:color w:val="auto"/>
              </w:rPr>
            </w:pPr>
            <w:r>
              <w:rPr>
                <w:rFonts w:ascii="Arial" w:cs="Arial" w:eastAsia="Arial" w:hAnsi="Arial"/>
                <w:sz w:val="18"/>
                <w:szCs w:val="18"/>
                <w:color w:val="auto"/>
                <w:w w:val="93"/>
              </w:rPr>
              <w:t>Northern,</w:t>
            </w:r>
          </w:p>
        </w:tc>
        <w:tc>
          <w:tcPr>
            <w:tcW w:w="74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center"/>
              <w:ind w:right="440"/>
              <w:spacing w:after="0" w:line="195" w:lineRule="exact"/>
              <w:rPr>
                <w:sz w:val="20"/>
                <w:szCs w:val="20"/>
                <w:color w:val="auto"/>
              </w:rPr>
            </w:pPr>
            <w:r>
              <w:rPr>
                <w:rFonts w:ascii="Arial" w:cs="Arial" w:eastAsia="Arial" w:hAnsi="Arial"/>
                <w:sz w:val="18"/>
                <w:szCs w:val="18"/>
                <w:color w:val="auto"/>
                <w:w w:val="93"/>
              </w:rPr>
              <w:t>Northern,</w:t>
            </w:r>
          </w:p>
        </w:tc>
        <w:tc>
          <w:tcPr>
            <w:tcW w:w="74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216"/>
        </w:trPr>
        <w:tc>
          <w:tcPr>
            <w:tcW w:w="2640" w:type="dxa"/>
            <w:vAlign w:val="bottom"/>
          </w:tcPr>
          <w:p>
            <w:pPr>
              <w:spacing w:after="0"/>
              <w:rPr>
                <w:sz w:val="18"/>
                <w:szCs w:val="18"/>
                <w:color w:val="auto"/>
              </w:rPr>
            </w:pPr>
          </w:p>
        </w:tc>
        <w:tc>
          <w:tcPr>
            <w:tcW w:w="1300" w:type="dxa"/>
            <w:vAlign w:val="bottom"/>
            <w:gridSpan w:val="3"/>
          </w:tcPr>
          <w:p>
            <w:pPr>
              <w:jc w:val="center"/>
              <w:ind w:right="340"/>
              <w:spacing w:after="0"/>
              <w:rPr>
                <w:sz w:val="20"/>
                <w:szCs w:val="20"/>
                <w:color w:val="auto"/>
              </w:rPr>
            </w:pPr>
            <w:r>
              <w:rPr>
                <w:rFonts w:ascii="Arial" w:cs="Arial" w:eastAsia="Arial" w:hAnsi="Arial"/>
                <w:sz w:val="18"/>
                <w:szCs w:val="18"/>
                <w:color w:val="auto"/>
                <w:w w:val="88"/>
              </w:rPr>
              <w:t>Southern and</w:t>
            </w: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3"/>
          </w:tcPr>
          <w:p>
            <w:pPr>
              <w:jc w:val="center"/>
              <w:ind w:right="340"/>
              <w:spacing w:after="0"/>
              <w:rPr>
                <w:sz w:val="20"/>
                <w:szCs w:val="20"/>
                <w:color w:val="auto"/>
              </w:rPr>
            </w:pPr>
            <w:r>
              <w:rPr>
                <w:rFonts w:ascii="Arial" w:cs="Arial" w:eastAsia="Arial" w:hAnsi="Arial"/>
                <w:sz w:val="18"/>
                <w:szCs w:val="18"/>
                <w:color w:val="auto"/>
                <w:w w:val="86"/>
              </w:rPr>
              <w:t>Southern and</w:t>
            </w: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460"/>
              <w:spacing w:after="0"/>
              <w:rPr>
                <w:sz w:val="20"/>
                <w:szCs w:val="20"/>
                <w:color w:val="auto"/>
              </w:rPr>
            </w:pPr>
            <w:r>
              <w:rPr>
                <w:rFonts w:ascii="Arial" w:cs="Arial" w:eastAsia="Arial" w:hAnsi="Arial"/>
                <w:sz w:val="18"/>
                <w:szCs w:val="18"/>
                <w:color w:val="auto"/>
                <w:w w:val="86"/>
              </w:rPr>
              <w:t>Western</w:t>
            </w: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All</w:t>
            </w: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8"/>
                <w:szCs w:val="18"/>
                <w:color w:val="auto"/>
                <w:w w:val="86"/>
              </w:rPr>
              <w:t>Western</w:t>
            </w:r>
          </w:p>
        </w:tc>
        <w:tc>
          <w:tcPr>
            <w:tcW w:w="1100" w:type="dxa"/>
            <w:vAlign w:val="bottom"/>
            <w:gridSpan w:val="2"/>
          </w:tcPr>
          <w:p>
            <w:pPr>
              <w:jc w:val="center"/>
              <w:ind w:right="340"/>
              <w:spacing w:after="0"/>
              <w:rPr>
                <w:sz w:val="20"/>
                <w:szCs w:val="20"/>
                <w:color w:val="auto"/>
              </w:rPr>
            </w:pPr>
            <w:r>
              <w:rPr>
                <w:rFonts w:ascii="Arial" w:cs="Arial" w:eastAsia="Arial" w:hAnsi="Arial"/>
                <w:sz w:val="18"/>
                <w:szCs w:val="18"/>
                <w:color w:val="auto"/>
              </w:rPr>
              <w:t>All</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6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7"/>
              </w:rPr>
              <w:t>Divisions</w:t>
            </w:r>
          </w:p>
        </w:tc>
        <w:tc>
          <w:tcPr>
            <w:tcW w:w="360" w:type="dxa"/>
            <w:vAlign w:val="bottom"/>
          </w:tcPr>
          <w:p>
            <w:pPr>
              <w:spacing w:after="0"/>
              <w:rPr>
                <w:sz w:val="20"/>
                <w:szCs w:val="20"/>
                <w:color w:val="auto"/>
              </w:rPr>
            </w:pPr>
          </w:p>
        </w:tc>
        <w:tc>
          <w:tcPr>
            <w:tcW w:w="7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0"/>
                <w:szCs w:val="20"/>
                <w:color w:val="auto"/>
              </w:rPr>
            </w:pPr>
          </w:p>
        </w:tc>
        <w:tc>
          <w:tcPr>
            <w:tcW w:w="7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Total</w:t>
            </w:r>
          </w:p>
        </w:tc>
        <w:tc>
          <w:tcPr>
            <w:tcW w:w="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4"/>
              </w:rPr>
              <w:t>Divisions</w:t>
            </w:r>
          </w:p>
        </w:tc>
        <w:tc>
          <w:tcPr>
            <w:tcW w:w="340" w:type="dxa"/>
            <w:vAlign w:val="bottom"/>
          </w:tcPr>
          <w:p>
            <w:pPr>
              <w:spacing w:after="0"/>
              <w:rPr>
                <w:sz w:val="20"/>
                <w:szCs w:val="20"/>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Other</w:t>
            </w:r>
          </w:p>
        </w:tc>
        <w:tc>
          <w:tcPr>
            <w:tcW w:w="360" w:type="dxa"/>
            <w:vAlign w:val="bottom"/>
          </w:tcPr>
          <w:p>
            <w:pPr>
              <w:spacing w:after="0"/>
              <w:rPr>
                <w:sz w:val="20"/>
                <w:szCs w:val="20"/>
                <w:color w:val="auto"/>
              </w:rPr>
            </w:pPr>
          </w:p>
        </w:tc>
        <w:tc>
          <w:tcPr>
            <w:tcW w:w="7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Total</w:t>
            </w:r>
          </w:p>
        </w:tc>
        <w:tc>
          <w:tcPr>
            <w:tcW w:w="80" w:type="dxa"/>
            <w:vAlign w:val="bottom"/>
          </w:tcPr>
          <w:p>
            <w:pPr>
              <w:spacing w:after="0"/>
              <w:rPr>
                <w:sz w:val="20"/>
                <w:szCs w:val="20"/>
                <w:color w:val="auto"/>
              </w:rPr>
            </w:pPr>
          </w:p>
        </w:tc>
      </w:tr>
      <w:tr>
        <w:trPr>
          <w:trHeight w:val="210"/>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Net sales to outside customers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361,016</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  31,942</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$ 392,958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341,877</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  19,845</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$ 361,722</w:t>
            </w: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Intersegment net sales</w:t>
            </w:r>
          </w:p>
        </w:tc>
        <w:tc>
          <w:tcPr>
            <w:tcW w:w="10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0</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14,201</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14,201</w:t>
            </w:r>
          </w:p>
        </w:tc>
        <w:tc>
          <w:tcPr>
            <w:tcW w:w="10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0</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6,052</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6,052</w:t>
            </w: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Segment operating profit (loss)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1,736</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1,237</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2,973</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391</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(1,526)</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(1,135)</w:t>
            </w:r>
          </w:p>
        </w:tc>
      </w:tr>
    </w:tbl>
    <w:p>
      <w:pPr>
        <w:spacing w:after="0" w:line="157" w:lineRule="exact"/>
        <w:rPr>
          <w:sz w:val="20"/>
          <w:szCs w:val="20"/>
          <w:color w:val="auto"/>
        </w:rPr>
      </w:pPr>
    </w:p>
    <w:p>
      <w:pPr>
        <w:ind w:left="680" w:hanging="348"/>
        <w:spacing w:after="0"/>
        <w:tabs>
          <w:tab w:leader="none" w:pos="6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02" w:lineRule="exact"/>
        <w:rPr>
          <w:rFonts w:ascii="Arial" w:cs="Arial" w:eastAsia="Arial" w:hAnsi="Arial"/>
          <w:sz w:val="18"/>
          <w:szCs w:val="18"/>
          <w:b w:val="1"/>
          <w:bCs w:val="1"/>
          <w:color w:val="auto"/>
        </w:rPr>
      </w:pPr>
    </w:p>
    <w:p>
      <w:pPr>
        <w:jc w:val="both"/>
        <w:ind w:left="680" w:right="559"/>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Our effective tax rate was 22.1% for the first quarter 2010, which is well below our statutory rate, primarily due to the profits of our Canadian subsidiary and a partnership in which we own a 50% interest and present on a consolidated basis in our financial statements. These entities comprised over half of our pre-tax profits for the quarter. Since our Canadian subsidiary has a net operating loss carry-forward and we have a full valuation allowance against this deferred tax asset, these profits had no related income tax expense in the first quarter of 2010.</w:t>
      </w:r>
    </w:p>
    <w:p>
      <w:pPr>
        <w:spacing w:after="0" w:line="128" w:lineRule="exact"/>
        <w:rPr>
          <w:rFonts w:ascii="Arial" w:cs="Arial" w:eastAsia="Arial" w:hAnsi="Arial"/>
          <w:sz w:val="18"/>
          <w:szCs w:val="18"/>
          <w:b w:val="1"/>
          <w:bCs w:val="1"/>
          <w:color w:val="auto"/>
        </w:rPr>
      </w:pPr>
    </w:p>
    <w:p>
      <w:pPr>
        <w:ind w:left="680" w:hanging="348"/>
        <w:spacing w:after="0"/>
        <w:tabs>
          <w:tab w:leader="none" w:pos="6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188" w:lineRule="exact"/>
        <w:rPr>
          <w:rFonts w:ascii="Arial" w:cs="Arial" w:eastAsia="Arial" w:hAnsi="Arial"/>
          <w:sz w:val="18"/>
          <w:szCs w:val="18"/>
          <w:b w:val="1"/>
          <w:bCs w:val="1"/>
          <w:color w:val="auto"/>
        </w:rPr>
      </w:pPr>
    </w:p>
    <w:p>
      <w:pPr>
        <w:ind w:left="680" w:right="559"/>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On April 1, 2010, we purchased the remaining 5% interest in Shawnlee Construction, LLC. The purchase price was approximately $1.2 million.</w:t>
      </w:r>
    </w:p>
    <w:p>
      <w:pPr>
        <w:spacing w:after="0" w:line="143" w:lineRule="exact"/>
        <w:rPr>
          <w:rFonts w:ascii="Arial" w:cs="Arial" w:eastAsia="Arial" w:hAnsi="Arial"/>
          <w:sz w:val="18"/>
          <w:szCs w:val="18"/>
          <w:b w:val="1"/>
          <w:bCs w:val="1"/>
          <w:color w:val="auto"/>
        </w:rPr>
      </w:pPr>
    </w:p>
    <w:p>
      <w:pPr>
        <w:ind w:left="680" w:right="559"/>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On April 14, 2010, our Board approved a semi-annual dividend of $0.20 per share, payable on June 15, 2010 to shareholders of record on June 1, 2010.</w:t>
      </w:r>
    </w:p>
    <w:p>
      <w:pPr>
        <w:spacing w:after="0" w:line="200" w:lineRule="exact"/>
        <w:rPr>
          <w:sz w:val="20"/>
          <w:szCs w:val="20"/>
          <w:color w:val="auto"/>
        </w:rPr>
      </w:pPr>
    </w:p>
    <w:p>
      <w:pPr>
        <w:spacing w:after="0" w:line="32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UNIVERSAL FOREST PRODUCTS, INC.</w:t>
      </w:r>
    </w:p>
    <w:p>
      <w:pPr>
        <w:spacing w:after="0" w:line="19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170" w:lineRule="exact"/>
        <w:rPr>
          <w:sz w:val="20"/>
          <w:szCs w:val="20"/>
          <w:color w:val="auto"/>
        </w:rPr>
      </w:pPr>
    </w:p>
    <w:p>
      <w:pPr>
        <w:jc w:val="both"/>
        <w:ind w:left="340" w:right="559"/>
        <w:spacing w:after="0" w:line="268" w:lineRule="auto"/>
        <w:rPr>
          <w:sz w:val="20"/>
          <w:szCs w:val="20"/>
          <w:color w:val="auto"/>
        </w:rPr>
      </w:pPr>
      <w:r>
        <w:rPr>
          <w:rFonts w:ascii="Arial" w:cs="Arial" w:eastAsia="Arial" w:hAnsi="Arial"/>
          <w:sz w:val="17"/>
          <w:szCs w:val="17"/>
          <w:color w:val="auto"/>
        </w:rPr>
        <w:t>This report contains certain forward-looking statements within the meaning of Section 21E of the Securities Exchange Act, as amended, that are based on management’s beliefs, assumptions, current expectations, estimates, and projections about the markets we serve, the economy, and the company itself. Words like “anticipates,” “believes,” “confident,” “estimates,” “expects,” “forecasts,” “likely,” “plans,” “projects,” “should,” variations of such words, and similar expressions identify such forward-looking statements. These statements do not guarantee future performance and involve certain risks, uncertainties, and assumptions that are difficult to predict with regard to timing, extent, likelihood, and degree of occurrence. The Company does not undertake to update forward-looking statements to reflect facts, circumstances, assumptions or events that occur after the date the forward-looking statements are made. Actual results could differ materially from those included in such forward-looking statements. Investors are cautioned that all forward-looking statements involve risks and uncertainty. Among the factors that could cause actual results to differ materially from forward-looking statements are the following: Fluctuations in the price of lumber; adverse or unusual weather conditions; adverse conditions in the markets we serve; government regulations, particularly involving environmental and safety regulations; and our ability to make successful business acquisitions. We also encourage you to read our Annual Report on Form 10-K, filed with the United States Securities and Exchange Commission. That report includes “Risk Factors” that you should consider in connection with any decision to buy or sell our securities. We are pleased to present this overview of 2010.</w:t>
      </w:r>
    </w:p>
    <w:p>
      <w:pPr>
        <w:spacing w:after="0" w:line="139"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OVERVIEW</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results for the first quarter of 2010 were impacted by the following:</w:t>
      </w:r>
    </w:p>
    <w:p>
      <w:pPr>
        <w:spacing w:after="0" w:line="185" w:lineRule="exact"/>
        <w:rPr>
          <w:sz w:val="20"/>
          <w:szCs w:val="20"/>
          <w:color w:val="auto"/>
        </w:rPr>
      </w:pPr>
    </w:p>
    <w:p>
      <w:pPr>
        <w:jc w:val="both"/>
        <w:ind w:left="680" w:right="559" w:hanging="348"/>
        <w:spacing w:after="0" w:line="302" w:lineRule="auto"/>
        <w:tabs>
          <w:tab w:leader="none" w:pos="680" w:val="left"/>
        </w:tabs>
        <w:numPr>
          <w:ilvl w:val="0"/>
          <w:numId w:val="11"/>
        </w:numPr>
        <w:rPr>
          <w:rFonts w:ascii="Arial" w:cs="Arial" w:eastAsia="Arial" w:hAnsi="Arial"/>
          <w:sz w:val="16"/>
          <w:szCs w:val="16"/>
          <w:b w:val="1"/>
          <w:bCs w:val="1"/>
          <w:color w:val="auto"/>
        </w:rPr>
      </w:pPr>
      <w:r>
        <w:rPr>
          <w:rFonts w:ascii="Arial" w:cs="Arial" w:eastAsia="Arial" w:hAnsi="Arial"/>
          <w:sz w:val="16"/>
          <w:szCs w:val="16"/>
          <w:color w:val="auto"/>
        </w:rPr>
        <w:t>Our overall unit sales increased 3% primarily due to our manufactured housing and industrial markets. We believe we have gained additional share of the DIY/retail and industrial markets and maintained our share of the manufactured housing market. We recently closed several plants that supply the site-built housing market in order to achieve profitability and cash flow goals; consequently, we believe that these actions may temporarily cause us to lose some market share.</w:t>
      </w:r>
    </w:p>
    <w:p>
      <w:pPr>
        <w:spacing w:after="0" w:line="113" w:lineRule="exact"/>
        <w:rPr>
          <w:rFonts w:ascii="Arial" w:cs="Arial" w:eastAsia="Arial" w:hAnsi="Arial"/>
          <w:sz w:val="16"/>
          <w:szCs w:val="16"/>
          <w:b w:val="1"/>
          <w:bCs w:val="1"/>
          <w:color w:val="auto"/>
        </w:rPr>
      </w:pPr>
    </w:p>
    <w:p>
      <w:pPr>
        <w:jc w:val="both"/>
        <w:ind w:left="680" w:right="559" w:hanging="348"/>
        <w:spacing w:after="0" w:line="255" w:lineRule="auto"/>
        <w:tabs>
          <w:tab w:leader="none" w:pos="68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The Leading Indicator for Remodeling Activity, released by Harvard’s Joint Center for Housing Studies, released its’ report for the first quarter of 2010 and indicated that spending on homeowner remodeling improvements declined 12% for the period, which impacts our DIY/retail market. Consumer spending for large repair/remodel projects has decreased due to general economic conditions, among other factors, including weak home prices and decreased cost recovery for most types of upper-end home improvement projects. Consequently, the same store sales of “big box” home improvement retailers have declined.</w:t>
      </w:r>
    </w:p>
    <w:p>
      <w:pPr>
        <w:spacing w:after="0" w:line="166" w:lineRule="exact"/>
        <w:rPr>
          <w:rFonts w:ascii="Arial" w:cs="Arial" w:eastAsia="Arial" w:hAnsi="Arial"/>
          <w:sz w:val="18"/>
          <w:szCs w:val="18"/>
          <w:b w:val="1"/>
          <w:bCs w:val="1"/>
          <w:color w:val="auto"/>
        </w:rPr>
      </w:pPr>
    </w:p>
    <w:p>
      <w:pPr>
        <w:jc w:val="both"/>
        <w:ind w:left="680" w:right="559" w:hanging="348"/>
        <w:spacing w:after="0" w:line="264" w:lineRule="auto"/>
        <w:tabs>
          <w:tab w:leader="none" w:pos="68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National housing starts increased approximately 9% in January and February of 2010, compared to the same periods of 2009. However, within these amounts, multi-family starts declined approximately 47% in January and February of 2010 compared to the same period of 2009.</w:t>
      </w:r>
    </w:p>
    <w:p>
      <w:pPr>
        <w:spacing w:after="0" w:line="200" w:lineRule="exact"/>
        <w:rPr>
          <w:sz w:val="20"/>
          <w:szCs w:val="20"/>
          <w:color w:val="auto"/>
        </w:rPr>
      </w:pPr>
    </w:p>
    <w:p>
      <w:pPr>
        <w:spacing w:after="0" w:line="33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UNIVERSAL FOREST PRODUCTS, INC.</w:t>
      </w:r>
    </w:p>
    <w:p>
      <w:pPr>
        <w:spacing w:after="0" w:line="189" w:lineRule="exact"/>
        <w:rPr>
          <w:sz w:val="20"/>
          <w:szCs w:val="20"/>
          <w:color w:val="auto"/>
        </w:rPr>
      </w:pPr>
    </w:p>
    <w:p>
      <w:pPr>
        <w:ind w:left="680" w:right="1760" w:hanging="348"/>
        <w:spacing w:after="0" w:line="277" w:lineRule="auto"/>
        <w:tabs>
          <w:tab w:leader="none" w:pos="68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Shipments of HUD code manufactured homes were down 17% in January of 2010, compared to the same period of 2009. Industry sales of modular homes are not yet available.</w:t>
      </w:r>
    </w:p>
    <w:p>
      <w:pPr>
        <w:spacing w:after="0" w:line="129" w:lineRule="exact"/>
        <w:rPr>
          <w:rFonts w:ascii="Arial" w:cs="Arial" w:eastAsia="Arial" w:hAnsi="Arial"/>
          <w:sz w:val="18"/>
          <w:szCs w:val="18"/>
          <w:b w:val="1"/>
          <w:bCs w:val="1"/>
          <w:color w:val="auto"/>
        </w:rPr>
      </w:pPr>
    </w:p>
    <w:p>
      <w:pPr>
        <w:ind w:left="680" w:right="1760" w:hanging="348"/>
        <w:spacing w:after="0" w:line="277" w:lineRule="auto"/>
        <w:tabs>
          <w:tab w:leader="none" w:pos="68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The industrial market has improved as the U.S. economy continues to recover. We gained additional share of this market due, in part, to adding new concrete forming business.</w:t>
      </w:r>
    </w:p>
    <w:p>
      <w:pPr>
        <w:spacing w:after="0" w:line="143" w:lineRule="exact"/>
        <w:rPr>
          <w:rFonts w:ascii="Arial" w:cs="Arial" w:eastAsia="Arial" w:hAnsi="Arial"/>
          <w:sz w:val="18"/>
          <w:szCs w:val="18"/>
          <w:b w:val="1"/>
          <w:bCs w:val="1"/>
          <w:color w:val="auto"/>
        </w:rPr>
      </w:pPr>
    </w:p>
    <w:p>
      <w:pPr>
        <w:ind w:left="680" w:hanging="348"/>
        <w:spacing w:after="0"/>
        <w:tabs>
          <w:tab w:leader="none" w:pos="68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The Lumber Market was up approximately 50% in the quarter compared to the same period of 2009.</w:t>
      </w:r>
    </w:p>
    <w:p>
      <w:pPr>
        <w:spacing w:after="0" w:line="184" w:lineRule="exact"/>
        <w:rPr>
          <w:rFonts w:ascii="Arial" w:cs="Arial" w:eastAsia="Arial" w:hAnsi="Arial"/>
          <w:sz w:val="18"/>
          <w:szCs w:val="18"/>
          <w:b w:val="1"/>
          <w:bCs w:val="1"/>
          <w:color w:val="auto"/>
        </w:rPr>
      </w:pPr>
    </w:p>
    <w:p>
      <w:pPr>
        <w:ind w:left="680" w:hanging="348"/>
        <w:spacing w:after="0"/>
        <w:tabs>
          <w:tab w:leader="none" w:pos="68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Our gross margin increased to 13.1% from 12.9% in 2009 due to the implementation of various cost reduction initiatives.</w:t>
      </w:r>
    </w:p>
    <w:p>
      <w:pPr>
        <w:spacing w:after="0" w:line="184" w:lineRule="exact"/>
        <w:rPr>
          <w:rFonts w:ascii="Arial" w:cs="Arial" w:eastAsia="Arial" w:hAnsi="Arial"/>
          <w:sz w:val="18"/>
          <w:szCs w:val="18"/>
          <w:b w:val="1"/>
          <w:bCs w:val="1"/>
          <w:color w:val="auto"/>
        </w:rPr>
      </w:pPr>
    </w:p>
    <w:p>
      <w:pPr>
        <w:jc w:val="both"/>
        <w:ind w:left="680" w:right="1760" w:hanging="348"/>
        <w:spacing w:after="0" w:line="264" w:lineRule="auto"/>
        <w:tabs>
          <w:tab w:leader="none" w:pos="68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Our selling, general and administrative expenses are down approximately $0.6 million, or 1.2%, from the first quarter of 2009, due to our right-sizing efforts and plant consolidation actions we took last year, offset somewhat by an increase in accrued bonus.</w:t>
      </w:r>
    </w:p>
    <w:p>
      <w:pPr>
        <w:spacing w:after="0" w:line="154" w:lineRule="exact"/>
        <w:rPr>
          <w:rFonts w:ascii="Arial" w:cs="Arial" w:eastAsia="Arial" w:hAnsi="Arial"/>
          <w:sz w:val="18"/>
          <w:szCs w:val="18"/>
          <w:b w:val="1"/>
          <w:bCs w:val="1"/>
          <w:color w:val="auto"/>
        </w:rPr>
      </w:pPr>
    </w:p>
    <w:p>
      <w:pPr>
        <w:ind w:left="680" w:right="1760" w:hanging="348"/>
        <w:spacing w:after="0" w:line="277" w:lineRule="auto"/>
        <w:tabs>
          <w:tab w:leader="none" w:pos="68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Our cash flow used in operating activities was $78 million due to the seasonal working capital requirements of our business. We currently anticipate achieving strong cash flows from operations for the year.</w:t>
      </w:r>
    </w:p>
    <w:p>
      <w:pPr>
        <w:spacing w:after="0" w:line="129" w:lineRule="exact"/>
        <w:rPr>
          <w:rFonts w:ascii="Arial" w:cs="Arial" w:eastAsia="Arial" w:hAnsi="Arial"/>
          <w:sz w:val="18"/>
          <w:szCs w:val="18"/>
          <w:b w:val="1"/>
          <w:bCs w:val="1"/>
          <w:color w:val="auto"/>
        </w:rPr>
      </w:pPr>
    </w:p>
    <w:p>
      <w:pPr>
        <w:ind w:left="680" w:hanging="348"/>
        <w:spacing w:after="0"/>
        <w:tabs>
          <w:tab w:leader="none" w:pos="68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Our net interest costs decreased by $0.2 million, or 22.7%, due to a reduction in our interest-bearing debt.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3880" w:type="dxa"/>
            <w:vAlign w:val="bottom"/>
            <w:gridSpan w:val="2"/>
          </w:tcPr>
          <w:p>
            <w:pPr>
              <w:jc w:val="center"/>
              <w:ind w:right="920"/>
              <w:spacing w:after="0"/>
              <w:rPr>
                <w:sz w:val="20"/>
                <w:szCs w:val="20"/>
                <w:color w:val="auto"/>
              </w:rPr>
            </w:pPr>
            <w:r>
              <w:rPr>
                <w:rFonts w:ascii="Arial" w:cs="Arial" w:eastAsia="Arial" w:hAnsi="Arial"/>
                <w:sz w:val="18"/>
                <w:szCs w:val="18"/>
                <w:b w:val="1"/>
                <w:bCs w:val="1"/>
                <w:color w:val="auto"/>
              </w:rPr>
              <w:t>HISTORICAL LUMBER PRICES</w:t>
            </w: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405"/>
        </w:trPr>
        <w:tc>
          <w:tcPr>
            <w:tcW w:w="340" w:type="dxa"/>
            <w:vAlign w:val="bottom"/>
          </w:tcPr>
          <w:p>
            <w:pPr>
              <w:spacing w:after="0"/>
              <w:rPr>
                <w:sz w:val="24"/>
                <w:szCs w:val="24"/>
                <w:color w:val="auto"/>
              </w:rPr>
            </w:pPr>
          </w:p>
        </w:tc>
        <w:tc>
          <w:tcPr>
            <w:tcW w:w="8320" w:type="dxa"/>
            <w:vAlign w:val="bottom"/>
            <w:gridSpan w:val="5"/>
          </w:tcPr>
          <w:p>
            <w:pPr>
              <w:spacing w:after="0"/>
              <w:rPr>
                <w:sz w:val="20"/>
                <w:szCs w:val="20"/>
                <w:color w:val="auto"/>
              </w:rPr>
            </w:pPr>
            <w:r>
              <w:rPr>
                <w:rFonts w:ascii="Arial" w:cs="Arial" w:eastAsia="Arial" w:hAnsi="Arial"/>
                <w:sz w:val="18"/>
                <w:szCs w:val="18"/>
                <w:color w:val="auto"/>
              </w:rPr>
              <w:t>The following table presents the Random Lengths framing lumber composite price is presented below:</w:t>
            </w: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418"/>
        </w:trPr>
        <w:tc>
          <w:tcPr>
            <w:tcW w:w="3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60" w:type="dxa"/>
            <w:vAlign w:val="bottom"/>
            <w:gridSpan w:val="5"/>
          </w:tcPr>
          <w:p>
            <w:pPr>
              <w:jc w:val="right"/>
              <w:ind w:right="200"/>
              <w:spacing w:after="0"/>
              <w:rPr>
                <w:sz w:val="20"/>
                <w:szCs w:val="20"/>
                <w:color w:val="auto"/>
              </w:rPr>
            </w:pPr>
            <w:r>
              <w:rPr>
                <w:rFonts w:ascii="Arial" w:cs="Arial" w:eastAsia="Arial" w:hAnsi="Arial"/>
                <w:sz w:val="18"/>
                <w:szCs w:val="18"/>
                <w:color w:val="auto"/>
                <w:w w:val="89"/>
              </w:rPr>
              <w:t>Random Lengths Composite</w:t>
            </w:r>
          </w:p>
        </w:tc>
        <w:tc>
          <w:tcPr>
            <w:tcW w:w="1760" w:type="dxa"/>
            <w:vAlign w:val="bottom"/>
          </w:tcPr>
          <w:p>
            <w:pPr>
              <w:spacing w:after="0"/>
              <w:rPr>
                <w:sz w:val="24"/>
                <w:szCs w:val="24"/>
                <w:color w:val="auto"/>
              </w:rPr>
            </w:pPr>
          </w:p>
        </w:tc>
      </w:tr>
      <w:tr>
        <w:trPr>
          <w:trHeight w:val="230"/>
        </w:trPr>
        <w:tc>
          <w:tcPr>
            <w:tcW w:w="3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8"/>
                <w:szCs w:val="18"/>
                <w:color w:val="auto"/>
              </w:rPr>
              <w:t>Average $/MBF</w:t>
            </w:r>
          </w:p>
        </w:tc>
        <w:tc>
          <w:tcPr>
            <w:tcW w:w="2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2010</w:t>
            </w:r>
          </w:p>
        </w:tc>
        <w:tc>
          <w:tcPr>
            <w:tcW w:w="440" w:type="dxa"/>
            <w:vAlign w:val="bottom"/>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2009</w:t>
            </w:r>
          </w:p>
        </w:tc>
        <w:tc>
          <w:tcPr>
            <w:tcW w:w="2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January</w:t>
            </w:r>
          </w:p>
        </w:tc>
        <w:tc>
          <w:tcPr>
            <w:tcW w:w="3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264</w:t>
            </w:r>
          </w:p>
        </w:tc>
        <w:tc>
          <w:tcPr>
            <w:tcW w:w="640" w:type="dxa"/>
            <w:vAlign w:val="bottom"/>
            <w:shd w:val="clear" w:color="auto" w:fill="CCEEFF"/>
          </w:tcPr>
          <w:p>
            <w:pPr>
              <w:jc w:val="right"/>
              <w:ind w:right="480"/>
              <w:spacing w:after="0"/>
              <w:rPr>
                <w:sz w:val="20"/>
                <w:szCs w:val="20"/>
                <w:color w:val="auto"/>
              </w:rPr>
            </w:pPr>
            <w:r>
              <w:rPr>
                <w:rFonts w:ascii="Arial" w:cs="Arial" w:eastAsia="Arial" w:hAnsi="Arial"/>
                <w:sz w:val="15"/>
                <w:szCs w:val="15"/>
                <w:color w:val="auto"/>
                <w:w w:val="71"/>
              </w:rPr>
              <w:t>$</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198</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February</w:t>
            </w:r>
          </w:p>
        </w:tc>
        <w:tc>
          <w:tcPr>
            <w:tcW w:w="3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312</w:t>
            </w:r>
          </w:p>
        </w:tc>
        <w:tc>
          <w:tcPr>
            <w:tcW w:w="640" w:type="dxa"/>
            <w:vAlign w:val="bottom"/>
          </w:tcPr>
          <w:p>
            <w:pPr>
              <w:spacing w:after="0"/>
              <w:rPr>
                <w:sz w:val="18"/>
                <w:szCs w:val="18"/>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199</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March</w:t>
            </w:r>
          </w:p>
        </w:tc>
        <w:tc>
          <w:tcPr>
            <w:tcW w:w="3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310</w:t>
            </w:r>
          </w:p>
        </w:tc>
        <w:tc>
          <w:tcPr>
            <w:tcW w:w="6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195</w:t>
            </w:r>
          </w:p>
        </w:tc>
        <w:tc>
          <w:tcPr>
            <w:tcW w:w="1760" w:type="dxa"/>
            <w:vAlign w:val="bottom"/>
          </w:tcPr>
          <w:p>
            <w:pPr>
              <w:spacing w:after="0"/>
              <w:rPr>
                <w:sz w:val="18"/>
                <w:szCs w:val="18"/>
                <w:color w:val="auto"/>
              </w:rPr>
            </w:pPr>
          </w:p>
        </w:tc>
      </w:tr>
      <w:tr>
        <w:trPr>
          <w:trHeight w:val="432"/>
        </w:trPr>
        <w:tc>
          <w:tcPr>
            <w:tcW w:w="340" w:type="dxa"/>
            <w:vAlign w:val="bottom"/>
          </w:tcPr>
          <w:p>
            <w:pPr>
              <w:spacing w:after="0"/>
              <w:rPr>
                <w:sz w:val="24"/>
                <w:szCs w:val="24"/>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First quarter average</w:t>
            </w:r>
          </w:p>
        </w:tc>
        <w:tc>
          <w:tcPr>
            <w:tcW w:w="3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295</w:t>
            </w:r>
          </w:p>
        </w:tc>
        <w:tc>
          <w:tcPr>
            <w:tcW w:w="640" w:type="dxa"/>
            <w:vAlign w:val="bottom"/>
          </w:tcPr>
          <w:p>
            <w:pPr>
              <w:jc w:val="right"/>
              <w:ind w:right="480"/>
              <w:spacing w:after="0"/>
              <w:rPr>
                <w:sz w:val="20"/>
                <w:szCs w:val="20"/>
                <w:color w:val="auto"/>
              </w:rPr>
            </w:pPr>
            <w:r>
              <w:rPr>
                <w:rFonts w:ascii="Arial" w:cs="Arial" w:eastAsia="Arial" w:hAnsi="Arial"/>
                <w:sz w:val="15"/>
                <w:szCs w:val="15"/>
                <w:color w:val="auto"/>
                <w:w w:val="71"/>
              </w:rPr>
              <w:t>$</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197</w:t>
            </w:r>
          </w:p>
        </w:tc>
        <w:tc>
          <w:tcPr>
            <w:tcW w:w="176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w w:val="92"/>
              </w:rPr>
              <w:t>First quarter percentage change from 2009</w:t>
            </w:r>
          </w:p>
        </w:tc>
        <w:tc>
          <w:tcPr>
            <w:tcW w:w="3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49.7%</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r>
      <w:tr>
        <w:trPr>
          <w:trHeight w:val="783"/>
        </w:trPr>
        <w:tc>
          <w:tcPr>
            <w:tcW w:w="3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3760" w:type="dxa"/>
            <w:vAlign w:val="bottom"/>
          </w:tcPr>
          <w:p>
            <w:pPr>
              <w:jc w:val="right"/>
              <w:ind w:right="211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3180" w:type="dxa"/>
            <w:vAlign w:val="bottom"/>
            <w:tcBorders>
              <w:bottom w:val="single" w:sz="8" w:color="808080"/>
            </w:tcBorders>
          </w:tcPr>
          <w:p>
            <w:pPr>
              <w:spacing w:after="0"/>
              <w:rPr>
                <w:sz w:val="19"/>
                <w:szCs w:val="19"/>
                <w:color w:val="auto"/>
              </w:rPr>
            </w:pPr>
          </w:p>
        </w:tc>
        <w:tc>
          <w:tcPr>
            <w:tcW w:w="37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UNIVERSAL FOREST PRODUCTS, INC.</w:t>
      </w:r>
    </w:p>
    <w:p>
      <w:pPr>
        <w:spacing w:after="0" w:line="202"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In addition, a Southern Yellow Pine (“SYP”) composite price, which we prepare and use, is presented below. Sales of products produced using this species, which primarily consists of our preservative-treated products, may comprise up to 50% of our sales volume.</w:t>
      </w:r>
    </w:p>
    <w:p>
      <w:pPr>
        <w:spacing w:after="0" w:line="18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6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80" w:type="dxa"/>
            <w:vAlign w:val="bottom"/>
            <w:gridSpan w:val="5"/>
          </w:tcPr>
          <w:p>
            <w:pPr>
              <w:jc w:val="right"/>
              <w:ind w:right="420"/>
              <w:spacing w:after="0"/>
              <w:rPr>
                <w:sz w:val="20"/>
                <w:szCs w:val="20"/>
                <w:color w:val="auto"/>
              </w:rPr>
            </w:pPr>
            <w:r>
              <w:rPr>
                <w:rFonts w:ascii="Arial" w:cs="Arial" w:eastAsia="Arial" w:hAnsi="Arial"/>
                <w:sz w:val="18"/>
                <w:szCs w:val="18"/>
                <w:color w:val="auto"/>
                <w:w w:val="97"/>
              </w:rPr>
              <w:t>Random Lengths SYP</w:t>
            </w:r>
          </w:p>
        </w:tc>
      </w:tr>
      <w:tr>
        <w:trPr>
          <w:trHeight w:val="230"/>
        </w:trPr>
        <w:tc>
          <w:tcPr>
            <w:tcW w:w="6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80" w:type="dxa"/>
            <w:vAlign w:val="bottom"/>
            <w:gridSpan w:val="5"/>
          </w:tcPr>
          <w:p>
            <w:pPr>
              <w:jc w:val="right"/>
              <w:ind w:right="640"/>
              <w:spacing w:after="0"/>
              <w:rPr>
                <w:sz w:val="20"/>
                <w:szCs w:val="20"/>
                <w:color w:val="auto"/>
              </w:rPr>
            </w:pPr>
            <w:r>
              <w:rPr>
                <w:rFonts w:ascii="Arial" w:cs="Arial" w:eastAsia="Arial" w:hAnsi="Arial"/>
                <w:sz w:val="18"/>
                <w:szCs w:val="18"/>
                <w:color w:val="auto"/>
              </w:rPr>
              <w:t>Average $/MBF</w:t>
            </w:r>
          </w:p>
        </w:tc>
      </w:tr>
      <w:tr>
        <w:trPr>
          <w:trHeight w:val="210"/>
        </w:trPr>
        <w:tc>
          <w:tcPr>
            <w:tcW w:w="69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2010</w:t>
            </w:r>
          </w:p>
        </w:tc>
        <w:tc>
          <w:tcPr>
            <w:tcW w:w="44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2009</w:t>
            </w:r>
          </w:p>
        </w:tc>
        <w:tc>
          <w:tcPr>
            <w:tcW w:w="80" w:type="dxa"/>
            <w:vAlign w:val="bottom"/>
          </w:tcPr>
          <w:p>
            <w:pPr>
              <w:spacing w:after="0"/>
              <w:rPr>
                <w:sz w:val="18"/>
                <w:szCs w:val="18"/>
                <w:color w:val="auto"/>
              </w:rPr>
            </w:pPr>
          </w:p>
        </w:tc>
      </w:tr>
      <w:tr>
        <w:trPr>
          <w:trHeight w:val="210"/>
        </w:trPr>
        <w:tc>
          <w:tcPr>
            <w:tcW w:w="6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January</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269</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241</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February</w:t>
            </w:r>
          </w:p>
        </w:tc>
        <w:tc>
          <w:tcPr>
            <w:tcW w:w="200" w:type="dxa"/>
            <w:vAlign w:val="bottom"/>
          </w:tcPr>
          <w:p>
            <w:pPr>
              <w:spacing w:after="0"/>
              <w:rPr>
                <w:sz w:val="18"/>
                <w:szCs w:val="18"/>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331</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233</w:t>
            </w: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March</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337</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232</w:t>
            </w:r>
          </w:p>
        </w:tc>
      </w:tr>
      <w:tr>
        <w:trPr>
          <w:trHeight w:val="432"/>
        </w:trPr>
        <w:tc>
          <w:tcPr>
            <w:tcW w:w="6940" w:type="dxa"/>
            <w:vAlign w:val="bottom"/>
          </w:tcPr>
          <w:p>
            <w:pPr>
              <w:spacing w:after="0"/>
              <w:rPr>
                <w:sz w:val="20"/>
                <w:szCs w:val="20"/>
                <w:color w:val="auto"/>
              </w:rPr>
            </w:pPr>
            <w:r>
              <w:rPr>
                <w:rFonts w:ascii="Arial" w:cs="Arial" w:eastAsia="Arial" w:hAnsi="Arial"/>
                <w:sz w:val="18"/>
                <w:szCs w:val="18"/>
                <w:color w:val="auto"/>
              </w:rPr>
              <w:t>First quarter average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312</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235</w:t>
            </w:r>
          </w:p>
        </w:tc>
      </w:tr>
      <w:tr>
        <w:trPr>
          <w:trHeight w:val="216"/>
        </w:trPr>
        <w:tc>
          <w:tcPr>
            <w:tcW w:w="6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First quarter percentage change from 2009</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32.8%</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bl>
    <w:p>
      <w:pPr>
        <w:spacing w:after="0" w:line="15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IMPACT OF THE LUMBER MARKET ON OUR OPERATING RESULTS</w:t>
      </w:r>
    </w:p>
    <w:p>
      <w:pPr>
        <w:spacing w:after="0" w:line="189"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color w:val="auto"/>
        </w:rPr>
        <w:t>We experience significant fluctuations in the cost of commodity lumber products from primary producers (“Lumber Market”). We generally price our products to pass lumber costs through to our customers so that our profitability is based on the value-added manufacturing, distribution, engineering, and other services we provide. As a result, our sales levels (and working capital requirements) are impacted by the lumber costs of our products. Lumber costs are a significant percentage of our cost of goods sold.</w:t>
      </w:r>
    </w:p>
    <w:p>
      <w:pPr>
        <w:spacing w:after="0" w:line="161" w:lineRule="exact"/>
        <w:rPr>
          <w:sz w:val="20"/>
          <w:szCs w:val="20"/>
          <w:color w:val="auto"/>
        </w:rPr>
      </w:pPr>
    </w:p>
    <w:p>
      <w:pPr>
        <w:jc w:val="both"/>
        <w:ind w:left="340" w:right="559"/>
        <w:spacing w:after="0" w:line="255" w:lineRule="auto"/>
        <w:rPr>
          <w:sz w:val="20"/>
          <w:szCs w:val="20"/>
          <w:color w:val="auto"/>
        </w:rPr>
      </w:pPr>
      <w:r>
        <w:rPr>
          <w:rFonts w:ascii="Arial" w:cs="Arial" w:eastAsia="Arial" w:hAnsi="Arial"/>
          <w:sz w:val="18"/>
          <w:szCs w:val="18"/>
          <w:color w:val="auto"/>
        </w:rPr>
        <w:t xml:space="preserve">Our gross margins are impacted by both (1) the relative </w:t>
      </w:r>
      <w:r>
        <w:rPr>
          <w:rFonts w:ascii="Arial" w:cs="Arial" w:eastAsia="Arial" w:hAnsi="Arial"/>
          <w:sz w:val="18"/>
          <w:szCs w:val="18"/>
          <w:u w:val="single" w:color="auto"/>
          <w:color w:val="auto"/>
        </w:rPr>
        <w:t>level</w:t>
      </w:r>
      <w:r>
        <w:rPr>
          <w:rFonts w:ascii="Arial" w:cs="Arial" w:eastAsia="Arial" w:hAnsi="Arial"/>
          <w:sz w:val="18"/>
          <w:szCs w:val="18"/>
          <w:color w:val="auto"/>
        </w:rPr>
        <w:t xml:space="preserve"> of the Lumber Market (i.e. whether prices are higher or lower from comparative periods), and (2) the </w:t>
      </w:r>
      <w:r>
        <w:rPr>
          <w:rFonts w:ascii="Arial" w:cs="Arial" w:eastAsia="Arial" w:hAnsi="Arial"/>
          <w:sz w:val="18"/>
          <w:szCs w:val="18"/>
          <w:u w:val="single" w:color="auto"/>
          <w:color w:val="auto"/>
        </w:rPr>
        <w:t>trend</w:t>
      </w:r>
      <w:r>
        <w:rPr>
          <w:rFonts w:ascii="Arial" w:cs="Arial" w:eastAsia="Arial" w:hAnsi="Arial"/>
          <w:sz w:val="18"/>
          <w:szCs w:val="18"/>
          <w:color w:val="auto"/>
        </w:rPr>
        <w:t xml:space="preserve"> in the market price of lumber (i.e. whether the price of lumber is increasing or decreasing within a period or from period to period). Moreover, as explained below, our products are priced differently. Some of our products have fixed selling prices, while the selling prices of other products are indexed to the reported Lumber Market with a fixed dollar adder to cover conversion costs and profits. Consequently, the </w:t>
      </w:r>
      <w:r>
        <w:rPr>
          <w:rFonts w:ascii="Arial" w:cs="Arial" w:eastAsia="Arial" w:hAnsi="Arial"/>
          <w:sz w:val="18"/>
          <w:szCs w:val="18"/>
          <w:u w:val="single" w:color="auto"/>
          <w:color w:val="auto"/>
        </w:rPr>
        <w:t>level</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trend</w:t>
      </w:r>
      <w:r>
        <w:rPr>
          <w:rFonts w:ascii="Arial" w:cs="Arial" w:eastAsia="Arial" w:hAnsi="Arial"/>
          <w:sz w:val="18"/>
          <w:szCs w:val="18"/>
          <w:color w:val="auto"/>
        </w:rPr>
        <w:t xml:space="preserve"> of the Lumber Market impact our products differently.</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Below is a general description of the primary ways in which our products are priced.</w:t>
      </w:r>
    </w:p>
    <w:p>
      <w:pPr>
        <w:spacing w:after="0" w:line="185" w:lineRule="exact"/>
        <w:rPr>
          <w:sz w:val="20"/>
          <w:szCs w:val="20"/>
          <w:color w:val="auto"/>
        </w:rPr>
      </w:pPr>
    </w:p>
    <w:p>
      <w:pPr>
        <w:jc w:val="both"/>
        <w:ind w:left="680" w:right="559" w:hanging="348"/>
        <w:spacing w:after="0" w:line="255" w:lineRule="auto"/>
        <w:tabs>
          <w:tab w:leader="none" w:pos="680" w:val="left"/>
        </w:tabs>
        <w:numPr>
          <w:ilvl w:val="0"/>
          <w:numId w:val="13"/>
        </w:numPr>
        <w:rPr>
          <w:rFonts w:ascii="Arial" w:cs="Arial" w:eastAsia="Arial" w:hAnsi="Arial"/>
          <w:sz w:val="18"/>
          <w:szCs w:val="18"/>
          <w:b w:val="1"/>
          <w:bCs w:val="1"/>
          <w:color w:val="auto"/>
        </w:rPr>
      </w:pPr>
      <w:r>
        <w:rPr>
          <w:rFonts w:ascii="Arial" w:cs="Arial" w:eastAsia="Arial" w:hAnsi="Arial"/>
          <w:sz w:val="18"/>
          <w:szCs w:val="18"/>
          <w:u w:val="single" w:color="auto"/>
          <w:color w:val="auto"/>
        </w:rPr>
        <w:t>Products with fixed selling prices</w:t>
      </w:r>
      <w:r>
        <w:rPr>
          <w:rFonts w:ascii="Arial" w:cs="Arial" w:eastAsia="Arial" w:hAnsi="Arial"/>
          <w:sz w:val="18"/>
          <w:szCs w:val="18"/>
          <w:color w:val="auto"/>
        </w:rPr>
        <w:t xml:space="preserve">. These products include value-added products such as decking and fencing sold to DIY/retail customers, as well as trusses, wall panels and other components sold to the site-built construction market, and most industrial packaging products. Prices for these products are generally fixed at the time of the sales quotation for a specified period of time or are based upon a specific quantity. In order to maintain margins and reduce any exposure to adverse </w:t>
      </w:r>
      <w:r>
        <w:rPr>
          <w:rFonts w:ascii="Arial" w:cs="Arial" w:eastAsia="Arial" w:hAnsi="Arial"/>
          <w:sz w:val="18"/>
          <w:szCs w:val="18"/>
          <w:u w:val="single" w:color="auto"/>
          <w:color w:val="auto"/>
        </w:rPr>
        <w:t>trends</w:t>
      </w:r>
      <w:r>
        <w:rPr>
          <w:rFonts w:ascii="Arial" w:cs="Arial" w:eastAsia="Arial" w:hAnsi="Arial"/>
          <w:sz w:val="18"/>
          <w:szCs w:val="18"/>
          <w:color w:val="auto"/>
        </w:rPr>
        <w:t xml:space="preserve"> in the price of component lumber products, we attempt to lock in costs for these sales commitments with our suppliers. Also, the time period and quantity limitations generally allow us to re-price our products for changes in lumber costs from our suppliers.</w:t>
      </w:r>
    </w:p>
    <w:p>
      <w:pPr>
        <w:spacing w:after="0" w:line="200" w:lineRule="exact"/>
        <w:rPr>
          <w:sz w:val="20"/>
          <w:szCs w:val="20"/>
          <w:color w:val="auto"/>
        </w:rPr>
      </w:pPr>
    </w:p>
    <w:p>
      <w:pPr>
        <w:spacing w:after="0" w:line="35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UNIVERSAL FOREST PRODUCTS, INC.</w:t>
      </w:r>
    </w:p>
    <w:p>
      <w:pPr>
        <w:spacing w:after="0" w:line="189" w:lineRule="exact"/>
        <w:rPr>
          <w:sz w:val="20"/>
          <w:szCs w:val="20"/>
          <w:color w:val="auto"/>
        </w:rPr>
      </w:pPr>
    </w:p>
    <w:p>
      <w:pPr>
        <w:jc w:val="both"/>
        <w:ind w:left="680" w:right="559" w:hanging="348"/>
        <w:spacing w:after="0" w:line="297" w:lineRule="auto"/>
        <w:tabs>
          <w:tab w:leader="none" w:pos="680" w:val="left"/>
        </w:tabs>
        <w:numPr>
          <w:ilvl w:val="0"/>
          <w:numId w:val="14"/>
        </w:numPr>
        <w:rPr>
          <w:rFonts w:ascii="Arial" w:cs="Arial" w:eastAsia="Arial" w:hAnsi="Arial"/>
          <w:sz w:val="16"/>
          <w:szCs w:val="16"/>
          <w:b w:val="1"/>
          <w:bCs w:val="1"/>
          <w:color w:val="auto"/>
        </w:rPr>
      </w:pPr>
      <w:r>
        <w:rPr>
          <w:rFonts w:ascii="Arial" w:cs="Arial" w:eastAsia="Arial" w:hAnsi="Arial"/>
          <w:sz w:val="16"/>
          <w:szCs w:val="16"/>
          <w:u w:val="single" w:color="auto"/>
          <w:color w:val="auto"/>
        </w:rPr>
        <w:t>Products with selling prices indexed to the reported Lumber Market with a fixed dollar “adder” to cover conversion costs and profits</w:t>
      </w:r>
      <w:r>
        <w:rPr>
          <w:rFonts w:ascii="Arial" w:cs="Arial" w:eastAsia="Arial" w:hAnsi="Arial"/>
          <w:sz w:val="16"/>
          <w:szCs w:val="16"/>
          <w:color w:val="auto"/>
        </w:rPr>
        <w:t xml:space="preserve">. These products primarily include treated lumber, remanufactured lumber, and trusses sold to the manufactured housing industry. For these products, we estimate the customers’ needs and carry anticipated levels of inventory. Because lumber costs are incurred in advance of final sale prices, subsequent increases or decreases in the market price of lumber impact our gross margins. For these products, our margins are exposed to changes in the </w:t>
      </w:r>
      <w:r>
        <w:rPr>
          <w:rFonts w:ascii="Arial" w:cs="Arial" w:eastAsia="Arial" w:hAnsi="Arial"/>
          <w:sz w:val="16"/>
          <w:szCs w:val="16"/>
          <w:u w:val="single" w:color="auto"/>
          <w:color w:val="auto"/>
        </w:rPr>
        <w:t>trend</w:t>
      </w:r>
      <w:r>
        <w:rPr>
          <w:rFonts w:ascii="Arial" w:cs="Arial" w:eastAsia="Arial" w:hAnsi="Arial"/>
          <w:sz w:val="16"/>
          <w:szCs w:val="16"/>
          <w:color w:val="auto"/>
        </w:rPr>
        <w:t xml:space="preserve"> of lumber prices.</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Changes in the </w:t>
      </w:r>
      <w:r>
        <w:rPr>
          <w:rFonts w:ascii="Arial" w:cs="Arial" w:eastAsia="Arial" w:hAnsi="Arial"/>
          <w:sz w:val="18"/>
          <w:szCs w:val="18"/>
          <w:u w:val="single" w:color="auto"/>
          <w:color w:val="auto"/>
        </w:rPr>
        <w:t>trend</w:t>
      </w:r>
      <w:r>
        <w:rPr>
          <w:rFonts w:ascii="Arial" w:cs="Arial" w:eastAsia="Arial" w:hAnsi="Arial"/>
          <w:sz w:val="18"/>
          <w:szCs w:val="18"/>
          <w:color w:val="auto"/>
        </w:rPr>
        <w:t xml:space="preserve"> of lumber prices have their greatest impact on the following products:</w:t>
      </w:r>
    </w:p>
    <w:p>
      <w:pPr>
        <w:spacing w:after="0" w:line="198" w:lineRule="exact"/>
        <w:rPr>
          <w:sz w:val="20"/>
          <w:szCs w:val="20"/>
          <w:color w:val="auto"/>
        </w:rPr>
      </w:pPr>
    </w:p>
    <w:p>
      <w:pPr>
        <w:jc w:val="both"/>
        <w:ind w:left="680" w:right="559" w:hanging="348"/>
        <w:spacing w:after="0" w:line="272" w:lineRule="auto"/>
        <w:tabs>
          <w:tab w:leader="none" w:pos="680" w:val="left"/>
        </w:tabs>
        <w:numPr>
          <w:ilvl w:val="0"/>
          <w:numId w:val="15"/>
        </w:numPr>
        <w:rPr>
          <w:rFonts w:ascii="Arial" w:cs="Arial" w:eastAsia="Arial" w:hAnsi="Arial"/>
          <w:sz w:val="17"/>
          <w:szCs w:val="17"/>
          <w:b w:val="1"/>
          <w:bCs w:val="1"/>
          <w:color w:val="auto"/>
        </w:rPr>
      </w:pPr>
      <w:r>
        <w:rPr>
          <w:rFonts w:ascii="Arial" w:cs="Arial" w:eastAsia="Arial" w:hAnsi="Arial"/>
          <w:sz w:val="17"/>
          <w:szCs w:val="17"/>
          <w:u w:val="single" w:color="auto"/>
          <w:color w:val="auto"/>
        </w:rPr>
        <w:t>Products with significant inventory levels with low turnover rates, whose selling prices are indexed to the Lumber Market</w:t>
      </w:r>
      <w:r>
        <w:rPr>
          <w:rFonts w:ascii="Arial" w:cs="Arial" w:eastAsia="Arial" w:hAnsi="Arial"/>
          <w:sz w:val="17"/>
          <w:szCs w:val="17"/>
          <w:color w:val="auto"/>
        </w:rPr>
        <w:t>. In other words, the longer the period of time these products remain in inventory, the greater the exposure to changes in the price of lumber. This would include treated lumber, which comprises approximately 17% of our total sales. This exposure is less significant with remanufactured lumber, trusses sold to the manufactured housing market, and other similar products, due to the higher rate of inventory turnover. We attempt to mitigate the risk associated with treated lumber through vendor consignment inventory programs. (</w:t>
      </w:r>
      <w:r>
        <w:rPr>
          <w:rFonts w:ascii="Arial" w:cs="Arial" w:eastAsia="Arial" w:hAnsi="Arial"/>
          <w:sz w:val="17"/>
          <w:szCs w:val="17"/>
          <w:i w:val="1"/>
          <w:iCs w:val="1"/>
          <w:color w:val="auto"/>
        </w:rPr>
        <w:t>Please refer to the “Risk Factors” section of our annual report on form 10-K, filed with</w:t>
      </w:r>
      <w:r>
        <w:rPr>
          <w:rFonts w:ascii="Arial" w:cs="Arial" w:eastAsia="Arial" w:hAnsi="Arial"/>
          <w:sz w:val="17"/>
          <w:szCs w:val="17"/>
          <w:color w:val="auto"/>
        </w:rPr>
        <w:t xml:space="preserve"> </w:t>
      </w:r>
      <w:r>
        <w:rPr>
          <w:rFonts w:ascii="Arial" w:cs="Arial" w:eastAsia="Arial" w:hAnsi="Arial"/>
          <w:sz w:val="17"/>
          <w:szCs w:val="17"/>
          <w:i w:val="1"/>
          <w:iCs w:val="1"/>
          <w:color w:val="auto"/>
        </w:rPr>
        <w:t>the United States Securities and Exchange Commission.</w:t>
      </w:r>
      <w:r>
        <w:rPr>
          <w:rFonts w:ascii="Arial" w:cs="Arial" w:eastAsia="Arial" w:hAnsi="Arial"/>
          <w:sz w:val="17"/>
          <w:szCs w:val="17"/>
          <w:color w:val="auto"/>
        </w:rPr>
        <w:t>)</w:t>
      </w:r>
    </w:p>
    <w:p>
      <w:pPr>
        <w:spacing w:after="0" w:line="137" w:lineRule="exact"/>
        <w:rPr>
          <w:rFonts w:ascii="Arial" w:cs="Arial" w:eastAsia="Arial" w:hAnsi="Arial"/>
          <w:sz w:val="17"/>
          <w:szCs w:val="17"/>
          <w:b w:val="1"/>
          <w:bCs w:val="1"/>
          <w:color w:val="auto"/>
        </w:rPr>
      </w:pPr>
    </w:p>
    <w:p>
      <w:pPr>
        <w:ind w:left="680" w:right="559" w:hanging="348"/>
        <w:spacing w:after="0" w:line="277" w:lineRule="auto"/>
        <w:tabs>
          <w:tab w:leader="none" w:pos="680" w:val="left"/>
        </w:tabs>
        <w:numPr>
          <w:ilvl w:val="0"/>
          <w:numId w:val="15"/>
        </w:numPr>
        <w:rPr>
          <w:rFonts w:ascii="Arial" w:cs="Arial" w:eastAsia="Arial" w:hAnsi="Arial"/>
          <w:sz w:val="18"/>
          <w:szCs w:val="18"/>
          <w:b w:val="1"/>
          <w:bCs w:val="1"/>
          <w:color w:val="auto"/>
        </w:rPr>
      </w:pPr>
      <w:r>
        <w:rPr>
          <w:rFonts w:ascii="Arial" w:cs="Arial" w:eastAsia="Arial" w:hAnsi="Arial"/>
          <w:sz w:val="18"/>
          <w:szCs w:val="18"/>
          <w:u w:val="single" w:color="auto"/>
          <w:color w:val="auto"/>
        </w:rPr>
        <w:t>Products with fixed selling prices sold under long-term supply arrangements, particularly those involving multi-family construction projects</w:t>
      </w:r>
      <w:r>
        <w:rPr>
          <w:rFonts w:ascii="Arial" w:cs="Arial" w:eastAsia="Arial" w:hAnsi="Arial"/>
          <w:sz w:val="18"/>
          <w:szCs w:val="18"/>
          <w:color w:val="auto"/>
        </w:rPr>
        <w:t>. We attempt to mitigate this risk through our purchasing practices by locking in costs.</w:t>
      </w:r>
    </w:p>
    <w:p>
      <w:pPr>
        <w:spacing w:after="0" w:line="130" w:lineRule="exact"/>
        <w:rPr>
          <w:sz w:val="20"/>
          <w:szCs w:val="20"/>
          <w:color w:val="auto"/>
        </w:rPr>
      </w:pPr>
    </w:p>
    <w:p>
      <w:pPr>
        <w:jc w:val="both"/>
        <w:ind w:left="340" w:right="559"/>
        <w:spacing w:after="0" w:line="312" w:lineRule="auto"/>
        <w:rPr>
          <w:sz w:val="20"/>
          <w:szCs w:val="20"/>
          <w:color w:val="auto"/>
        </w:rPr>
      </w:pPr>
      <w:r>
        <w:rPr>
          <w:rFonts w:ascii="Arial" w:cs="Arial" w:eastAsia="Arial" w:hAnsi="Arial"/>
          <w:sz w:val="16"/>
          <w:szCs w:val="16"/>
          <w:color w:val="auto"/>
        </w:rPr>
        <w:t xml:space="preserve">In addition to the impact of the Lumber Market </w:t>
      </w:r>
      <w:r>
        <w:rPr>
          <w:rFonts w:ascii="Arial" w:cs="Arial" w:eastAsia="Arial" w:hAnsi="Arial"/>
          <w:sz w:val="16"/>
          <w:szCs w:val="16"/>
          <w:u w:val="single" w:color="auto"/>
          <w:color w:val="auto"/>
        </w:rPr>
        <w:t>trends</w:t>
      </w:r>
      <w:r>
        <w:rPr>
          <w:rFonts w:ascii="Arial" w:cs="Arial" w:eastAsia="Arial" w:hAnsi="Arial"/>
          <w:sz w:val="16"/>
          <w:szCs w:val="16"/>
          <w:color w:val="auto"/>
        </w:rPr>
        <w:t xml:space="preserve"> on gross margins, changes in the </w:t>
      </w:r>
      <w:r>
        <w:rPr>
          <w:rFonts w:ascii="Arial" w:cs="Arial" w:eastAsia="Arial" w:hAnsi="Arial"/>
          <w:sz w:val="16"/>
          <w:szCs w:val="16"/>
          <w:u w:val="single" w:color="auto"/>
          <w:color w:val="auto"/>
        </w:rPr>
        <w:t>level</w:t>
      </w:r>
      <w:r>
        <w:rPr>
          <w:rFonts w:ascii="Arial" w:cs="Arial" w:eastAsia="Arial" w:hAnsi="Arial"/>
          <w:sz w:val="16"/>
          <w:szCs w:val="16"/>
          <w:color w:val="auto"/>
        </w:rPr>
        <w:t xml:space="preserve"> of the market cause fluctuations in gross margins when comparing operating results from period to period. This is explained in the following example, which assumes the price of lumber has increased from period one to period two, with no changes in the </w:t>
      </w:r>
      <w:r>
        <w:rPr>
          <w:rFonts w:ascii="Arial" w:cs="Arial" w:eastAsia="Arial" w:hAnsi="Arial"/>
          <w:sz w:val="16"/>
          <w:szCs w:val="16"/>
          <w:u w:val="single" w:color="auto"/>
          <w:color w:val="auto"/>
        </w:rPr>
        <w:t>trend</w:t>
      </w:r>
      <w:r>
        <w:rPr>
          <w:rFonts w:ascii="Arial" w:cs="Arial" w:eastAsia="Arial" w:hAnsi="Arial"/>
          <w:sz w:val="16"/>
          <w:szCs w:val="16"/>
          <w:color w:val="auto"/>
        </w:rPr>
        <w:t xml:space="preserve"> within each period.</w:t>
      </w:r>
    </w:p>
    <w:p>
      <w:pPr>
        <w:spacing w:after="0" w:line="147"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w w:val="92"/>
              </w:rPr>
              <w:t>Period 1</w:t>
            </w:r>
          </w:p>
        </w:tc>
        <w:tc>
          <w:tcPr>
            <w:tcW w:w="120" w:type="dxa"/>
            <w:vAlign w:val="bottom"/>
          </w:tcPr>
          <w:p>
            <w:pPr>
              <w:spacing w:after="0"/>
              <w:rPr>
                <w:sz w:val="20"/>
                <w:szCs w:val="20"/>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w w:val="92"/>
              </w:rPr>
              <w:t>Period 2</w:t>
            </w:r>
          </w:p>
        </w:tc>
      </w:tr>
      <w:tr>
        <w:trPr>
          <w:trHeight w:val="210"/>
        </w:trPr>
        <w:tc>
          <w:tcPr>
            <w:tcW w:w="68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Lumber cost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400</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Conversion cost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50</w:t>
            </w:r>
          </w:p>
        </w:tc>
      </w:tr>
      <w:tr>
        <w:trPr>
          <w:trHeight w:val="27"/>
        </w:trPr>
        <w:tc>
          <w:tcPr>
            <w:tcW w:w="68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 Product cost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450</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Adder</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50</w:t>
            </w:r>
          </w:p>
        </w:tc>
      </w:tr>
      <w:tr>
        <w:trPr>
          <w:trHeight w:val="27"/>
        </w:trPr>
        <w:tc>
          <w:tcPr>
            <w:tcW w:w="68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 Sell price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w:t>
            </w: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Gross margin</w:t>
            </w:r>
          </w:p>
        </w:tc>
        <w:tc>
          <w:tcPr>
            <w:tcW w:w="140" w:type="dxa"/>
            <w:vAlign w:val="bottom"/>
          </w:tcPr>
          <w:p>
            <w:pPr>
              <w:spacing w:after="0"/>
              <w:rPr>
                <w:sz w:val="20"/>
                <w:szCs w:val="20"/>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10.0%</w:t>
            </w:r>
          </w:p>
        </w:tc>
      </w:tr>
    </w:tbl>
    <w:p>
      <w:pPr>
        <w:spacing w:after="0" w:line="160"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 xml:space="preserve">As is apparent from the preceding example, the </w:t>
      </w:r>
      <w:r>
        <w:rPr>
          <w:rFonts w:ascii="Arial" w:cs="Arial" w:eastAsia="Arial" w:hAnsi="Arial"/>
          <w:sz w:val="18"/>
          <w:szCs w:val="18"/>
          <w:u w:val="single" w:color="auto"/>
          <w:color w:val="auto"/>
        </w:rPr>
        <w:t>level</w:t>
      </w:r>
      <w:r>
        <w:rPr>
          <w:rFonts w:ascii="Arial" w:cs="Arial" w:eastAsia="Arial" w:hAnsi="Arial"/>
          <w:sz w:val="18"/>
          <w:szCs w:val="18"/>
          <w:color w:val="auto"/>
        </w:rPr>
        <w:t xml:space="preserve"> of lumber prices does not impact our overall profits, but does impact our margins. Gross margins are negatively impacted during periods of high lumber prices; conversely, we experience margin improvement when lumber prices are relatively low.</w:t>
      </w:r>
    </w:p>
    <w:p>
      <w:pPr>
        <w:spacing w:after="0" w:line="200" w:lineRule="exact"/>
        <w:rPr>
          <w:sz w:val="20"/>
          <w:szCs w:val="20"/>
          <w:color w:val="auto"/>
        </w:rPr>
      </w:pPr>
    </w:p>
    <w:p>
      <w:pPr>
        <w:spacing w:after="0" w:line="33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UNIVERSAL FOREST PRODUCTS, INC.</w:t>
      </w:r>
    </w:p>
    <w:p>
      <w:pPr>
        <w:spacing w:after="0" w:line="198"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BUSINESS COMBINATIONS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Notes to Consolidated Condensed Financial Statements, Note G, “Business Combinations.”</w:t>
      </w:r>
    </w:p>
    <w:p>
      <w:pPr>
        <w:spacing w:after="0" w:line="181"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RESULTS OF OPERATIONS</w:t>
      </w:r>
    </w:p>
    <w:p>
      <w:pPr>
        <w:spacing w:after="0" w:line="202"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The following table presents, for the periods indicated, the components of our Consolidated Condensed Statements of Earnings as a percentage of net sales.</w:t>
      </w:r>
    </w:p>
    <w:p>
      <w:pPr>
        <w:spacing w:after="0" w:line="170"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6720" w:type="dxa"/>
            <w:vAlign w:val="bottom"/>
          </w:tcPr>
          <w:p>
            <w:pPr>
              <w:spacing w:after="0"/>
              <w:rPr>
                <w:sz w:val="20"/>
                <w:szCs w:val="20"/>
                <w:color w:val="auto"/>
              </w:rPr>
            </w:pPr>
          </w:p>
        </w:tc>
        <w:tc>
          <w:tcPr>
            <w:tcW w:w="2600" w:type="dxa"/>
            <w:vAlign w:val="bottom"/>
            <w:gridSpan w:val="4"/>
          </w:tcPr>
          <w:p>
            <w:pPr>
              <w:jc w:val="right"/>
              <w:ind w:right="380"/>
              <w:spacing w:after="0"/>
              <w:rPr>
                <w:sz w:val="20"/>
                <w:szCs w:val="20"/>
                <w:color w:val="auto"/>
              </w:rPr>
            </w:pPr>
            <w:r>
              <w:rPr>
                <w:rFonts w:ascii="Arial" w:cs="Arial" w:eastAsia="Arial" w:hAnsi="Arial"/>
                <w:sz w:val="18"/>
                <w:szCs w:val="18"/>
                <w:color w:val="auto"/>
                <w:w w:val="95"/>
              </w:rPr>
              <w:t>For the Three Months Ended</w:t>
            </w:r>
          </w:p>
        </w:tc>
        <w:tc>
          <w:tcPr>
            <w:tcW w:w="0" w:type="dxa"/>
            <w:vAlign w:val="bottom"/>
          </w:tcPr>
          <w:p>
            <w:pPr>
              <w:spacing w:after="0"/>
              <w:rPr>
                <w:sz w:val="1"/>
                <w:szCs w:val="1"/>
                <w:color w:val="auto"/>
              </w:rPr>
            </w:pPr>
          </w:p>
        </w:tc>
      </w:tr>
      <w:tr>
        <w:trPr>
          <w:trHeight w:val="195"/>
        </w:trPr>
        <w:tc>
          <w:tcPr>
            <w:tcW w:w="6720" w:type="dxa"/>
            <w:vAlign w:val="bottom"/>
          </w:tcPr>
          <w:p>
            <w:pPr>
              <w:spacing w:after="0"/>
              <w:rPr>
                <w:sz w:val="16"/>
                <w:szCs w:val="16"/>
                <w:color w:val="auto"/>
              </w:rPr>
            </w:pPr>
          </w:p>
        </w:tc>
        <w:tc>
          <w:tcPr>
            <w:tcW w:w="1400" w:type="dxa"/>
            <w:vAlign w:val="bottom"/>
            <w:tcBorders>
              <w:top w:val="single" w:sz="8" w:color="auto"/>
            </w:tcBorders>
            <w:gridSpan w:val="2"/>
          </w:tcPr>
          <w:p>
            <w:pPr>
              <w:jc w:val="right"/>
              <w:ind w:right="560"/>
              <w:spacing w:after="0" w:line="195" w:lineRule="exact"/>
              <w:rPr>
                <w:sz w:val="20"/>
                <w:szCs w:val="20"/>
                <w:color w:val="auto"/>
              </w:rPr>
            </w:pPr>
            <w:r>
              <w:rPr>
                <w:rFonts w:ascii="Arial" w:cs="Arial" w:eastAsia="Arial" w:hAnsi="Arial"/>
                <w:sz w:val="18"/>
                <w:szCs w:val="18"/>
                <w:color w:val="auto"/>
              </w:rPr>
              <w:t>March 27,</w:t>
            </w:r>
          </w:p>
        </w:tc>
        <w:tc>
          <w:tcPr>
            <w:tcW w:w="980" w:type="dxa"/>
            <w:vAlign w:val="bottom"/>
            <w:tcBorders>
              <w:top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rPr>
              <w:t>March 28,</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720" w:type="dxa"/>
            <w:vAlign w:val="bottom"/>
          </w:tcPr>
          <w:p>
            <w:pPr>
              <w:spacing w:after="0"/>
              <w:rPr>
                <w:sz w:val="20"/>
                <w:szCs w:val="20"/>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2010</w:t>
            </w:r>
          </w:p>
        </w:tc>
        <w:tc>
          <w:tcPr>
            <w:tcW w:w="440" w:type="dxa"/>
            <w:vAlign w:val="bottom"/>
          </w:tcPr>
          <w:p>
            <w:pPr>
              <w:spacing w:after="0"/>
              <w:rPr>
                <w:sz w:val="20"/>
                <w:szCs w:val="20"/>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2009</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100.0%</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3"/>
        </w:trPr>
        <w:tc>
          <w:tcPr>
            <w:tcW w:w="6720" w:type="dxa"/>
            <w:vAlign w:val="bottom"/>
          </w:tcPr>
          <w:p>
            <w:pPr>
              <w:spacing w:after="0"/>
              <w:rPr>
                <w:sz w:val="20"/>
                <w:szCs w:val="20"/>
                <w:color w:val="auto"/>
              </w:rPr>
            </w:pPr>
            <w:r>
              <w:rPr>
                <w:rFonts w:ascii="Arial" w:cs="Arial" w:eastAsia="Arial" w:hAnsi="Arial"/>
                <w:sz w:val="18"/>
                <w:szCs w:val="18"/>
                <w:color w:val="auto"/>
              </w:rPr>
              <w:t>Cost of goods sold</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w:t>
            </w:r>
          </w:p>
        </w:tc>
        <w:tc>
          <w:tcPr>
            <w:tcW w:w="44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13.1</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400" w:type="dxa"/>
            <w:vAlign w:val="bottom"/>
            <w:gridSpan w:val="2"/>
          </w:tcPr>
          <w:p>
            <w:pPr>
              <w:jc w:val="right"/>
              <w:ind w:right="440"/>
              <w:spacing w:after="0"/>
              <w:rPr>
                <w:sz w:val="20"/>
                <w:szCs w:val="20"/>
                <w:color w:val="auto"/>
              </w:rPr>
            </w:pPr>
            <w:r>
              <w:rPr>
                <w:rFonts w:ascii="Arial" w:cs="Arial" w:eastAsia="Arial" w:hAnsi="Arial"/>
                <w:sz w:val="18"/>
                <w:szCs w:val="18"/>
                <w:color w:val="auto"/>
              </w:rPr>
              <w:t>12.3</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Net loss (gain) on disposition of assets and other impairment and exit charges</w:t>
            </w: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0.0</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3"/>
        </w:trPr>
        <w:tc>
          <w:tcPr>
            <w:tcW w:w="6720" w:type="dxa"/>
            <w:vAlign w:val="bottom"/>
          </w:tcPr>
          <w:p>
            <w:pPr>
              <w:spacing w:after="0"/>
              <w:rPr>
                <w:sz w:val="20"/>
                <w:szCs w:val="20"/>
                <w:color w:val="auto"/>
              </w:rPr>
            </w:pPr>
            <w:r>
              <w:rPr>
                <w:rFonts w:ascii="Arial" w:cs="Arial" w:eastAsia="Arial" w:hAnsi="Arial"/>
                <w:sz w:val="18"/>
                <w:szCs w:val="18"/>
                <w:color w:val="auto"/>
              </w:rPr>
              <w:t>Earnings (loss) from operations</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44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Interest, net</w:t>
            </w: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0.2</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3"/>
        </w:trPr>
        <w:tc>
          <w:tcPr>
            <w:tcW w:w="6720" w:type="dxa"/>
            <w:vAlign w:val="bottom"/>
          </w:tcPr>
          <w:p>
            <w:pPr>
              <w:spacing w:after="0"/>
              <w:rPr>
                <w:sz w:val="20"/>
                <w:szCs w:val="20"/>
                <w:color w:val="auto"/>
              </w:rPr>
            </w:pPr>
            <w:r>
              <w:rPr>
                <w:rFonts w:ascii="Arial" w:cs="Arial" w:eastAsia="Arial" w:hAnsi="Arial"/>
                <w:sz w:val="18"/>
                <w:szCs w:val="18"/>
                <w:color w:val="auto"/>
              </w:rPr>
              <w:t>Earnings (loss) before income taxes</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44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Income taxes (benefit)</w:t>
            </w: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0.1</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3"/>
        </w:trPr>
        <w:tc>
          <w:tcPr>
            <w:tcW w:w="6720" w:type="dxa"/>
            <w:vAlign w:val="bottom"/>
          </w:tcPr>
          <w:p>
            <w:pPr>
              <w:spacing w:after="0"/>
              <w:rPr>
                <w:sz w:val="20"/>
                <w:szCs w:val="20"/>
                <w:color w:val="auto"/>
              </w:rPr>
            </w:pPr>
            <w:r>
              <w:rPr>
                <w:rFonts w:ascii="Arial" w:cs="Arial" w:eastAsia="Arial" w:hAnsi="Arial"/>
                <w:sz w:val="18"/>
                <w:szCs w:val="18"/>
                <w:color w:val="auto"/>
              </w:rPr>
              <w:t>Net earnings (loss)</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44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Less net earnings attributable to noncontrolling interest</w:t>
            </w:r>
          </w:p>
        </w:tc>
        <w:tc>
          <w:tcPr>
            <w:tcW w:w="14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(0.2)</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6720" w:type="dxa"/>
            <w:vAlign w:val="bottom"/>
            <w:vMerge w:val="restart"/>
          </w:tcPr>
          <w:p>
            <w:pPr>
              <w:spacing w:after="0"/>
              <w:rPr>
                <w:sz w:val="20"/>
                <w:szCs w:val="20"/>
                <w:color w:val="auto"/>
              </w:rPr>
            </w:pPr>
            <w:r>
              <w:rPr>
                <w:rFonts w:ascii="Arial" w:cs="Arial" w:eastAsia="Arial" w:hAnsi="Arial"/>
                <w:sz w:val="18"/>
                <w:szCs w:val="18"/>
                <w:color w:val="auto"/>
              </w:rPr>
              <w:t>Net earnings (loss) attributable to controlling interest</w:t>
            </w:r>
          </w:p>
        </w:tc>
        <w:tc>
          <w:tcPr>
            <w:tcW w:w="9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720" w:type="dxa"/>
            <w:vAlign w:val="bottom"/>
            <w:vMerge w:val="continue"/>
          </w:tcPr>
          <w:p>
            <w:pPr>
              <w:spacing w:after="0"/>
              <w:rPr>
                <w:sz w:val="19"/>
                <w:szCs w:val="19"/>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0.3%</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GROSS SALES</w:t>
      </w:r>
    </w:p>
    <w:p>
      <w:pPr>
        <w:spacing w:after="0" w:line="189"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We market, manufacture and engineer wood and wood-alternative products for the DIY/retail market, structural lumber products for the manufactured housing market, engineered wood components for the site-built construction market, and specialty wood packaging for various markets. We also provide framing services for the site-built construction market and various forms for concrete construction. Our strategic long-term sales objectives include:</w:t>
      </w:r>
    </w:p>
    <w:p>
      <w:pPr>
        <w:spacing w:after="0" w:line="160" w:lineRule="exact"/>
        <w:rPr>
          <w:sz w:val="20"/>
          <w:szCs w:val="20"/>
          <w:color w:val="auto"/>
        </w:rPr>
      </w:pPr>
    </w:p>
    <w:p>
      <w:pPr>
        <w:jc w:val="both"/>
        <w:ind w:left="680" w:right="559" w:hanging="348"/>
        <w:spacing w:after="0" w:line="286" w:lineRule="auto"/>
        <w:tabs>
          <w:tab w:leader="none" w:pos="680" w:val="left"/>
        </w:tabs>
        <w:numPr>
          <w:ilvl w:val="0"/>
          <w:numId w:val="16"/>
        </w:numPr>
        <w:rPr>
          <w:rFonts w:ascii="Arial" w:cs="Arial" w:eastAsia="Arial" w:hAnsi="Arial"/>
          <w:sz w:val="17"/>
          <w:szCs w:val="17"/>
          <w:b w:val="1"/>
          <w:bCs w:val="1"/>
          <w:color w:val="auto"/>
        </w:rPr>
      </w:pPr>
      <w:r>
        <w:rPr>
          <w:rFonts w:ascii="Arial" w:cs="Arial" w:eastAsia="Arial" w:hAnsi="Arial"/>
          <w:sz w:val="17"/>
          <w:szCs w:val="17"/>
          <w:color w:val="auto"/>
        </w:rPr>
        <w:t>Diversifying our end market sales mix by increasing sales of specialty wood packaging to industrial users, increasing our penetration of the concrete forms market, increasing our sales of engineered wood components for custom home, multi-family and light commercial construction, and expanding our product lines in each of the markets we serve.</w:t>
      </w:r>
    </w:p>
    <w:p>
      <w:pPr>
        <w:spacing w:after="0" w:line="97" w:lineRule="exact"/>
        <w:rPr>
          <w:rFonts w:ascii="Arial" w:cs="Arial" w:eastAsia="Arial" w:hAnsi="Arial"/>
          <w:sz w:val="17"/>
          <w:szCs w:val="17"/>
          <w:b w:val="1"/>
          <w:bCs w:val="1"/>
          <w:color w:val="auto"/>
        </w:rPr>
      </w:pPr>
    </w:p>
    <w:p>
      <w:pPr>
        <w:ind w:left="680" w:hanging="348"/>
        <w:spacing w:after="0"/>
        <w:tabs>
          <w:tab w:leader="none" w:pos="68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Expanding geographically in our core businesses.</w:t>
      </w:r>
    </w:p>
    <w:p>
      <w:pPr>
        <w:spacing w:after="0" w:line="200" w:lineRule="exact"/>
        <w:rPr>
          <w:sz w:val="20"/>
          <w:szCs w:val="20"/>
          <w:color w:val="auto"/>
        </w:rPr>
      </w:pPr>
    </w:p>
    <w:p>
      <w:pPr>
        <w:spacing w:after="0" w:line="37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UNIVERSAL FOREST PRODUCTS, INC.</w:t>
      </w:r>
    </w:p>
    <w:p>
      <w:pPr>
        <w:spacing w:after="0" w:line="202" w:lineRule="exact"/>
        <w:rPr>
          <w:sz w:val="20"/>
          <w:szCs w:val="20"/>
          <w:color w:val="auto"/>
        </w:rPr>
      </w:pPr>
    </w:p>
    <w:p>
      <w:pPr>
        <w:jc w:val="both"/>
        <w:ind w:left="680" w:right="559" w:hanging="348"/>
        <w:spacing w:after="0" w:line="255" w:lineRule="auto"/>
        <w:tabs>
          <w:tab w:leader="none" w:pos="68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Increasing sales of “value-added” products and framing services. Value-added product sales primarily consist of fencing, decking, lattice, and other specialty products sold to the DIY/retail market, specialty wood packaging, engineered wood components, and “wood alternative” products. Engineered wood components include roof trusses, wall panels, and floor systems. Wood alternative products consist primarily of composite wood and plastics. Although we consider the treatment of dimensional lumber with certain chemical preservatives a value-added process, treated lumber is not presently included in the value-added sales totals.</w:t>
      </w:r>
    </w:p>
    <w:p>
      <w:pPr>
        <w:spacing w:after="0" w:line="125" w:lineRule="exact"/>
        <w:rPr>
          <w:rFonts w:ascii="Arial" w:cs="Arial" w:eastAsia="Arial" w:hAnsi="Arial"/>
          <w:sz w:val="18"/>
          <w:szCs w:val="18"/>
          <w:b w:val="1"/>
          <w:bCs w:val="1"/>
          <w:color w:val="auto"/>
        </w:rPr>
      </w:pPr>
    </w:p>
    <w:p>
      <w:pPr>
        <w:ind w:left="680" w:hanging="348"/>
        <w:spacing w:after="0"/>
        <w:tabs>
          <w:tab w:leader="none" w:pos="68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Maximizing unit sales growth while achieving return on investment goals.</w:t>
      </w:r>
    </w:p>
    <w:p>
      <w:pPr>
        <w:spacing w:after="0" w:line="185"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The following table presents, for the periods indicated, our gross sales (in thousands) and percentage change in gross sales by market classification.</w:t>
      </w:r>
    </w:p>
    <w:p>
      <w:pPr>
        <w:spacing w:after="0" w:line="170"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5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6"/>
          </w:tcPr>
          <w:p>
            <w:pPr>
              <w:ind w:left="620"/>
              <w:spacing w:after="0"/>
              <w:rPr>
                <w:sz w:val="20"/>
                <w:szCs w:val="20"/>
                <w:color w:val="auto"/>
              </w:rPr>
            </w:pPr>
            <w:r>
              <w:rPr>
                <w:rFonts w:ascii="Arial" w:cs="Arial" w:eastAsia="Arial" w:hAnsi="Arial"/>
                <w:sz w:val="18"/>
                <w:szCs w:val="18"/>
                <w:color w:val="auto"/>
                <w:w w:val="89"/>
              </w:rPr>
              <w:t>For the Three Months Ended</w:t>
            </w:r>
          </w:p>
        </w:tc>
        <w:tc>
          <w:tcPr>
            <w:tcW w:w="7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95"/>
        </w:trPr>
        <w:tc>
          <w:tcPr>
            <w:tcW w:w="5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right"/>
              <w:ind w:right="480"/>
              <w:spacing w:after="0" w:line="195" w:lineRule="exact"/>
              <w:rPr>
                <w:sz w:val="20"/>
                <w:szCs w:val="20"/>
                <w:color w:val="auto"/>
              </w:rPr>
            </w:pPr>
            <w:r>
              <w:rPr>
                <w:rFonts w:ascii="Arial" w:cs="Arial" w:eastAsia="Arial" w:hAnsi="Arial"/>
                <w:sz w:val="18"/>
                <w:szCs w:val="18"/>
                <w:color w:val="auto"/>
                <w:w w:val="89"/>
              </w:rPr>
              <w:t>March 27,</w:t>
            </w:r>
          </w:p>
        </w:tc>
        <w:tc>
          <w:tcPr>
            <w:tcW w:w="100" w:type="dxa"/>
            <w:vAlign w:val="bottom"/>
          </w:tcPr>
          <w:p>
            <w:pPr>
              <w:spacing w:after="0"/>
              <w:rPr>
                <w:sz w:val="16"/>
                <w:szCs w:val="16"/>
                <w:color w:val="auto"/>
              </w:rPr>
            </w:pPr>
          </w:p>
        </w:tc>
        <w:tc>
          <w:tcPr>
            <w:tcW w:w="1380" w:type="dxa"/>
            <w:vAlign w:val="bottom"/>
            <w:gridSpan w:val="3"/>
          </w:tcPr>
          <w:p>
            <w:pPr>
              <w:ind w:left="20"/>
              <w:spacing w:after="0" w:line="195" w:lineRule="exact"/>
              <w:rPr>
                <w:sz w:val="20"/>
                <w:szCs w:val="20"/>
                <w:color w:val="auto"/>
              </w:rPr>
            </w:pPr>
            <w:r>
              <w:rPr>
                <w:rFonts w:ascii="Arial" w:cs="Arial" w:eastAsia="Arial" w:hAnsi="Arial"/>
                <w:sz w:val="18"/>
                <w:szCs w:val="18"/>
                <w:color w:val="auto"/>
              </w:rPr>
              <w:t>March 28,</w:t>
            </w:r>
          </w:p>
        </w:tc>
        <w:tc>
          <w:tcPr>
            <w:tcW w:w="740" w:type="dxa"/>
            <w:vAlign w:val="bottom"/>
          </w:tcPr>
          <w:p>
            <w:pPr>
              <w:jc w:val="right"/>
              <w:ind w:right="290"/>
              <w:spacing w:after="0" w:line="195"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r>
      <w:tr>
        <w:trPr>
          <w:trHeight w:val="230"/>
        </w:trPr>
        <w:tc>
          <w:tcPr>
            <w:tcW w:w="5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Market Classification</w:t>
            </w:r>
          </w:p>
        </w:tc>
        <w:tc>
          <w:tcPr>
            <w:tcW w:w="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2010</w:t>
            </w:r>
          </w:p>
        </w:tc>
        <w:tc>
          <w:tcPr>
            <w:tcW w:w="3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2009</w:t>
            </w:r>
          </w:p>
        </w:tc>
        <w:tc>
          <w:tcPr>
            <w:tcW w:w="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5"/>
              </w:rPr>
              <w:t>Change</w:t>
            </w:r>
          </w:p>
        </w:tc>
        <w:tc>
          <w:tcPr>
            <w:tcW w:w="80" w:type="dxa"/>
            <w:vAlign w:val="bottom"/>
          </w:tcPr>
          <w:p>
            <w:pPr>
              <w:spacing w:after="0"/>
              <w:rPr>
                <w:sz w:val="20"/>
                <w:szCs w:val="20"/>
                <w:color w:val="auto"/>
              </w:rPr>
            </w:pPr>
          </w:p>
        </w:tc>
      </w:tr>
      <w:tr>
        <w:trPr>
          <w:trHeight w:val="210"/>
        </w:trPr>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DIY/Retail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164,407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167,579</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r>
      <w:tr>
        <w:trPr>
          <w:trHeight w:val="216"/>
        </w:trPr>
        <w:tc>
          <w:tcPr>
            <w:tcW w:w="5700" w:type="dxa"/>
            <w:vAlign w:val="bottom"/>
            <w:gridSpan w:val="2"/>
          </w:tcPr>
          <w:p>
            <w:pPr>
              <w:spacing w:after="0"/>
              <w:rPr>
                <w:sz w:val="20"/>
                <w:szCs w:val="20"/>
                <w:color w:val="auto"/>
              </w:rPr>
            </w:pPr>
            <w:r>
              <w:rPr>
                <w:rFonts w:ascii="Arial" w:cs="Arial" w:eastAsia="Arial" w:hAnsi="Arial"/>
                <w:sz w:val="18"/>
                <w:szCs w:val="18"/>
                <w:color w:val="auto"/>
              </w:rPr>
              <w:t>Site-Built Construction</w:t>
            </w: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60,889</w:t>
            </w:r>
          </w:p>
        </w:tc>
        <w:tc>
          <w:tcPr>
            <w:tcW w:w="10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60,321</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0.9</w:t>
            </w:r>
          </w:p>
        </w:tc>
      </w:tr>
      <w:tr>
        <w:trPr>
          <w:trHeight w:val="216"/>
        </w:trPr>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Industrial</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125,988</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104,636</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20.4</w:t>
            </w:r>
          </w:p>
        </w:tc>
      </w:tr>
      <w:tr>
        <w:trPr>
          <w:trHeight w:val="223"/>
        </w:trPr>
        <w:tc>
          <w:tcPr>
            <w:tcW w:w="5700" w:type="dxa"/>
            <w:vAlign w:val="bottom"/>
            <w:gridSpan w:val="2"/>
          </w:tcPr>
          <w:p>
            <w:pPr>
              <w:spacing w:after="0"/>
              <w:rPr>
                <w:sz w:val="20"/>
                <w:szCs w:val="20"/>
                <w:color w:val="auto"/>
              </w:rPr>
            </w:pPr>
            <w:r>
              <w:rPr>
                <w:rFonts w:ascii="Arial" w:cs="Arial" w:eastAsia="Arial" w:hAnsi="Arial"/>
                <w:sz w:val="18"/>
                <w:szCs w:val="18"/>
                <w:color w:val="auto"/>
              </w:rPr>
              <w:t>Manufactured Housing</w:t>
            </w: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48,362</w:t>
            </w: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36,571</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32.2</w:t>
            </w:r>
          </w:p>
        </w:tc>
      </w:tr>
      <w:tr>
        <w:trPr>
          <w:trHeight w:val="216"/>
        </w:trPr>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Gross Sales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399,646</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369,107</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w:t>
            </w:r>
          </w:p>
        </w:tc>
      </w:tr>
      <w:tr>
        <w:trPr>
          <w:trHeight w:val="223"/>
        </w:trPr>
        <w:tc>
          <w:tcPr>
            <w:tcW w:w="5700" w:type="dxa"/>
            <w:vAlign w:val="bottom"/>
            <w:gridSpan w:val="2"/>
          </w:tcPr>
          <w:p>
            <w:pPr>
              <w:spacing w:after="0"/>
              <w:rPr>
                <w:sz w:val="20"/>
                <w:szCs w:val="20"/>
                <w:color w:val="auto"/>
              </w:rPr>
            </w:pPr>
            <w:r>
              <w:rPr>
                <w:rFonts w:ascii="Arial" w:cs="Arial" w:eastAsia="Arial" w:hAnsi="Arial"/>
                <w:sz w:val="18"/>
                <w:szCs w:val="18"/>
                <w:color w:val="auto"/>
              </w:rPr>
              <w:t>Sales Allowances</w:t>
            </w:r>
          </w:p>
        </w:tc>
        <w:tc>
          <w:tcPr>
            <w:tcW w:w="100" w:type="dxa"/>
            <w:vAlign w:val="bottom"/>
          </w:tcPr>
          <w:p>
            <w:pPr>
              <w:spacing w:after="0"/>
              <w:rPr>
                <w:sz w:val="19"/>
                <w:szCs w:val="19"/>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(6,688)</w:t>
            </w:r>
          </w:p>
        </w:tc>
        <w:tc>
          <w:tcPr>
            <w:tcW w:w="100" w:type="dxa"/>
            <w:vAlign w:val="bottom"/>
          </w:tcPr>
          <w:p>
            <w:pPr>
              <w:spacing w:after="0"/>
              <w:rPr>
                <w:sz w:val="19"/>
                <w:szCs w:val="19"/>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(7,385)</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Net Sales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392,958</w:t>
            </w:r>
          </w:p>
        </w:tc>
        <w:tc>
          <w:tcPr>
            <w:tcW w:w="3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361,722</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8.6</w:t>
            </w:r>
          </w:p>
        </w:tc>
      </w:tr>
      <w:tr>
        <w:trPr>
          <w:trHeight w:val="20"/>
        </w:trPr>
        <w:tc>
          <w:tcPr>
            <w:tcW w:w="5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left="820" w:right="559" w:hanging="485"/>
        <w:spacing w:after="0" w:line="277" w:lineRule="auto"/>
        <w:rPr>
          <w:sz w:val="20"/>
          <w:szCs w:val="20"/>
          <w:color w:val="auto"/>
        </w:rPr>
      </w:pPr>
      <w:r>
        <w:rPr>
          <w:rFonts w:ascii="Arial" w:cs="Arial" w:eastAsia="Arial" w:hAnsi="Arial"/>
          <w:sz w:val="18"/>
          <w:szCs w:val="18"/>
          <w:color w:val="auto"/>
        </w:rPr>
        <w:t>Note: In the first quarter of 2010, we reviewed the classification of our customers and made certain reclassifications. Prior year information has been restated to reflect these reclassifications.</w:t>
      </w:r>
    </w:p>
    <w:p>
      <w:pPr>
        <w:spacing w:after="0" w:line="130"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color w:val="auto"/>
        </w:rPr>
        <w:t>Gross sales in the first quarter of 2010 increased 8% compared to the first quarter of 2009. We estimate that our unit sales increased by 3% and overall selling prices increased by 5% comparing the two periods. We estimate that our unit sales increased 1% as a result of business acquisitions and new plants and increased 2% as a result of existing operations and operations we recently closed. Our overall selling prices may fluctuate as a result of the Lumber Market (see “Historical Lumber Prices”) and competitive factors.</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Changes in our sales by market are discussed below.</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DIY/Retail:</w:t>
      </w:r>
    </w:p>
    <w:p>
      <w:pPr>
        <w:spacing w:after="0" w:line="185"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color w:val="auto"/>
        </w:rPr>
        <w:t>Gross sales to the DIY/retail market decreased 2% in the first quarter of 2010 compared to 2009 primarily due to an estimated 6% decrease in overall unit sales offset by an estimated 4% increase in overall selling prices due to the Lumber Market. Unit sales declined due to a decline in consumer spending as evidenced by declines in same store sales reported by our “big box” customers. We believe that we achieved market share gains in 2010, which offset some of the impact of these adverse market conditions.</w:t>
      </w:r>
    </w:p>
    <w:p>
      <w:pPr>
        <w:spacing w:after="0" w:line="200" w:lineRule="exact"/>
        <w:rPr>
          <w:sz w:val="20"/>
          <w:szCs w:val="20"/>
          <w:color w:val="auto"/>
        </w:rPr>
      </w:pPr>
    </w:p>
    <w:p>
      <w:pPr>
        <w:spacing w:after="0" w:line="35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UNIVERSAL FOREST PRODUCTS, INC.</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Site-Built Construction:</w:t>
      </w:r>
    </w:p>
    <w:p>
      <w:pPr>
        <w:spacing w:after="0" w:line="185"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color w:val="auto"/>
        </w:rPr>
        <w:t>Gross sales to the site-built construction market increased 1% in the first quarter of 2010 compared to 2009 due to an estimated 2% decrease in unit sales out of existing plants and an estimated 3% increase in our average selling prices primarily due to the Lumber Market. National housing starts increased approximately 9% in January and February of 2010, compared to the same periods of 2009. We have taken several recent plant closure actions in order to achieve profitability and cash flow objectives, which has temporarily resulted in a loss of market share.</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Industrial:</w:t>
      </w:r>
    </w:p>
    <w:p>
      <w:pPr>
        <w:spacing w:after="0" w:line="198" w:lineRule="exact"/>
        <w:rPr>
          <w:sz w:val="20"/>
          <w:szCs w:val="20"/>
          <w:color w:val="auto"/>
        </w:rPr>
      </w:pPr>
    </w:p>
    <w:p>
      <w:pPr>
        <w:jc w:val="both"/>
        <w:ind w:left="340" w:right="559"/>
        <w:spacing w:after="0" w:line="302" w:lineRule="auto"/>
        <w:rPr>
          <w:sz w:val="20"/>
          <w:szCs w:val="20"/>
          <w:color w:val="auto"/>
        </w:rPr>
      </w:pPr>
      <w:r>
        <w:rPr>
          <w:rFonts w:ascii="Arial" w:cs="Arial" w:eastAsia="Arial" w:hAnsi="Arial"/>
          <w:sz w:val="16"/>
          <w:szCs w:val="16"/>
          <w:color w:val="auto"/>
        </w:rPr>
        <w:t>Gross sales to the industrial market increased 20% in the first quarter of 2010 compared to 2009, due to an estimated 17% increase in unit sales and an estimated 3% increase in selling prices. The industrial market has improved as the U.S. economy continues to recover, and we have been able to continue to gain market share due, in part, to our continued penetration of the concrete forming market and our efforts to introduce new products that we distribute to existing customers.</w:t>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Manufactured Housing:</w:t>
      </w:r>
    </w:p>
    <w:p>
      <w:pPr>
        <w:spacing w:after="0" w:line="185" w:lineRule="exact"/>
        <w:rPr>
          <w:sz w:val="20"/>
          <w:szCs w:val="20"/>
          <w:color w:val="auto"/>
        </w:rPr>
      </w:pPr>
    </w:p>
    <w:p>
      <w:pPr>
        <w:jc w:val="both"/>
        <w:ind w:left="340" w:right="559"/>
        <w:spacing w:after="0" w:line="286" w:lineRule="auto"/>
        <w:rPr>
          <w:sz w:val="20"/>
          <w:szCs w:val="20"/>
          <w:color w:val="auto"/>
        </w:rPr>
      </w:pPr>
      <w:r>
        <w:rPr>
          <w:rFonts w:ascii="Arial" w:cs="Arial" w:eastAsia="Arial" w:hAnsi="Arial"/>
          <w:sz w:val="17"/>
          <w:szCs w:val="17"/>
          <w:color w:val="auto"/>
        </w:rPr>
        <w:t>Gross sales to the manufactured housing market increased 32% in the first quarter of 2010 compared to 2009, primarily due to an estimated 14% increase in unit sales and an estimated 18% increase in selling prices due to the Lumber Market. Shipments of HUD code manufactured homes were down 17% in January of 2010, compared to the same period of 2009.</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Value-Added and Commodity-Based Sales: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presents, for the periods indicated, our percentage of value-added and commodity-based sales to total sales.</w:t>
      </w:r>
    </w:p>
    <w:p>
      <w:pPr>
        <w:spacing w:after="0" w:line="248"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6760" w:type="dxa"/>
            <w:vAlign w:val="bottom"/>
          </w:tcPr>
          <w:p>
            <w:pPr>
              <w:spacing w:after="0"/>
              <w:rPr>
                <w:sz w:val="20"/>
                <w:szCs w:val="20"/>
                <w:color w:val="auto"/>
              </w:rPr>
            </w:pPr>
          </w:p>
        </w:tc>
        <w:tc>
          <w:tcPr>
            <w:tcW w:w="2560" w:type="dxa"/>
            <w:vAlign w:val="bottom"/>
            <w:gridSpan w:val="4"/>
          </w:tcPr>
          <w:p>
            <w:pPr>
              <w:jc w:val="right"/>
              <w:ind w:right="600"/>
              <w:spacing w:after="0"/>
              <w:rPr>
                <w:sz w:val="20"/>
                <w:szCs w:val="20"/>
                <w:color w:val="auto"/>
              </w:rPr>
            </w:pPr>
            <w:r>
              <w:rPr>
                <w:rFonts w:ascii="Arial" w:cs="Arial" w:eastAsia="Arial" w:hAnsi="Arial"/>
                <w:sz w:val="18"/>
                <w:szCs w:val="18"/>
                <w:color w:val="auto"/>
              </w:rPr>
              <w:t>Three Months Ended</w:t>
            </w:r>
          </w:p>
        </w:tc>
      </w:tr>
      <w:tr>
        <w:trPr>
          <w:trHeight w:val="195"/>
        </w:trPr>
        <w:tc>
          <w:tcPr>
            <w:tcW w:w="6760" w:type="dxa"/>
            <w:vAlign w:val="bottom"/>
          </w:tcPr>
          <w:p>
            <w:pPr>
              <w:spacing w:after="0"/>
              <w:rPr>
                <w:sz w:val="16"/>
                <w:szCs w:val="16"/>
                <w:color w:val="auto"/>
              </w:rPr>
            </w:pPr>
          </w:p>
        </w:tc>
        <w:tc>
          <w:tcPr>
            <w:tcW w:w="1400" w:type="dxa"/>
            <w:vAlign w:val="bottom"/>
            <w:tcBorders>
              <w:top w:val="single" w:sz="8" w:color="auto"/>
            </w:tcBorders>
            <w:gridSpan w:val="2"/>
          </w:tcPr>
          <w:p>
            <w:pPr>
              <w:jc w:val="center"/>
              <w:ind w:right="460"/>
              <w:spacing w:after="0" w:line="195" w:lineRule="exact"/>
              <w:rPr>
                <w:sz w:val="20"/>
                <w:szCs w:val="20"/>
                <w:color w:val="auto"/>
              </w:rPr>
            </w:pPr>
            <w:r>
              <w:rPr>
                <w:rFonts w:ascii="Arial" w:cs="Arial" w:eastAsia="Arial" w:hAnsi="Arial"/>
                <w:sz w:val="18"/>
                <w:szCs w:val="18"/>
                <w:color w:val="auto"/>
                <w:w w:val="92"/>
              </w:rPr>
              <w:t>March 27,</w:t>
            </w:r>
          </w:p>
        </w:tc>
        <w:tc>
          <w:tcPr>
            <w:tcW w:w="980" w:type="dxa"/>
            <w:vAlign w:val="bottom"/>
            <w:tcBorders>
              <w:top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rPr>
              <w:t>March 28,</w:t>
            </w:r>
          </w:p>
        </w:tc>
        <w:tc>
          <w:tcPr>
            <w:tcW w:w="180" w:type="dxa"/>
            <w:vAlign w:val="bottom"/>
          </w:tcPr>
          <w:p>
            <w:pPr>
              <w:spacing w:after="0"/>
              <w:rPr>
                <w:sz w:val="16"/>
                <w:szCs w:val="16"/>
                <w:color w:val="auto"/>
              </w:rPr>
            </w:pPr>
          </w:p>
        </w:tc>
      </w:tr>
      <w:tr>
        <w:trPr>
          <w:trHeight w:val="230"/>
        </w:trPr>
        <w:tc>
          <w:tcPr>
            <w:tcW w:w="6760" w:type="dxa"/>
            <w:vAlign w:val="bottom"/>
          </w:tcPr>
          <w:p>
            <w:pPr>
              <w:spacing w:after="0"/>
              <w:rPr>
                <w:sz w:val="20"/>
                <w:szCs w:val="20"/>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2010</w:t>
            </w:r>
          </w:p>
        </w:tc>
        <w:tc>
          <w:tcPr>
            <w:tcW w:w="440" w:type="dxa"/>
            <w:vAlign w:val="bottom"/>
          </w:tcPr>
          <w:p>
            <w:pPr>
              <w:spacing w:after="0"/>
              <w:rPr>
                <w:sz w:val="20"/>
                <w:szCs w:val="20"/>
                <w:color w:val="auto"/>
              </w:rPr>
            </w:pPr>
          </w:p>
        </w:tc>
        <w:tc>
          <w:tcPr>
            <w:tcW w:w="9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2009</w:t>
            </w:r>
          </w:p>
        </w:tc>
        <w:tc>
          <w:tcPr>
            <w:tcW w:w="180" w:type="dxa"/>
            <w:vAlign w:val="bottom"/>
          </w:tcPr>
          <w:p>
            <w:pPr>
              <w:spacing w:after="0"/>
              <w:rPr>
                <w:sz w:val="20"/>
                <w:szCs w:val="20"/>
                <w:color w:val="auto"/>
              </w:rPr>
            </w:pPr>
          </w:p>
        </w:tc>
      </w:tr>
      <w:tr>
        <w:trPr>
          <w:trHeight w:val="210"/>
        </w:trPr>
        <w:tc>
          <w:tcPr>
            <w:tcW w:w="6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Value-Added</w:t>
            </w: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58.0%</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60.6%</w:t>
            </w:r>
          </w:p>
        </w:tc>
      </w:t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Commodity-Based</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42.0%</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39.4%</w:t>
            </w:r>
          </w:p>
        </w:tc>
      </w:tr>
    </w:tbl>
    <w:p>
      <w:pPr>
        <w:spacing w:after="0" w:line="147" w:lineRule="exact"/>
        <w:rPr>
          <w:sz w:val="20"/>
          <w:szCs w:val="20"/>
          <w:color w:val="auto"/>
        </w:rPr>
      </w:pPr>
    </w:p>
    <w:p>
      <w:pPr>
        <w:jc w:val="both"/>
        <w:ind w:left="340" w:right="559"/>
        <w:spacing w:after="0" w:line="286" w:lineRule="auto"/>
        <w:rPr>
          <w:sz w:val="20"/>
          <w:szCs w:val="20"/>
          <w:color w:val="auto"/>
        </w:rPr>
      </w:pPr>
      <w:r>
        <w:rPr>
          <w:rFonts w:ascii="Arial" w:cs="Arial" w:eastAsia="Arial" w:hAnsi="Arial"/>
          <w:sz w:val="17"/>
          <w:szCs w:val="17"/>
          <w:color w:val="auto"/>
        </w:rPr>
        <w:t>Value-added sales increased 4% in the first quarter of 2010 compared to 2009, primarily due to increased sales of engineered wood products and construction and building materials. Commodity-based sales increased 16% comparing the first quarter of 2010 with the same period of 2009, primarily due to increased sales of non-manufactured lumber.</w:t>
      </w:r>
    </w:p>
    <w:p>
      <w:pPr>
        <w:spacing w:after="0" w:line="200" w:lineRule="exact"/>
        <w:rPr>
          <w:sz w:val="20"/>
          <w:szCs w:val="20"/>
          <w:color w:val="auto"/>
        </w:rPr>
      </w:pPr>
    </w:p>
    <w:p>
      <w:pPr>
        <w:spacing w:after="0" w:line="3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UNIVERSAL FOREST PRODUCTS, INC.</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COST OF GOODS SOLD AND GROSS PROFIT</w:t>
      </w:r>
    </w:p>
    <w:p>
      <w:pPr>
        <w:spacing w:after="0" w:line="189" w:lineRule="exact"/>
        <w:rPr>
          <w:sz w:val="20"/>
          <w:szCs w:val="20"/>
          <w:color w:val="auto"/>
        </w:rPr>
      </w:pPr>
    </w:p>
    <w:p>
      <w:pPr>
        <w:jc w:val="both"/>
        <w:ind w:left="340" w:right="559"/>
        <w:spacing w:after="0" w:line="293" w:lineRule="auto"/>
        <w:rPr>
          <w:sz w:val="20"/>
          <w:szCs w:val="20"/>
          <w:color w:val="auto"/>
        </w:rPr>
      </w:pPr>
      <w:r>
        <w:rPr>
          <w:rFonts w:ascii="Arial" w:cs="Arial" w:eastAsia="Arial" w:hAnsi="Arial"/>
          <w:sz w:val="16"/>
          <w:szCs w:val="16"/>
          <w:color w:val="auto"/>
        </w:rPr>
        <w:t>Our gross profit percentage increased to 13.1% from 12.9% comparing the first quarter of 2010 with the same period of 2009. In addition, our gross profit dollars increased by 10% comparing the first quarter of 2010 with the same period of 2009, which compares favorably with our 3% increase in unit sales. Our improved gross margin is primarily due to cost reductions consisting of an improvement in labor and plant overhead costs as a percentage of net sales due to plant consolidation and right-sizing efforts previously taken. Our cost efficiencies were slightly offset by the impact of the higher level of the Lumber Market, which causes a decrease in our gross margin. See “Impact of the Lumber Market on Our Operating Results”.</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202" w:lineRule="exact"/>
        <w:rPr>
          <w:sz w:val="20"/>
          <w:szCs w:val="20"/>
          <w:color w:val="auto"/>
        </w:rPr>
      </w:pPr>
    </w:p>
    <w:p>
      <w:pPr>
        <w:jc w:val="both"/>
        <w:ind w:left="340" w:right="559"/>
        <w:spacing w:after="0" w:line="255" w:lineRule="auto"/>
        <w:rPr>
          <w:sz w:val="20"/>
          <w:szCs w:val="20"/>
          <w:color w:val="auto"/>
        </w:rPr>
      </w:pPr>
      <w:r>
        <w:rPr>
          <w:rFonts w:ascii="Arial" w:cs="Arial" w:eastAsia="Arial" w:hAnsi="Arial"/>
          <w:sz w:val="18"/>
          <w:szCs w:val="18"/>
          <w:color w:val="auto"/>
        </w:rPr>
        <w:t>Selling, general and administrative (“SG&amp;A”) expenses decreased by approximately $0.6 million, or 1.2%, in the first quarter of 2010 compared to the same period of 2009, while we reported a 3% increase in unit sales. New operations added $0.5 million of expenses, operations we closed decreased expenses by $3.1 million, and existing operations increased expenses by $2.0 million. The increase in SG&amp;A expenses at our existing operations was primarily due to an increase in accrued bonuses and wages. These increases were partially offset by a decrease in bad debt expense. Our SG&amp;A expenses decreased as a percentage of sales primarily due to efficiencies and our continuing efforts to control costs. The higher level of the Lumber Market also contributed a slight improvement in this ratio.</w:t>
      </w:r>
    </w:p>
    <w:p>
      <w:pPr>
        <w:spacing w:after="0" w:line="14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NET LOSS (GAIN) ON DISPOSITION OF ASSETS AND OTHER IMPAIRMENT AND EXIT CHARGES</w:t>
      </w:r>
    </w:p>
    <w:p>
      <w:pPr>
        <w:spacing w:after="0" w:line="189"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We incurred $0.2 million of charges in the first quarter of 2010 and $1.3 million in the first quarter of 2009 relating to asset impairments and other costs associated with idled facilities and down-sizing efforts. In 2009, these costs were offset by $2.4 million gain on the sale of certain real estate.</w:t>
      </w:r>
    </w:p>
    <w:p>
      <w:pPr>
        <w:spacing w:after="0" w:line="154"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We regularly review the performance of each our operations and make decisions to permanently or temporarily close operations based on a variety of factors including:</w:t>
      </w:r>
    </w:p>
    <w:p>
      <w:pPr>
        <w:spacing w:after="0" w:line="130" w:lineRule="exact"/>
        <w:rPr>
          <w:sz w:val="20"/>
          <w:szCs w:val="20"/>
          <w:color w:val="auto"/>
        </w:rPr>
      </w:pPr>
    </w:p>
    <w:p>
      <w:pPr>
        <w:ind w:left="680" w:hanging="348"/>
        <w:spacing w:after="0"/>
        <w:tabs>
          <w:tab w:leader="none" w:pos="68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Current and projected earnings, cash flow and return on investment</w:t>
      </w:r>
    </w:p>
    <w:p>
      <w:pPr>
        <w:spacing w:after="0" w:line="157" w:lineRule="exact"/>
        <w:rPr>
          <w:rFonts w:ascii="Arial" w:cs="Arial" w:eastAsia="Arial" w:hAnsi="Arial"/>
          <w:sz w:val="18"/>
          <w:szCs w:val="18"/>
          <w:b w:val="1"/>
          <w:bCs w:val="1"/>
          <w:color w:val="auto"/>
        </w:rPr>
      </w:pPr>
    </w:p>
    <w:p>
      <w:pPr>
        <w:ind w:left="680" w:hanging="348"/>
        <w:spacing w:after="0"/>
        <w:tabs>
          <w:tab w:leader="none" w:pos="68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Current and projected market demand</w:t>
      </w:r>
    </w:p>
    <w:p>
      <w:pPr>
        <w:spacing w:after="0" w:line="157" w:lineRule="exact"/>
        <w:rPr>
          <w:rFonts w:ascii="Arial" w:cs="Arial" w:eastAsia="Arial" w:hAnsi="Arial"/>
          <w:sz w:val="18"/>
          <w:szCs w:val="18"/>
          <w:b w:val="1"/>
          <w:bCs w:val="1"/>
          <w:color w:val="auto"/>
        </w:rPr>
      </w:pPr>
    </w:p>
    <w:p>
      <w:pPr>
        <w:ind w:left="680" w:hanging="348"/>
        <w:spacing w:after="0"/>
        <w:tabs>
          <w:tab w:leader="none" w:pos="68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Market share</w:t>
      </w:r>
    </w:p>
    <w:p>
      <w:pPr>
        <w:spacing w:after="0" w:line="157" w:lineRule="exact"/>
        <w:rPr>
          <w:rFonts w:ascii="Arial" w:cs="Arial" w:eastAsia="Arial" w:hAnsi="Arial"/>
          <w:sz w:val="18"/>
          <w:szCs w:val="18"/>
          <w:b w:val="1"/>
          <w:bCs w:val="1"/>
          <w:color w:val="auto"/>
        </w:rPr>
      </w:pPr>
    </w:p>
    <w:p>
      <w:pPr>
        <w:ind w:left="680" w:hanging="348"/>
        <w:spacing w:after="0"/>
        <w:tabs>
          <w:tab w:leader="none" w:pos="68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Competitive factors</w:t>
      </w:r>
    </w:p>
    <w:p>
      <w:pPr>
        <w:spacing w:after="0" w:line="157" w:lineRule="exact"/>
        <w:rPr>
          <w:rFonts w:ascii="Arial" w:cs="Arial" w:eastAsia="Arial" w:hAnsi="Arial"/>
          <w:sz w:val="18"/>
          <w:szCs w:val="18"/>
          <w:b w:val="1"/>
          <w:bCs w:val="1"/>
          <w:color w:val="auto"/>
        </w:rPr>
      </w:pPr>
    </w:p>
    <w:p>
      <w:pPr>
        <w:ind w:left="680" w:hanging="348"/>
        <w:spacing w:after="0"/>
        <w:tabs>
          <w:tab w:leader="none" w:pos="68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Future growth opportunities</w:t>
      </w:r>
    </w:p>
    <w:p>
      <w:pPr>
        <w:spacing w:after="0" w:line="157" w:lineRule="exact"/>
        <w:rPr>
          <w:rFonts w:ascii="Arial" w:cs="Arial" w:eastAsia="Arial" w:hAnsi="Arial"/>
          <w:sz w:val="18"/>
          <w:szCs w:val="18"/>
          <w:b w:val="1"/>
          <w:bCs w:val="1"/>
          <w:color w:val="auto"/>
        </w:rPr>
      </w:pPr>
    </w:p>
    <w:p>
      <w:pPr>
        <w:ind w:left="680" w:hanging="348"/>
        <w:spacing w:after="0"/>
        <w:tabs>
          <w:tab w:leader="none" w:pos="68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Personnel and management</w:t>
      </w:r>
    </w:p>
    <w:p>
      <w:pPr>
        <w:spacing w:after="0" w:line="185"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We currently have 20 operations which are experiencing operating losses and negative cash flow for the first quarter months of 2010. The net book value of the long-lived assets of these operations, which could be subject to an impairment charge in the future, was $11.9 million at the end of March of 2010. In addition, these operations had future fixed operating lease payments totaling $3.9 million at the end of March of 2010.</w:t>
      </w:r>
    </w:p>
    <w:p>
      <w:pPr>
        <w:spacing w:after="0" w:line="200" w:lineRule="exact"/>
        <w:rPr>
          <w:sz w:val="20"/>
          <w:szCs w:val="20"/>
          <w:color w:val="auto"/>
        </w:rPr>
      </w:pPr>
    </w:p>
    <w:p>
      <w:pPr>
        <w:spacing w:after="0" w:line="35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UNIVERSAL FOREST PRODUCTS, INC.</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INSURANCE PROCEEDS</w:t>
      </w:r>
    </w:p>
    <w:p>
      <w:pPr>
        <w:spacing w:after="0" w:line="189" w:lineRule="exact"/>
        <w:rPr>
          <w:sz w:val="20"/>
          <w:szCs w:val="20"/>
          <w:color w:val="auto"/>
        </w:rPr>
      </w:pPr>
    </w:p>
    <w:p>
      <w:pPr>
        <w:jc w:val="both"/>
        <w:ind w:left="340" w:right="1760"/>
        <w:spacing w:after="0" w:line="257" w:lineRule="auto"/>
        <w:rPr>
          <w:sz w:val="20"/>
          <w:szCs w:val="20"/>
          <w:color w:val="auto"/>
        </w:rPr>
      </w:pPr>
      <w:r>
        <w:rPr>
          <w:rFonts w:ascii="Arial" w:cs="Arial" w:eastAsia="Arial" w:hAnsi="Arial"/>
          <w:sz w:val="18"/>
          <w:szCs w:val="18"/>
          <w:color w:val="auto"/>
        </w:rPr>
        <w:t xml:space="preserve">In May, 2008 our plant in Windsor, CO was hit by a tornado. In accordance with ASC 605, </w:t>
      </w:r>
      <w:r>
        <w:rPr>
          <w:rFonts w:ascii="Arial" w:cs="Arial" w:eastAsia="Arial" w:hAnsi="Arial"/>
          <w:sz w:val="18"/>
          <w:szCs w:val="18"/>
          <w:i w:val="1"/>
          <w:iCs w:val="1"/>
          <w:color w:val="auto"/>
        </w:rPr>
        <w:t>Accounting for Involuntary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Conversions of Non-Monetary Assets to Monetary Assets, </w:t>
      </w:r>
      <w:r>
        <w:rPr>
          <w:rFonts w:ascii="Arial" w:cs="Arial" w:eastAsia="Arial" w:hAnsi="Arial"/>
          <w:sz w:val="18"/>
          <w:szCs w:val="18"/>
          <w:color w:val="auto"/>
        </w:rPr>
        <w:t>we have written off the net book value of the destroyed inventory and</w:t>
      </w:r>
      <w:r>
        <w:rPr>
          <w:rFonts w:ascii="Arial" w:cs="Arial" w:eastAsia="Arial" w:hAnsi="Arial"/>
          <w:sz w:val="18"/>
          <w:szCs w:val="18"/>
          <w:i w:val="1"/>
          <w:iCs w:val="1"/>
          <w:color w:val="auto"/>
        </w:rPr>
        <w:t xml:space="preserve"> </w:t>
      </w:r>
      <w:r>
        <w:rPr>
          <w:rFonts w:ascii="Arial" w:cs="Arial" w:eastAsia="Arial" w:hAnsi="Arial"/>
          <w:sz w:val="18"/>
          <w:szCs w:val="18"/>
          <w:color w:val="auto"/>
        </w:rPr>
        <w:t>property totaling $0.7 million. The insured value of the property exceeded its net book value, which was recorded as a gain in 2008. In 2008, we collected $0.8 million of the insurance receivable and in 2009 we collected $1.0 million. As of March 27, 2010, there is no remaining insurance receivable.</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INTEREST, NET</w:t>
      </w:r>
    </w:p>
    <w:p>
      <w:pPr>
        <w:spacing w:after="0" w:line="202" w:lineRule="exact"/>
        <w:rPr>
          <w:sz w:val="20"/>
          <w:szCs w:val="20"/>
          <w:color w:val="auto"/>
        </w:rPr>
      </w:pPr>
    </w:p>
    <w:p>
      <w:pPr>
        <w:jc w:val="both"/>
        <w:ind w:left="340" w:right="1760"/>
        <w:spacing w:after="0" w:line="277" w:lineRule="auto"/>
        <w:rPr>
          <w:sz w:val="20"/>
          <w:szCs w:val="20"/>
          <w:color w:val="auto"/>
        </w:rPr>
      </w:pPr>
      <w:r>
        <w:rPr>
          <w:rFonts w:ascii="Arial" w:cs="Arial" w:eastAsia="Arial" w:hAnsi="Arial"/>
          <w:sz w:val="18"/>
          <w:szCs w:val="18"/>
          <w:color w:val="auto"/>
        </w:rPr>
        <w:t>Net interest costs were lower in the first quarter 2010 compared to the same periods of 2009 primarily due to lower debt balances in 2010.</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INCOME TAXES</w:t>
      </w:r>
    </w:p>
    <w:p>
      <w:pPr>
        <w:spacing w:after="0" w:line="189" w:lineRule="exact"/>
        <w:rPr>
          <w:sz w:val="20"/>
          <w:szCs w:val="20"/>
          <w:color w:val="auto"/>
        </w:rPr>
      </w:pPr>
    </w:p>
    <w:p>
      <w:pPr>
        <w:jc w:val="both"/>
        <w:ind w:left="340" w:right="1760"/>
        <w:spacing w:after="0" w:line="273" w:lineRule="auto"/>
        <w:rPr>
          <w:sz w:val="20"/>
          <w:szCs w:val="20"/>
          <w:color w:val="auto"/>
        </w:rPr>
      </w:pPr>
      <w:r>
        <w:rPr>
          <w:rFonts w:ascii="Arial" w:cs="Arial" w:eastAsia="Arial" w:hAnsi="Arial"/>
          <w:sz w:val="17"/>
          <w:szCs w:val="17"/>
          <w:color w:val="auto"/>
        </w:rPr>
        <w:t>Effective tax rates differ from statutory federal income tax rates, primarily due to provisions for state and local income taxes and permanent tax differences. Our effective tax rate was 22.1% for the first quarter 2010, which is well below our statutory rate, primarily due to the profits of our Canadian subsidiary and a partnership in which we own a 50% interest and present on a consolidated basis in our financial statements. These entities comprised over half of our pre-tax profits for the quarter. Since our Canadian subsidiary has a net operating loss carry-forward and we have a full valuation allowance against this deferred tax asset, these profits had no related income tax expense in the first quarter of 2010.</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OFF-BALANCE SHEET TRANSACTIONS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no significant off-balance sheet transactions other than operating leases.</w:t>
      </w:r>
    </w:p>
    <w:p>
      <w:pPr>
        <w:spacing w:after="0" w:line="181"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LIQUIDITY AND CAPITAL RESOURCES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presents, for the periods indicated, a summary of our cash flow statement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60" w:type="dxa"/>
            <w:vAlign w:val="bottom"/>
            <w:gridSpan w:val="5"/>
          </w:tcPr>
          <w:p>
            <w:pPr>
              <w:jc w:val="right"/>
              <w:ind w:right="560"/>
              <w:spacing w:after="0"/>
              <w:rPr>
                <w:sz w:val="20"/>
                <w:szCs w:val="20"/>
                <w:color w:val="auto"/>
              </w:rPr>
            </w:pPr>
            <w:r>
              <w:rPr>
                <w:rFonts w:ascii="Arial" w:cs="Arial" w:eastAsia="Arial" w:hAnsi="Arial"/>
                <w:sz w:val="18"/>
                <w:szCs w:val="18"/>
                <w:color w:val="auto"/>
              </w:rPr>
              <w:t>Nine Months Ended</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34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right"/>
              <w:ind w:right="480"/>
              <w:spacing w:after="0" w:line="195" w:lineRule="exact"/>
              <w:rPr>
                <w:sz w:val="20"/>
                <w:szCs w:val="20"/>
                <w:color w:val="auto"/>
              </w:rPr>
            </w:pPr>
            <w:r>
              <w:rPr>
                <w:rFonts w:ascii="Arial" w:cs="Arial" w:eastAsia="Arial" w:hAnsi="Arial"/>
                <w:sz w:val="18"/>
                <w:szCs w:val="18"/>
                <w:color w:val="auto"/>
                <w:w w:val="92"/>
              </w:rPr>
              <w:t>March 27,</w:t>
            </w: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50"/>
              <w:spacing w:after="0" w:line="195" w:lineRule="exact"/>
              <w:rPr>
                <w:sz w:val="20"/>
                <w:szCs w:val="20"/>
                <w:color w:val="auto"/>
              </w:rPr>
            </w:pPr>
            <w:r>
              <w:rPr>
                <w:rFonts w:ascii="Arial" w:cs="Arial" w:eastAsia="Arial" w:hAnsi="Arial"/>
                <w:sz w:val="18"/>
                <w:szCs w:val="18"/>
                <w:color w:val="auto"/>
                <w:w w:val="92"/>
              </w:rPr>
              <w:t>March 28,</w:t>
            </w: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2010</w:t>
            </w:r>
          </w:p>
        </w:tc>
        <w:tc>
          <w:tcPr>
            <w:tcW w:w="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Cash from operating activities</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(78,106)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(18,057)</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Cash from investing activities</w:t>
            </w: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(5,039)</w:t>
            </w:r>
          </w:p>
        </w:tc>
        <w:tc>
          <w:tcPr>
            <w:tcW w:w="1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2,625</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Cash from financing activities</w:t>
            </w:r>
          </w:p>
        </w:tc>
        <w:tc>
          <w:tcPr>
            <w:tcW w:w="2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15,272</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11,522</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Net change in cash and cash equivalents</w:t>
            </w:r>
          </w:p>
        </w:tc>
        <w:tc>
          <w:tcPr>
            <w:tcW w:w="28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(67,873)</w:t>
            </w:r>
          </w:p>
        </w:tc>
        <w:tc>
          <w:tcPr>
            <w:tcW w:w="3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(3,910)</w:t>
            </w: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2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82,219</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13,337</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28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14,346</w:t>
            </w:r>
          </w:p>
        </w:tc>
        <w:tc>
          <w:tcPr>
            <w:tcW w:w="3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9,427</w:t>
            </w: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880" w:type="dxa"/>
            <w:vAlign w:val="bottom"/>
            <w:vMerge w:val="restart"/>
          </w:tcPr>
          <w:p>
            <w:pPr>
              <w:jc w:val="right"/>
              <w:ind w:right="2030"/>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34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8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3980" w:type="dxa"/>
            <w:vAlign w:val="bottom"/>
            <w:tcBorders>
              <w:bottom w:val="single" w:sz="8" w:color="808080"/>
            </w:tcBorders>
          </w:tcPr>
          <w:p>
            <w:pPr>
              <w:spacing w:after="0"/>
              <w:rPr>
                <w:sz w:val="19"/>
                <w:szCs w:val="19"/>
                <w:color w:val="auto"/>
              </w:rPr>
            </w:pPr>
          </w:p>
        </w:tc>
        <w:tc>
          <w:tcPr>
            <w:tcW w:w="28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UNIVERSAL FOREST PRODUCTS, INC.</w:t>
      </w:r>
    </w:p>
    <w:p>
      <w:pPr>
        <w:spacing w:after="0" w:line="202" w:lineRule="exact"/>
        <w:rPr>
          <w:sz w:val="20"/>
          <w:szCs w:val="20"/>
          <w:color w:val="auto"/>
        </w:rPr>
      </w:pPr>
    </w:p>
    <w:p>
      <w:pPr>
        <w:jc w:val="both"/>
        <w:ind w:left="340" w:right="559"/>
        <w:spacing w:after="0" w:line="272" w:lineRule="auto"/>
        <w:rPr>
          <w:sz w:val="20"/>
          <w:szCs w:val="20"/>
          <w:color w:val="auto"/>
        </w:rPr>
      </w:pPr>
      <w:r>
        <w:rPr>
          <w:rFonts w:ascii="Arial" w:cs="Arial" w:eastAsia="Arial" w:hAnsi="Arial"/>
          <w:sz w:val="17"/>
          <w:szCs w:val="17"/>
          <w:color w:val="auto"/>
        </w:rPr>
        <w:t>In general, we financed our growth in the past through a combination of operating cash flows, our revolving credit facility, industrial development bonds (when circumstances permit), and issuance of long-term notes payable at times when interest rates are favorable. We have not issued equity to finance growth except in the case of a large acquisition. We manage our capital structure by attempting to maintain a targeted ratio of debt to equity and debt to earnings before interest, taxes, depreciation and amortization. We believe this is one of many important factors to maintaining a strong credit profile, which in turn helps ensure timely access to capital when needed. We are currently below our internal targets but plan to manage our capital structure conservatively in light of current economic conditions.</w:t>
      </w:r>
    </w:p>
    <w:p>
      <w:pPr>
        <w:spacing w:after="0" w:line="137"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color w:val="auto"/>
        </w:rPr>
        <w:t>Seasonality has a significant impact on our working capital from March to August which historically resulted in negative or modest cash flows from operations in our first and second quarters. Conversely, we experience a substantial decrease in working capital from September to February which results in significant cash flow from operations in our third and fourth quarters. For comparative purposes, we have included the March 28, 2009 balances in the accompanying unaudited consolidated condensed balance sheets.</w:t>
      </w:r>
    </w:p>
    <w:p>
      <w:pPr>
        <w:spacing w:after="0" w:line="148" w:lineRule="exact"/>
        <w:rPr>
          <w:sz w:val="20"/>
          <w:szCs w:val="20"/>
          <w:color w:val="auto"/>
        </w:rPr>
      </w:pPr>
    </w:p>
    <w:p>
      <w:pPr>
        <w:jc w:val="both"/>
        <w:ind w:left="340" w:right="559"/>
        <w:spacing w:after="0" w:line="276" w:lineRule="auto"/>
        <w:rPr>
          <w:sz w:val="20"/>
          <w:szCs w:val="20"/>
          <w:color w:val="auto"/>
        </w:rPr>
      </w:pPr>
      <w:r>
        <w:rPr>
          <w:rFonts w:ascii="Arial" w:cs="Arial" w:eastAsia="Arial" w:hAnsi="Arial"/>
          <w:sz w:val="17"/>
          <w:szCs w:val="17"/>
          <w:color w:val="auto"/>
        </w:rPr>
        <w:t>Due to the seasonality of our business and the effects of the Lumber Market, we believe our cash cycle (days of sales outstanding plus days supply of inventory less days payables outstanding) is a good indicator of our working capital management. Our cash cycle decreased to 53 days in the first quarter of 2010 from 61 days in the first quarter of 2009, due to a 4 day decrease in our receivables cycle combined with a 5 day decrease in our days supply of inventory, offset by a 1 day decrease in our payables cycle due to several initiatives to improve our management of receivables and inventory.</w:t>
      </w:r>
    </w:p>
    <w:p>
      <w:pPr>
        <w:spacing w:after="0" w:line="146"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color w:val="auto"/>
        </w:rPr>
        <w:t>Cash used in operating activities was approximately $78 million in the first quarter of 2010 due to a $90 million increase in working capital since the end of 2009, offset by net earnings of $1 million and $11 million of non-cash expenses. Working capital increased primarily due to an increase in accounts receivable as a result of 83% higher sales in March 2010 compared to December 2009. In addition, our inventory increased as we prepare for our primary selling season and the Lumber Market has increased significantly since the end of 2009.</w:t>
      </w:r>
    </w:p>
    <w:p>
      <w:pPr>
        <w:spacing w:after="0" w:line="148" w:lineRule="exact"/>
        <w:rPr>
          <w:sz w:val="20"/>
          <w:szCs w:val="20"/>
          <w:color w:val="auto"/>
        </w:rPr>
      </w:pPr>
    </w:p>
    <w:p>
      <w:pPr>
        <w:jc w:val="both"/>
        <w:ind w:left="340" w:right="559"/>
        <w:spacing w:after="0" w:line="312" w:lineRule="auto"/>
        <w:rPr>
          <w:sz w:val="20"/>
          <w:szCs w:val="20"/>
          <w:color w:val="auto"/>
        </w:rPr>
      </w:pPr>
      <w:r>
        <w:rPr>
          <w:rFonts w:ascii="Arial" w:cs="Arial" w:eastAsia="Arial" w:hAnsi="Arial"/>
          <w:sz w:val="16"/>
          <w:szCs w:val="16"/>
          <w:color w:val="auto"/>
        </w:rPr>
        <w:t>Capital expenditures were only $4.6 million in the first quarter. We still plan to spend approximately $32 million in 2010, which includes outstanding purchase commitments on existing capital projects totaling approximately $3.0 million on March 27, 2010. We intend to fund capital expenditures and purchase commitments through our operating cash flows for the balance of the year.</w:t>
      </w:r>
    </w:p>
    <w:p>
      <w:pPr>
        <w:spacing w:after="0" w:line="200" w:lineRule="exact"/>
        <w:rPr>
          <w:sz w:val="20"/>
          <w:szCs w:val="20"/>
          <w:color w:val="auto"/>
        </w:rPr>
      </w:pPr>
    </w:p>
    <w:p>
      <w:pPr>
        <w:spacing w:after="0" w:line="3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UNIVERSAL FOREST PRODUCTS, INC.</w:t>
      </w:r>
    </w:p>
    <w:p>
      <w:pPr>
        <w:spacing w:after="0" w:line="202" w:lineRule="exact"/>
        <w:rPr>
          <w:sz w:val="20"/>
          <w:szCs w:val="20"/>
          <w:color w:val="auto"/>
        </w:rPr>
      </w:pPr>
    </w:p>
    <w:p>
      <w:pPr>
        <w:jc w:val="both"/>
        <w:ind w:left="340" w:right="559"/>
        <w:spacing w:after="0" w:line="255" w:lineRule="auto"/>
        <w:rPr>
          <w:sz w:val="20"/>
          <w:szCs w:val="20"/>
          <w:color w:val="auto"/>
        </w:rPr>
      </w:pPr>
      <w:r>
        <w:rPr>
          <w:rFonts w:ascii="Arial" w:cs="Arial" w:eastAsia="Arial" w:hAnsi="Arial"/>
          <w:sz w:val="18"/>
          <w:szCs w:val="18"/>
          <w:color w:val="auto"/>
        </w:rPr>
        <w:t>On March 27, 2010, we had approximately $15.7 million outstanding balance on our $300 million revolving credit facility, which matures in February of 2012. The revolving credit facility also supports letters of credit totaling approximately $32.3 million on March 27, 2010. Financial covenants on the unsecured revolving credit facility and unsecured notes include a minimum net worth requirement, minimum interest and fixed charge coverage tests, and a maximum leverage ratio. The agreements also restrict the amount of additional indebtedness we may incur and the amount of assets which may be sold. We were within all of our lending requirements on March 27, 2010.</w:t>
      </w:r>
    </w:p>
    <w:p>
      <w:pPr>
        <w:spacing w:after="0" w:line="149" w:lineRule="exact"/>
        <w:rPr>
          <w:sz w:val="20"/>
          <w:szCs w:val="20"/>
          <w:color w:val="auto"/>
        </w:rPr>
      </w:pPr>
    </w:p>
    <w:p>
      <w:pPr>
        <w:ind w:left="2460"/>
        <w:spacing w:after="0"/>
        <w:rPr>
          <w:sz w:val="20"/>
          <w:szCs w:val="20"/>
          <w:color w:val="auto"/>
        </w:rPr>
      </w:pPr>
      <w:r>
        <w:rPr>
          <w:rFonts w:ascii="Arial" w:cs="Arial" w:eastAsia="Arial" w:hAnsi="Arial"/>
          <w:sz w:val="18"/>
          <w:szCs w:val="18"/>
          <w:b w:val="1"/>
          <w:bCs w:val="1"/>
          <w:color w:val="auto"/>
        </w:rPr>
        <w:t>ENVIRONMENTAL CONSIDERATIONS AND REGULATIONS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See Notes to Consolidated Condensed Financial Statements, Note F, “Commitments, Contingencies, and Guarantees.”</w:t>
      </w:r>
    </w:p>
    <w:p>
      <w:pPr>
        <w:spacing w:after="0" w:line="2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CRITICAL ACCOUNTING POLICIES</w:t>
      </w:r>
    </w:p>
    <w:p>
      <w:pPr>
        <w:spacing w:after="0" w:line="189"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In preparing our consolidated financial statements, we follow accounting principles generally accepted in the United States. These principles require us to make certain estimates and apply judgments that affect our financial position and results of operations. We continually review our accounting policies and financial information disclosures. There have been no material changes in our policies or estimates since December 26, 2009.</w:t>
      </w:r>
    </w:p>
    <w:p>
      <w:pPr>
        <w:spacing w:after="0" w:line="200" w:lineRule="exact"/>
        <w:rPr>
          <w:sz w:val="20"/>
          <w:szCs w:val="20"/>
          <w:color w:val="auto"/>
        </w:rPr>
      </w:pPr>
    </w:p>
    <w:p>
      <w:pPr>
        <w:spacing w:after="0" w:line="35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UNIVERSAL FOREST PRODUCTS, INC.</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Item 3. Quantitative and Qualitative Disclosures about Market Risk</w:t>
      </w:r>
      <w:r>
        <w:rPr>
          <w:rFonts w:ascii="Arial" w:cs="Arial" w:eastAsia="Arial" w:hAnsi="Arial"/>
          <w:sz w:val="18"/>
          <w:szCs w:val="18"/>
          <w:color w:val="auto"/>
        </w:rPr>
        <w:t>.</w:t>
      </w:r>
    </w:p>
    <w:p>
      <w:pPr>
        <w:spacing w:after="0" w:line="185"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We are exposed to market risks related to fluctuations in interest rates on our variable rate debt, which consists of a revolving credit facility and industrial development revenue bonds. We do not currently use interest rate swaps, futures contracts or options on futures, or other types of derivative financial instruments to mitigate this risk.</w:t>
      </w:r>
    </w:p>
    <w:p>
      <w:pPr>
        <w:spacing w:after="0" w:line="141" w:lineRule="exact"/>
        <w:rPr>
          <w:sz w:val="20"/>
          <w:szCs w:val="20"/>
          <w:color w:val="auto"/>
        </w:rPr>
      </w:pPr>
    </w:p>
    <w:p>
      <w:pPr>
        <w:jc w:val="both"/>
        <w:ind w:left="340" w:right="559"/>
        <w:spacing w:after="0" w:line="302" w:lineRule="auto"/>
        <w:rPr>
          <w:sz w:val="20"/>
          <w:szCs w:val="20"/>
          <w:color w:val="auto"/>
        </w:rPr>
      </w:pPr>
      <w:r>
        <w:rPr>
          <w:rFonts w:ascii="Arial" w:cs="Arial" w:eastAsia="Arial" w:hAnsi="Arial"/>
          <w:sz w:val="16"/>
          <w:szCs w:val="16"/>
          <w:color w:val="auto"/>
        </w:rPr>
        <w:t>For fixed rate debt, changes in interest rates generally affect the fair market value, but not earnings or cash flows. Conversely, for variable rate debt, changes in interest rates generally do not influence fair market value, but do affect future earnings and cash flows. We do not have an obligation to prepay fixed rate debt prior to maturity, and as a result, interest rate risk and changes in fair market value should not have a significant impact on such debt until we would be required to refinance it.</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Item 4. Controls and Procedures</w:t>
      </w:r>
      <w:r>
        <w:rPr>
          <w:rFonts w:ascii="Arial" w:cs="Arial" w:eastAsia="Arial" w:hAnsi="Arial"/>
          <w:sz w:val="18"/>
          <w:szCs w:val="18"/>
          <w:color w:val="auto"/>
        </w:rPr>
        <w:t>.</w:t>
      </w:r>
    </w:p>
    <w:p>
      <w:pPr>
        <w:spacing w:after="0" w:line="185" w:lineRule="exact"/>
        <w:rPr>
          <w:sz w:val="20"/>
          <w:szCs w:val="20"/>
          <w:color w:val="auto"/>
        </w:rPr>
      </w:pPr>
    </w:p>
    <w:p>
      <w:pPr>
        <w:jc w:val="both"/>
        <w:ind w:left="680" w:right="559" w:hanging="348"/>
        <w:spacing w:after="0" w:line="259" w:lineRule="auto"/>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Evaluation of Disclosure Controls and Procedures</w:t>
      </w:r>
      <w:r>
        <w:rPr>
          <w:rFonts w:ascii="Arial" w:cs="Arial" w:eastAsia="Arial" w:hAnsi="Arial"/>
          <w:sz w:val="18"/>
          <w:szCs w:val="18"/>
          <w:color w:val="auto"/>
        </w:rPr>
        <w:t>. With the participation of management, our chief executive officer and chief financial officer, after evaluating the effectiveness of our disclosure controls and procedures (as defined in Exchange Act Rules 13a-15e and 15d-15e) as of the quarter ended March 27, 2010 (the “Evaluation Date”), have concluded that, as of such date, our disclosure controls and procedures were effective.</w:t>
      </w:r>
    </w:p>
    <w:p>
      <w:pPr>
        <w:spacing w:after="0" w:line="119" w:lineRule="exact"/>
        <w:rPr>
          <w:rFonts w:ascii="Arial" w:cs="Arial" w:eastAsia="Arial" w:hAnsi="Arial"/>
          <w:sz w:val="18"/>
          <w:szCs w:val="18"/>
          <w:color w:val="auto"/>
        </w:rPr>
      </w:pPr>
    </w:p>
    <w:p>
      <w:pPr>
        <w:jc w:val="both"/>
        <w:ind w:left="680" w:right="559" w:hanging="348"/>
        <w:spacing w:after="0" w:line="302" w:lineRule="auto"/>
        <w:tabs>
          <w:tab w:leader="none" w:pos="680"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Changes in Internal Controls</w:t>
      </w:r>
      <w:r>
        <w:rPr>
          <w:rFonts w:ascii="Arial" w:cs="Arial" w:eastAsia="Arial" w:hAnsi="Arial"/>
          <w:sz w:val="16"/>
          <w:szCs w:val="16"/>
          <w:color w:val="auto"/>
        </w:rPr>
        <w:t>. During the quarter ended March 27, 2010, there were no changes in our internal control over financial reporting that materially affected, or is reasonably likely to materially affect, our internal control over financial reporting, except for the following. Effective January 1, 2010, we implemented new software for processing payroll. This change was a result of our continuous improvement initiatives and was not in response to a deficiency or material weakness.</w:t>
      </w:r>
    </w:p>
    <w:p>
      <w:pPr>
        <w:spacing w:after="0" w:line="200" w:lineRule="exact"/>
        <w:rPr>
          <w:sz w:val="20"/>
          <w:szCs w:val="20"/>
          <w:color w:val="auto"/>
        </w:rPr>
      </w:pPr>
    </w:p>
    <w:p>
      <w:pPr>
        <w:spacing w:after="0" w:line="3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UNIVERSAL FOREST PRODUCTS, INC.</w:t>
      </w:r>
    </w:p>
    <w:p>
      <w:pPr>
        <w:spacing w:after="0" w:line="198"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PART II. OTHER INFORMATION</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Item 2. Unregistered Sales of Equity Securities and Use of Proceeds</w:t>
      </w:r>
      <w:r>
        <w:rPr>
          <w:rFonts w:ascii="Arial" w:cs="Arial" w:eastAsia="Arial" w:hAnsi="Arial"/>
          <w:sz w:val="18"/>
          <w:szCs w:val="18"/>
          <w:color w:val="auto"/>
        </w:rPr>
        <w:t>.</w:t>
      </w:r>
    </w:p>
    <w:p>
      <w:pPr>
        <w:spacing w:after="0" w:line="185" w:lineRule="exact"/>
        <w:rPr>
          <w:sz w:val="20"/>
          <w:szCs w:val="20"/>
          <w:color w:val="auto"/>
        </w:rPr>
      </w:pPr>
    </w:p>
    <w:p>
      <w:pPr>
        <w:ind w:left="340"/>
        <w:spacing w:after="0"/>
        <w:tabs>
          <w:tab w:leader="none" w:pos="66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None.</w:t>
      </w:r>
    </w:p>
    <w:p>
      <w:pPr>
        <w:spacing w:after="0" w:line="158" w:lineRule="exact"/>
        <w:rPr>
          <w:sz w:val="20"/>
          <w:szCs w:val="20"/>
          <w:color w:val="auto"/>
        </w:rPr>
      </w:pPr>
    </w:p>
    <w:p>
      <w:pPr>
        <w:ind w:left="340"/>
        <w:spacing w:after="0"/>
        <w:tabs>
          <w:tab w:leader="none" w:pos="66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6"/>
          <w:szCs w:val="16"/>
          <w:color w:val="auto"/>
        </w:rPr>
        <w:t>None.</w:t>
      </w:r>
    </w:p>
    <w:p>
      <w:pPr>
        <w:spacing w:after="0" w:line="158" w:lineRule="exact"/>
        <w:rPr>
          <w:sz w:val="20"/>
          <w:szCs w:val="20"/>
          <w:color w:val="auto"/>
        </w:rPr>
      </w:pPr>
    </w:p>
    <w:p>
      <w:pPr>
        <w:ind w:left="340"/>
        <w:spacing w:after="0"/>
        <w:tabs>
          <w:tab w:leader="none" w:pos="660" w:val="left"/>
        </w:tabs>
        <w:rPr>
          <w:sz w:val="20"/>
          <w:szCs w:val="20"/>
          <w:color w:val="auto"/>
        </w:rPr>
      </w:pPr>
      <w:r>
        <w:rPr>
          <w:rFonts w:ascii="Arial" w:cs="Arial" w:eastAsia="Arial" w:hAnsi="Arial"/>
          <w:sz w:val="18"/>
          <w:szCs w:val="18"/>
          <w:color w:val="auto"/>
        </w:rPr>
        <w:t>(c)</w:t>
      </w:r>
      <w:r>
        <w:rPr>
          <w:sz w:val="20"/>
          <w:szCs w:val="20"/>
          <w:color w:val="auto"/>
        </w:rPr>
        <w:tab/>
      </w:r>
      <w:r>
        <w:rPr>
          <w:rFonts w:ascii="Arial" w:cs="Arial" w:eastAsia="Arial" w:hAnsi="Arial"/>
          <w:sz w:val="16"/>
          <w:szCs w:val="16"/>
          <w:color w:val="auto"/>
        </w:rPr>
        <w:t>Issuer purchases of equity securities.</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Fiscal Month</w:t>
            </w:r>
          </w:p>
        </w:tc>
        <w:tc>
          <w:tcPr>
            <w:tcW w:w="280" w:type="dxa"/>
            <w:vAlign w:val="bottom"/>
          </w:tcPr>
          <w:p>
            <w:pPr>
              <w:spacing w:after="0"/>
              <w:rPr>
                <w:sz w:val="20"/>
                <w:szCs w:val="20"/>
                <w:color w:val="auto"/>
              </w:rPr>
            </w:pPr>
          </w:p>
        </w:tc>
        <w:tc>
          <w:tcPr>
            <w:tcW w:w="1320" w:type="dxa"/>
            <w:vAlign w:val="bottom"/>
            <w:gridSpan w:val="2"/>
          </w:tcPr>
          <w:p>
            <w:pPr>
              <w:jc w:val="right"/>
              <w:ind w:right="760"/>
              <w:spacing w:after="0"/>
              <w:rPr>
                <w:sz w:val="20"/>
                <w:szCs w:val="20"/>
                <w:color w:val="auto"/>
              </w:rPr>
            </w:pPr>
            <w:r>
              <w:rPr>
                <w:rFonts w:ascii="Arial" w:cs="Arial" w:eastAsia="Arial" w:hAnsi="Arial"/>
                <w:sz w:val="18"/>
                <w:szCs w:val="18"/>
                <w:color w:val="auto"/>
              </w:rPr>
              <w:t>(a)</w:t>
            </w:r>
          </w:p>
        </w:tc>
        <w:tc>
          <w:tcPr>
            <w:tcW w:w="240" w:type="dxa"/>
            <w:vAlign w:val="bottom"/>
          </w:tcPr>
          <w:p>
            <w:pPr>
              <w:spacing w:after="0"/>
              <w:rPr>
                <w:sz w:val="20"/>
                <w:szCs w:val="20"/>
                <w:color w:val="auto"/>
              </w:rPr>
            </w:pPr>
          </w:p>
        </w:tc>
        <w:tc>
          <w:tcPr>
            <w:tcW w:w="1100" w:type="dxa"/>
            <w:vAlign w:val="bottom"/>
            <w:gridSpan w:val="2"/>
          </w:tcPr>
          <w:p>
            <w:pPr>
              <w:ind w:left="140"/>
              <w:spacing w:after="0"/>
              <w:rPr>
                <w:sz w:val="20"/>
                <w:szCs w:val="20"/>
                <w:color w:val="auto"/>
              </w:rPr>
            </w:pPr>
            <w:r>
              <w:rPr>
                <w:rFonts w:ascii="Arial" w:cs="Arial" w:eastAsia="Arial" w:hAnsi="Arial"/>
                <w:sz w:val="18"/>
                <w:szCs w:val="18"/>
                <w:color w:val="auto"/>
              </w:rPr>
              <w:t>(b)</w:t>
            </w:r>
          </w:p>
        </w:tc>
        <w:tc>
          <w:tcPr>
            <w:tcW w:w="920" w:type="dxa"/>
            <w:vAlign w:val="bottom"/>
          </w:tcPr>
          <w:p>
            <w:pPr>
              <w:ind w:left="360"/>
              <w:spacing w:after="0"/>
              <w:rPr>
                <w:sz w:val="20"/>
                <w:szCs w:val="20"/>
                <w:color w:val="auto"/>
              </w:rPr>
            </w:pPr>
            <w:r>
              <w:rPr>
                <w:rFonts w:ascii="Arial" w:cs="Arial" w:eastAsia="Arial" w:hAnsi="Arial"/>
                <w:sz w:val="18"/>
                <w:szCs w:val="18"/>
                <w:color w:val="auto"/>
              </w:rPr>
              <w:t>(c)</w:t>
            </w:r>
          </w:p>
        </w:tc>
        <w:tc>
          <w:tcPr>
            <w:tcW w:w="340" w:type="dxa"/>
            <w:vAlign w:val="bottom"/>
          </w:tcPr>
          <w:p>
            <w:pPr>
              <w:spacing w:after="0"/>
              <w:rPr>
                <w:sz w:val="20"/>
                <w:szCs w:val="20"/>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(d)</w:t>
            </w:r>
          </w:p>
        </w:tc>
      </w:tr>
      <w:tr>
        <w:trPr>
          <w:trHeight w:val="210"/>
        </w:trPr>
        <w:tc>
          <w:tcPr>
            <w:tcW w:w="41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December 27, 2009 – January 30, 2010</w:t>
            </w:r>
            <w:r>
              <w:rPr>
                <w:rFonts w:ascii="Arial" w:cs="Arial" w:eastAsia="Arial" w:hAnsi="Arial"/>
                <w:sz w:val="15"/>
                <w:szCs w:val="15"/>
                <w:color w:val="auto"/>
              </w:rPr>
              <w:t>(1)</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1,133,129</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January 31 – February 27, 2010</w:t>
            </w:r>
          </w:p>
        </w:tc>
        <w:tc>
          <w:tcPr>
            <w:tcW w:w="1600" w:type="dxa"/>
            <w:vAlign w:val="bottom"/>
            <w:gridSpan w:val="3"/>
          </w:tcPr>
          <w:p>
            <w:pPr>
              <w:jc w:val="right"/>
              <w:ind w:right="380"/>
              <w:spacing w:after="0"/>
              <w:rPr>
                <w:sz w:val="20"/>
                <w:szCs w:val="20"/>
                <w:color w:val="auto"/>
              </w:rPr>
            </w:pPr>
            <w:r>
              <w:rPr>
                <w:rFonts w:ascii="Arial" w:cs="Arial" w:eastAsia="Arial" w:hAnsi="Arial"/>
                <w:sz w:val="18"/>
                <w:szCs w:val="18"/>
                <w:color w:val="auto"/>
              </w:rPr>
              <w:t>20,000</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34.12</w:t>
            </w:r>
          </w:p>
        </w:tc>
        <w:tc>
          <w:tcPr>
            <w:tcW w:w="920" w:type="dxa"/>
            <w:vAlign w:val="bottom"/>
          </w:tcPr>
          <w:p>
            <w:pPr>
              <w:spacing w:after="0"/>
              <w:rPr>
                <w:sz w:val="18"/>
                <w:szCs w:val="18"/>
                <w:color w:val="auto"/>
              </w:rPr>
            </w:pPr>
          </w:p>
        </w:tc>
        <w:tc>
          <w:tcPr>
            <w:tcW w:w="1340" w:type="dxa"/>
            <w:vAlign w:val="bottom"/>
            <w:gridSpan w:val="3"/>
          </w:tcPr>
          <w:p>
            <w:pPr>
              <w:jc w:val="right"/>
              <w:ind w:right="80"/>
              <w:spacing w:after="0"/>
              <w:rPr>
                <w:sz w:val="20"/>
                <w:szCs w:val="20"/>
                <w:color w:val="auto"/>
              </w:rPr>
            </w:pPr>
            <w:r>
              <w:rPr>
                <w:rFonts w:ascii="Arial" w:cs="Arial" w:eastAsia="Arial" w:hAnsi="Arial"/>
                <w:sz w:val="18"/>
                <w:szCs w:val="18"/>
                <w:color w:val="auto"/>
              </w:rPr>
              <w:t>1,113,129</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February 28 – March 27, 2010</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1,113,129</w:t>
            </w:r>
          </w:p>
        </w:tc>
      </w:tr>
    </w:tbl>
    <w:p>
      <w:pPr>
        <w:spacing w:after="0" w:line="107" w:lineRule="exact"/>
        <w:rPr>
          <w:sz w:val="20"/>
          <w:szCs w:val="20"/>
          <w:color w:val="auto"/>
        </w:rPr>
      </w:pPr>
    </w:p>
    <w:p>
      <w:pPr>
        <w:ind w:left="680" w:hanging="348"/>
        <w:spacing w:after="0"/>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Total number of shares purchased.</w:t>
      </w:r>
    </w:p>
    <w:p>
      <w:pPr>
        <w:spacing w:after="0" w:line="76" w:lineRule="exact"/>
        <w:rPr>
          <w:rFonts w:ascii="Arial" w:cs="Arial" w:eastAsia="Arial" w:hAnsi="Arial"/>
          <w:sz w:val="18"/>
          <w:szCs w:val="18"/>
          <w:color w:val="auto"/>
        </w:rPr>
      </w:pPr>
    </w:p>
    <w:p>
      <w:pPr>
        <w:ind w:left="680" w:hanging="348"/>
        <w:spacing w:after="0"/>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Average price paid per share.</w:t>
      </w:r>
    </w:p>
    <w:p>
      <w:pPr>
        <w:spacing w:after="0" w:line="76" w:lineRule="exact"/>
        <w:rPr>
          <w:rFonts w:ascii="Arial" w:cs="Arial" w:eastAsia="Arial" w:hAnsi="Arial"/>
          <w:sz w:val="18"/>
          <w:szCs w:val="18"/>
          <w:color w:val="auto"/>
        </w:rPr>
      </w:pPr>
    </w:p>
    <w:p>
      <w:pPr>
        <w:ind w:left="680" w:hanging="348"/>
        <w:spacing w:after="0"/>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Total number of shares purchased as part of publicly announced plans or programs.</w:t>
      </w:r>
    </w:p>
    <w:p>
      <w:pPr>
        <w:spacing w:after="0" w:line="76" w:lineRule="exact"/>
        <w:rPr>
          <w:rFonts w:ascii="Arial" w:cs="Arial" w:eastAsia="Arial" w:hAnsi="Arial"/>
          <w:sz w:val="18"/>
          <w:szCs w:val="18"/>
          <w:color w:val="auto"/>
        </w:rPr>
      </w:pPr>
    </w:p>
    <w:p>
      <w:pPr>
        <w:ind w:left="680" w:hanging="348"/>
        <w:spacing w:after="0"/>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Maximum number of shares that may yet be purchased under the plans or programs.</w:t>
      </w:r>
    </w:p>
    <w:p>
      <w:pPr>
        <w:spacing w:after="0" w:line="77" w:lineRule="exact"/>
        <w:rPr>
          <w:sz w:val="20"/>
          <w:szCs w:val="20"/>
          <w:color w:val="auto"/>
        </w:rPr>
      </w:pPr>
    </w:p>
    <w:p>
      <w:pPr>
        <w:jc w:val="both"/>
        <w:ind w:left="680" w:right="559" w:hanging="348"/>
        <w:spacing w:after="0" w:line="264" w:lineRule="auto"/>
        <w:tabs>
          <w:tab w:leader="none" w:pos="680" w:val="left"/>
        </w:tabs>
        <w:numPr>
          <w:ilvl w:val="0"/>
          <w:numId w:val="21"/>
        </w:numPr>
        <w:rPr>
          <w:rFonts w:ascii="Arial" w:cs="Arial" w:eastAsia="Arial" w:hAnsi="Arial"/>
          <w:sz w:val="15"/>
          <w:szCs w:val="15"/>
          <w:color w:val="auto"/>
        </w:rPr>
      </w:pPr>
      <w:r>
        <w:rPr>
          <w:rFonts w:ascii="Arial" w:cs="Arial" w:eastAsia="Arial" w:hAnsi="Arial"/>
          <w:sz w:val="18"/>
          <w:szCs w:val="18"/>
          <w:color w:val="auto"/>
        </w:rPr>
        <w:t>On November 14, 2001, the Board of Directors approved a share repurchase program (which succeeded a previous program) allowing us to repurchase up to 2.5 million shares of our common stock. As of March 27, 2010, cumulative total authorized shares available for repurchase is 1.1 million shares.</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Item 5. Other Information</w:t>
      </w:r>
      <w:r>
        <w:rPr>
          <w:rFonts w:ascii="Arial" w:cs="Arial" w:eastAsia="Arial" w:hAnsi="Arial"/>
          <w:sz w:val="18"/>
          <w:szCs w:val="18"/>
          <w:color w:val="auto"/>
        </w:rPr>
        <w:t>.</w:t>
      </w:r>
    </w:p>
    <w:p>
      <w:pPr>
        <w:spacing w:after="0" w:line="185" w:lineRule="exact"/>
        <w:rPr>
          <w:sz w:val="20"/>
          <w:szCs w:val="20"/>
          <w:color w:val="auto"/>
        </w:rPr>
      </w:pPr>
    </w:p>
    <w:p>
      <w:pPr>
        <w:ind w:left="340" w:right="559"/>
        <w:spacing w:after="0" w:line="277" w:lineRule="auto"/>
        <w:rPr>
          <w:sz w:val="20"/>
          <w:szCs w:val="20"/>
          <w:color w:val="auto"/>
        </w:rPr>
      </w:pPr>
      <w:r>
        <w:rPr>
          <w:rFonts w:ascii="Arial" w:cs="Arial" w:eastAsia="Arial" w:hAnsi="Arial"/>
          <w:sz w:val="18"/>
          <w:szCs w:val="18"/>
          <w:color w:val="auto"/>
        </w:rPr>
        <w:t>In the first quarter of 2009, the Audit Committee approved $115,000 non-audit services to be provided by our independent auditors, Ernst &amp; Young LLP, for 2010.</w:t>
      </w:r>
    </w:p>
    <w:p>
      <w:pPr>
        <w:spacing w:after="0" w:line="200" w:lineRule="exact"/>
        <w:rPr>
          <w:sz w:val="20"/>
          <w:szCs w:val="20"/>
          <w:color w:val="auto"/>
        </w:rPr>
      </w:pPr>
    </w:p>
    <w:p>
      <w:pPr>
        <w:spacing w:after="0" w:line="3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UNIVERSAL FOREST PRODUCTS, INC.</w:t>
      </w:r>
    </w:p>
    <w:p>
      <w:pPr>
        <w:spacing w:after="0" w:line="19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PART II. OTHER INFORMATION</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Item 6. Exhibits</w:t>
      </w:r>
      <w:r>
        <w:rPr>
          <w:rFonts w:ascii="Arial" w:cs="Arial" w:eastAsia="Arial" w:hAnsi="Arial"/>
          <w:sz w:val="18"/>
          <w:szCs w:val="18"/>
          <w:color w:val="auto"/>
        </w:rPr>
        <w:t>.</w:t>
      </w:r>
    </w:p>
    <w:p>
      <w:pPr>
        <w:spacing w:after="0" w:line="185" w:lineRule="exact"/>
        <w:rPr>
          <w:sz w:val="20"/>
          <w:szCs w:val="20"/>
          <w:color w:val="auto"/>
        </w:rPr>
      </w:pPr>
    </w:p>
    <w:p>
      <w:pPr>
        <w:ind w:left="340" w:right="559"/>
        <w:spacing w:after="0" w:line="277" w:lineRule="auto"/>
        <w:rPr>
          <w:sz w:val="20"/>
          <w:szCs w:val="20"/>
          <w:color w:val="auto"/>
        </w:rPr>
      </w:pPr>
      <w:r>
        <w:rPr>
          <w:rFonts w:ascii="Arial" w:cs="Arial" w:eastAsia="Arial" w:hAnsi="Arial"/>
          <w:sz w:val="18"/>
          <w:szCs w:val="18"/>
          <w:color w:val="auto"/>
        </w:rPr>
        <w:t>The following exhibits (listed by number corresponding to the Exhibit Table as Item 601 in Regulation S-K) are filed with this report:</w:t>
      </w:r>
    </w:p>
    <w:p>
      <w:pPr>
        <w:spacing w:after="0" w:line="170" w:lineRule="exact"/>
        <w:rPr>
          <w:sz w:val="20"/>
          <w:szCs w:val="20"/>
          <w:color w:val="auto"/>
        </w:rPr>
      </w:pPr>
    </w:p>
    <w:p>
      <w:pPr>
        <w:ind w:left="1180" w:hanging="700"/>
        <w:spacing w:after="0"/>
        <w:tabs>
          <w:tab w:leader="none" w:pos="1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Material Contracts.</w:t>
      </w:r>
    </w:p>
    <w:p>
      <w:pPr>
        <w:spacing w:after="0" w:line="225" w:lineRule="exact"/>
        <w:rPr>
          <w:rFonts w:ascii="Arial" w:cs="Arial" w:eastAsia="Arial" w:hAnsi="Arial"/>
          <w:sz w:val="18"/>
          <w:szCs w:val="18"/>
          <w:color w:val="auto"/>
        </w:rPr>
      </w:pPr>
    </w:p>
    <w:p>
      <w:pPr>
        <w:ind w:left="1740" w:right="599" w:hanging="554"/>
        <w:spacing w:after="0" w:line="264" w:lineRule="auto"/>
        <w:rPr>
          <w:rFonts w:ascii="Arial" w:cs="Arial" w:eastAsia="Arial" w:hAnsi="Arial"/>
          <w:sz w:val="18"/>
          <w:szCs w:val="18"/>
          <w:color w:val="auto"/>
        </w:rPr>
      </w:pPr>
      <w:r>
        <w:rPr>
          <w:rFonts w:ascii="Arial" w:cs="Arial" w:eastAsia="Arial" w:hAnsi="Arial"/>
          <w:sz w:val="18"/>
          <w:szCs w:val="18"/>
          <w:color w:val="auto"/>
        </w:rPr>
        <w:t>(i)(4) Series 2004-A, Credit Agreement dated December 20, 2004 was filed as Exhibit 10(i) to a Form 8-K Current Report dated December 21, 2004 and the same is incorporated herein by reference. Schedules and Exhibits to such Agreement are filed herewith.</w:t>
      </w:r>
    </w:p>
    <w:p>
      <w:pPr>
        <w:spacing w:after="0" w:line="181" w:lineRule="exact"/>
        <w:rPr>
          <w:rFonts w:ascii="Arial" w:cs="Arial" w:eastAsia="Arial" w:hAnsi="Arial"/>
          <w:sz w:val="18"/>
          <w:szCs w:val="18"/>
          <w:color w:val="auto"/>
        </w:rPr>
      </w:pPr>
    </w:p>
    <w:p>
      <w:pPr>
        <w:ind w:left="1740" w:right="679" w:hanging="554"/>
        <w:spacing w:after="0" w:line="312" w:lineRule="auto"/>
        <w:rPr>
          <w:rFonts w:ascii="Arial" w:cs="Arial" w:eastAsia="Arial" w:hAnsi="Arial"/>
          <w:sz w:val="18"/>
          <w:szCs w:val="18"/>
          <w:color w:val="auto"/>
        </w:rPr>
      </w:pPr>
      <w:r>
        <w:rPr>
          <w:rFonts w:ascii="Arial" w:cs="Arial" w:eastAsia="Arial" w:hAnsi="Arial"/>
          <w:sz w:val="16"/>
          <w:szCs w:val="16"/>
          <w:color w:val="auto"/>
        </w:rPr>
        <w:t>(i)(5) First Amendment dated February 12, 2007 relating to Series 2004-A, Credit Agreement dated December 20, 2004, was filed as Exhibit 10(i) to a Form 8-K Current Report dated February 15, 2007 and the same is incorporated herein by reference. Schedules and Exhibits to such Agreement are filed herewith.</w:t>
      </w:r>
    </w:p>
    <w:p>
      <w:pPr>
        <w:spacing w:after="0" w:line="146" w:lineRule="exact"/>
        <w:rPr>
          <w:rFonts w:ascii="Arial" w:cs="Arial" w:eastAsia="Arial" w:hAnsi="Arial"/>
          <w:sz w:val="18"/>
          <w:szCs w:val="18"/>
          <w:color w:val="auto"/>
        </w:rPr>
      </w:pPr>
    </w:p>
    <w:p>
      <w:pPr>
        <w:ind w:left="1740" w:right="939" w:hanging="554"/>
        <w:spacing w:after="0" w:line="286" w:lineRule="auto"/>
        <w:rPr>
          <w:rFonts w:ascii="Arial" w:cs="Arial" w:eastAsia="Arial" w:hAnsi="Arial"/>
          <w:sz w:val="18"/>
          <w:szCs w:val="18"/>
          <w:color w:val="auto"/>
        </w:rPr>
      </w:pPr>
      <w:r>
        <w:rPr>
          <w:rFonts w:ascii="Arial" w:cs="Arial" w:eastAsia="Arial" w:hAnsi="Arial"/>
          <w:sz w:val="17"/>
          <w:szCs w:val="17"/>
          <w:color w:val="auto"/>
        </w:rPr>
        <w:t>(j)(2) Series 2002-A, Senior Note Agreement dated December 18, 2002 was filed as Exhibit 10(j)(2) to a Form 10-K Annual Report for the year ended December 28, 2002 and the same is incorporated herein by reference. Schedules and Exhibits to such Agreement are filed herewith.</w:t>
      </w:r>
    </w:p>
    <w:p>
      <w:pPr>
        <w:spacing w:after="0" w:line="166" w:lineRule="exact"/>
        <w:rPr>
          <w:sz w:val="20"/>
          <w:szCs w:val="20"/>
          <w:color w:val="auto"/>
        </w:rPr>
      </w:pPr>
    </w:p>
    <w:p>
      <w:pPr>
        <w:ind w:left="1180" w:hanging="700"/>
        <w:spacing w:after="0"/>
        <w:tabs>
          <w:tab w:leader="none" w:pos="11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Certifications.</w:t>
      </w:r>
    </w:p>
    <w:p>
      <w:pPr>
        <w:spacing w:after="0" w:line="225" w:lineRule="exact"/>
        <w:rPr>
          <w:rFonts w:ascii="Arial" w:cs="Arial" w:eastAsia="Arial" w:hAnsi="Arial"/>
          <w:sz w:val="18"/>
          <w:szCs w:val="18"/>
          <w:color w:val="auto"/>
        </w:rPr>
      </w:pPr>
    </w:p>
    <w:p>
      <w:pPr>
        <w:ind w:left="1740" w:right="759" w:hanging="556"/>
        <w:spacing w:after="0" w:line="277" w:lineRule="auto"/>
        <w:tabs>
          <w:tab w:leader="none" w:pos="1740" w:val="left"/>
        </w:tabs>
        <w:numPr>
          <w:ilvl w:val="2"/>
          <w:numId w:val="23"/>
        </w:numPr>
        <w:rPr>
          <w:rFonts w:ascii="Arial" w:cs="Arial" w:eastAsia="Arial" w:hAnsi="Arial"/>
          <w:sz w:val="18"/>
          <w:szCs w:val="18"/>
          <w:color w:val="auto"/>
        </w:rPr>
      </w:pPr>
      <w:r>
        <w:rPr>
          <w:rFonts w:ascii="Arial" w:cs="Arial" w:eastAsia="Arial" w:hAnsi="Arial"/>
          <w:sz w:val="18"/>
          <w:szCs w:val="18"/>
          <w:color w:val="auto"/>
        </w:rPr>
        <w:t>Certificate of the Chief Executive Officer of Universal Forest Products, Inc., pursuant to Section 302 of the Sarbanes-Oxley Act of 2002 (18 U.S.C. 1350).</w:t>
      </w:r>
    </w:p>
    <w:p>
      <w:pPr>
        <w:spacing w:after="0" w:line="170" w:lineRule="exact"/>
        <w:rPr>
          <w:rFonts w:ascii="Arial" w:cs="Arial" w:eastAsia="Arial" w:hAnsi="Arial"/>
          <w:sz w:val="18"/>
          <w:szCs w:val="18"/>
          <w:color w:val="auto"/>
        </w:rPr>
      </w:pPr>
    </w:p>
    <w:p>
      <w:pPr>
        <w:ind w:left="1740" w:right="819" w:hanging="556"/>
        <w:spacing w:after="0" w:line="277" w:lineRule="auto"/>
        <w:tabs>
          <w:tab w:leader="none" w:pos="1740" w:val="left"/>
        </w:tabs>
        <w:numPr>
          <w:ilvl w:val="2"/>
          <w:numId w:val="23"/>
        </w:numPr>
        <w:rPr>
          <w:rFonts w:ascii="Arial" w:cs="Arial" w:eastAsia="Arial" w:hAnsi="Arial"/>
          <w:sz w:val="18"/>
          <w:szCs w:val="18"/>
          <w:color w:val="auto"/>
        </w:rPr>
      </w:pPr>
      <w:r>
        <w:rPr>
          <w:rFonts w:ascii="Arial" w:cs="Arial" w:eastAsia="Arial" w:hAnsi="Arial"/>
          <w:sz w:val="18"/>
          <w:szCs w:val="18"/>
          <w:color w:val="auto"/>
        </w:rPr>
        <w:t>Certificate of the Chief Financial Officer of Universal Forest Products, Inc., pursuant to Section 302 of the Sarbanes-Oxley Act of 2002 (18 U.S.C. 1350).</w:t>
      </w:r>
    </w:p>
    <w:p>
      <w:pPr>
        <w:spacing w:after="0" w:line="170" w:lineRule="exact"/>
        <w:rPr>
          <w:rFonts w:ascii="Arial" w:cs="Arial" w:eastAsia="Arial" w:hAnsi="Arial"/>
          <w:sz w:val="18"/>
          <w:szCs w:val="18"/>
          <w:color w:val="auto"/>
        </w:rPr>
      </w:pPr>
    </w:p>
    <w:p>
      <w:pPr>
        <w:ind w:left="1180" w:hanging="700"/>
        <w:spacing w:after="0"/>
        <w:tabs>
          <w:tab w:leader="none" w:pos="11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Certifications.</w:t>
      </w:r>
    </w:p>
    <w:p>
      <w:pPr>
        <w:spacing w:after="0" w:line="225" w:lineRule="exact"/>
        <w:rPr>
          <w:rFonts w:ascii="Arial" w:cs="Arial" w:eastAsia="Arial" w:hAnsi="Arial"/>
          <w:sz w:val="18"/>
          <w:szCs w:val="18"/>
          <w:color w:val="auto"/>
        </w:rPr>
      </w:pPr>
    </w:p>
    <w:p>
      <w:pPr>
        <w:ind w:left="1740" w:right="759" w:hanging="556"/>
        <w:spacing w:after="0" w:line="277" w:lineRule="auto"/>
        <w:tabs>
          <w:tab w:leader="none" w:pos="1740" w:val="left"/>
        </w:tabs>
        <w:numPr>
          <w:ilvl w:val="2"/>
          <w:numId w:val="23"/>
        </w:numPr>
        <w:rPr>
          <w:rFonts w:ascii="Arial" w:cs="Arial" w:eastAsia="Arial" w:hAnsi="Arial"/>
          <w:sz w:val="18"/>
          <w:szCs w:val="18"/>
          <w:color w:val="auto"/>
        </w:rPr>
      </w:pPr>
      <w:r>
        <w:rPr>
          <w:rFonts w:ascii="Arial" w:cs="Arial" w:eastAsia="Arial" w:hAnsi="Arial"/>
          <w:sz w:val="18"/>
          <w:szCs w:val="18"/>
          <w:color w:val="auto"/>
        </w:rPr>
        <w:t>Certificate of the Chief Executive Officer of Universal Forest Products, Inc., pursuant to Section 906 of the Sarbanes-Oxley Act of 2002 (18 U.S.C. 1350).</w:t>
      </w:r>
    </w:p>
    <w:p>
      <w:pPr>
        <w:spacing w:after="0" w:line="170" w:lineRule="exact"/>
        <w:rPr>
          <w:rFonts w:ascii="Arial" w:cs="Arial" w:eastAsia="Arial" w:hAnsi="Arial"/>
          <w:sz w:val="18"/>
          <w:szCs w:val="18"/>
          <w:color w:val="auto"/>
        </w:rPr>
      </w:pPr>
    </w:p>
    <w:p>
      <w:pPr>
        <w:ind w:left="1740" w:right="819" w:hanging="556"/>
        <w:spacing w:after="0" w:line="277" w:lineRule="auto"/>
        <w:tabs>
          <w:tab w:leader="none" w:pos="1740" w:val="left"/>
        </w:tabs>
        <w:numPr>
          <w:ilvl w:val="2"/>
          <w:numId w:val="23"/>
        </w:numPr>
        <w:rPr>
          <w:rFonts w:ascii="Arial" w:cs="Arial" w:eastAsia="Arial" w:hAnsi="Arial"/>
          <w:sz w:val="18"/>
          <w:szCs w:val="18"/>
          <w:color w:val="auto"/>
        </w:rPr>
      </w:pPr>
      <w:r>
        <w:rPr>
          <w:rFonts w:ascii="Arial" w:cs="Arial" w:eastAsia="Arial" w:hAnsi="Arial"/>
          <w:sz w:val="18"/>
          <w:szCs w:val="18"/>
          <w:color w:val="auto"/>
        </w:rPr>
        <w:t>Certificate of the Chief Financial Officer of Universal Forest Products, Inc., pursuant to Section 906 of the Sarbanes-Oxley Act of 2002 (18 U.S.C. 1350).</w:t>
      </w:r>
    </w:p>
    <w:p>
      <w:pPr>
        <w:spacing w:after="0" w:line="200" w:lineRule="exact"/>
        <w:rPr>
          <w:rFonts w:ascii="Arial" w:cs="Arial" w:eastAsia="Arial" w:hAnsi="Arial"/>
          <w:sz w:val="18"/>
          <w:szCs w:val="18"/>
          <w:color w:val="auto"/>
        </w:rPr>
      </w:pPr>
    </w:p>
    <w:p>
      <w:pPr>
        <w:spacing w:after="0" w:line="294"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   Indicates a compensatory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-207645</wp:posOffset>
            </wp:positionV>
            <wp:extent cx="106362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UNIVERSAL FOREST PRODUCTS, INC.</w:t>
      </w:r>
    </w:p>
    <w:p>
      <w:pPr>
        <w:spacing w:after="0" w:line="19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left="340" w:right="559"/>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2600" w:type="dxa"/>
            <w:vAlign w:val="bottom"/>
          </w:tcPr>
          <w:p>
            <w:pPr>
              <w:spacing w:after="0"/>
              <w:rPr>
                <w:sz w:val="20"/>
                <w:szCs w:val="20"/>
                <w:color w:val="auto"/>
              </w:rPr>
            </w:pPr>
          </w:p>
        </w:tc>
        <w:tc>
          <w:tcPr>
            <w:tcW w:w="5560" w:type="dxa"/>
            <w:vAlign w:val="bottom"/>
            <w:gridSpan w:val="2"/>
          </w:tcPr>
          <w:p>
            <w:pPr>
              <w:ind w:left="1120"/>
              <w:spacing w:after="0"/>
              <w:rPr>
                <w:sz w:val="20"/>
                <w:szCs w:val="20"/>
                <w:color w:val="auto"/>
              </w:rPr>
            </w:pPr>
            <w:r>
              <w:rPr>
                <w:rFonts w:ascii="Arial" w:cs="Arial" w:eastAsia="Arial" w:hAnsi="Arial"/>
                <w:sz w:val="18"/>
                <w:szCs w:val="18"/>
                <w:b w:val="1"/>
                <w:bCs w:val="1"/>
                <w:color w:val="auto"/>
              </w:rPr>
              <w:t>UNIVERSAL FOREST PRODUCTS, INC.</w:t>
            </w:r>
          </w:p>
        </w:tc>
      </w:tr>
      <w:tr>
        <w:trPr>
          <w:trHeight w:val="432"/>
        </w:trPr>
        <w:tc>
          <w:tcPr>
            <w:tcW w:w="2600" w:type="dxa"/>
            <w:vAlign w:val="bottom"/>
          </w:tcPr>
          <w:p>
            <w:pPr>
              <w:spacing w:after="0"/>
              <w:rPr>
                <w:sz w:val="20"/>
                <w:szCs w:val="20"/>
                <w:color w:val="auto"/>
              </w:rPr>
            </w:pPr>
            <w:r>
              <w:rPr>
                <w:rFonts w:ascii="Arial" w:cs="Arial" w:eastAsia="Arial" w:hAnsi="Arial"/>
                <w:sz w:val="18"/>
                <w:szCs w:val="18"/>
                <w:color w:val="auto"/>
              </w:rPr>
              <w:t>Date: April 21, 2010</w:t>
            </w:r>
          </w:p>
        </w:tc>
        <w:tc>
          <w:tcPr>
            <w:tcW w:w="5560" w:type="dxa"/>
            <w:vAlign w:val="bottom"/>
            <w:gridSpan w:val="2"/>
          </w:tcPr>
          <w:p>
            <w:pPr>
              <w:ind w:left="1120"/>
              <w:spacing w:after="0"/>
              <w:rPr>
                <w:sz w:val="20"/>
                <w:szCs w:val="20"/>
                <w:color w:val="auto"/>
              </w:rPr>
            </w:pPr>
            <w:r>
              <w:rPr>
                <w:rFonts w:ascii="Arial" w:cs="Arial" w:eastAsia="Arial" w:hAnsi="Arial"/>
                <w:sz w:val="18"/>
                <w:szCs w:val="18"/>
                <w:color w:val="auto"/>
              </w:rPr>
              <w:t>By: /s/ Michael B. Glenn</w:t>
            </w:r>
          </w:p>
        </w:tc>
      </w:tr>
      <w:tr>
        <w:trPr>
          <w:trHeight w:val="195"/>
        </w:trPr>
        <w:tc>
          <w:tcPr>
            <w:tcW w:w="26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40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Michael B. Glenn,</w:t>
            </w:r>
          </w:p>
        </w:tc>
      </w:tr>
      <w:tr>
        <w:trPr>
          <w:trHeight w:val="230"/>
        </w:trPr>
        <w:tc>
          <w:tcPr>
            <w:tcW w:w="26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080" w:type="dxa"/>
            <w:vAlign w:val="bottom"/>
          </w:tcPr>
          <w:p>
            <w:pPr>
              <w:spacing w:after="0"/>
              <w:rPr>
                <w:sz w:val="20"/>
                <w:szCs w:val="20"/>
                <w:color w:val="auto"/>
              </w:rPr>
            </w:pPr>
            <w:r>
              <w:rPr>
                <w:rFonts w:ascii="Arial" w:cs="Arial" w:eastAsia="Arial" w:hAnsi="Arial"/>
                <w:sz w:val="18"/>
                <w:szCs w:val="18"/>
                <w:color w:val="auto"/>
                <w:w w:val="93"/>
              </w:rPr>
              <w:t>Chief Executive Officer and Principal Executive Officer</w:t>
            </w:r>
          </w:p>
        </w:tc>
      </w:tr>
      <w:tr>
        <w:trPr>
          <w:trHeight w:val="432"/>
        </w:trPr>
        <w:tc>
          <w:tcPr>
            <w:tcW w:w="2600" w:type="dxa"/>
            <w:vAlign w:val="bottom"/>
          </w:tcPr>
          <w:p>
            <w:pPr>
              <w:spacing w:after="0"/>
              <w:rPr>
                <w:sz w:val="20"/>
                <w:szCs w:val="20"/>
                <w:color w:val="auto"/>
              </w:rPr>
            </w:pPr>
            <w:r>
              <w:rPr>
                <w:rFonts w:ascii="Arial" w:cs="Arial" w:eastAsia="Arial" w:hAnsi="Arial"/>
                <w:sz w:val="18"/>
                <w:szCs w:val="18"/>
                <w:color w:val="auto"/>
              </w:rPr>
              <w:t>Date: April 21, 2010</w:t>
            </w:r>
          </w:p>
        </w:tc>
        <w:tc>
          <w:tcPr>
            <w:tcW w:w="5560" w:type="dxa"/>
            <w:vAlign w:val="bottom"/>
            <w:gridSpan w:val="2"/>
          </w:tcPr>
          <w:p>
            <w:pPr>
              <w:ind w:left="1120"/>
              <w:spacing w:after="0"/>
              <w:rPr>
                <w:sz w:val="20"/>
                <w:szCs w:val="20"/>
                <w:color w:val="auto"/>
              </w:rPr>
            </w:pPr>
            <w:r>
              <w:rPr>
                <w:rFonts w:ascii="Arial" w:cs="Arial" w:eastAsia="Arial" w:hAnsi="Arial"/>
                <w:sz w:val="18"/>
                <w:szCs w:val="18"/>
                <w:color w:val="auto"/>
              </w:rPr>
              <w:t>By: /s/ Michael R. Cole</w:t>
            </w:r>
          </w:p>
        </w:tc>
      </w:tr>
      <w:tr>
        <w:trPr>
          <w:trHeight w:val="195"/>
        </w:trPr>
        <w:tc>
          <w:tcPr>
            <w:tcW w:w="26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40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Michael R. Cole,</w:t>
            </w:r>
          </w:p>
        </w:tc>
      </w:tr>
      <w:tr>
        <w:trPr>
          <w:trHeight w:val="216"/>
        </w:trPr>
        <w:tc>
          <w:tcPr>
            <w:tcW w:w="26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26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Principal Financial Officer and</w:t>
            </w:r>
          </w:p>
        </w:tc>
      </w:tr>
      <w:tr>
        <w:trPr>
          <w:trHeight w:val="230"/>
        </w:trPr>
        <w:tc>
          <w:tcPr>
            <w:tcW w:w="26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EXHIBIT INDEX</w:t>
      </w:r>
    </w:p>
    <w:p>
      <w:pPr>
        <w:spacing w:after="0" w:line="225" w:lineRule="exact"/>
        <w:rPr>
          <w:sz w:val="20"/>
          <w:szCs w:val="20"/>
          <w:color w:val="auto"/>
        </w:rPr>
      </w:pPr>
    </w:p>
    <w:p>
      <w:pPr>
        <w:ind w:left="380"/>
        <w:spacing w:after="0"/>
        <w:tabs>
          <w:tab w:leader="none" w:pos="1860" w:val="left"/>
        </w:tabs>
        <w:rPr>
          <w:sz w:val="20"/>
          <w:szCs w:val="20"/>
          <w:color w:val="auto"/>
        </w:rPr>
      </w:pPr>
      <w:r>
        <w:rPr>
          <w:rFonts w:ascii="Arial" w:cs="Arial" w:eastAsia="Arial" w:hAnsi="Arial"/>
          <w:sz w:val="18"/>
          <w:szCs w:val="18"/>
          <w:u w:val="single" w:color="auto"/>
          <w:color w:val="auto"/>
        </w:rPr>
        <w:t>Exhibit No.</w:t>
      </w:r>
      <w:r>
        <w:rPr>
          <w:sz w:val="20"/>
          <w:szCs w:val="20"/>
          <w:color w:val="auto"/>
        </w:rPr>
        <w:tab/>
      </w:r>
      <w:r>
        <w:rPr>
          <w:rFonts w:ascii="Arial" w:cs="Arial" w:eastAsia="Arial" w:hAnsi="Arial"/>
          <w:sz w:val="16"/>
          <w:szCs w:val="16"/>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1188720</wp:posOffset>
            </wp:positionH>
            <wp:positionV relativeFrom="paragraph">
              <wp:posOffset>14605</wp:posOffset>
            </wp:positionV>
            <wp:extent cx="494855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948555" cy="8890"/>
                    </a:xfrm>
                    <a:prstGeom prst="rect">
                      <a:avLst/>
                    </a:prstGeom>
                    <a:noFill/>
                  </pic:spPr>
                </pic:pic>
              </a:graphicData>
            </a:graphic>
          </wp:anchor>
        </w:drawing>
      </w:r>
    </w:p>
    <w:p>
      <w:pPr>
        <w:spacing w:after="0" w:line="219" w:lineRule="exact"/>
        <w:rPr>
          <w:sz w:val="20"/>
          <w:szCs w:val="20"/>
          <w:color w:val="auto"/>
        </w:rPr>
      </w:pPr>
    </w:p>
    <w:p>
      <w:pPr>
        <w:ind w:left="1880" w:hanging="1177"/>
        <w:spacing w:after="0"/>
        <w:tabs>
          <w:tab w:leader="none" w:pos="1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Material Contracts.</w:t>
      </w:r>
    </w:p>
    <w:p>
      <w:pPr>
        <w:spacing w:after="0" w:line="225" w:lineRule="exact"/>
        <w:rPr>
          <w:rFonts w:ascii="Arial" w:cs="Arial" w:eastAsia="Arial" w:hAnsi="Arial"/>
          <w:sz w:val="18"/>
          <w:szCs w:val="18"/>
          <w:color w:val="auto"/>
        </w:rPr>
      </w:pPr>
    </w:p>
    <w:p>
      <w:pPr>
        <w:ind w:left="2420" w:right="559" w:hanging="540"/>
        <w:spacing w:after="0" w:line="264" w:lineRule="auto"/>
        <w:rPr>
          <w:rFonts w:ascii="Arial" w:cs="Arial" w:eastAsia="Arial" w:hAnsi="Arial"/>
          <w:sz w:val="18"/>
          <w:szCs w:val="18"/>
          <w:color w:val="auto"/>
        </w:rPr>
      </w:pPr>
      <w:r>
        <w:rPr>
          <w:rFonts w:ascii="Arial" w:cs="Arial" w:eastAsia="Arial" w:hAnsi="Arial"/>
          <w:sz w:val="18"/>
          <w:szCs w:val="18"/>
          <w:color w:val="auto"/>
        </w:rPr>
        <w:t>(i)(4) Series 2004-A, Credit Agreement dated December 20, 2004 was filed as Exhibit 10(i) to a Form 8-K Current Report dated December 21, 2004 and the same is incorporated herein by reference. Schedules and Exhibits to such Agreement are filed herewith.</w:t>
      </w:r>
    </w:p>
    <w:p>
      <w:pPr>
        <w:spacing w:after="0" w:line="181" w:lineRule="exact"/>
        <w:rPr>
          <w:rFonts w:ascii="Arial" w:cs="Arial" w:eastAsia="Arial" w:hAnsi="Arial"/>
          <w:sz w:val="18"/>
          <w:szCs w:val="18"/>
          <w:color w:val="auto"/>
        </w:rPr>
      </w:pPr>
    </w:p>
    <w:p>
      <w:pPr>
        <w:ind w:left="2420" w:right="739" w:hanging="540"/>
        <w:spacing w:after="0" w:line="259" w:lineRule="auto"/>
        <w:rPr>
          <w:rFonts w:ascii="Arial" w:cs="Arial" w:eastAsia="Arial" w:hAnsi="Arial"/>
          <w:sz w:val="18"/>
          <w:szCs w:val="18"/>
          <w:color w:val="auto"/>
        </w:rPr>
      </w:pPr>
      <w:r>
        <w:rPr>
          <w:rFonts w:ascii="Arial" w:cs="Arial" w:eastAsia="Arial" w:hAnsi="Arial"/>
          <w:sz w:val="18"/>
          <w:szCs w:val="18"/>
          <w:color w:val="auto"/>
        </w:rPr>
        <w:t>(i)(5) First Amendment dated February 12, 2007 relating to Series 2004-A, Credit Agreement dated December 20, 2004, was filed as Exhibit 10(i) to a Form 8-K Current Report dated February 15, 2007 and the same is incorporated herein by reference. Schedules and Exhibits to such Agreement are filed herewith.</w:t>
      </w:r>
    </w:p>
    <w:p>
      <w:pPr>
        <w:spacing w:after="0" w:line="187" w:lineRule="exact"/>
        <w:rPr>
          <w:sz w:val="20"/>
          <w:szCs w:val="20"/>
          <w:color w:val="auto"/>
        </w:rPr>
      </w:pPr>
    </w:p>
    <w:p>
      <w:pPr>
        <w:ind w:left="2420" w:right="699" w:hanging="539"/>
        <w:spacing w:after="0" w:line="312" w:lineRule="auto"/>
        <w:tabs>
          <w:tab w:leader="none" w:pos="2400" w:val="left"/>
        </w:tabs>
        <w:rPr>
          <w:sz w:val="20"/>
          <w:szCs w:val="20"/>
          <w:color w:val="auto"/>
        </w:rPr>
      </w:pPr>
      <w:r>
        <w:rPr>
          <w:rFonts w:ascii="Arial" w:cs="Arial" w:eastAsia="Arial" w:hAnsi="Arial"/>
          <w:sz w:val="16"/>
          <w:szCs w:val="16"/>
          <w:color w:val="auto"/>
        </w:rPr>
        <w:t>(j)(2)</w:t>
        <w:tab/>
        <w:t>Series 2002-A, Senior Note Agreement dated December 18, 2002 was filed as Exhibit 10(j)(2) to a Form 10-K Annual Report for the year ended December 28, 2002 and the same is incorporated herein by reference. Schedules and Exhibits to such Agreement are filed herewith.</w:t>
      </w:r>
    </w:p>
    <w:p>
      <w:pPr>
        <w:spacing w:after="0" w:line="147" w:lineRule="exact"/>
        <w:rPr>
          <w:sz w:val="20"/>
          <w:szCs w:val="20"/>
          <w:color w:val="auto"/>
        </w:rPr>
      </w:pPr>
    </w:p>
    <w:p>
      <w:pPr>
        <w:ind w:left="1880" w:hanging="1177"/>
        <w:spacing w:after="0"/>
        <w:tabs>
          <w:tab w:leader="none" w:pos="18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Certifications.</w:t>
      </w:r>
    </w:p>
    <w:p>
      <w:pPr>
        <w:spacing w:after="0" w:line="225" w:lineRule="exact"/>
        <w:rPr>
          <w:rFonts w:ascii="Arial" w:cs="Arial" w:eastAsia="Arial" w:hAnsi="Arial"/>
          <w:sz w:val="18"/>
          <w:szCs w:val="18"/>
          <w:color w:val="auto"/>
        </w:rPr>
      </w:pPr>
    </w:p>
    <w:p>
      <w:pPr>
        <w:ind w:left="2420" w:right="1439" w:hanging="547"/>
        <w:spacing w:after="0" w:line="277" w:lineRule="auto"/>
        <w:tabs>
          <w:tab w:leader="none" w:pos="2420" w:val="left"/>
        </w:tabs>
        <w:numPr>
          <w:ilvl w:val="2"/>
          <w:numId w:val="25"/>
        </w:numPr>
        <w:rPr>
          <w:rFonts w:ascii="Arial" w:cs="Arial" w:eastAsia="Arial" w:hAnsi="Arial"/>
          <w:sz w:val="18"/>
          <w:szCs w:val="18"/>
          <w:color w:val="auto"/>
        </w:rPr>
      </w:pPr>
      <w:r>
        <w:rPr>
          <w:rFonts w:ascii="Arial" w:cs="Arial" w:eastAsia="Arial" w:hAnsi="Arial"/>
          <w:sz w:val="18"/>
          <w:szCs w:val="18"/>
          <w:color w:val="auto"/>
        </w:rPr>
        <w:t>Certificate of the Chief Executive Officer of Universal Forest Products, Inc., pursuant to Section 302 of the Sarbanes-Oxley Act of 2002 (18 U.S.C. 1350).</w:t>
      </w:r>
    </w:p>
    <w:p>
      <w:pPr>
        <w:spacing w:after="0" w:line="170" w:lineRule="exact"/>
        <w:rPr>
          <w:rFonts w:ascii="Arial" w:cs="Arial" w:eastAsia="Arial" w:hAnsi="Arial"/>
          <w:sz w:val="18"/>
          <w:szCs w:val="18"/>
          <w:color w:val="auto"/>
        </w:rPr>
      </w:pPr>
    </w:p>
    <w:p>
      <w:pPr>
        <w:ind w:left="2420" w:right="599" w:hanging="547"/>
        <w:spacing w:after="0" w:line="277" w:lineRule="auto"/>
        <w:tabs>
          <w:tab w:leader="none" w:pos="2420" w:val="left"/>
        </w:tabs>
        <w:numPr>
          <w:ilvl w:val="2"/>
          <w:numId w:val="25"/>
        </w:numPr>
        <w:rPr>
          <w:rFonts w:ascii="Arial" w:cs="Arial" w:eastAsia="Arial" w:hAnsi="Arial"/>
          <w:sz w:val="18"/>
          <w:szCs w:val="18"/>
          <w:color w:val="auto"/>
        </w:rPr>
      </w:pPr>
      <w:r>
        <w:rPr>
          <w:rFonts w:ascii="Arial" w:cs="Arial" w:eastAsia="Arial" w:hAnsi="Arial"/>
          <w:sz w:val="18"/>
          <w:szCs w:val="18"/>
          <w:color w:val="auto"/>
        </w:rPr>
        <w:t>Certificate of the Chief Financial Officer of Universal Forest Products, Inc., pursuant to Section 302 of the Sarbanes-Oxley Act of 2002 (18 U.S.C. 1350).</w:t>
      </w:r>
    </w:p>
    <w:p>
      <w:pPr>
        <w:spacing w:after="0" w:line="170" w:lineRule="exact"/>
        <w:rPr>
          <w:rFonts w:ascii="Arial" w:cs="Arial" w:eastAsia="Arial" w:hAnsi="Arial"/>
          <w:sz w:val="18"/>
          <w:szCs w:val="18"/>
          <w:color w:val="auto"/>
        </w:rPr>
      </w:pPr>
    </w:p>
    <w:p>
      <w:pPr>
        <w:ind w:left="1880" w:hanging="1177"/>
        <w:spacing w:after="0"/>
        <w:tabs>
          <w:tab w:leader="none" w:pos="18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Certifications.</w:t>
      </w:r>
    </w:p>
    <w:p>
      <w:pPr>
        <w:spacing w:after="0" w:line="225" w:lineRule="exact"/>
        <w:rPr>
          <w:rFonts w:ascii="Arial" w:cs="Arial" w:eastAsia="Arial" w:hAnsi="Arial"/>
          <w:sz w:val="18"/>
          <w:szCs w:val="18"/>
          <w:color w:val="auto"/>
        </w:rPr>
      </w:pPr>
    </w:p>
    <w:p>
      <w:pPr>
        <w:ind w:left="2420" w:right="1439" w:hanging="547"/>
        <w:spacing w:after="0" w:line="277" w:lineRule="auto"/>
        <w:tabs>
          <w:tab w:leader="none" w:pos="2420" w:val="left"/>
        </w:tabs>
        <w:numPr>
          <w:ilvl w:val="2"/>
          <w:numId w:val="25"/>
        </w:numPr>
        <w:rPr>
          <w:rFonts w:ascii="Arial" w:cs="Arial" w:eastAsia="Arial" w:hAnsi="Arial"/>
          <w:sz w:val="18"/>
          <w:szCs w:val="18"/>
          <w:color w:val="auto"/>
        </w:rPr>
      </w:pPr>
      <w:r>
        <w:rPr>
          <w:rFonts w:ascii="Arial" w:cs="Arial" w:eastAsia="Arial" w:hAnsi="Arial"/>
          <w:sz w:val="18"/>
          <w:szCs w:val="18"/>
          <w:color w:val="auto"/>
        </w:rPr>
        <w:t>Certificate of the Chief Executive Officer of Universal Forest Products, Inc., pursuant to Section 906 of the Sarbanes-Oxley Act of 2002 (18 U.S.C. 1350).</w:t>
      </w:r>
    </w:p>
    <w:p>
      <w:pPr>
        <w:spacing w:after="0" w:line="170" w:lineRule="exact"/>
        <w:rPr>
          <w:rFonts w:ascii="Arial" w:cs="Arial" w:eastAsia="Arial" w:hAnsi="Arial"/>
          <w:sz w:val="18"/>
          <w:szCs w:val="18"/>
          <w:color w:val="auto"/>
        </w:rPr>
      </w:pPr>
    </w:p>
    <w:p>
      <w:pPr>
        <w:ind w:left="2420" w:right="599" w:hanging="547"/>
        <w:spacing w:after="0" w:line="277" w:lineRule="auto"/>
        <w:tabs>
          <w:tab w:leader="none" w:pos="2420" w:val="left"/>
        </w:tabs>
        <w:numPr>
          <w:ilvl w:val="2"/>
          <w:numId w:val="25"/>
        </w:numPr>
        <w:rPr>
          <w:rFonts w:ascii="Arial" w:cs="Arial" w:eastAsia="Arial" w:hAnsi="Arial"/>
          <w:sz w:val="18"/>
          <w:szCs w:val="18"/>
          <w:color w:val="auto"/>
        </w:rPr>
      </w:pPr>
      <w:r>
        <w:rPr>
          <w:rFonts w:ascii="Arial" w:cs="Arial" w:eastAsia="Arial" w:hAnsi="Arial"/>
          <w:sz w:val="18"/>
          <w:szCs w:val="18"/>
          <w:color w:val="auto"/>
        </w:rPr>
        <w:t>Certificate of the Chief Financial Officer of Universal Forest Products, Inc., pursuant to Section 906 of the Sarbanes-Oxley Act of 2002 (18 U.S.C. 1350).</w:t>
      </w:r>
    </w:p>
    <w:p>
      <w:pPr>
        <w:spacing w:after="0" w:line="200" w:lineRule="exact"/>
        <w:rPr>
          <w:rFonts w:ascii="Arial" w:cs="Arial" w:eastAsia="Arial" w:hAnsi="Arial"/>
          <w:sz w:val="18"/>
          <w:szCs w:val="18"/>
          <w:color w:val="auto"/>
        </w:rPr>
      </w:pPr>
    </w:p>
    <w:p>
      <w:pPr>
        <w:spacing w:after="0" w:line="294"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   Indicates a compensatory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-207645</wp:posOffset>
            </wp:positionV>
            <wp:extent cx="106362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219"/>
          </w:cols>
          <w:pgMar w:left="240" w:top="419" w:right="1440" w:bottom="1440" w:gutter="0" w:footer="0" w:header="0"/>
        </w:sectPr>
      </w:pPr>
    </w:p>
    <w:bookmarkStart w:id="31" w:name="page32"/>
    <w:bookmarkEnd w:id="31"/>
    <w:p>
      <w:pPr>
        <w:jc w:val="right"/>
        <w:ind w:right="559"/>
        <w:spacing w:after="0"/>
        <w:rPr>
          <w:sz w:val="20"/>
          <w:szCs w:val="20"/>
          <w:color w:val="auto"/>
        </w:rPr>
      </w:pPr>
      <w:r>
        <w:rPr>
          <w:rFonts w:ascii="Arial" w:cs="Arial" w:eastAsia="Arial" w:hAnsi="Arial"/>
          <w:sz w:val="18"/>
          <w:szCs w:val="18"/>
          <w:color w:val="auto"/>
        </w:rPr>
        <w:t>Exhibit 31(a)</w:t>
      </w:r>
    </w:p>
    <w:p>
      <w:pPr>
        <w:spacing w:after="0" w:line="181" w:lineRule="exact"/>
        <w:rPr>
          <w:sz w:val="20"/>
          <w:szCs w:val="20"/>
          <w:color w:val="auto"/>
        </w:rPr>
      </w:pPr>
    </w:p>
    <w:p>
      <w:pPr>
        <w:jc w:val="center"/>
        <w:ind w:right="551"/>
        <w:spacing w:after="0"/>
        <w:rPr>
          <w:sz w:val="20"/>
          <w:szCs w:val="20"/>
          <w:color w:val="auto"/>
        </w:rPr>
      </w:pPr>
      <w:r>
        <w:rPr>
          <w:rFonts w:ascii="Arial" w:cs="Arial" w:eastAsia="Arial" w:hAnsi="Arial"/>
          <w:sz w:val="18"/>
          <w:szCs w:val="18"/>
          <w:b w:val="1"/>
          <w:bCs w:val="1"/>
          <w:color w:val="auto"/>
        </w:rPr>
        <w:t>Universal Forest Products, Inc.</w:t>
      </w:r>
    </w:p>
    <w:p>
      <w:pPr>
        <w:spacing w:after="0" w:line="198" w:lineRule="exact"/>
        <w:rPr>
          <w:sz w:val="20"/>
          <w:szCs w:val="20"/>
          <w:color w:val="auto"/>
        </w:rPr>
      </w:pPr>
    </w:p>
    <w:p>
      <w:pPr>
        <w:ind w:left="4168"/>
        <w:spacing w:after="0"/>
        <w:rPr>
          <w:sz w:val="20"/>
          <w:szCs w:val="20"/>
          <w:color w:val="auto"/>
        </w:rPr>
      </w:pPr>
      <w:r>
        <w:rPr>
          <w:rFonts w:ascii="Arial" w:cs="Arial" w:eastAsia="Arial" w:hAnsi="Arial"/>
          <w:sz w:val="18"/>
          <w:szCs w:val="18"/>
          <w:b w:val="1"/>
          <w:bCs w:val="1"/>
          <w:color w:val="auto"/>
        </w:rPr>
        <w:t>Certification</w:t>
      </w:r>
    </w:p>
    <w:p>
      <w:pPr>
        <w:spacing w:after="0" w:line="189" w:lineRule="exact"/>
        <w:rPr>
          <w:sz w:val="20"/>
          <w:szCs w:val="20"/>
          <w:color w:val="auto"/>
        </w:rPr>
      </w:pPr>
    </w:p>
    <w:p>
      <w:pPr>
        <w:ind w:left="8"/>
        <w:spacing w:after="0"/>
        <w:rPr>
          <w:sz w:val="20"/>
          <w:szCs w:val="20"/>
          <w:color w:val="auto"/>
        </w:rPr>
      </w:pPr>
      <w:r>
        <w:rPr>
          <w:rFonts w:ascii="Arial" w:cs="Arial" w:eastAsia="Arial" w:hAnsi="Arial"/>
          <w:sz w:val="18"/>
          <w:szCs w:val="18"/>
          <w:color w:val="auto"/>
        </w:rPr>
        <w:t>I, Michael B. Glenn, certify that:</w:t>
      </w:r>
    </w:p>
    <w:p>
      <w:pPr>
        <w:spacing w:after="0" w:line="185" w:lineRule="exact"/>
        <w:rPr>
          <w:sz w:val="20"/>
          <w:szCs w:val="20"/>
          <w:color w:val="auto"/>
        </w:rPr>
      </w:pPr>
    </w:p>
    <w:p>
      <w:pPr>
        <w:ind w:left="348" w:hanging="348"/>
        <w:spacing w:after="0"/>
        <w:tabs>
          <w:tab w:leader="none" w:pos="348"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report on Form 10-Q of Universal Forest Products, Inc.;</w:t>
      </w:r>
    </w:p>
    <w:p>
      <w:pPr>
        <w:spacing w:after="0" w:line="198" w:lineRule="exact"/>
        <w:rPr>
          <w:rFonts w:ascii="Arial" w:cs="Arial" w:eastAsia="Arial" w:hAnsi="Arial"/>
          <w:sz w:val="18"/>
          <w:szCs w:val="18"/>
          <w:color w:val="auto"/>
        </w:rPr>
      </w:pPr>
    </w:p>
    <w:p>
      <w:pPr>
        <w:jc w:val="both"/>
        <w:ind w:left="348" w:right="559" w:hanging="348"/>
        <w:spacing w:after="0" w:line="264" w:lineRule="auto"/>
        <w:tabs>
          <w:tab w:leader="none" w:pos="348"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Arial" w:cs="Arial" w:eastAsia="Arial" w:hAnsi="Arial"/>
          <w:sz w:val="18"/>
          <w:szCs w:val="18"/>
          <w:color w:val="auto"/>
        </w:rPr>
      </w:pPr>
    </w:p>
    <w:p>
      <w:pPr>
        <w:jc w:val="both"/>
        <w:ind w:left="348" w:right="559" w:hanging="348"/>
        <w:spacing w:after="0" w:line="264" w:lineRule="auto"/>
        <w:tabs>
          <w:tab w:leader="none" w:pos="348"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0" w:lineRule="exact"/>
        <w:rPr>
          <w:rFonts w:ascii="Arial" w:cs="Arial" w:eastAsia="Arial" w:hAnsi="Arial"/>
          <w:sz w:val="18"/>
          <w:szCs w:val="18"/>
          <w:color w:val="auto"/>
        </w:rPr>
      </w:pPr>
    </w:p>
    <w:p>
      <w:pPr>
        <w:jc w:val="both"/>
        <w:ind w:left="348" w:right="559" w:hanging="348"/>
        <w:spacing w:after="0" w:line="264" w:lineRule="auto"/>
        <w:tabs>
          <w:tab w:leader="none" w:pos="348"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4" w:lineRule="exact"/>
        <w:rPr>
          <w:rFonts w:ascii="Arial" w:cs="Arial" w:eastAsia="Arial" w:hAnsi="Arial"/>
          <w:sz w:val="18"/>
          <w:szCs w:val="18"/>
          <w:color w:val="auto"/>
        </w:rPr>
      </w:pPr>
    </w:p>
    <w:p>
      <w:pPr>
        <w:jc w:val="both"/>
        <w:ind w:left="708" w:right="559" w:hanging="343"/>
        <w:spacing w:after="0" w:line="259" w:lineRule="auto"/>
        <w:tabs>
          <w:tab w:leader="none" w:pos="708"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6" w:lineRule="exact"/>
        <w:rPr>
          <w:rFonts w:ascii="Arial" w:cs="Arial" w:eastAsia="Arial" w:hAnsi="Arial"/>
          <w:sz w:val="18"/>
          <w:szCs w:val="18"/>
          <w:color w:val="auto"/>
        </w:rPr>
      </w:pPr>
    </w:p>
    <w:p>
      <w:pPr>
        <w:jc w:val="both"/>
        <w:ind w:left="708" w:right="559" w:hanging="343"/>
        <w:spacing w:after="0" w:line="312" w:lineRule="auto"/>
        <w:tabs>
          <w:tab w:leader="none" w:pos="708" w:val="left"/>
        </w:tabs>
        <w:numPr>
          <w:ilvl w:val="1"/>
          <w:numId w:val="2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6" w:lineRule="exact"/>
        <w:rPr>
          <w:rFonts w:ascii="Arial" w:cs="Arial" w:eastAsia="Arial" w:hAnsi="Arial"/>
          <w:sz w:val="16"/>
          <w:szCs w:val="16"/>
          <w:color w:val="auto"/>
        </w:rPr>
      </w:pPr>
    </w:p>
    <w:p>
      <w:pPr>
        <w:jc w:val="both"/>
        <w:ind w:left="708" w:right="559" w:hanging="343"/>
        <w:spacing w:after="0" w:line="264" w:lineRule="auto"/>
        <w:tabs>
          <w:tab w:leader="none" w:pos="708" w:val="left"/>
        </w:tabs>
        <w:numPr>
          <w:ilvl w:val="1"/>
          <w:numId w:val="2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4" w:lineRule="exact"/>
        <w:rPr>
          <w:rFonts w:ascii="Arial" w:cs="Arial" w:eastAsia="Arial" w:hAnsi="Arial"/>
          <w:sz w:val="18"/>
          <w:szCs w:val="18"/>
          <w:color w:val="auto"/>
        </w:rPr>
      </w:pPr>
    </w:p>
    <w:p>
      <w:pPr>
        <w:jc w:val="both"/>
        <w:ind w:left="708" w:right="559" w:hanging="343"/>
        <w:spacing w:after="0" w:line="259" w:lineRule="auto"/>
        <w:tabs>
          <w:tab w:leader="none" w:pos="708"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6" w:lineRule="exact"/>
        <w:rPr>
          <w:rFonts w:ascii="Arial" w:cs="Arial" w:eastAsia="Arial" w:hAnsi="Arial"/>
          <w:sz w:val="18"/>
          <w:szCs w:val="18"/>
          <w:color w:val="auto"/>
        </w:rPr>
      </w:pPr>
    </w:p>
    <w:p>
      <w:pPr>
        <w:jc w:val="both"/>
        <w:ind w:left="348" w:right="559" w:hanging="348"/>
        <w:spacing w:after="0" w:line="264" w:lineRule="auto"/>
        <w:tabs>
          <w:tab w:leader="none" w:pos="348"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140" w:lineRule="exact"/>
        <w:rPr>
          <w:rFonts w:ascii="Arial" w:cs="Arial" w:eastAsia="Arial" w:hAnsi="Arial"/>
          <w:sz w:val="18"/>
          <w:szCs w:val="18"/>
          <w:color w:val="auto"/>
        </w:rPr>
      </w:pPr>
    </w:p>
    <w:p>
      <w:pPr>
        <w:jc w:val="both"/>
        <w:ind w:left="708" w:right="559" w:hanging="343"/>
        <w:spacing w:after="0" w:line="264" w:lineRule="auto"/>
        <w:tabs>
          <w:tab w:leader="none" w:pos="708" w:val="left"/>
        </w:tabs>
        <w:numPr>
          <w:ilvl w:val="1"/>
          <w:numId w:val="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4" w:lineRule="exact"/>
        <w:rPr>
          <w:rFonts w:ascii="Arial" w:cs="Arial" w:eastAsia="Arial" w:hAnsi="Arial"/>
          <w:sz w:val="18"/>
          <w:szCs w:val="18"/>
          <w:color w:val="auto"/>
        </w:rPr>
      </w:pPr>
    </w:p>
    <w:p>
      <w:pPr>
        <w:ind w:left="708" w:right="559" w:hanging="343"/>
        <w:spacing w:after="0" w:line="277" w:lineRule="auto"/>
        <w:tabs>
          <w:tab w:leader="none" w:pos="708"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8" w:type="dxa"/>
        <w:tblCellMar>
          <w:top w:w="0" w:type="dxa"/>
          <w:left w:w="0" w:type="dxa"/>
          <w:bottom w:w="0" w:type="dxa"/>
          <w:right w:w="0" w:type="dxa"/>
        </w:tblCellMar>
      </w:tblP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Date: April 21, 2010</w:t>
            </w:r>
          </w:p>
        </w:tc>
        <w:tc>
          <w:tcPr>
            <w:tcW w:w="4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B. Glenn</w:t>
            </w:r>
          </w:p>
        </w:tc>
      </w:tr>
      <w:tr>
        <w:trPr>
          <w:trHeight w:val="195"/>
        </w:trPr>
        <w:tc>
          <w:tcPr>
            <w:tcW w:w="3980" w:type="dxa"/>
            <w:vAlign w:val="bottom"/>
          </w:tcPr>
          <w:p>
            <w:pPr>
              <w:spacing w:after="0"/>
              <w:rPr>
                <w:sz w:val="16"/>
                <w:szCs w:val="16"/>
                <w:color w:val="auto"/>
              </w:rPr>
            </w:pPr>
          </w:p>
        </w:tc>
        <w:tc>
          <w:tcPr>
            <w:tcW w:w="4100" w:type="dxa"/>
            <w:vAlign w:val="bottom"/>
          </w:tcPr>
          <w:p>
            <w:pPr>
              <w:spacing w:after="0" w:line="195" w:lineRule="exact"/>
              <w:rPr>
                <w:sz w:val="20"/>
                <w:szCs w:val="20"/>
                <w:color w:val="auto"/>
              </w:rPr>
            </w:pPr>
            <w:r>
              <w:rPr>
                <w:rFonts w:ascii="Arial" w:cs="Arial" w:eastAsia="Arial" w:hAnsi="Arial"/>
                <w:sz w:val="18"/>
                <w:szCs w:val="18"/>
                <w:color w:val="auto"/>
              </w:rPr>
              <w:t>Michael B. Glenn,</w:t>
            </w:r>
          </w:p>
        </w:tc>
      </w:tr>
      <w:tr>
        <w:trPr>
          <w:trHeight w:val="230"/>
        </w:trPr>
        <w:tc>
          <w:tcPr>
            <w:tcW w:w="398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w w:val="94"/>
              </w:rPr>
              <w:t>Chief Executive Officer and Principal Executive Officer</w:t>
            </w:r>
          </w:p>
        </w:tc>
      </w:tr>
    </w:tbl>
    <w:p>
      <w:pPr>
        <w:sectPr>
          <w:pgSz w:w="11900" w:h="16838" w:orient="portrait"/>
          <w:cols w:equalWidth="0" w:num="1">
            <w:col w:w="9887"/>
          </w:cols>
          <w:pgMar w:left="572" w:top="125" w:right="1440" w:bottom="1440" w:gutter="0" w:footer="0" w:header="0"/>
        </w:sectPr>
      </w:pPr>
    </w:p>
    <w:bookmarkStart w:id="32" w:name="page33"/>
    <w:bookmarkEnd w:id="32"/>
    <w:p>
      <w:pPr>
        <w:jc w:val="right"/>
        <w:ind w:right="559"/>
        <w:spacing w:after="0"/>
        <w:rPr>
          <w:sz w:val="20"/>
          <w:szCs w:val="20"/>
          <w:color w:val="auto"/>
        </w:rPr>
      </w:pPr>
      <w:r>
        <w:rPr>
          <w:rFonts w:ascii="Arial" w:cs="Arial" w:eastAsia="Arial" w:hAnsi="Arial"/>
          <w:sz w:val="18"/>
          <w:szCs w:val="18"/>
          <w:color w:val="auto"/>
        </w:rPr>
        <w:t>Exhibit 31(b)</w:t>
      </w:r>
    </w:p>
    <w:p>
      <w:pPr>
        <w:spacing w:after="0" w:line="194" w:lineRule="exact"/>
        <w:rPr>
          <w:sz w:val="20"/>
          <w:szCs w:val="20"/>
          <w:color w:val="auto"/>
        </w:rPr>
      </w:pPr>
    </w:p>
    <w:p>
      <w:pPr>
        <w:jc w:val="center"/>
        <w:ind w:right="551"/>
        <w:spacing w:after="0"/>
        <w:rPr>
          <w:sz w:val="20"/>
          <w:szCs w:val="20"/>
          <w:color w:val="auto"/>
        </w:rPr>
      </w:pPr>
      <w:r>
        <w:rPr>
          <w:rFonts w:ascii="Arial" w:cs="Arial" w:eastAsia="Arial" w:hAnsi="Arial"/>
          <w:sz w:val="18"/>
          <w:szCs w:val="18"/>
          <w:b w:val="1"/>
          <w:bCs w:val="1"/>
          <w:color w:val="auto"/>
        </w:rPr>
        <w:t>Universal Forest Products, Inc.</w:t>
      </w:r>
    </w:p>
    <w:p>
      <w:pPr>
        <w:spacing w:after="0" w:line="185" w:lineRule="exact"/>
        <w:rPr>
          <w:sz w:val="20"/>
          <w:szCs w:val="20"/>
          <w:color w:val="auto"/>
        </w:rPr>
      </w:pPr>
    </w:p>
    <w:p>
      <w:pPr>
        <w:jc w:val="center"/>
        <w:ind w:right="551"/>
        <w:spacing w:after="0"/>
        <w:rPr>
          <w:sz w:val="20"/>
          <w:szCs w:val="20"/>
          <w:color w:val="auto"/>
        </w:rPr>
      </w:pPr>
      <w:r>
        <w:rPr>
          <w:rFonts w:ascii="Arial" w:cs="Arial" w:eastAsia="Arial" w:hAnsi="Arial"/>
          <w:sz w:val="18"/>
          <w:szCs w:val="18"/>
          <w:b w:val="1"/>
          <w:bCs w:val="1"/>
          <w:color w:val="auto"/>
        </w:rPr>
        <w:t>Certification</w:t>
      </w:r>
    </w:p>
    <w:p>
      <w:pPr>
        <w:spacing w:after="0" w:line="189" w:lineRule="exact"/>
        <w:rPr>
          <w:sz w:val="20"/>
          <w:szCs w:val="20"/>
          <w:color w:val="auto"/>
        </w:rPr>
      </w:pPr>
    </w:p>
    <w:p>
      <w:pPr>
        <w:ind w:left="8"/>
        <w:spacing w:after="0"/>
        <w:rPr>
          <w:sz w:val="20"/>
          <w:szCs w:val="20"/>
          <w:color w:val="auto"/>
        </w:rPr>
      </w:pPr>
      <w:r>
        <w:rPr>
          <w:rFonts w:ascii="Arial" w:cs="Arial" w:eastAsia="Arial" w:hAnsi="Arial"/>
          <w:sz w:val="18"/>
          <w:szCs w:val="18"/>
          <w:color w:val="auto"/>
        </w:rPr>
        <w:t>I, Michael R. Cole, certify that:</w:t>
      </w:r>
    </w:p>
    <w:p>
      <w:pPr>
        <w:spacing w:after="0" w:line="198" w:lineRule="exact"/>
        <w:rPr>
          <w:sz w:val="20"/>
          <w:szCs w:val="20"/>
          <w:color w:val="auto"/>
        </w:rPr>
      </w:pPr>
    </w:p>
    <w:p>
      <w:pPr>
        <w:ind w:left="348" w:hanging="348"/>
        <w:spacing w:after="0"/>
        <w:tabs>
          <w:tab w:leader="none" w:pos="348"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report on Form 10-Q of Universal Forest Products, Inc.;</w:t>
      </w:r>
    </w:p>
    <w:p>
      <w:pPr>
        <w:spacing w:after="0" w:line="184" w:lineRule="exact"/>
        <w:rPr>
          <w:rFonts w:ascii="Arial" w:cs="Arial" w:eastAsia="Arial" w:hAnsi="Arial"/>
          <w:sz w:val="18"/>
          <w:szCs w:val="18"/>
          <w:color w:val="auto"/>
        </w:rPr>
      </w:pPr>
    </w:p>
    <w:p>
      <w:pPr>
        <w:jc w:val="both"/>
        <w:ind w:left="348" w:right="559" w:hanging="348"/>
        <w:spacing w:after="0" w:line="264" w:lineRule="auto"/>
        <w:tabs>
          <w:tab w:leader="none" w:pos="348"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Arial" w:cs="Arial" w:eastAsia="Arial" w:hAnsi="Arial"/>
          <w:sz w:val="18"/>
          <w:szCs w:val="18"/>
          <w:color w:val="auto"/>
        </w:rPr>
      </w:pPr>
    </w:p>
    <w:p>
      <w:pPr>
        <w:jc w:val="both"/>
        <w:ind w:left="348" w:right="559" w:hanging="348"/>
        <w:spacing w:after="0" w:line="264" w:lineRule="auto"/>
        <w:tabs>
          <w:tab w:leader="none" w:pos="348"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4" w:lineRule="exact"/>
        <w:rPr>
          <w:rFonts w:ascii="Arial" w:cs="Arial" w:eastAsia="Arial" w:hAnsi="Arial"/>
          <w:sz w:val="18"/>
          <w:szCs w:val="18"/>
          <w:color w:val="auto"/>
        </w:rPr>
      </w:pPr>
    </w:p>
    <w:p>
      <w:pPr>
        <w:jc w:val="both"/>
        <w:ind w:left="348" w:right="559" w:hanging="348"/>
        <w:spacing w:after="0" w:line="264" w:lineRule="auto"/>
        <w:tabs>
          <w:tab w:leader="none" w:pos="348"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rFonts w:ascii="Arial" w:cs="Arial" w:eastAsia="Arial" w:hAnsi="Arial"/>
          <w:sz w:val="18"/>
          <w:szCs w:val="18"/>
          <w:color w:val="auto"/>
        </w:rPr>
      </w:pPr>
    </w:p>
    <w:p>
      <w:pPr>
        <w:jc w:val="both"/>
        <w:ind w:left="708" w:right="559" w:hanging="343"/>
        <w:spacing w:after="0" w:line="259" w:lineRule="auto"/>
        <w:tabs>
          <w:tab w:leader="none" w:pos="708"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6" w:lineRule="exact"/>
        <w:rPr>
          <w:rFonts w:ascii="Arial" w:cs="Arial" w:eastAsia="Arial" w:hAnsi="Arial"/>
          <w:sz w:val="18"/>
          <w:szCs w:val="18"/>
          <w:color w:val="auto"/>
        </w:rPr>
      </w:pPr>
    </w:p>
    <w:p>
      <w:pPr>
        <w:jc w:val="both"/>
        <w:ind w:left="708" w:right="559" w:hanging="343"/>
        <w:spacing w:after="0" w:line="312" w:lineRule="auto"/>
        <w:tabs>
          <w:tab w:leader="none" w:pos="708" w:val="left"/>
        </w:tabs>
        <w:numPr>
          <w:ilvl w:val="1"/>
          <w:numId w:val="2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9" w:lineRule="exact"/>
        <w:rPr>
          <w:rFonts w:ascii="Arial" w:cs="Arial" w:eastAsia="Arial" w:hAnsi="Arial"/>
          <w:sz w:val="16"/>
          <w:szCs w:val="16"/>
          <w:color w:val="auto"/>
        </w:rPr>
      </w:pPr>
    </w:p>
    <w:p>
      <w:pPr>
        <w:jc w:val="both"/>
        <w:ind w:left="708" w:right="559" w:hanging="343"/>
        <w:spacing w:after="0" w:line="264" w:lineRule="auto"/>
        <w:tabs>
          <w:tab w:leader="none" w:pos="708" w:val="left"/>
        </w:tabs>
        <w:numPr>
          <w:ilvl w:val="1"/>
          <w:numId w:val="2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8"/>
          <w:szCs w:val="18"/>
          <w:color w:val="auto"/>
        </w:rPr>
      </w:pPr>
    </w:p>
    <w:p>
      <w:pPr>
        <w:jc w:val="both"/>
        <w:ind w:left="708" w:right="559" w:hanging="343"/>
        <w:spacing w:after="0" w:line="259" w:lineRule="auto"/>
        <w:tabs>
          <w:tab w:leader="none" w:pos="708"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6" w:lineRule="exact"/>
        <w:rPr>
          <w:rFonts w:ascii="Arial" w:cs="Arial" w:eastAsia="Arial" w:hAnsi="Arial"/>
          <w:sz w:val="18"/>
          <w:szCs w:val="18"/>
          <w:color w:val="auto"/>
        </w:rPr>
      </w:pPr>
    </w:p>
    <w:p>
      <w:pPr>
        <w:jc w:val="both"/>
        <w:ind w:left="348" w:right="559" w:hanging="348"/>
        <w:spacing w:after="0" w:line="264" w:lineRule="auto"/>
        <w:tabs>
          <w:tab w:leader="none" w:pos="348"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154" w:lineRule="exact"/>
        <w:rPr>
          <w:rFonts w:ascii="Arial" w:cs="Arial" w:eastAsia="Arial" w:hAnsi="Arial"/>
          <w:sz w:val="18"/>
          <w:szCs w:val="18"/>
          <w:color w:val="auto"/>
        </w:rPr>
      </w:pPr>
    </w:p>
    <w:p>
      <w:pPr>
        <w:jc w:val="both"/>
        <w:ind w:left="708" w:right="559" w:hanging="343"/>
        <w:spacing w:after="0" w:line="264" w:lineRule="auto"/>
        <w:tabs>
          <w:tab w:leader="none" w:pos="708" w:val="left"/>
        </w:tabs>
        <w:numPr>
          <w:ilvl w:val="1"/>
          <w:numId w:val="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Arial" w:cs="Arial" w:eastAsia="Arial" w:hAnsi="Arial"/>
          <w:sz w:val="18"/>
          <w:szCs w:val="18"/>
          <w:color w:val="auto"/>
        </w:rPr>
      </w:pPr>
    </w:p>
    <w:p>
      <w:pPr>
        <w:ind w:left="708" w:right="559" w:hanging="343"/>
        <w:spacing w:after="0" w:line="277" w:lineRule="auto"/>
        <w:tabs>
          <w:tab w:leader="none" w:pos="708"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8" w:type="dxa"/>
        <w:tblCellMar>
          <w:top w:w="0" w:type="dxa"/>
          <w:left w:w="0" w:type="dxa"/>
          <w:bottom w:w="0" w:type="dxa"/>
          <w:right w:w="0" w:type="dxa"/>
        </w:tblCellMar>
      </w:tblP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Date: April 21, 2010</w:t>
            </w:r>
          </w:p>
        </w:tc>
        <w:tc>
          <w:tcPr>
            <w:tcW w:w="3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R. Cole</w:t>
            </w:r>
          </w:p>
        </w:tc>
      </w:tr>
      <w:tr>
        <w:trPr>
          <w:trHeight w:val="195"/>
        </w:trPr>
        <w:tc>
          <w:tcPr>
            <w:tcW w:w="4480" w:type="dxa"/>
            <w:vAlign w:val="bottom"/>
          </w:tcPr>
          <w:p>
            <w:pPr>
              <w:spacing w:after="0"/>
              <w:rPr>
                <w:sz w:val="16"/>
                <w:szCs w:val="16"/>
                <w:color w:val="auto"/>
              </w:rPr>
            </w:pPr>
          </w:p>
        </w:tc>
        <w:tc>
          <w:tcPr>
            <w:tcW w:w="3460" w:type="dxa"/>
            <w:vAlign w:val="bottom"/>
          </w:tcPr>
          <w:p>
            <w:pPr>
              <w:spacing w:after="0" w:line="195" w:lineRule="exact"/>
              <w:rPr>
                <w:sz w:val="20"/>
                <w:szCs w:val="20"/>
                <w:color w:val="auto"/>
              </w:rPr>
            </w:pPr>
            <w:r>
              <w:rPr>
                <w:rFonts w:ascii="Arial" w:cs="Arial" w:eastAsia="Arial" w:hAnsi="Arial"/>
                <w:sz w:val="18"/>
                <w:szCs w:val="18"/>
                <w:color w:val="auto"/>
              </w:rPr>
              <w:t>Michael R. Cole,</w:t>
            </w:r>
          </w:p>
        </w:tc>
      </w:tr>
      <w:tr>
        <w:trPr>
          <w:trHeight w:val="216"/>
        </w:trPr>
        <w:tc>
          <w:tcPr>
            <w:tcW w:w="448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448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Principal Financial Officer and</w:t>
            </w:r>
          </w:p>
        </w:tc>
      </w:tr>
      <w:tr>
        <w:trPr>
          <w:trHeight w:val="230"/>
        </w:trPr>
        <w:tc>
          <w:tcPr>
            <w:tcW w:w="4480" w:type="dxa"/>
            <w:vAlign w:val="bottom"/>
          </w:tcPr>
          <w:p>
            <w:pPr>
              <w:spacing w:after="0"/>
              <w:rPr>
                <w:sz w:val="20"/>
                <w:szCs w:val="20"/>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Principal Accounting Officer</w:t>
            </w:r>
          </w:p>
        </w:tc>
      </w:tr>
    </w:tbl>
    <w:p>
      <w:pPr>
        <w:sectPr>
          <w:pgSz w:w="11900" w:h="16838" w:orient="portrait"/>
          <w:cols w:equalWidth="0" w:num="1">
            <w:col w:w="9887"/>
          </w:cols>
          <w:pgMar w:left="572" w:top="517" w:right="1440" w:bottom="1440" w:gutter="0" w:footer="0" w:header="0"/>
        </w:sectPr>
      </w:pPr>
    </w:p>
    <w:bookmarkStart w:id="33" w:name="page34"/>
    <w:bookmarkEnd w:id="33"/>
    <w:p>
      <w:pPr>
        <w:jc w:val="right"/>
        <w:ind w:right="559"/>
        <w:spacing w:after="0"/>
        <w:rPr>
          <w:sz w:val="20"/>
          <w:szCs w:val="20"/>
          <w:color w:val="auto"/>
        </w:rPr>
      </w:pPr>
      <w:r>
        <w:rPr>
          <w:rFonts w:ascii="Arial" w:cs="Arial" w:eastAsia="Arial" w:hAnsi="Arial"/>
          <w:sz w:val="18"/>
          <w:szCs w:val="18"/>
          <w:color w:val="auto"/>
        </w:rPr>
        <w:t>Exhibit 32(a)</w:t>
      </w:r>
    </w:p>
    <w:p>
      <w:pPr>
        <w:spacing w:after="0" w:line="198"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CERTIFICATE OF THE</w:t>
      </w:r>
    </w:p>
    <w:p>
      <w:pPr>
        <w:spacing w:after="0" w:line="23"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CHIEF EXECUTIVE OFFICER OF</w:t>
      </w:r>
    </w:p>
    <w:p>
      <w:pPr>
        <w:spacing w:after="0" w:line="9"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UNIVERSAL FOREST PRODUCTS, INC.</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Pursuant to Section 906 of the Sarbanes-Oxley Act of 2002 (18 U.S.C. 1350):</w:t>
      </w:r>
    </w:p>
    <w:p>
      <w:pPr>
        <w:spacing w:after="0" w:line="185" w:lineRule="exact"/>
        <w:rPr>
          <w:sz w:val="20"/>
          <w:szCs w:val="20"/>
          <w:color w:val="auto"/>
        </w:rPr>
      </w:pPr>
    </w:p>
    <w:p>
      <w:pPr>
        <w:ind w:right="559" w:firstLine="373"/>
        <w:spacing w:after="0" w:line="277" w:lineRule="auto"/>
        <w:rPr>
          <w:sz w:val="20"/>
          <w:szCs w:val="20"/>
          <w:color w:val="auto"/>
        </w:rPr>
      </w:pPr>
      <w:r>
        <w:rPr>
          <w:rFonts w:ascii="Arial" w:cs="Arial" w:eastAsia="Arial" w:hAnsi="Arial"/>
          <w:sz w:val="18"/>
          <w:szCs w:val="18"/>
          <w:color w:val="auto"/>
        </w:rPr>
        <w:t>I, Michael B. Glenn, Chief Executive Officer of Universal Forest Products, Inc., certify, to the best of my knowledge and belief, pursuant to Section 906 of the Sarbanes-Oxley Act of 2002 (18 U.S.C. 1350) that:</w:t>
      </w:r>
    </w:p>
    <w:p>
      <w:pPr>
        <w:spacing w:after="0" w:line="143" w:lineRule="exact"/>
        <w:rPr>
          <w:sz w:val="20"/>
          <w:szCs w:val="20"/>
          <w:color w:val="auto"/>
        </w:rPr>
      </w:pPr>
    </w:p>
    <w:p>
      <w:pPr>
        <w:ind w:right="559" w:firstLine="365"/>
        <w:spacing w:after="0" w:line="277" w:lineRule="auto"/>
        <w:tabs>
          <w:tab w:leader="none" w:pos="636"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quarterly report on Form 10-Q for the quarterly period ended March 27, 2010, which this statement accompanies, fully complies with requirements of Section 13(a) or 15(d) of the Securities Exchange Act of 1934; and</w:t>
      </w:r>
    </w:p>
    <w:p>
      <w:pPr>
        <w:spacing w:after="0" w:line="129" w:lineRule="exact"/>
        <w:rPr>
          <w:rFonts w:ascii="Arial" w:cs="Arial" w:eastAsia="Arial" w:hAnsi="Arial"/>
          <w:sz w:val="18"/>
          <w:szCs w:val="18"/>
          <w:color w:val="auto"/>
        </w:rPr>
      </w:pPr>
    </w:p>
    <w:p>
      <w:pPr>
        <w:ind w:right="559" w:firstLine="365"/>
        <w:spacing w:after="0" w:line="308" w:lineRule="auto"/>
        <w:tabs>
          <w:tab w:leader="none" w:pos="637"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information contained in this quarterly report on Form 10-Q for the quarterly period ended March 27, 2010 fairly presents, in all material respects, the financial condition and results of operations of Universal Forest Products, Inc.</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00" w:type="dxa"/>
            <w:vAlign w:val="bottom"/>
          </w:tcPr>
          <w:p>
            <w:pPr>
              <w:spacing w:after="0"/>
              <w:rPr>
                <w:sz w:val="20"/>
                <w:szCs w:val="20"/>
                <w:color w:val="auto"/>
              </w:rPr>
            </w:pPr>
          </w:p>
        </w:tc>
        <w:tc>
          <w:tcPr>
            <w:tcW w:w="5560" w:type="dxa"/>
            <w:vAlign w:val="bottom"/>
            <w:gridSpan w:val="2"/>
          </w:tcPr>
          <w:p>
            <w:pPr>
              <w:ind w:left="1120"/>
              <w:spacing w:after="0"/>
              <w:rPr>
                <w:sz w:val="20"/>
                <w:szCs w:val="20"/>
                <w:color w:val="auto"/>
              </w:rPr>
            </w:pPr>
            <w:r>
              <w:rPr>
                <w:rFonts w:ascii="Arial" w:cs="Arial" w:eastAsia="Arial" w:hAnsi="Arial"/>
                <w:sz w:val="18"/>
                <w:szCs w:val="18"/>
                <w:color w:val="auto"/>
              </w:rPr>
              <w:t>UNIVERSAL FOREST PRODUCTS, INC.</w:t>
            </w:r>
          </w:p>
        </w:tc>
      </w:tr>
      <w:tr>
        <w:trPr>
          <w:trHeight w:val="432"/>
        </w:trPr>
        <w:tc>
          <w:tcPr>
            <w:tcW w:w="2600" w:type="dxa"/>
            <w:vAlign w:val="bottom"/>
          </w:tcPr>
          <w:p>
            <w:pPr>
              <w:spacing w:after="0"/>
              <w:rPr>
                <w:sz w:val="20"/>
                <w:szCs w:val="20"/>
                <w:color w:val="auto"/>
              </w:rPr>
            </w:pPr>
            <w:r>
              <w:rPr>
                <w:rFonts w:ascii="Arial" w:cs="Arial" w:eastAsia="Arial" w:hAnsi="Arial"/>
                <w:sz w:val="18"/>
                <w:szCs w:val="18"/>
                <w:color w:val="auto"/>
              </w:rPr>
              <w:t>Date: April 21, 2010</w:t>
            </w:r>
          </w:p>
        </w:tc>
        <w:tc>
          <w:tcPr>
            <w:tcW w:w="5560" w:type="dxa"/>
            <w:vAlign w:val="bottom"/>
            <w:gridSpan w:val="2"/>
          </w:tcPr>
          <w:p>
            <w:pPr>
              <w:ind w:left="1120"/>
              <w:spacing w:after="0"/>
              <w:rPr>
                <w:sz w:val="20"/>
                <w:szCs w:val="20"/>
                <w:color w:val="auto"/>
              </w:rPr>
            </w:pPr>
            <w:r>
              <w:rPr>
                <w:rFonts w:ascii="Arial" w:cs="Arial" w:eastAsia="Arial" w:hAnsi="Arial"/>
                <w:sz w:val="18"/>
                <w:szCs w:val="18"/>
                <w:color w:val="auto"/>
              </w:rPr>
              <w:t>By: /s/ Michael B. Glenn</w:t>
            </w:r>
          </w:p>
        </w:tc>
      </w:tr>
      <w:tr>
        <w:trPr>
          <w:trHeight w:val="195"/>
        </w:trPr>
        <w:tc>
          <w:tcPr>
            <w:tcW w:w="26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40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Michael B. Glenn,</w:t>
            </w:r>
          </w:p>
        </w:tc>
      </w:tr>
      <w:tr>
        <w:trPr>
          <w:trHeight w:val="230"/>
        </w:trPr>
        <w:tc>
          <w:tcPr>
            <w:tcW w:w="26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080" w:type="dxa"/>
            <w:vAlign w:val="bottom"/>
          </w:tcPr>
          <w:p>
            <w:pPr>
              <w:spacing w:after="0"/>
              <w:rPr>
                <w:sz w:val="20"/>
                <w:szCs w:val="20"/>
                <w:color w:val="auto"/>
              </w:rPr>
            </w:pPr>
            <w:r>
              <w:rPr>
                <w:rFonts w:ascii="Arial" w:cs="Arial" w:eastAsia="Arial" w:hAnsi="Arial"/>
                <w:sz w:val="18"/>
                <w:szCs w:val="18"/>
                <w:color w:val="auto"/>
                <w:w w:val="93"/>
              </w:rPr>
              <w:t>Chief Executive Officer and Principal Executive Officer</w:t>
            </w:r>
          </w:p>
        </w:tc>
      </w:tr>
    </w:tbl>
    <w:p>
      <w:pPr>
        <w:spacing w:after="0" w:line="161" w:lineRule="exact"/>
        <w:rPr>
          <w:sz w:val="20"/>
          <w:szCs w:val="20"/>
          <w:color w:val="auto"/>
        </w:rPr>
      </w:pPr>
    </w:p>
    <w:p>
      <w:pPr>
        <w:jc w:val="both"/>
        <w:ind w:right="559"/>
        <w:spacing w:after="0" w:line="279" w:lineRule="auto"/>
        <w:rPr>
          <w:sz w:val="20"/>
          <w:szCs w:val="20"/>
          <w:color w:val="auto"/>
        </w:rPr>
      </w:pPr>
      <w:r>
        <w:rPr>
          <w:rFonts w:ascii="Arial" w:cs="Arial" w:eastAsia="Arial" w:hAnsi="Arial"/>
          <w:sz w:val="17"/>
          <w:szCs w:val="17"/>
          <w:color w:val="auto"/>
        </w:rPr>
        <w:t>The signed original of this written statement required by Section 906, or any other document authenticating, acknowledging, or otherwise adopting the signature that appears in typed form within the electronic version of this written statement required by Section 906, has been provided to Universal Forest Products, Inc. and will be retained by Universal Forest Products, Inc. and furnished to the Securities and Exchange Commission or its staff upon request.</w:t>
      </w:r>
    </w:p>
    <w:p>
      <w:pPr>
        <w:sectPr>
          <w:pgSz w:w="11900" w:h="16838" w:orient="portrait"/>
          <w:cols w:equalWidth="0" w:num="1">
            <w:col w:w="9879"/>
          </w:cols>
          <w:pgMar w:left="580" w:top="517" w:right="1440" w:bottom="1440" w:gutter="0" w:footer="0" w:header="0"/>
        </w:sectPr>
      </w:pPr>
    </w:p>
    <w:bookmarkStart w:id="34" w:name="page35"/>
    <w:bookmarkEnd w:id="34"/>
    <w:p>
      <w:pPr>
        <w:jc w:val="right"/>
        <w:ind w:right="559"/>
        <w:spacing w:after="0"/>
        <w:rPr>
          <w:sz w:val="20"/>
          <w:szCs w:val="20"/>
          <w:color w:val="auto"/>
        </w:rPr>
      </w:pPr>
      <w:r>
        <w:rPr>
          <w:rFonts w:ascii="Arial" w:cs="Arial" w:eastAsia="Arial" w:hAnsi="Arial"/>
          <w:sz w:val="18"/>
          <w:szCs w:val="18"/>
          <w:color w:val="auto"/>
        </w:rPr>
        <w:t>Exhibit 32(b)</w:t>
      </w:r>
    </w:p>
    <w:p>
      <w:pPr>
        <w:spacing w:after="0" w:line="185"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CERTIFICATE OF THE</w:t>
      </w:r>
    </w:p>
    <w:p>
      <w:pPr>
        <w:spacing w:after="0" w:line="23"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CHIEF FINANCIAL OFFICER OF</w:t>
      </w:r>
    </w:p>
    <w:p>
      <w:pPr>
        <w:spacing w:after="0" w:line="9"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UNIVERSAL FOREST PRODUCTS, INC.</w:t>
      </w:r>
    </w:p>
    <w:p>
      <w:pPr>
        <w:spacing w:after="0" w:line="18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Pursuant to Section 906 of the Sarbanes-Oxley Act of 2002 (18 U.S.C. 1350):</w:t>
      </w:r>
    </w:p>
    <w:p>
      <w:pPr>
        <w:spacing w:after="0" w:line="185" w:lineRule="exact"/>
        <w:rPr>
          <w:sz w:val="20"/>
          <w:szCs w:val="20"/>
          <w:color w:val="auto"/>
        </w:rPr>
      </w:pPr>
    </w:p>
    <w:p>
      <w:pPr>
        <w:ind w:right="559" w:firstLine="373"/>
        <w:spacing w:after="0" w:line="277" w:lineRule="auto"/>
        <w:rPr>
          <w:sz w:val="20"/>
          <w:szCs w:val="20"/>
          <w:color w:val="auto"/>
        </w:rPr>
      </w:pPr>
      <w:r>
        <w:rPr>
          <w:rFonts w:ascii="Arial" w:cs="Arial" w:eastAsia="Arial" w:hAnsi="Arial"/>
          <w:sz w:val="18"/>
          <w:szCs w:val="18"/>
          <w:color w:val="auto"/>
        </w:rPr>
        <w:t>I, Michael R. Cole, Chief Financial Officer of Universal Forest Products, Inc., certify, to the best of my knowledge and belief, pursuant to Section 906 of the Sarbanes-Oxley Act of 2002 (18 U.S.C. 1350) that:</w:t>
      </w:r>
    </w:p>
    <w:p>
      <w:pPr>
        <w:spacing w:after="0" w:line="130" w:lineRule="exact"/>
        <w:rPr>
          <w:sz w:val="20"/>
          <w:szCs w:val="20"/>
          <w:color w:val="auto"/>
        </w:rPr>
      </w:pPr>
    </w:p>
    <w:p>
      <w:pPr>
        <w:ind w:right="559" w:firstLine="365"/>
        <w:spacing w:after="0" w:line="277" w:lineRule="auto"/>
        <w:tabs>
          <w:tab w:leader="none" w:pos="636"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quarterly report on Form 10-Q for the quarterly period ended March 27, 2010, which this statement accompanies, fully complies with requirements of Section 13(a) or 15(d) of the Securities Exchange Act of 1934; and</w:t>
      </w:r>
    </w:p>
    <w:p>
      <w:pPr>
        <w:spacing w:after="0" w:line="143" w:lineRule="exact"/>
        <w:rPr>
          <w:rFonts w:ascii="Arial" w:cs="Arial" w:eastAsia="Arial" w:hAnsi="Arial"/>
          <w:sz w:val="18"/>
          <w:szCs w:val="18"/>
          <w:color w:val="auto"/>
        </w:rPr>
      </w:pPr>
    </w:p>
    <w:p>
      <w:pPr>
        <w:ind w:right="559" w:firstLine="365"/>
        <w:spacing w:after="0" w:line="308" w:lineRule="auto"/>
        <w:tabs>
          <w:tab w:leader="none" w:pos="637"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information contained in this quarterly report on Form 10-Q for the quarterly period ended March 27, 2010 fairly presents, in all material respects, the financial condition and results of operations of Universal Forest Products, Inc.</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20" w:type="dxa"/>
            <w:vAlign w:val="bottom"/>
          </w:tcPr>
          <w:p>
            <w:pPr>
              <w:spacing w:after="0"/>
              <w:rPr>
                <w:sz w:val="20"/>
                <w:szCs w:val="20"/>
                <w:color w:val="auto"/>
              </w:rPr>
            </w:pPr>
          </w:p>
        </w:tc>
        <w:tc>
          <w:tcPr>
            <w:tcW w:w="5040" w:type="dxa"/>
            <w:vAlign w:val="bottom"/>
            <w:gridSpan w:val="2"/>
          </w:tcPr>
          <w:p>
            <w:pPr>
              <w:ind w:left="1420"/>
              <w:spacing w:after="0"/>
              <w:rPr>
                <w:sz w:val="20"/>
                <w:szCs w:val="20"/>
                <w:color w:val="auto"/>
              </w:rPr>
            </w:pPr>
            <w:r>
              <w:rPr>
                <w:rFonts w:ascii="Arial" w:cs="Arial" w:eastAsia="Arial" w:hAnsi="Arial"/>
                <w:sz w:val="18"/>
                <w:szCs w:val="18"/>
                <w:color w:val="auto"/>
              </w:rPr>
              <w:t>UNIVERSAL FOREST PRODUCTS, INC.</w:t>
            </w:r>
          </w:p>
        </w:tc>
      </w:tr>
      <w:tr>
        <w:trPr>
          <w:trHeight w:val="432"/>
        </w:trPr>
        <w:tc>
          <w:tcPr>
            <w:tcW w:w="2920" w:type="dxa"/>
            <w:vAlign w:val="bottom"/>
          </w:tcPr>
          <w:p>
            <w:pPr>
              <w:spacing w:after="0"/>
              <w:rPr>
                <w:sz w:val="20"/>
                <w:szCs w:val="20"/>
                <w:color w:val="auto"/>
              </w:rPr>
            </w:pPr>
            <w:r>
              <w:rPr>
                <w:rFonts w:ascii="Arial" w:cs="Arial" w:eastAsia="Arial" w:hAnsi="Arial"/>
                <w:sz w:val="18"/>
                <w:szCs w:val="18"/>
                <w:color w:val="auto"/>
              </w:rPr>
              <w:t>Date: April 21, 2010</w:t>
            </w:r>
          </w:p>
        </w:tc>
        <w:tc>
          <w:tcPr>
            <w:tcW w:w="5040" w:type="dxa"/>
            <w:vAlign w:val="bottom"/>
            <w:gridSpan w:val="2"/>
          </w:tcPr>
          <w:p>
            <w:pPr>
              <w:ind w:left="1420"/>
              <w:spacing w:after="0"/>
              <w:rPr>
                <w:sz w:val="20"/>
                <w:szCs w:val="20"/>
                <w:color w:val="auto"/>
              </w:rPr>
            </w:pPr>
            <w:r>
              <w:rPr>
                <w:rFonts w:ascii="Arial" w:cs="Arial" w:eastAsia="Arial" w:hAnsi="Arial"/>
                <w:sz w:val="18"/>
                <w:szCs w:val="18"/>
                <w:color w:val="auto"/>
              </w:rPr>
              <w:t>By: /s/ Michael R. Cole</w:t>
            </w:r>
          </w:p>
        </w:tc>
      </w:tr>
      <w:tr>
        <w:trPr>
          <w:trHeight w:val="195"/>
        </w:trPr>
        <w:tc>
          <w:tcPr>
            <w:tcW w:w="29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32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Michael R. Cole,</w:t>
            </w:r>
          </w:p>
        </w:tc>
      </w:tr>
      <w:tr>
        <w:trPr>
          <w:trHeight w:val="216"/>
        </w:trPr>
        <w:tc>
          <w:tcPr>
            <w:tcW w:w="29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29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Principal Financial Officer and</w:t>
            </w:r>
          </w:p>
        </w:tc>
      </w:tr>
      <w:tr>
        <w:trPr>
          <w:trHeight w:val="230"/>
        </w:trPr>
        <w:tc>
          <w:tcPr>
            <w:tcW w:w="29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Principal Accounting Officer</w:t>
            </w:r>
          </w:p>
        </w:tc>
      </w:tr>
    </w:tbl>
    <w:p>
      <w:pPr>
        <w:spacing w:after="0" w:line="161" w:lineRule="exact"/>
        <w:rPr>
          <w:sz w:val="20"/>
          <w:szCs w:val="20"/>
          <w:color w:val="auto"/>
        </w:rPr>
      </w:pPr>
    </w:p>
    <w:p>
      <w:pPr>
        <w:jc w:val="both"/>
        <w:ind w:right="559"/>
        <w:spacing w:after="0" w:line="279" w:lineRule="auto"/>
        <w:rPr>
          <w:sz w:val="20"/>
          <w:szCs w:val="20"/>
          <w:color w:val="auto"/>
        </w:rPr>
      </w:pPr>
      <w:r>
        <w:rPr>
          <w:rFonts w:ascii="Arial" w:cs="Arial" w:eastAsia="Arial" w:hAnsi="Arial"/>
          <w:sz w:val="17"/>
          <w:szCs w:val="17"/>
          <w:color w:val="auto"/>
        </w:rPr>
        <w:t>The signed original of this written statement required by Section 906, or any other document authenticating, acknowledging, or otherwise adopting the signature that appears in typed form within the electronic version of this written statement required by Section 906, has been provided to Universal Forest Products, Inc. and will be retained by Universal Forest Products, Inc. and furnished to the Securities and Exchange Commission or its staff upon request.</w:t>
      </w:r>
    </w:p>
    <w:sectPr>
      <w:pgSz w:w="11900" w:h="16838" w:orient="portrait"/>
      <w:cols w:equalWidth="0" w:num="1">
        <w:col w:w="9879"/>
      </w:cols>
      <w:pgMar w:left="58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o"/>
      <w:numFmt w:val="bullet"/>
      <w:start w:val="1"/>
    </w:lvl>
  </w:abstractNum>
  <w:abstractNum w:abstractNumId="2">
    <w:nsid w:val="6B68079A"/>
    <w:multiLevelType w:val="hybridMultilevel"/>
    <w:lvl w:ilvl="0">
      <w:lvlJc w:val="left"/>
      <w:lvlText w:val="%1."/>
      <w:numFmt w:val="upperLetter"/>
      <w:start w:val="1"/>
    </w:lvl>
  </w:abstractNum>
  <w:abstractNum w:abstractNumId="3">
    <w:nsid w:val="4E6AFB66"/>
    <w:multiLevelType w:val="hybridMultilevel"/>
    <w:lvl w:ilvl="0">
      <w:lvlJc w:val="left"/>
      <w:lvlText w:val="%1."/>
      <w:numFmt w:val="upperLetter"/>
      <w:start w:val="3"/>
    </w:lvl>
  </w:abstractNum>
  <w:abstractNum w:abstractNumId="4">
    <w:nsid w:val="25E45D32"/>
    <w:multiLevelType w:val="hybridMultilevel"/>
    <w:lvl w:ilvl="0">
      <w:lvlJc w:val="left"/>
      <w:lvlText w:val="%1."/>
      <w:numFmt w:val="upperLetter"/>
      <w:start w:val="4"/>
    </w:lvl>
  </w:abstractNum>
  <w:abstractNum w:abstractNumId="5">
    <w:nsid w:val="519B500D"/>
    <w:multiLevelType w:val="hybridMultilevel"/>
    <w:lvl w:ilvl="0">
      <w:lvlJc w:val="left"/>
      <w:lvlText w:val="%1."/>
      <w:numFmt w:val="upperLetter"/>
      <w:start w:val="5"/>
    </w:lvl>
  </w:abstractNum>
  <w:abstractNum w:abstractNumId="6">
    <w:nsid w:val="431BD7B7"/>
    <w:multiLevelType w:val="hybridMultilevel"/>
    <w:lvl w:ilvl="0">
      <w:lvlJc w:val="left"/>
      <w:lvlText w:val="%1."/>
      <w:numFmt w:val="upperLetter"/>
      <w:start w:val="6"/>
    </w:lvl>
  </w:abstractNum>
  <w:abstractNum w:abstractNumId="7">
    <w:nsid w:val="3F2DBA31"/>
    <w:multiLevelType w:val="hybridMultilevel"/>
    <w:lvl w:ilvl="0">
      <w:lvlJc w:val="left"/>
      <w:lvlText w:val="%1."/>
      <w:numFmt w:val="upperLetter"/>
      <w:start w:val="7"/>
    </w:lvl>
  </w:abstractNum>
  <w:abstractNum w:abstractNumId="8">
    <w:nsid w:val="7C83E458"/>
    <w:multiLevelType w:val="hybridMultilevel"/>
    <w:lvl w:ilvl="0">
      <w:lvlJc w:val="left"/>
      <w:lvlText w:val="%1."/>
      <w:numFmt w:val="upperLetter"/>
      <w:start w:val="8"/>
    </w:lvl>
  </w:abstractNum>
  <w:abstractNum w:abstractNumId="9">
    <w:nsid w:val="257130A3"/>
    <w:multiLevelType w:val="hybridMultilevel"/>
    <w:lvl w:ilvl="0">
      <w:lvlJc w:val="left"/>
      <w:lvlText w:val="%1."/>
      <w:numFmt w:val="upperLetter"/>
      <w:start w:val="9"/>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1)"/>
      <w:numFmt w:val="lowerLetter"/>
      <w:start w:val="1"/>
    </w:lvl>
  </w:abstractNum>
  <w:abstractNum w:abstractNumId="19">
    <w:nsid w:val="8EDBDAB"/>
    <w:multiLevelType w:val="hybridMultilevel"/>
    <w:lvl w:ilvl="0">
      <w:lvlJc w:val="left"/>
      <w:lvlText w:val="(%1)"/>
      <w:numFmt w:val="lowerLetter"/>
      <w:start w:val="1"/>
    </w:lvl>
  </w:abstractNum>
  <w:abstractNum w:abstractNumId="20">
    <w:nsid w:val="79838CB2"/>
    <w:multiLevelType w:val="hybridMultilevel"/>
    <w:lvl w:ilvl="0">
      <w:lvlJc w:val="left"/>
      <w:lvlText w:val="(%1)"/>
      <w:numFmt w:val="decimal"/>
      <w:start w:val="1"/>
    </w:lvl>
  </w:abstractNum>
  <w:abstractNum w:abstractNumId="21">
    <w:nsid w:val="4353D0CD"/>
    <w:multiLevelType w:val="hybridMultilevel"/>
    <w:lvl w:ilvl="0">
      <w:lvlJc w:val="left"/>
      <w:lvlText w:val="%1"/>
      <w:numFmt w:val="decimal"/>
      <w:start w:val="10"/>
    </w:lvl>
  </w:abstractNum>
  <w:abstractNum w:abstractNumId="22">
    <w:nsid w:val="B03E0C6"/>
    <w:multiLevelType w:val="hybridMultilevel"/>
    <w:lvl w:ilvl="0">
      <w:lvlJc w:val="left"/>
      <w:lvlText w:val="*"/>
      <w:numFmt w:val="bullet"/>
      <w:start w:val="1"/>
    </w:lvl>
    <w:lvl w:ilvl="1">
      <w:lvlJc w:val="left"/>
      <w:lvlText w:val="%2"/>
      <w:numFmt w:val="decimal"/>
      <w:start w:val="31"/>
    </w:lvl>
    <w:lvl w:ilvl="2">
      <w:lvlJc w:val="left"/>
      <w:lvlText w:val="(%3)"/>
      <w:numFmt w:val="lowerLetter"/>
      <w:start w:val="1"/>
    </w:lvl>
  </w:abstractNum>
  <w:abstractNum w:abstractNumId="23">
    <w:nsid w:val="189A769B"/>
    <w:multiLevelType w:val="hybridMultilevel"/>
    <w:lvl w:ilvl="0">
      <w:lvlJc w:val="left"/>
      <w:lvlText w:val="%1"/>
      <w:numFmt w:val="decimal"/>
      <w:start w:val="10"/>
    </w:lvl>
  </w:abstractNum>
  <w:abstractNum w:abstractNumId="24">
    <w:nsid w:val="54E49EB4"/>
    <w:multiLevelType w:val="hybridMultilevel"/>
    <w:lvl w:ilvl="0">
      <w:lvlJc w:val="left"/>
      <w:lvlText w:val="*"/>
      <w:numFmt w:val="bullet"/>
      <w:start w:val="1"/>
    </w:lvl>
    <w:lvl w:ilvl="1">
      <w:lvlJc w:val="left"/>
      <w:lvlText w:val="%2"/>
      <w:numFmt w:val="decimal"/>
      <w:start w:val="31"/>
    </w:lvl>
    <w:lvl w:ilvl="2">
      <w:lvlJc w:val="left"/>
      <w:lvlText w:val="(%3)"/>
      <w:numFmt w:val="lowerLetter"/>
      <w:start w:val="1"/>
    </w:lvl>
  </w:abstractNum>
  <w:abstractNum w:abstractNumId="25">
    <w:nsid w:val="71F32454"/>
    <w:multiLevelType w:val="hybridMultilevel"/>
    <w:lvl w:ilvl="0">
      <w:lvlJc w:val="left"/>
      <w:lvlText w:val="%1."/>
      <w:numFmt w:val="decimal"/>
      <w:start w:val="1"/>
    </w:lvl>
    <w:lvl w:ilvl="1">
      <w:lvlJc w:val="left"/>
      <w:lvlText w:val="%2."/>
      <w:numFmt w:val="lowerLetter"/>
      <w:start w:val="1"/>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2019-12-10T11:52:12Z</dcterms:created>
  <dcterms:modified xsi:type="dcterms:W3CDTF">2019-12-10T11:52:12Z</dcterms:modified>
</cp:coreProperties>
</file>