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ind w:right="11"/>
        <w:spacing w:after="0"/>
        <w:rPr>
          <w:sz w:val="20"/>
          <w:szCs w:val="20"/>
          <w:color w:val="auto"/>
        </w:rPr>
      </w:pPr>
      <w:r>
        <w:rPr>
          <w:rFonts w:ascii="Arial" w:cs="Arial" w:eastAsia="Arial" w:hAnsi="Arial"/>
          <w:sz w:val="20"/>
          <w:szCs w:val="20"/>
          <w:color w:val="auto"/>
        </w:rPr>
        <w:t>Washington, D.C. 20549</w:t>
      </w:r>
    </w:p>
    <w:p>
      <w:pPr>
        <w:spacing w:after="0" w:line="81" w:lineRule="exact"/>
        <w:rPr>
          <w:sz w:val="24"/>
          <w:szCs w:val="24"/>
          <w:color w:val="auto"/>
        </w:rPr>
      </w:pPr>
    </w:p>
    <w:p>
      <w:pPr>
        <w:jc w:val="center"/>
        <w:ind w:right="11"/>
        <w:spacing w:after="0" w:line="311" w:lineRule="exact"/>
        <w:rPr>
          <w:sz w:val="20"/>
          <w:szCs w:val="20"/>
          <w:color w:val="auto"/>
        </w:rPr>
      </w:pPr>
      <w:r>
        <w:rPr>
          <w:rFonts w:ascii="Arial" w:cs="Arial" w:eastAsia="Arial" w:hAnsi="Arial"/>
          <w:sz w:val="27"/>
          <w:szCs w:val="27"/>
          <w:b w:val="1"/>
          <w:bCs w:val="1"/>
          <w:color w:val="auto"/>
        </w:rPr>
        <w:t>FORM 10</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K</w:t>
      </w:r>
    </w:p>
    <w:p>
      <w:pPr>
        <w:spacing w:after="0" w:line="126" w:lineRule="exact"/>
        <w:rPr>
          <w:sz w:val="24"/>
          <w:szCs w:val="24"/>
          <w:color w:val="auto"/>
        </w:rPr>
      </w:pPr>
    </w:p>
    <w:p>
      <w:pPr>
        <w:ind w:left="649" w:right="380" w:hanging="649"/>
        <w:spacing w:after="0" w:line="293" w:lineRule="auto"/>
        <w:tabs>
          <w:tab w:leader="none" w:pos="7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u w:val="single" w:color="auto"/>
          <w:color w:val="auto"/>
        </w:rPr>
        <w:t>December 30, 2017</w:t>
      </w:r>
      <w:r>
        <w:rPr>
          <w:rFonts w:ascii="Arial" w:cs="Arial" w:eastAsia="Arial" w:hAnsi="Arial"/>
          <w:sz w:val="16"/>
          <w:szCs w:val="16"/>
          <w:color w:val="auto"/>
        </w:rPr>
        <w:t>.</w:t>
      </w:r>
    </w:p>
    <w:p>
      <w:pPr>
        <w:spacing w:after="0" w:line="64"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OR</w:t>
      </w:r>
    </w:p>
    <w:p>
      <w:pPr>
        <w:spacing w:after="0" w:line="127" w:lineRule="exact"/>
        <w:rPr>
          <w:sz w:val="24"/>
          <w:szCs w:val="24"/>
          <w:color w:val="auto"/>
        </w:rPr>
      </w:pPr>
    </w:p>
    <w:p>
      <w:pPr>
        <w:ind w:left="649" w:right="140" w:hanging="649"/>
        <w:spacing w:after="0" w:line="293" w:lineRule="auto"/>
        <w:tabs>
          <w:tab w:leader="none" w:pos="79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of ____ to _____.</w:t>
      </w:r>
    </w:p>
    <w:p>
      <w:pPr>
        <w:spacing w:after="0" w:line="64" w:lineRule="exact"/>
        <w:rPr>
          <w:sz w:val="24"/>
          <w:szCs w:val="24"/>
          <w:color w:val="auto"/>
        </w:rPr>
      </w:pPr>
    </w:p>
    <w:p>
      <w:pPr>
        <w:ind w:left="9"/>
        <w:spacing w:after="0" w:line="184" w:lineRule="exact"/>
        <w:rPr>
          <w:sz w:val="20"/>
          <w:szCs w:val="20"/>
          <w:color w:val="auto"/>
        </w:rPr>
      </w:pPr>
      <w:r>
        <w:rPr>
          <w:rFonts w:ascii="Arial" w:cs="Arial" w:eastAsia="Arial" w:hAnsi="Arial"/>
          <w:sz w:val="16"/>
          <w:szCs w:val="16"/>
          <w:color w:val="auto"/>
        </w:rPr>
        <w:t>Commission File No.: 0</w:t>
      </w:r>
      <w:r>
        <w:rPr>
          <w:rFonts w:ascii="MS PGothic" w:cs="MS PGothic" w:eastAsia="MS PGothic" w:hAnsi="MS PGothic"/>
          <w:sz w:val="16"/>
          <w:szCs w:val="16"/>
          <w:color w:val="auto"/>
        </w:rPr>
        <w:t>‑</w:t>
      </w:r>
      <w:r>
        <w:rPr>
          <w:rFonts w:ascii="Arial" w:cs="Arial" w:eastAsia="Arial" w:hAnsi="Arial"/>
          <w:sz w:val="16"/>
          <w:szCs w:val="16"/>
          <w:color w:val="auto"/>
        </w:rPr>
        <w:t>22684</w:t>
      </w:r>
    </w:p>
    <w:p>
      <w:pPr>
        <w:spacing w:after="0" w:line="109"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UNIVERSAL FOREST PRODUCTS, INC.</w:t>
      </w:r>
    </w:p>
    <w:p>
      <w:pPr>
        <w:spacing w:after="0" w:line="32"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409"/>
          </w:cols>
          <w:pgMar w:left="751" w:top="378" w:right="739" w:bottom="1440" w:gutter="0" w:footer="0" w:header="0"/>
        </w:sectPr>
      </w:pPr>
    </w:p>
    <w:p>
      <w:pPr>
        <w:spacing w:after="0" w:line="109" w:lineRule="exact"/>
        <w:rPr>
          <w:sz w:val="24"/>
          <w:szCs w:val="24"/>
          <w:color w:val="auto"/>
        </w:rPr>
      </w:pPr>
    </w:p>
    <w:p>
      <w:pPr>
        <w:jc w:val="center"/>
        <w:ind w:right="771"/>
        <w:spacing w:after="0"/>
        <w:rPr>
          <w:sz w:val="20"/>
          <w:szCs w:val="20"/>
          <w:color w:val="auto"/>
        </w:rPr>
      </w:pPr>
      <w:r>
        <w:rPr>
          <w:rFonts w:ascii="Arial" w:cs="Arial" w:eastAsia="Arial" w:hAnsi="Arial"/>
          <w:sz w:val="16"/>
          <w:szCs w:val="16"/>
          <w:b w:val="1"/>
          <w:bCs w:val="1"/>
          <w:color w:val="auto"/>
        </w:rPr>
        <w:t>Michigan</w:t>
      </w:r>
    </w:p>
    <w:p>
      <w:pPr>
        <w:spacing w:after="0" w:line="10" w:lineRule="exact"/>
        <w:rPr>
          <w:sz w:val="24"/>
          <w:szCs w:val="24"/>
          <w:color w:val="auto"/>
        </w:rPr>
      </w:pPr>
    </w:p>
    <w:p>
      <w:pPr>
        <w:jc w:val="center"/>
        <w:ind w:right="771"/>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340"/>
        <w:spacing w:after="0" w:line="184" w:lineRule="exact"/>
        <w:rPr>
          <w:sz w:val="20"/>
          <w:szCs w:val="20"/>
          <w:color w:val="auto"/>
        </w:rPr>
      </w:pPr>
      <w:r>
        <w:rPr>
          <w:rFonts w:ascii="Arial" w:cs="Arial" w:eastAsia="Arial" w:hAnsi="Arial"/>
          <w:sz w:val="16"/>
          <w:szCs w:val="16"/>
          <w:b w:val="1"/>
          <w:bCs w:val="1"/>
          <w:color w:val="auto"/>
        </w:rPr>
        <w:t>38</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1465835</w:t>
      </w:r>
    </w:p>
    <w:p>
      <w:pPr>
        <w:spacing w:after="0" w:line="10"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(I.R.S. Employer Identification No.)</w:t>
      </w:r>
    </w:p>
    <w:p>
      <w:pPr>
        <w:spacing w:after="0" w:line="80" w:lineRule="exact"/>
        <w:rPr>
          <w:sz w:val="24"/>
          <w:szCs w:val="24"/>
          <w:color w:val="auto"/>
        </w:rPr>
      </w:pPr>
    </w:p>
    <w:p>
      <w:pPr>
        <w:sectPr>
          <w:pgSz w:w="11900" w:h="16838" w:orient="portrait"/>
          <w:cols w:equalWidth="0" w:num="2">
            <w:col w:w="5989" w:space="720"/>
            <w:col w:w="3700"/>
          </w:cols>
          <w:pgMar w:left="751" w:top="378" w:right="739" w:bottom="1440" w:gutter="0" w:footer="0" w:header="0"/>
          <w:type w:val="continuous"/>
        </w:sectPr>
      </w:pPr>
    </w:p>
    <w:p>
      <w:pPr>
        <w:jc w:val="center"/>
        <w:ind w:right="1591"/>
        <w:spacing w:after="0"/>
        <w:rPr>
          <w:sz w:val="20"/>
          <w:szCs w:val="20"/>
          <w:color w:val="auto"/>
        </w:rPr>
      </w:pPr>
      <w:r>
        <w:rPr>
          <w:rFonts w:ascii="Arial" w:cs="Arial" w:eastAsia="Arial" w:hAnsi="Arial"/>
          <w:sz w:val="14"/>
          <w:szCs w:val="14"/>
          <w:b w:val="1"/>
          <w:bCs w:val="1"/>
          <w:color w:val="auto"/>
        </w:rPr>
        <w:t>2801 East Beltline, N.E., Grand Rapids, Michigan</w:t>
      </w:r>
    </w:p>
    <w:p>
      <w:pPr>
        <w:spacing w:after="0" w:line="33" w:lineRule="exact"/>
        <w:rPr>
          <w:sz w:val="24"/>
          <w:szCs w:val="24"/>
          <w:color w:val="auto"/>
        </w:rPr>
      </w:pPr>
    </w:p>
    <w:p>
      <w:pPr>
        <w:jc w:val="center"/>
        <w:ind w:right="1591"/>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49525</w:t>
      </w:r>
    </w:p>
    <w:p>
      <w:pPr>
        <w:spacing w:after="0" w:line="10" w:lineRule="exact"/>
        <w:rPr>
          <w:sz w:val="24"/>
          <w:szCs w:val="24"/>
          <w:color w:val="auto"/>
        </w:rPr>
      </w:pPr>
    </w:p>
    <w:p>
      <w:pPr>
        <w:jc w:val="center"/>
        <w:ind w:right="2160"/>
        <w:spacing w:after="0"/>
        <w:rPr>
          <w:sz w:val="20"/>
          <w:szCs w:val="20"/>
          <w:color w:val="auto"/>
        </w:rPr>
      </w:pPr>
      <w:r>
        <w:rPr>
          <w:rFonts w:ascii="Arial" w:cs="Arial" w:eastAsia="Arial" w:hAnsi="Arial"/>
          <w:sz w:val="15"/>
          <w:szCs w:val="15"/>
          <w:color w:val="auto"/>
        </w:rPr>
        <w:t>(Zip Code)</w:t>
      </w:r>
    </w:p>
    <w:p>
      <w:pPr>
        <w:spacing w:after="0" w:line="106" w:lineRule="exact"/>
        <w:rPr>
          <w:sz w:val="24"/>
          <w:szCs w:val="24"/>
          <w:color w:val="auto"/>
        </w:rPr>
      </w:pPr>
    </w:p>
    <w:p>
      <w:pPr>
        <w:sectPr>
          <w:pgSz w:w="11900" w:h="16838" w:orient="portrait"/>
          <w:cols w:equalWidth="0" w:num="2">
            <w:col w:w="6809" w:space="720"/>
            <w:col w:w="2880"/>
          </w:cols>
          <w:pgMar w:left="751" w:top="378" w:right="739" w:bottom="1440" w:gutter="0" w:footer="0" w:header="0"/>
          <w:type w:val="continuous"/>
        </w:sectPr>
      </w:pPr>
    </w:p>
    <w:p>
      <w:pPr>
        <w:ind w:left="9"/>
        <w:spacing w:after="0" w:line="161" w:lineRule="exact"/>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 364</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6161</w:t>
      </w:r>
    </w:p>
    <w:p>
      <w:pPr>
        <w:spacing w:after="0" w:line="154" w:lineRule="exact"/>
        <w:rPr>
          <w:sz w:val="24"/>
          <w:szCs w:val="24"/>
          <w:color w:val="auto"/>
        </w:rPr>
      </w:pPr>
    </w:p>
    <w:p>
      <w:pPr>
        <w:ind w:left="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0409"/>
          </w:cols>
          <w:pgMar w:left="751" w:top="378" w:right="739" w:bottom="1440" w:gutter="0" w:footer="0" w:header="0"/>
          <w:type w:val="continuous"/>
        </w:sectPr>
      </w:pPr>
    </w:p>
    <w:p>
      <w:pPr>
        <w:spacing w:after="0" w:line="140" w:lineRule="exact"/>
        <w:rPr>
          <w:sz w:val="24"/>
          <w:szCs w:val="24"/>
          <w:color w:val="auto"/>
        </w:rPr>
      </w:pPr>
    </w:p>
    <w:p>
      <w:pPr>
        <w:jc w:val="center"/>
        <w:ind w:right="371"/>
        <w:spacing w:after="0"/>
        <w:rPr>
          <w:sz w:val="20"/>
          <w:szCs w:val="20"/>
          <w:color w:val="auto"/>
        </w:rPr>
      </w:pPr>
      <w:r>
        <w:rPr>
          <w:rFonts w:ascii="Arial" w:cs="Arial" w:eastAsia="Arial" w:hAnsi="Arial"/>
          <w:sz w:val="16"/>
          <w:szCs w:val="16"/>
          <w:color w:val="auto"/>
        </w:rPr>
        <w:t>Title Of Each Class</w:t>
      </w:r>
    </w:p>
    <w:p>
      <w:pPr>
        <w:spacing w:after="0" w:line="22" w:lineRule="exact"/>
        <w:rPr>
          <w:sz w:val="24"/>
          <w:szCs w:val="24"/>
          <w:color w:val="auto"/>
        </w:rPr>
      </w:pPr>
    </w:p>
    <w:p>
      <w:pPr>
        <w:jc w:val="center"/>
        <w:ind w:right="371"/>
        <w:spacing w:after="0"/>
        <w:rPr>
          <w:sz w:val="20"/>
          <w:szCs w:val="20"/>
          <w:color w:val="auto"/>
        </w:rPr>
      </w:pPr>
      <w:r>
        <w:rPr>
          <w:rFonts w:ascii="Arial" w:cs="Arial" w:eastAsia="Arial" w:hAnsi="Arial"/>
          <w:sz w:val="14"/>
          <w:szCs w:val="14"/>
          <w:b w:val="1"/>
          <w:bCs w:val="1"/>
          <w:color w:val="auto"/>
        </w:rPr>
        <w:t>Common Stock, $1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Name of Each Exchange on Which Registered</w:t>
      </w:r>
    </w:p>
    <w:p>
      <w:pPr>
        <w:spacing w:after="0" w:line="4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NASDAQ Global Select Market</w:t>
      </w:r>
    </w:p>
    <w:p>
      <w:pPr>
        <w:spacing w:after="0" w:line="93" w:lineRule="exact"/>
        <w:rPr>
          <w:sz w:val="24"/>
          <w:szCs w:val="24"/>
          <w:color w:val="auto"/>
        </w:rPr>
      </w:pPr>
    </w:p>
    <w:p>
      <w:pPr>
        <w:sectPr>
          <w:pgSz w:w="11900" w:h="16838" w:orient="portrait"/>
          <w:cols w:equalWidth="0" w:num="2">
            <w:col w:w="5569" w:space="720"/>
            <w:col w:w="4120"/>
          </w:cols>
          <w:pgMar w:left="751" w:top="378" w:right="739" w:bottom="1440" w:gutter="0" w:footer="0" w:header="0"/>
          <w:type w:val="continuous"/>
        </w:sectPr>
      </w:pPr>
    </w:p>
    <w:p>
      <w:pPr>
        <w:spacing w:after="0" w:line="30" w:lineRule="exact"/>
        <w:rPr>
          <w:sz w:val="24"/>
          <w:szCs w:val="24"/>
          <w:color w:val="auto"/>
        </w:rPr>
      </w:pPr>
    </w:p>
    <w:p>
      <w:pPr>
        <w:ind w:left="9"/>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49" w:lineRule="exact"/>
        <w:rPr>
          <w:sz w:val="24"/>
          <w:szCs w:val="24"/>
          <w:color w:val="auto"/>
        </w:rPr>
      </w:pPr>
    </w:p>
    <w:p>
      <w:pPr>
        <w:sectPr>
          <w:pgSz w:w="11900" w:h="16838" w:orient="portrait"/>
          <w:cols w:equalWidth="0" w:num="3">
            <w:col w:w="7609" w:space="120"/>
            <w:col w:w="420" w:space="480"/>
            <w:col w:w="1780"/>
          </w:cols>
          <w:pgMar w:left="751" w:top="378" w:right="739" w:bottom="1440" w:gutter="0" w:footer="0" w:header="0"/>
          <w:type w:val="continuous"/>
        </w:sectPr>
      </w:pPr>
    </w:p>
    <w:p>
      <w:pPr>
        <w:spacing w:after="0" w:line="30" w:lineRule="exact"/>
        <w:rPr>
          <w:sz w:val="24"/>
          <w:szCs w:val="24"/>
          <w:color w:val="auto"/>
        </w:rPr>
      </w:pPr>
    </w:p>
    <w:p>
      <w:pPr>
        <w:ind w:left="9"/>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79" w:lineRule="exact"/>
        <w:rPr>
          <w:sz w:val="24"/>
          <w:szCs w:val="24"/>
          <w:color w:val="auto"/>
        </w:rPr>
      </w:pPr>
    </w:p>
    <w:p>
      <w:pPr>
        <w:sectPr>
          <w:pgSz w:w="11900" w:h="16838" w:orient="portrait"/>
          <w:cols w:equalWidth="0" w:num="3">
            <w:col w:w="7749" w:space="120"/>
            <w:col w:w="420" w:space="500"/>
            <w:col w:w="1620"/>
          </w:cols>
          <w:pgMar w:left="751" w:top="378" w:right="739" w:bottom="1440" w:gutter="0" w:footer="0" w:header="0"/>
          <w:type w:val="continuous"/>
        </w:sectPr>
      </w:pPr>
    </w:p>
    <w:p>
      <w:pPr>
        <w:jc w:val="both"/>
        <w:ind w:left="9"/>
        <w:spacing w:after="0" w:line="210" w:lineRule="exact"/>
        <w:rPr>
          <w:sz w:val="20"/>
          <w:szCs w:val="20"/>
          <w:color w:val="auto"/>
        </w:rPr>
      </w:pPr>
      <w:r>
        <w:rPr>
          <w:rFonts w:ascii="Arial" w:cs="Arial" w:eastAsia="Arial" w:hAnsi="Arial"/>
          <w:sz w:val="16"/>
          <w:szCs w:val="16"/>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in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left="9" w:right="20"/>
        <w:spacing w:after="0" w:line="210" w:lineRule="exact"/>
        <w:rPr>
          <w:sz w:val="20"/>
          <w:szCs w:val="20"/>
          <w:color w:val="auto"/>
        </w:rPr>
      </w:pPr>
      <w:r>
        <w:rPr>
          <w:rFonts w:ascii="Arial" w:cs="Arial" w:eastAsia="Arial" w:hAnsi="Arial"/>
          <w:sz w:val="16"/>
          <w:szCs w:val="16"/>
          <w:color w:val="auto"/>
        </w:rPr>
        <w:t xml:space="preserve">Indicate by checkmark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left="9"/>
        <w:spacing w:after="0" w:line="210" w:lineRule="exact"/>
        <w:rPr>
          <w:sz w:val="20"/>
          <w:szCs w:val="20"/>
          <w:color w:val="auto"/>
        </w:rPr>
      </w:pPr>
      <w:r>
        <w:rPr>
          <w:rFonts w:ascii="Arial" w:cs="Arial" w:eastAsia="Arial" w:hAnsi="Arial"/>
          <w:sz w:val="16"/>
          <w:szCs w:val="16"/>
          <w:color w:val="auto"/>
        </w:rPr>
        <w:t>Indicate by checkmark if disclosure of delinquent filers pursuant to Items 405 of Regulation S-K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6"/>
          <w:szCs w:val="16"/>
          <w:color w:val="auto"/>
        </w:rPr>
        <w:t>‑</w:t>
      </w:r>
      <w:r>
        <w:rPr>
          <w:rFonts w:ascii="Arial" w:cs="Arial" w:eastAsia="Arial" w:hAnsi="Arial"/>
          <w:sz w:val="16"/>
          <w:szCs w:val="16"/>
          <w:color w:val="auto"/>
        </w:rPr>
        <w:t>K or any amendment to this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left="9"/>
        <w:spacing w:after="0" w:line="293" w:lineRule="auto"/>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or a smaller reporting company. (Check one):</w:t>
      </w:r>
    </w:p>
    <w:p>
      <w:pPr>
        <w:sectPr>
          <w:pgSz w:w="11900" w:h="16838" w:orient="portrait"/>
          <w:cols w:equalWidth="0" w:num="1">
            <w:col w:w="10409"/>
          </w:cols>
          <w:pgMar w:left="751" w:top="378" w:right="739" w:bottom="1440" w:gutter="0" w:footer="0" w:header="0"/>
          <w:type w:val="continuous"/>
        </w:sectPr>
      </w:pPr>
    </w:p>
    <w:p>
      <w:pPr>
        <w:spacing w:after="0" w:line="47" w:lineRule="exact"/>
        <w:rPr>
          <w:sz w:val="24"/>
          <w:szCs w:val="24"/>
          <w:color w:val="auto"/>
        </w:rPr>
      </w:pPr>
    </w:p>
    <w:p>
      <w:pPr>
        <w:ind w:left="289"/>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4">
            <w:col w:w="2009" w:space="720"/>
            <w:col w:w="1560" w:space="720"/>
            <w:col w:w="1980" w:space="720"/>
            <w:col w:w="2700"/>
          </w:cols>
          <w:pgMar w:left="751" w:top="378" w:right="739" w:bottom="1440" w:gutter="0" w:footer="0" w:header="0"/>
          <w:type w:val="continuous"/>
        </w:sectPr>
      </w:pPr>
    </w:p>
    <w:p>
      <w:pPr>
        <w:spacing w:after="0" w:line="30" w:lineRule="exact"/>
        <w:rPr>
          <w:sz w:val="24"/>
          <w:szCs w:val="24"/>
          <w:color w:val="auto"/>
        </w:rPr>
      </w:pPr>
    </w:p>
    <w:p>
      <w:pPr>
        <w:ind w:left="9"/>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w:t>
      </w:r>
      <w:r>
        <w:rPr>
          <w:rFonts w:ascii="MS PGothic" w:cs="MS PGothic" w:eastAsia="MS PGothic" w:hAnsi="MS PGothic"/>
          <w:sz w:val="14"/>
          <w:szCs w:val="14"/>
          <w:color w:val="auto"/>
        </w:rPr>
        <w:t>‑</w:t>
      </w:r>
      <w:r>
        <w:rPr>
          <w:rFonts w:ascii="Arial" w:cs="Arial" w:eastAsia="Arial" w:hAnsi="Arial"/>
          <w:sz w:val="14"/>
          <w:szCs w:val="14"/>
          <w:color w:val="auto"/>
        </w:rPr>
        <w:t>2 of the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79" w:lineRule="exact"/>
        <w:rPr>
          <w:sz w:val="24"/>
          <w:szCs w:val="24"/>
          <w:color w:val="auto"/>
        </w:rPr>
      </w:pPr>
    </w:p>
    <w:p>
      <w:pPr>
        <w:sectPr>
          <w:pgSz w:w="11900" w:h="16838" w:orient="portrait"/>
          <w:cols w:equalWidth="0" w:num="3">
            <w:col w:w="6609" w:space="100"/>
            <w:col w:w="440" w:space="480"/>
            <w:col w:w="2780"/>
          </w:cols>
          <w:pgMar w:left="751" w:top="378" w:right="739" w:bottom="1440" w:gutter="0" w:footer="0" w:header="0"/>
          <w:type w:val="continuous"/>
        </w:sectPr>
      </w:pPr>
    </w:p>
    <w:p>
      <w:pPr>
        <w:jc w:val="both"/>
        <w:ind w:left="9"/>
        <w:spacing w:after="0" w:line="278" w:lineRule="auto"/>
        <w:rPr>
          <w:sz w:val="20"/>
          <w:szCs w:val="20"/>
          <w:color w:val="auto"/>
        </w:rPr>
      </w:pPr>
      <w:r>
        <w:rPr>
          <w:rFonts w:ascii="Arial" w:cs="Arial" w:eastAsia="Arial" w:hAnsi="Arial"/>
          <w:sz w:val="16"/>
          <w:szCs w:val="16"/>
          <w:color w:val="auto"/>
        </w:rPr>
        <w:t>The aggregate market value of the common stock held by non-affiliates of the registrant (i.e. excluding shares held by executive officers, directors, and control persons as defined in Rule 405, 17 CFR 230.405) on June 30, 2017 was $1,676,557,004 computed at the closing price of $29.10 on that date, which was retroactively adjusted for the 3 for 1 stock split.</w:t>
      </w:r>
    </w:p>
    <w:p>
      <w:pPr>
        <w:spacing w:after="0" w:line="76" w:lineRule="exact"/>
        <w:rPr>
          <w:sz w:val="24"/>
          <w:szCs w:val="24"/>
          <w:color w:val="auto"/>
        </w:rPr>
      </w:pPr>
    </w:p>
    <w:p>
      <w:pPr>
        <w:ind w:left="9"/>
        <w:spacing w:after="0"/>
        <w:rPr>
          <w:sz w:val="20"/>
          <w:szCs w:val="20"/>
          <w:color w:val="auto"/>
        </w:rPr>
      </w:pPr>
      <w:r>
        <w:rPr>
          <w:rFonts w:ascii="Arial" w:cs="Arial" w:eastAsia="Arial" w:hAnsi="Arial"/>
          <w:sz w:val="16"/>
          <w:szCs w:val="16"/>
          <w:color w:val="auto"/>
        </w:rPr>
        <w:t>As of February 3, 2018, 61,210,113 shares of the registrant’s common stock, $1 par value, were outstanding.</w:t>
      </w:r>
    </w:p>
    <w:p>
      <w:pPr>
        <w:spacing w:after="0" w:line="127" w:lineRule="exact"/>
        <w:rPr>
          <w:sz w:val="24"/>
          <w:szCs w:val="24"/>
          <w:color w:val="auto"/>
        </w:rPr>
      </w:pPr>
    </w:p>
    <w:p>
      <w:pPr>
        <w:ind w:left="9"/>
        <w:spacing w:after="0"/>
        <w:rPr>
          <w:sz w:val="20"/>
          <w:szCs w:val="20"/>
          <w:color w:val="auto"/>
        </w:rPr>
      </w:pPr>
      <w:r>
        <w:rPr>
          <w:rFonts w:ascii="Arial" w:cs="Arial" w:eastAsia="Arial" w:hAnsi="Arial"/>
          <w:sz w:val="16"/>
          <w:szCs w:val="16"/>
          <w:color w:val="auto"/>
        </w:rPr>
        <w:t>Documents incorporated by reference:</w:t>
      </w:r>
    </w:p>
    <w:p>
      <w:pPr>
        <w:spacing w:after="0" w:line="127" w:lineRule="exact"/>
        <w:rPr>
          <w:sz w:val="24"/>
          <w:szCs w:val="24"/>
          <w:color w:val="auto"/>
        </w:rPr>
      </w:pPr>
    </w:p>
    <w:p>
      <w:pPr>
        <w:ind w:left="509" w:right="20" w:hanging="320"/>
        <w:spacing w:after="0" w:line="293" w:lineRule="auto"/>
        <w:tabs>
          <w:tab w:leader="none" w:pos="509"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portions of the registrant’s Annual Report to Shareholders for the fiscal year ended December 30, 2017 are incorporated by reference into Part I and II of this Report.</w:t>
      </w:r>
    </w:p>
    <w:p>
      <w:pPr>
        <w:spacing w:after="0" w:line="63" w:lineRule="exact"/>
        <w:rPr>
          <w:rFonts w:ascii="Arial" w:cs="Arial" w:eastAsia="Arial" w:hAnsi="Arial"/>
          <w:sz w:val="16"/>
          <w:szCs w:val="16"/>
          <w:color w:val="auto"/>
        </w:rPr>
      </w:pPr>
    </w:p>
    <w:p>
      <w:pPr>
        <w:ind w:left="509" w:right="20" w:hanging="320"/>
        <w:spacing w:after="0" w:line="293" w:lineRule="auto"/>
        <w:tabs>
          <w:tab w:leader="none" w:pos="509"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portions of the registrant’s Proxy Statement for its 2017 Annual Meeting of Shareholders are incorporated by reference into Part III of this Report.</w:t>
      </w:r>
    </w:p>
    <w:p>
      <w:pPr>
        <w:spacing w:after="0" w:line="64" w:lineRule="exact"/>
        <w:rPr>
          <w:sz w:val="24"/>
          <w:szCs w:val="24"/>
          <w:color w:val="auto"/>
        </w:rPr>
      </w:pPr>
    </w:p>
    <w:p>
      <w:pPr>
        <w:jc w:val="center"/>
        <w:ind w:right="-8"/>
        <w:spacing w:after="0" w:line="184" w:lineRule="exact"/>
        <w:rPr>
          <w:sz w:val="20"/>
          <w:szCs w:val="20"/>
          <w:color w:val="auto"/>
        </w:rPr>
      </w:pPr>
      <w:r>
        <w:rPr>
          <w:rFonts w:ascii="Arial" w:cs="Arial" w:eastAsia="Arial" w:hAnsi="Arial"/>
          <w:sz w:val="16"/>
          <w:szCs w:val="16"/>
          <w:color w:val="auto"/>
        </w:rPr>
        <w:t>Exhibit Index located on page E</w:t>
      </w:r>
      <w:r>
        <w:rPr>
          <w:rFonts w:ascii="MS PGothic" w:cs="MS PGothic" w:eastAsia="MS PGothic" w:hAnsi="MS PGothic"/>
          <w:sz w:val="16"/>
          <w:szCs w:val="16"/>
          <w:color w:val="auto"/>
        </w:rPr>
        <w:t>‑</w:t>
      </w: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678180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378"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gridSpan w:val="19"/>
          </w:tcPr>
          <w:p>
            <w:pPr>
              <w:jc w:val="center"/>
              <w:ind w:right="2420"/>
              <w:spacing w:after="0" w:line="207" w:lineRule="exact"/>
              <w:rPr>
                <w:sz w:val="20"/>
                <w:szCs w:val="20"/>
                <w:color w:val="auto"/>
              </w:rPr>
            </w:pPr>
            <w:r>
              <w:rPr>
                <w:rFonts w:ascii="Arial" w:cs="Arial" w:eastAsia="Arial" w:hAnsi="Arial"/>
                <w:sz w:val="18"/>
                <w:szCs w:val="18"/>
                <w:b w:val="1"/>
                <w:bCs w:val="1"/>
                <w:color w:val="auto"/>
              </w:rPr>
              <w:t>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tc>
        <w:tc>
          <w:tcPr>
            <w:tcW w:w="5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gridSpan w:val="19"/>
          </w:tcPr>
          <w:p>
            <w:pPr>
              <w:jc w:val="center"/>
              <w:ind w:right="2400"/>
              <w:spacing w:after="0"/>
              <w:rPr>
                <w:sz w:val="20"/>
                <w:szCs w:val="20"/>
                <w:color w:val="auto"/>
              </w:rPr>
            </w:pPr>
            <w:r>
              <w:rPr>
                <w:rFonts w:ascii="Arial" w:cs="Arial" w:eastAsia="Arial" w:hAnsi="Arial"/>
                <w:sz w:val="18"/>
                <w:szCs w:val="18"/>
                <w:b w:val="1"/>
                <w:bCs w:val="1"/>
                <w:color w:val="auto"/>
                <w:w w:val="96"/>
              </w:rPr>
              <w:t>DECEMBER 30, 2017</w:t>
            </w:r>
          </w:p>
        </w:tc>
        <w:tc>
          <w:tcPr>
            <w:tcW w:w="5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0" w:type="dxa"/>
            <w:vAlign w:val="bottom"/>
            <w:gridSpan w:val="19"/>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r>
      <w:tr>
        <w:trPr>
          <w:trHeight w:val="40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gridSpan w:val="12"/>
          </w:tcPr>
          <w:p>
            <w:pPr>
              <w:jc w:val="center"/>
              <w:ind w:right="374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2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320" w:type="dxa"/>
            <w:vAlign w:val="bottom"/>
            <w:gridSpan w:val="3"/>
          </w:tcPr>
          <w:p>
            <w:pPr>
              <w:spacing w:after="0"/>
              <w:rPr>
                <w:sz w:val="24"/>
                <w:szCs w:val="24"/>
                <w:color w:val="auto"/>
              </w:rPr>
            </w:pPr>
          </w:p>
        </w:tc>
        <w:tc>
          <w:tcPr>
            <w:tcW w:w="33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4"/>
                <w:szCs w:val="24"/>
                <w:color w:val="auto"/>
              </w:rPr>
            </w:pPr>
          </w:p>
        </w:tc>
        <w:tc>
          <w:tcPr>
            <w:tcW w:w="374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Item 1B.</w:t>
              </w:r>
            </w:hyperlink>
          </w:p>
        </w:tc>
        <w:tc>
          <w:tcPr>
            <w:tcW w:w="18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Unresolved Staff Comments.</w:t>
              </w:r>
            </w:hyperlink>
          </w:p>
        </w:tc>
        <w:tc>
          <w:tcPr>
            <w:tcW w:w="560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2.</w:t>
              </w:r>
            </w:hyperlink>
          </w:p>
        </w:tc>
        <w:tc>
          <w:tcPr>
            <w:tcW w:w="320" w:type="dxa"/>
            <w:vAlign w:val="bottom"/>
            <w:gridSpan w:val="3"/>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Properties.</w:t>
              </w:r>
            </w:hyperlink>
          </w:p>
        </w:tc>
        <w:tc>
          <w:tcPr>
            <w:tcW w:w="692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Item 3.</w:t>
              </w:r>
            </w:hyperlink>
          </w:p>
        </w:tc>
        <w:tc>
          <w:tcPr>
            <w:tcW w:w="320" w:type="dxa"/>
            <w:vAlign w:val="bottom"/>
            <w:gridSpan w:val="3"/>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Legal Proceedings.</w:t>
              </w:r>
            </w:hyperlink>
          </w:p>
        </w:tc>
        <w:tc>
          <w:tcPr>
            <w:tcW w:w="6320" w:type="dxa"/>
            <w:vAlign w:val="bottom"/>
            <w:gridSpan w:val="2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Item 4.</w:t>
              </w:r>
            </w:hyperlink>
          </w:p>
        </w:tc>
        <w:tc>
          <w:tcPr>
            <w:tcW w:w="320" w:type="dxa"/>
            <w:vAlign w:val="bottom"/>
            <w:gridSpan w:val="3"/>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Mine Safety Disclosures.</w:t>
              </w:r>
            </w:hyperlink>
          </w:p>
        </w:tc>
        <w:tc>
          <w:tcPr>
            <w:tcW w:w="588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8540" w:type="dxa"/>
            <w:vAlign w:val="bottom"/>
            <w:gridSpan w:val="3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Additional item Executive Officers of the Registrant.</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PART II</w:t>
              </w:r>
            </w:hyperlink>
          </w:p>
        </w:tc>
        <w:tc>
          <w:tcPr>
            <w:tcW w:w="370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5.</w:t>
              </w:r>
            </w:hyperlink>
          </w:p>
        </w:tc>
        <w:tc>
          <w:tcPr>
            <w:tcW w:w="320" w:type="dxa"/>
            <w:vAlign w:val="bottom"/>
            <w:gridSpan w:val="3"/>
          </w:tcPr>
          <w:p>
            <w:pPr>
              <w:spacing w:after="0"/>
              <w:rPr>
                <w:sz w:val="24"/>
                <w:szCs w:val="24"/>
                <w:color w:val="auto"/>
              </w:rPr>
            </w:pPr>
          </w:p>
        </w:tc>
        <w:tc>
          <w:tcPr>
            <w:tcW w:w="7700" w:type="dxa"/>
            <w:vAlign w:val="bottom"/>
            <w:gridSpan w:val="29"/>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Market for Registrant’s Common Equity, Related Shareholder Matters and Issuer Purchases of Equity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Securities.</w:t>
              </w:r>
            </w:hyperlink>
          </w:p>
        </w:tc>
        <w:tc>
          <w:tcPr>
            <w:tcW w:w="6560" w:type="dxa"/>
            <w:vAlign w:val="bottom"/>
            <w:tcBorders>
              <w:top w:val="single" w:sz="8" w:color="0000EE"/>
            </w:tcBorders>
            <w:gridSpan w:val="25"/>
          </w:tcPr>
          <w:p>
            <w:pPr>
              <w:spacing w:after="0"/>
              <w:rPr>
                <w:sz w:val="17"/>
                <w:szCs w:val="17"/>
                <w:color w:val="auto"/>
              </w:rPr>
            </w:pPr>
          </w:p>
        </w:tc>
        <w:tc>
          <w:tcPr>
            <w:tcW w:w="3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Item 6.</w:t>
              </w:r>
            </w:hyperlink>
          </w:p>
        </w:tc>
        <w:tc>
          <w:tcPr>
            <w:tcW w:w="320" w:type="dxa"/>
            <w:vAlign w:val="bottom"/>
            <w:gridSpan w:val="3"/>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Selected Financial Data.</w:t>
              </w:r>
            </w:hyperlink>
          </w:p>
        </w:tc>
        <w:tc>
          <w:tcPr>
            <w:tcW w:w="594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Item 7.</w:t>
              </w:r>
            </w:hyperlink>
          </w:p>
        </w:tc>
        <w:tc>
          <w:tcPr>
            <w:tcW w:w="320" w:type="dxa"/>
            <w:vAlign w:val="bottom"/>
            <w:gridSpan w:val="3"/>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Item 7A.</w:t>
              </w:r>
            </w:hyperlink>
          </w:p>
        </w:tc>
        <w:tc>
          <w:tcPr>
            <w:tcW w:w="180" w:type="dxa"/>
            <w:vAlign w:val="bottom"/>
          </w:tcPr>
          <w:p>
            <w:pPr>
              <w:spacing w:after="0"/>
              <w:rPr>
                <w:sz w:val="17"/>
                <w:szCs w:val="17"/>
                <w:color w:val="auto"/>
              </w:rPr>
            </w:pPr>
          </w:p>
        </w:tc>
        <w:tc>
          <w:tcPr>
            <w:tcW w:w="7700" w:type="dxa"/>
            <w:vAlign w:val="bottom"/>
            <w:gridSpan w:val="2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6"/>
          </w:tcPr>
          <w:p>
            <w:pPr>
              <w:spacing w:after="0"/>
              <w:rPr>
                <w:sz w:val="17"/>
                <w:szCs w:val="17"/>
                <w:color w:val="auto"/>
              </w:rPr>
            </w:pPr>
          </w:p>
        </w:tc>
        <w:tc>
          <w:tcPr>
            <w:tcW w:w="330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Item 9.</w:t>
              </w:r>
            </w:hyperlink>
          </w:p>
        </w:tc>
        <w:tc>
          <w:tcPr>
            <w:tcW w:w="320" w:type="dxa"/>
            <w:vAlign w:val="bottom"/>
            <w:gridSpan w:val="3"/>
          </w:tcPr>
          <w:p>
            <w:pPr>
              <w:spacing w:after="0"/>
              <w:rPr>
                <w:sz w:val="17"/>
                <w:szCs w:val="17"/>
                <w:color w:val="auto"/>
              </w:rPr>
            </w:pPr>
          </w:p>
        </w:tc>
        <w:tc>
          <w:tcPr>
            <w:tcW w:w="65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Changes In and Disagreements with Accountants on Accounting and Financial Disclosure.</w:t>
              </w:r>
            </w:hyperlink>
          </w:p>
        </w:tc>
        <w:tc>
          <w:tcPr>
            <w:tcW w:w="116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Item 9A.</w:t>
              </w:r>
            </w:hyperlink>
          </w:p>
        </w:tc>
        <w:tc>
          <w:tcPr>
            <w:tcW w:w="18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Controls and Procedures.</w:t>
              </w:r>
            </w:hyperlink>
          </w:p>
        </w:tc>
        <w:tc>
          <w:tcPr>
            <w:tcW w:w="588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9B.</w:t>
              </w:r>
            </w:hyperlink>
          </w:p>
        </w:tc>
        <w:tc>
          <w:tcPr>
            <w:tcW w:w="7700" w:type="dxa"/>
            <w:vAlign w:val="bottom"/>
            <w:gridSpan w:val="2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III</w:t>
              </w:r>
            </w:hyperlink>
          </w:p>
        </w:tc>
        <w:tc>
          <w:tcPr>
            <w:tcW w:w="36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840" w:type="dxa"/>
            <w:vAlign w:val="bottom"/>
            <w:gridSpan w:val="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10.</w:t>
              </w:r>
            </w:hyperlink>
          </w:p>
        </w:tc>
        <w:tc>
          <w:tcPr>
            <w:tcW w:w="7700" w:type="dxa"/>
            <w:vAlign w:val="bottom"/>
            <w:gridSpan w:val="2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Directors, Executive Officers and Corporate Governance.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Item 11.</w:t>
              </w:r>
            </w:hyperlink>
          </w:p>
        </w:tc>
        <w:tc>
          <w:tcPr>
            <w:tcW w:w="240" w:type="dxa"/>
            <w:vAlign w:val="bottom"/>
            <w:gridSpan w:val="2"/>
          </w:tcPr>
          <w:p>
            <w:pPr>
              <w:spacing w:after="0"/>
              <w:rPr>
                <w:sz w:val="17"/>
                <w:szCs w:val="17"/>
                <w:color w:val="auto"/>
              </w:rPr>
            </w:pPr>
          </w:p>
        </w:tc>
        <w:tc>
          <w:tcPr>
            <w:tcW w:w="4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Executive Compensation.</w:t>
              </w:r>
            </w:hyperlink>
          </w:p>
        </w:tc>
        <w:tc>
          <w:tcPr>
            <w:tcW w:w="356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4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12.</w:t>
              </w:r>
            </w:hyperlink>
          </w:p>
        </w:tc>
        <w:tc>
          <w:tcPr>
            <w:tcW w:w="7700" w:type="dxa"/>
            <w:vAlign w:val="bottom"/>
            <w:gridSpan w:val="29"/>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Security Ownership of Certain Beneficial Owners and Management and Related Shareholder Matters.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0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13.</w:t>
              </w:r>
            </w:hyperlink>
          </w:p>
        </w:tc>
        <w:tc>
          <w:tcPr>
            <w:tcW w:w="7700" w:type="dxa"/>
            <w:vAlign w:val="bottom"/>
            <w:gridSpan w:val="2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Certain Relationships and Related Transactions, and Director Independence.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0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14.</w:t>
              </w:r>
            </w:hyperlink>
          </w:p>
        </w:tc>
        <w:tc>
          <w:tcPr>
            <w:tcW w:w="7700" w:type="dxa"/>
            <w:vAlign w:val="bottom"/>
            <w:gridSpan w:val="2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Principal Accountant Fees and Services.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4"/>
          </w:tcPr>
          <w:p>
            <w:pPr>
              <w:jc w:val="center"/>
              <w:ind w:right="3680"/>
              <w:spacing w:after="0"/>
              <w:rPr>
                <w:rFonts w:ascii="Arial" w:cs="Arial" w:eastAsia="Arial" w:hAnsi="Arial"/>
                <w:sz w:val="18"/>
                <w:szCs w:val="18"/>
                <w:b w:val="1"/>
                <w:bCs w:val="1"/>
                <w:color w:val="0000EE"/>
                <w:w w:val="98"/>
              </w:rPr>
            </w:pPr>
            <w:hyperlink w:anchor="page12">
              <w:r>
                <w:rPr>
                  <w:rFonts w:ascii="Arial" w:cs="Arial" w:eastAsia="Arial" w:hAnsi="Arial"/>
                  <w:sz w:val="18"/>
                  <w:szCs w:val="18"/>
                  <w:b w:val="1"/>
                  <w:bCs w:val="1"/>
                  <w:color w:val="0000EE"/>
                  <w:w w:val="98"/>
                </w:rPr>
                <w:t>PART IV</w:t>
              </w:r>
            </w:hyperlink>
          </w:p>
        </w:tc>
        <w:tc>
          <w:tcPr>
            <w:tcW w:w="520" w:type="dxa"/>
            <w:vAlign w:val="bottom"/>
          </w:tcPr>
          <w:p>
            <w:pPr>
              <w:spacing w:after="0"/>
              <w:rPr>
                <w:sz w:val="24"/>
                <w:szCs w:val="24"/>
                <w:color w:val="auto"/>
              </w:rPr>
            </w:pPr>
          </w:p>
        </w:tc>
      </w:tr>
      <w:tr>
        <w:trPr>
          <w:trHeight w:val="412"/>
        </w:trPr>
        <w:tc>
          <w:tcPr>
            <w:tcW w:w="840" w:type="dxa"/>
            <w:vAlign w:val="bottom"/>
            <w:gridSpan w:val="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15.</w:t>
              </w:r>
            </w:hyperlink>
          </w:p>
        </w:tc>
        <w:tc>
          <w:tcPr>
            <w:tcW w:w="332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368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8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top w:val="single" w:sz="8" w:color="0000EE"/>
            </w:tcBorders>
            <w:gridSpan w:val="12"/>
          </w:tcPr>
          <w:p>
            <w:pPr>
              <w:spacing w:after="0"/>
              <w:rPr>
                <w:sz w:val="24"/>
                <w:szCs w:val="24"/>
                <w:color w:val="auto"/>
              </w:rPr>
            </w:pPr>
          </w:p>
        </w:tc>
        <w:tc>
          <w:tcPr>
            <w:tcW w:w="1020" w:type="dxa"/>
            <w:vAlign w:val="bottom"/>
            <w:gridSpan w:val="6"/>
          </w:tcPr>
          <w:p>
            <w:pPr>
              <w:jc w:val="center"/>
              <w:ind w:left="39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Development of the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Universal Forest Products, Inc. is a holding company with subsidiaries throughout North America, Europe, Asia, and in Australia that supply wood, wood composite and other products to three markets: retail, industrial, and construction. The Company is headquartered in Grand Rapids, Michigan. For more information about Universal Forest Products, Inc., or its affiliated operations, go to www.ufpi.com.</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Information relating to current developments in our business is incorporated by reference from our Annual Report to Shareholders for the fiscal year ended December 30, 2017 ("2017 Annual Report") under the caption "Management’s Discussion and Analysis of Financial Condition and Results of Operations." Selected portions of the 2017 Annual Report are filed as Exhibit 13 with this Form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Information About 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segments that are stand-alone reportable segments consist of our North, South, and West. Our operating segments that are aggregated into the All Other reportable segment are the Alternative Materials, International, idX, and Corporate divisions. Separate financial information about our segments is incorporated by reference from Note N of the Consolidated Financial Statements presented under Item 8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Narrative Description of Business.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and commercial structures. Each of our markets, Retail, Industrial and Construction, are discussed in the paragraphs which follow. Our locations generally serve customers in multiple markets.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Retail</w:t>
      </w:r>
      <w:r>
        <w:rPr>
          <w:rFonts w:ascii="Arial" w:cs="Arial" w:eastAsia="Arial" w:hAnsi="Arial"/>
          <w:sz w:val="17"/>
          <w:szCs w:val="17"/>
          <w:color w:val="auto"/>
        </w:rPr>
        <w:t>. The customers comprising this market are national home center retailers, retail-oriented regional lumberyards and contractor-oriented lumberyards. Generally, terms of sale are established for annual or bi-annual periods, and orders are placed with our regional facilities in accordance with established terms. One customer, The Home Depot, accounted for approximately 19% of our total sales in fiscal 2017, 20% in 2016, and 19% in 2015.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supply customers in this market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factor when negotiating annual sales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products offered to customers in this market include dimensional lumber (both preserved and unpreserved) and various "value-added products," some of which are sold under our trademarks. In addition to our conventional lumber products, we offer a large portfolio of outdoor living products, including wood composite decking and decorative lawn and garden products. Products sold to this market include those sold under the following trademarks: (1) ProWood (2) Deckorators (3) UFP-Edge. We also sell engineered wood components to this market, which include roof trusses, wall panels and engineered floor systems (see "Construction Market"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both"/>
        <w:spacing w:after="0" w:line="297" w:lineRule="auto"/>
        <w:rPr>
          <w:sz w:val="20"/>
          <w:szCs w:val="20"/>
          <w:color w:val="auto"/>
        </w:rPr>
      </w:pPr>
      <w:r>
        <w:rPr>
          <w:rFonts w:ascii="Arial" w:cs="Arial" w:eastAsia="Arial" w:hAnsi="Arial"/>
          <w:sz w:val="16"/>
          <w:szCs w:val="16"/>
          <w:color w:val="auto"/>
        </w:rPr>
        <w:t>We are not aware of any competitor that currently manufactures, treats and distributes a full line of both value-added and commodity products on a national basis. We face competition on individual products from several different producers, but the majority of these competitors tend to be regional in their efforts and/or do not offer a full line of outdoor lumber products. We believe the breadth of our product offering, geographic dispersion, close proximity of our plants to core customers, purchasing and manufacturing expertise, and service capabilities provide competitive advantages in this market.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Industrial Market</w:t>
      </w:r>
      <w:r>
        <w:rPr>
          <w:rFonts w:ascii="Arial" w:cs="Arial" w:eastAsia="Arial" w:hAnsi="Arial"/>
          <w:sz w:val="17"/>
          <w:szCs w:val="17"/>
          <w:color w:val="auto"/>
        </w:rPr>
        <w:t>. We define our industrial market as manufacturers and agricultural customers who use pallets, specialty crates, wooden boxes, and other containers used for packaging, shipping and material handling purposes, as well as various other products, used in a variety of different applications. Many of the products sold to this market may be produced from the by-product of other manufactured products, thereby allowing us to increase our raw material yields while expanding our business. Competition is fragmented and includes virtually every supplier of lumber convenient to the customer. We service this market with our dedicated local sales teams and through national sales support efforts.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industrial market also includes the results of operations of idX Holdings, Inc. ("idX"). idX is a designer, manufacturer and installer of highly customized interior fixtures that are used in retail and commercial structures representing several end markets. We acquired idX on September 16,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Construction Market</w:t>
      </w:r>
      <w:r>
        <w:rPr>
          <w:rFonts w:ascii="Arial" w:cs="Arial" w:eastAsia="Arial" w:hAnsi="Arial"/>
          <w:sz w:val="18"/>
          <w:szCs w:val="18"/>
          <w:color w:val="auto"/>
        </w:rPr>
        <w:t>. Our construction market is made up of customers in three submarkets - manufactured housing, residential construction and commercial construction.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customers comprising the manufactured housing market are producers of mobile, modular and prefabricated homes and recreational vehicles (RV). Products sold to customers in this market consist primarily of roof trusses, lumber cut and shaped to the customer’s specification, plywood, oriented strand board and dimensional lumber, all intended for use in the construction of manufactured housing. Sales are made by personnel located at each regional facility based on customer orders. Our principal competitive advantages include our product knowledge, the strength of our engineering support services, the close proximity of our regional facilities to our customers, our purchasing and manufacturing expertise and our ability to provide national sales programs to certain customers. These factors have enabled us to accumulate significant market share in the products we supply. We also distribute products such as siding, electrical and plumbing products to manufactured housing and RV customers.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customers comprising the residential construction market are primarily large-volume, multi-tract builders and smaller volume custom builders. We also supply builders engaged in multi-family and commercial construction. In addition, we supply wood forms and related products to set or form concrete for various structures including large parking garages, stadiums and bridges. Generally, terms of sale and pricing are determined based on contracts we entered into with our customers.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supply customers in these markets from manufacturing facilities located in many different states. These facilities manufacture various engineered wood components used to frame residential or light commercial projects, including roof and floor trusses, wall panels, I-joists and lumber packages. Freight costs are a factor in the ability to competitively service this market due to the space requirements of these products on each truckload. We also provide framing services for customers in certain regional markets, in which we erect the wood structure. We believe that providing a comprehensive turn-key package, including installation, provides a competitive advantage.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Competition in this market is primarily fragmented, but we do compete with a small number of national and regional retail contractor yards who also manufacture components and provide framing services, as well as regional manufacturers of components. We believe our primary competitive advantages relate to the engineering and design capabilities of our regional staff, purchasing and manufacturing expertise, product quality, timeliness of delivery, and financial strength.</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u w:val="single" w:color="auto"/>
          <w:color w:val="auto"/>
        </w:rPr>
        <w:t>Suppliers</w:t>
      </w:r>
      <w:r>
        <w:rPr>
          <w:rFonts w:ascii="Arial" w:cs="Arial" w:eastAsia="Arial" w:hAnsi="Arial"/>
          <w:sz w:val="16"/>
          <w:szCs w:val="16"/>
          <w:color w:val="auto"/>
        </w:rPr>
        <w:t>. We are one of the largest domestic buyers of solid sawn softwood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8"/>
          <w:szCs w:val="18"/>
          <w:color w:val="auto"/>
        </w:rPr>
        <w:t>spruce. Our annual purchases of lumber are approximately $1.5 billion and consist of the following species and their respective percent of total lumber purchases: southern yellow pine (58%), spruce-pine-fur (23%), and douglas fir (4%), while the remaining 15% of lumber purchases were various other species. Additionally, we purchase approximately $0.5 billion in plywood, OSB, and a variety of other wood-based products on an annual basis.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programs such as consigned inventory. We believe this represents a competitive advantage.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Backlog</w:t>
      </w:r>
      <w:r>
        <w:rPr>
          <w:rFonts w:ascii="Arial" w:cs="Arial" w:eastAsia="Arial" w:hAnsi="Arial"/>
          <w:sz w:val="17"/>
          <w:szCs w:val="17"/>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30, 2017 and December 31, 2016, we estimate that backlog orders associated with our construction and customized interior fixture businesses approximated $141.7 million and $127.3 million, respectively. With respect to the former, we expect that these orders will be primarily filled within the next fiscal year; however, it is possible that some orders could be canceled.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Information required for environmental disclosures is incorporated by reference from Note M of the Consolidated Financial Statements presented under Item 8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Information required for seasonality disclosures is incorporated by reference from Item 1A. Risk Factors under the caption “</w:t>
      </w:r>
      <w:r>
        <w:rPr>
          <w:rFonts w:ascii="Arial" w:cs="Arial" w:eastAsia="Arial" w:hAnsi="Arial"/>
          <w:sz w:val="18"/>
          <w:szCs w:val="18"/>
          <w:i w:val="1"/>
          <w:iCs w:val="1"/>
          <w:color w:val="auto"/>
        </w:rPr>
        <w:t>Seasonality and weather conditions could adversely affect us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On December 30, 2017, we had approximately 10,000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Information About Geographic Areas.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dominant portion of our operations and sales occur in the United States. Separate financial information about foreign and domestic operations and export sales is incorporated by reference from Note N "Segment Reporting" of the Consolidated Financial Statements presented under Item 8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Reports to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Enforceability of Civil Liabilities Against Foreign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We are subject to regional, national and global economic conditions. </w:t>
      </w:r>
      <w:r>
        <w:rPr>
          <w:rFonts w:ascii="Arial" w:cs="Arial" w:eastAsia="Arial" w:hAnsi="Arial"/>
          <w:sz w:val="18"/>
          <w:szCs w:val="18"/>
          <w:color w:val="auto"/>
        </w:rPr>
        <w:t>A decline in economic conditions throughout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could reduce demand for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We may be impacted by a decline in the value of the U.S. dollar. </w:t>
      </w:r>
      <w:r>
        <w:rPr>
          <w:rFonts w:ascii="Arial" w:cs="Arial" w:eastAsia="Arial" w:hAnsi="Arial"/>
          <w:sz w:val="18"/>
          <w:szCs w:val="18"/>
          <w:color w:val="auto"/>
        </w:rPr>
        <w:t>We purchase a variety of raw materials and finished goods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sources around the world and export certain products. The impact of a change in U.S. dollar exchange rates would impact our import purchases and export sales, which totaled $132.6 million and $110.8 million, respectively, in 2017. In addition, many of our industrial customers export their products.</w:t>
      </w:r>
    </w:p>
    <w:p>
      <w:pPr>
        <w:spacing w:after="0" w:line="187"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b w:val="1"/>
          <w:bCs w:val="1"/>
          <w:i w:val="1"/>
          <w:iCs w:val="1"/>
          <w:color w:val="auto"/>
        </w:rPr>
        <w:t>We are subject to fluctuations in the price of lumber</w:t>
      </w:r>
      <w:r>
        <w:rPr>
          <w:rFonts w:ascii="Arial" w:cs="Arial" w:eastAsia="Arial" w:hAnsi="Arial"/>
          <w:sz w:val="16"/>
          <w:szCs w:val="16"/>
          <w:color w:val="auto"/>
        </w:rPr>
        <w:t>. We experience significant fluctuations in the cost of commodity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w:t>
      </w:r>
      <w:r>
        <w:rPr>
          <w:rFonts w:ascii="MS PGothic" w:cs="MS PGothic" w:eastAsia="MS PGothic" w:hAnsi="MS PGothic"/>
          <w:sz w:val="16"/>
          <w:szCs w:val="16"/>
          <w:color w:val="auto"/>
        </w:rPr>
        <w:t>‑</w:t>
      </w:r>
      <w:r>
        <w:rPr>
          <w:rFonts w:ascii="Arial" w:cs="Arial" w:eastAsia="Arial" w:hAnsi="Arial"/>
          <w:sz w:val="16"/>
          <w:szCs w:val="16"/>
          <w:color w:val="auto"/>
        </w:rPr>
        <w:t>K. Our lumber costs as a percentage of gross sales were 49.1%, 48.4%, and 48.9% in 2017, 2016, and 2015, respectively.</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Our growth may be limited by the markets we serve, including our construction market which is highly cyclical. </w:t>
      </w:r>
      <w:r>
        <w:rPr>
          <w:rFonts w:ascii="Arial" w:cs="Arial" w:eastAsia="Arial" w:hAnsi="Arial"/>
          <w:sz w:val="18"/>
          <w:szCs w:val="18"/>
          <w:color w:val="auto"/>
        </w:rPr>
        <w:t>Our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is dependent, in part, upon the growth of the markets we serve. If our markets do not achieve anticipated growth, or if we fail to maintain our market share, financial results could be impaired.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are concentrated with one customer</w:t>
      </w:r>
      <w:r>
        <w:rPr>
          <w:rFonts w:ascii="Arial" w:cs="Arial" w:eastAsia="Arial" w:hAnsi="Arial"/>
          <w:sz w:val="18"/>
          <w:szCs w:val="18"/>
          <w:color w:val="auto"/>
        </w:rPr>
        <w:t>. Our sales to The Home Depot comprised 19%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sales in 2017, 20% in 2016, and 19% in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Economic and credit market conditions impact our ability to collect a greater percentage of our receivables. </w:t>
      </w:r>
      <w:r>
        <w:rPr>
          <w:rFonts w:ascii="Arial" w:cs="Arial" w:eastAsia="Arial" w:hAnsi="Arial"/>
          <w:sz w:val="18"/>
          <w:szCs w:val="18"/>
          <w:color w:val="auto"/>
        </w:rPr>
        <w:t>Economic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conditions may impact our bad debt expense. We continue to monitor our customers’ credit profiles carefully and make changes in our terms when necessary in response to this risk. Bad debt expense as a percentage of sales was 0.03%, 0.06%, and 0.05% in 2017, 2016, and 2015, respectively.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We may be impacted by vertical integration strategies. </w:t>
      </w:r>
      <w:r>
        <w:rPr>
          <w:rFonts w:ascii="Arial" w:cs="Arial" w:eastAsia="Arial" w:hAnsi="Arial"/>
          <w:sz w:val="17"/>
          <w:szCs w:val="17"/>
          <w:color w:val="auto"/>
        </w:rPr>
        <w:t>In certain markets and product lines, our customers or vendors could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pursue vertical integration strategies that could have an adverse effect on our sales. We strive to add value and be a low-cost producer while maintaining competitive pricing in each of our markets to mitigate this risk.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We may be impacted by excess capacity among suppliers. </w:t>
      </w:r>
      <w:r>
        <w:rPr>
          <w:rFonts w:ascii="Arial" w:cs="Arial" w:eastAsia="Arial" w:hAnsi="Arial"/>
          <w:sz w:val="18"/>
          <w:szCs w:val="18"/>
          <w:color w:val="auto"/>
        </w:rPr>
        <w:t>There is excess capacity among suppliers of certain products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of the markets we serve. Our selling prices and gross margins have been and are likely to continue to be impacted by this excess capacity.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Our growth may be limited by our ability to make successful acquisitions. </w:t>
      </w:r>
      <w:r>
        <w:rPr>
          <w:rFonts w:ascii="Arial" w:cs="Arial" w:eastAsia="Arial" w:hAnsi="Arial"/>
          <w:sz w:val="18"/>
          <w:szCs w:val="18"/>
          <w:color w:val="auto"/>
        </w:rPr>
        <w:t>A key component of our growth strategy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We may be adversely affected by the impact of environmental and safety regulations. </w:t>
      </w:r>
      <w:r>
        <w:rPr>
          <w:rFonts w:ascii="Arial" w:cs="Arial" w:eastAsia="Arial" w:hAnsi="Arial"/>
          <w:sz w:val="16"/>
          <w:szCs w:val="16"/>
          <w:color w:val="auto"/>
        </w:rPr>
        <w:t>We are subject to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current version of federal health care legislation may significantly increase our costs</w:t>
      </w:r>
      <w:r>
        <w:rPr>
          <w:rFonts w:ascii="Arial" w:cs="Arial" w:eastAsia="Arial" w:hAnsi="Arial"/>
          <w:sz w:val="18"/>
          <w:szCs w:val="18"/>
          <w:color w:val="auto"/>
        </w:rPr>
        <w:t>. The federal health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legislation enacted in 2010 and future regulations called for under the legislation may have a significant cost implication for our company. Our total health care costs totaled approximately $58.9 million, $52.7 million, and $41.3 million in 2017, 2016, and 2015, respectively.</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Seasonality and weather conditions could adversely affect us</w:t>
      </w:r>
      <w:r>
        <w:rPr>
          <w:rFonts w:ascii="Arial" w:cs="Arial" w:eastAsia="Arial" w:hAnsi="Arial"/>
          <w:sz w:val="16"/>
          <w:szCs w:val="16"/>
          <w:color w:val="auto"/>
        </w:rPr>
        <w:t>. Some aspects of our business are seasonal in nature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Inbound and outbound transportation costs represent a significant part of our cost structure. </w:t>
      </w:r>
      <w:r>
        <w:rPr>
          <w:rFonts w:ascii="Arial" w:cs="Arial" w:eastAsia="Arial" w:hAnsi="Arial"/>
          <w:sz w:val="17"/>
          <w:szCs w:val="17"/>
          <w:color w:val="auto"/>
        </w:rPr>
        <w:t>An increase in fuel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expenses will significantly increase our costs. While we attempt to pass these costs along to our customers, there can be no assurance that they would agree to these price increases. Our total inbound and outbound transportation costs were approximately 9.0%, 9.6%, and 9.9% of sales in 2017, 2016, and 2015, respectively.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New alternatives may be developed to replace traditional treated wood products. </w:t>
      </w:r>
      <w:r>
        <w:rPr>
          <w:rFonts w:ascii="Arial" w:cs="Arial" w:eastAsia="Arial" w:hAnsi="Arial"/>
          <w:sz w:val="17"/>
          <w:szCs w:val="17"/>
          <w:color w:val="auto"/>
        </w:rPr>
        <w:t>The manufacturers of wood preservatives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 See Footnote N “Segment Reporting” within the Notes to Consolidated Financial Statements for our sales by product category.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Cybersecurity breaches could interfere with operations. </w:t>
      </w:r>
      <w:r>
        <w:rPr>
          <w:rFonts w:ascii="Arial" w:cs="Arial" w:eastAsia="Arial" w:hAnsi="Arial"/>
          <w:sz w:val="18"/>
          <w:szCs w:val="18"/>
          <w:color w:val="auto"/>
        </w:rPr>
        <w:t>We rely upon information technology systems and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corporate headquarters building is located in suburban Grand Rapids, Michigan. We currently have approximately 127 facilities located throughout the United States, Canada, Mexico, Europe, Asia, and Australia. Depending upon function and location, these facilities typically utilize office, manufacturing, and indoor and outdoor storage space. Of these facilities, approximately 6 facilities are closed and are currently listed for sale or are being leased.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all of our properties, free from any significant mortgage or other encumbrance, except for approximately 36 facilities which are leased. We believe all of these operating facilities are adequate in capacity and condition to service our existing markets.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Information regarding our legal proceedings is set forth in Note M of our Consolidated Financial Statements which are presented under Item 8 of this Form 10</w:t>
      </w:r>
      <w:r>
        <w:rPr>
          <w:rFonts w:ascii="MS PGothic" w:cs="MS PGothic" w:eastAsia="MS PGothic" w:hAnsi="MS PGothic"/>
          <w:sz w:val="18"/>
          <w:szCs w:val="18"/>
          <w:color w:val="auto"/>
        </w:rPr>
        <w:t>‑</w:t>
      </w:r>
      <w:r>
        <w:rPr>
          <w:rFonts w:ascii="Arial" w:cs="Arial" w:eastAsia="Arial" w:hAnsi="Arial"/>
          <w:sz w:val="18"/>
          <w:szCs w:val="18"/>
          <w:color w:val="auto"/>
        </w:rPr>
        <w:t>K and are incorporated herein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Item: Executive Officers of the Registrant.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lists the names, ages, and positions of our executive officers as of February 1, 2018. Executive officers are elected annually by the Board of Directors at the first meeting of the Board following the annual meeting of shareholders.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Age</w:t>
            </w:r>
          </w:p>
        </w:tc>
        <w:tc>
          <w:tcPr>
            <w:tcW w:w="240" w:type="dxa"/>
            <w:vAlign w:val="bottom"/>
            <w:tcBorders>
              <w:bottom w:val="single" w:sz="8" w:color="CCEEFF"/>
            </w:tcBorders>
          </w:tcPr>
          <w:p>
            <w:pPr>
              <w:spacing w:after="0"/>
              <w:rPr>
                <w:sz w:val="14"/>
                <w:szCs w:val="14"/>
                <w:color w:val="auto"/>
              </w:rPr>
            </w:pPr>
          </w:p>
        </w:tc>
        <w:tc>
          <w:tcPr>
            <w:tcW w:w="588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57</w:t>
            </w:r>
          </w:p>
        </w:tc>
        <w:tc>
          <w:tcPr>
            <w:tcW w:w="2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Universal Forest Products, Inc.</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Patrick M. Webster</w:t>
            </w:r>
          </w:p>
        </w:tc>
        <w:tc>
          <w:tcPr>
            <w:tcW w:w="740" w:type="dxa"/>
            <w:vAlign w:val="bottom"/>
            <w:gridSpan w:val="2"/>
          </w:tcPr>
          <w:p>
            <w:pPr>
              <w:jc w:val="right"/>
              <w:ind w:right="239"/>
              <w:spacing w:after="0"/>
              <w:rPr>
                <w:sz w:val="20"/>
                <w:szCs w:val="20"/>
                <w:color w:val="auto"/>
              </w:rPr>
            </w:pPr>
            <w:r>
              <w:rPr>
                <w:rFonts w:ascii="Arial" w:cs="Arial" w:eastAsia="Arial" w:hAnsi="Arial"/>
                <w:sz w:val="18"/>
                <w:szCs w:val="18"/>
                <w:color w:val="auto"/>
              </w:rPr>
              <w:t>58</w:t>
            </w: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President and Chief Operating Officer, Universal Forest Products, Inc.</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7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51</w:t>
            </w:r>
          </w:p>
        </w:tc>
        <w:tc>
          <w:tcPr>
            <w:tcW w:w="6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Financial Officer and Treasurer, Universal Forest Products, Inc.</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Allen T. Peters</w:t>
            </w:r>
          </w:p>
        </w:tc>
        <w:tc>
          <w:tcPr>
            <w:tcW w:w="740" w:type="dxa"/>
            <w:vAlign w:val="bottom"/>
            <w:gridSpan w:val="2"/>
          </w:tcPr>
          <w:p>
            <w:pPr>
              <w:jc w:val="right"/>
              <w:ind w:right="239"/>
              <w:spacing w:after="0"/>
              <w:rPr>
                <w:sz w:val="20"/>
                <w:szCs w:val="20"/>
                <w:color w:val="auto"/>
              </w:rPr>
            </w:pPr>
            <w:r>
              <w:rPr>
                <w:rFonts w:ascii="Arial" w:cs="Arial" w:eastAsia="Arial" w:hAnsi="Arial"/>
                <w:sz w:val="18"/>
                <w:szCs w:val="18"/>
                <w:color w:val="auto"/>
              </w:rPr>
              <w:t>50</w:t>
            </w: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President, UFP Western Division, Inc.</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Patrick Benton</w:t>
            </w:r>
          </w:p>
        </w:tc>
        <w:tc>
          <w:tcPr>
            <w:tcW w:w="7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48</w:t>
            </w:r>
          </w:p>
        </w:tc>
        <w:tc>
          <w:tcPr>
            <w:tcW w:w="6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President, UFP Eastern Division - North</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Jonathan West</w:t>
            </w:r>
          </w:p>
        </w:tc>
        <w:tc>
          <w:tcPr>
            <w:tcW w:w="740" w:type="dxa"/>
            <w:vAlign w:val="bottom"/>
            <w:gridSpan w:val="2"/>
          </w:tcPr>
          <w:p>
            <w:pPr>
              <w:jc w:val="right"/>
              <w:ind w:right="239"/>
              <w:spacing w:after="0"/>
              <w:rPr>
                <w:sz w:val="20"/>
                <w:szCs w:val="20"/>
                <w:color w:val="auto"/>
              </w:rPr>
            </w:pPr>
            <w:r>
              <w:rPr>
                <w:rFonts w:ascii="Arial" w:cs="Arial" w:eastAsia="Arial" w:hAnsi="Arial"/>
                <w:sz w:val="18"/>
                <w:szCs w:val="18"/>
                <w:color w:val="auto"/>
              </w:rPr>
              <w:t>47</w:t>
            </w: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President, UFP Eastern Division - South</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Robert D. Coleman</w:t>
            </w:r>
          </w:p>
        </w:tc>
        <w:tc>
          <w:tcPr>
            <w:tcW w:w="7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63</w:t>
            </w:r>
          </w:p>
        </w:tc>
        <w:tc>
          <w:tcPr>
            <w:tcW w:w="6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Executive Vice President of Manufacturing, Universal Forest Products, Inc.</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 Scott Greene</w:t>
            </w:r>
          </w:p>
        </w:tc>
        <w:tc>
          <w:tcPr>
            <w:tcW w:w="740" w:type="dxa"/>
            <w:vAlign w:val="bottom"/>
            <w:gridSpan w:val="2"/>
          </w:tcPr>
          <w:p>
            <w:pPr>
              <w:jc w:val="right"/>
              <w:ind w:right="239"/>
              <w:spacing w:after="0"/>
              <w:rPr>
                <w:sz w:val="20"/>
                <w:szCs w:val="20"/>
                <w:color w:val="auto"/>
              </w:rPr>
            </w:pPr>
            <w:r>
              <w:rPr>
                <w:rFonts w:ascii="Arial" w:cs="Arial" w:eastAsia="Arial" w:hAnsi="Arial"/>
                <w:sz w:val="18"/>
                <w:szCs w:val="18"/>
                <w:color w:val="auto"/>
              </w:rPr>
              <w:t>61</w:t>
            </w: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of Marketing, Universal Forest Products, Inc.</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Donald L. James</w:t>
            </w:r>
          </w:p>
        </w:tc>
        <w:tc>
          <w:tcPr>
            <w:tcW w:w="7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58</w:t>
            </w:r>
          </w:p>
        </w:tc>
        <w:tc>
          <w:tcPr>
            <w:tcW w:w="6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Executive Vice President of National Sales, Universal Forest Products, Inc.</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Michael F. Mordell</w:t>
            </w:r>
          </w:p>
        </w:tc>
        <w:tc>
          <w:tcPr>
            <w:tcW w:w="740" w:type="dxa"/>
            <w:vAlign w:val="bottom"/>
            <w:gridSpan w:val="2"/>
          </w:tcPr>
          <w:p>
            <w:pPr>
              <w:jc w:val="right"/>
              <w:ind w:right="239"/>
              <w:spacing w:after="0"/>
              <w:rPr>
                <w:sz w:val="20"/>
                <w:szCs w:val="20"/>
                <w:color w:val="auto"/>
              </w:rPr>
            </w:pPr>
            <w:r>
              <w:rPr>
                <w:rFonts w:ascii="Arial" w:cs="Arial" w:eastAsia="Arial" w:hAnsi="Arial"/>
                <w:sz w:val="18"/>
                <w:szCs w:val="18"/>
                <w:color w:val="auto"/>
              </w:rPr>
              <w:t>60</w:t>
            </w: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of International Operations.</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Chad C. Uhlig Eastin</w:t>
            </w:r>
          </w:p>
        </w:tc>
        <w:tc>
          <w:tcPr>
            <w:tcW w:w="7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46</w:t>
            </w:r>
          </w:p>
        </w:tc>
        <w:tc>
          <w:tcPr>
            <w:tcW w:w="6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Executive Vice President of Purchasing, Inc.</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Matthew J. Missad </w:t>
      </w:r>
      <w:r>
        <w:rPr>
          <w:rFonts w:ascii="Arial" w:cs="Arial" w:eastAsia="Arial" w:hAnsi="Arial"/>
          <w:sz w:val="18"/>
          <w:szCs w:val="18"/>
          <w:color w:val="auto"/>
        </w:rPr>
        <w:t>joined us in 1985. In February 1996, Mr. Missad was promoted to Executive Vice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On July 13, 2011, Mr. Missad became Chief Executive Officer of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Patrick M. Webster </w:t>
      </w:r>
      <w:r>
        <w:rPr>
          <w:rFonts w:ascii="Arial" w:cs="Arial" w:eastAsia="Arial" w:hAnsi="Arial"/>
          <w:sz w:val="18"/>
          <w:szCs w:val="18"/>
          <w:color w:val="auto"/>
        </w:rPr>
        <w:t>joined us in 1985. Mr. Webster became Vice President of the Far West Region in 1999, on July 1, 2007,</w:t>
      </w:r>
      <w:r>
        <w:rPr>
          <w:rFonts w:ascii="Arial" w:cs="Arial" w:eastAsia="Arial" w:hAnsi="Arial"/>
          <w:sz w:val="18"/>
          <w:szCs w:val="18"/>
          <w:i w:val="1"/>
          <w:iCs w:val="1"/>
          <w:color w:val="auto"/>
        </w:rPr>
        <w:t xml:space="preserve"> </w:t>
      </w:r>
      <w:r>
        <w:rPr>
          <w:rFonts w:ascii="Arial" w:cs="Arial" w:eastAsia="Arial" w:hAnsi="Arial"/>
          <w:sz w:val="18"/>
          <w:szCs w:val="18"/>
          <w:color w:val="auto"/>
        </w:rPr>
        <w:t>he became President of UFP Western Division, Inc., and on January 1, 2009 became President and Chief Operating Officer of the Company.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Michael R. Cole</w:t>
      </w:r>
      <w:r>
        <w:rPr>
          <w:rFonts w:ascii="Arial" w:cs="Arial" w:eastAsia="Arial" w:hAnsi="Arial"/>
          <w:sz w:val="18"/>
          <w:szCs w:val="18"/>
          <w:color w:val="auto"/>
        </w:rPr>
        <w:t>, CPA, CMA, joined us in 1993. In December 1999, he was promoted to Vice President of Finance. On</w:t>
      </w:r>
      <w:r>
        <w:rPr>
          <w:rFonts w:ascii="Arial" w:cs="Arial" w:eastAsia="Arial" w:hAnsi="Arial"/>
          <w:sz w:val="18"/>
          <w:szCs w:val="18"/>
          <w:i w:val="1"/>
          <w:iCs w:val="1"/>
          <w:color w:val="auto"/>
        </w:rPr>
        <w:t xml:space="preserve"> </w:t>
      </w:r>
      <w:r>
        <w:rPr>
          <w:rFonts w:ascii="Arial" w:cs="Arial" w:eastAsia="Arial" w:hAnsi="Arial"/>
          <w:sz w:val="18"/>
          <w:szCs w:val="18"/>
          <w:color w:val="auto"/>
        </w:rPr>
        <w:t>July 19, 2000, Mr. Cole became Chief Financial Officer of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Allen T. Peters </w:t>
      </w:r>
      <w:r>
        <w:rPr>
          <w:rFonts w:ascii="Arial" w:cs="Arial" w:eastAsia="Arial" w:hAnsi="Arial"/>
          <w:sz w:val="18"/>
          <w:szCs w:val="18"/>
          <w:color w:val="auto"/>
        </w:rPr>
        <w:t>joined us in 1997. In 2004 he became the General Manager of Operations of our plant in Harrisonville, MO</w:t>
      </w:r>
      <w:r>
        <w:rPr>
          <w:rFonts w:ascii="Arial" w:cs="Arial" w:eastAsia="Arial" w:hAnsi="Arial"/>
          <w:sz w:val="18"/>
          <w:szCs w:val="18"/>
          <w:i w:val="1"/>
          <w:iCs w:val="1"/>
          <w:color w:val="auto"/>
        </w:rPr>
        <w:t xml:space="preserve"> </w:t>
      </w:r>
      <w:r>
        <w:rPr>
          <w:rFonts w:ascii="Arial" w:cs="Arial" w:eastAsia="Arial" w:hAnsi="Arial"/>
          <w:sz w:val="18"/>
          <w:szCs w:val="18"/>
          <w:color w:val="auto"/>
        </w:rPr>
        <w:t>and in 2007 became Regional Vice President of our Gulf Region. On January 1, 2011, Mr. Peters became President of UFP Western Division, Inc.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Patrick M. Benton </w:t>
      </w:r>
      <w:r>
        <w:rPr>
          <w:rFonts w:ascii="Arial" w:cs="Arial" w:eastAsia="Arial" w:hAnsi="Arial"/>
          <w:sz w:val="18"/>
          <w:szCs w:val="18"/>
          <w:color w:val="auto"/>
        </w:rPr>
        <w:t>joined us in 1993. In 2008 he became Operations Vice President of the South Texas Region, and on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2014, he became Executive Vice President of UFP Eastern Division – North.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Jonathan E. West </w:t>
      </w:r>
      <w:r>
        <w:rPr>
          <w:rFonts w:ascii="Arial" w:cs="Arial" w:eastAsia="Arial" w:hAnsi="Arial"/>
          <w:sz w:val="18"/>
          <w:szCs w:val="18"/>
          <w:color w:val="auto"/>
        </w:rPr>
        <w:t>joined us in 1994. In 2007 he became Regional Vice President of the Southeast Region, and on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2014, he became Executive Vice President of UFP Eastern Division – South.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Robert D. Coleman</w:t>
      </w:r>
      <w:r>
        <w:rPr>
          <w:rFonts w:ascii="Arial" w:cs="Arial" w:eastAsia="Arial" w:hAnsi="Arial"/>
          <w:sz w:val="18"/>
          <w:szCs w:val="18"/>
          <w:color w:val="auto"/>
        </w:rPr>
        <w:t>, joined us in 1979. On January 1, 1999, Mr. Coleman was named the Executive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 Scott Greene </w:t>
      </w:r>
      <w:r>
        <w:rPr>
          <w:rFonts w:ascii="Arial" w:cs="Arial" w:eastAsia="Arial" w:hAnsi="Arial"/>
          <w:sz w:val="18"/>
          <w:szCs w:val="18"/>
          <w:color w:val="auto"/>
        </w:rPr>
        <w:t>joined us in 1991. In 2000, Mr. Greene became President of UFP Eastern Division, Inc. On October 1, 2011,</w:t>
      </w:r>
      <w:r>
        <w:rPr>
          <w:rFonts w:ascii="Arial" w:cs="Arial" w:eastAsia="Arial" w:hAnsi="Arial"/>
          <w:sz w:val="18"/>
          <w:szCs w:val="18"/>
          <w:i w:val="1"/>
          <w:iCs w:val="1"/>
          <w:color w:val="auto"/>
        </w:rPr>
        <w:t xml:space="preserve"> </w:t>
      </w:r>
      <w:r>
        <w:rPr>
          <w:rFonts w:ascii="Arial" w:cs="Arial" w:eastAsia="Arial" w:hAnsi="Arial"/>
          <w:sz w:val="18"/>
          <w:szCs w:val="18"/>
          <w:color w:val="auto"/>
        </w:rPr>
        <w:t>Mr. Greene became Executive Vice President of New Business Development and on October 14, 2013, he became Executive Vice President of Marketing.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auto"/>
        </w:rPr>
        <w:t xml:space="preserve">Donald L. James </w:t>
      </w:r>
      <w:r>
        <w:rPr>
          <w:rFonts w:ascii="Arial" w:cs="Arial" w:eastAsia="Arial" w:hAnsi="Arial"/>
          <w:sz w:val="17"/>
          <w:szCs w:val="17"/>
          <w:color w:val="auto"/>
        </w:rPr>
        <w:t>joined us in 1998. On October 1, 2011, Mr. James became Executive Vice President of National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Before this, he was Regional Vice President of operations in UFP Eastern Division,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Michael F. Mordell </w:t>
      </w:r>
      <w:r>
        <w:rPr>
          <w:rFonts w:ascii="Arial" w:cs="Arial" w:eastAsia="Arial" w:hAnsi="Arial"/>
          <w:sz w:val="18"/>
          <w:szCs w:val="18"/>
          <w:color w:val="auto"/>
        </w:rPr>
        <w:t>joined us in 1993. In 1999 he became Executive Vice President of Purchasing of Universal Forest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Western Division, Inc. In November 2007, he became General Manager of Operations for our facility in Lafayette, CO, and on January 1, 2010, Mr. Mordell became Executive Vice President of Purchasing. On October 1, 2016, he became Executive Vice President of International Operations.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Chad C. Uhlig Eastin </w:t>
      </w:r>
      <w:r>
        <w:rPr>
          <w:rFonts w:ascii="Arial" w:cs="Arial" w:eastAsia="Arial" w:hAnsi="Arial"/>
          <w:sz w:val="16"/>
          <w:szCs w:val="16"/>
          <w:color w:val="auto"/>
        </w:rPr>
        <w:t>joined us in 1998. In 2007, he became General Manager of Operations of our plant in Chandler, AZ,</w:t>
      </w:r>
      <w:r>
        <w:rPr>
          <w:rFonts w:ascii="Arial" w:cs="Arial" w:eastAsia="Arial" w:hAnsi="Arial"/>
          <w:sz w:val="16"/>
          <w:szCs w:val="16"/>
          <w:i w:val="1"/>
          <w:iCs w:val="1"/>
          <w:color w:val="auto"/>
        </w:rPr>
        <w:t xml:space="preserve"> </w:t>
      </w:r>
      <w:r>
        <w:rPr>
          <w:rFonts w:ascii="Arial" w:cs="Arial" w:eastAsia="Arial" w:hAnsi="Arial"/>
          <w:sz w:val="16"/>
          <w:szCs w:val="16"/>
          <w:color w:val="auto"/>
        </w:rPr>
        <w:t>and in 2014 he became Operations Vice President of our Mountain West Region, and became Regional Vice President of that region in 2015. On October 1, 2016, Mr. Eastin became the Executive Vice President of Purchasing for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following information items in this Part II, which are contained in the 2017 Annual Report, are specifically incorporated by reference into this Form 10</w:t>
      </w:r>
      <w:r>
        <w:rPr>
          <w:rFonts w:ascii="MS PGothic" w:cs="MS PGothic" w:eastAsia="MS PGothic" w:hAnsi="MS PGothic"/>
          <w:sz w:val="18"/>
          <w:szCs w:val="18"/>
          <w:color w:val="auto"/>
        </w:rPr>
        <w:t>‑</w:t>
      </w:r>
      <w:r>
        <w:rPr>
          <w:rFonts w:ascii="Arial" w:cs="Arial" w:eastAsia="Arial" w:hAnsi="Arial"/>
          <w:sz w:val="18"/>
          <w:szCs w:val="18"/>
          <w:color w:val="auto"/>
        </w:rPr>
        <w:t>K Report. These portions of the 2017 Annual Report that are specifically incorporated by reference are filed as Exhibit 13 with this Form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Shareholder Matters and Issuer Purchases of Equity Securities.</w:t>
      </w:r>
    </w:p>
    <w:p>
      <w:pPr>
        <w:spacing w:after="0" w:line="166" w:lineRule="exact"/>
        <w:rPr>
          <w:sz w:val="20"/>
          <w:szCs w:val="20"/>
          <w:color w:val="auto"/>
        </w:rPr>
      </w:pPr>
    </w:p>
    <w:p>
      <w:pPr>
        <w:ind w:left="320" w:hanging="317"/>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relating to market, holders and dividends is incorporated by reference from the 2017 Annual Report under the captions “Price Range of Common Stock and Dividends” and “Stock Performance Graph.”</w:t>
      </w:r>
    </w:p>
    <w:p>
      <w:pPr>
        <w:spacing w:after="0" w:line="17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There were no sales of unregistered securities during the last three years.</w:t>
      </w:r>
    </w:p>
    <w:p>
      <w:pPr>
        <w:spacing w:after="0" w:line="225"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purchases of equity securities during the fourth quarter.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Fiscal Month</w:t>
            </w: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0"/>
        </w:trPr>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1 – November 4, 2017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2,721,023</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November 5 – December 2, 2017</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2,721,023</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 – December 30, 2017</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2,721,023</w:t>
            </w:r>
          </w:p>
        </w:tc>
      </w:tr>
      <w:tr>
        <w:trPr>
          <w:trHeight w:val="108"/>
        </w:trPr>
        <w:tc>
          <w:tcPr>
            <w:tcW w:w="228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2.7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2017 Annual Report under the caption "Selected Financial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2017 Annual Report under the caption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30, 2017, the estimated fair value of our long-term debt, including the current portion, was $148.0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Expected cash flows over the next five years related to debt instruments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($US equivalents, in thousands)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c>
          <w:tcPr>
            <w:tcW w:w="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Fixed Rate ($US)</w:t>
            </w: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99"/>
              </w:rPr>
              <w:t>113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35,065</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39,960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6"/>
              </w:rPr>
              <w:t>$ 75,909</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interest 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4.65 %</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4.55 %</w:t>
            </w: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4.14 %  3.65 %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Variable Rate ($US)</w:t>
            </w:r>
          </w:p>
        </w:tc>
        <w:tc>
          <w:tcPr>
            <w:tcW w:w="420" w:type="dxa"/>
            <w:vAlign w:val="bottom"/>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59,422</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2,700</w:t>
            </w:r>
          </w:p>
        </w:tc>
        <w:tc>
          <w:tcPr>
            <w:tcW w:w="24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6"/>
              </w:rPr>
              <w:t>$ 70,094</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interest rate</w:t>
            </w:r>
            <w:r>
              <w:rPr>
                <w:rFonts w:ascii="Arial" w:cs="Arial" w:eastAsia="Arial" w:hAnsi="Arial"/>
                <w:sz w:val="8"/>
                <w:szCs w:val="8"/>
                <w:color w:val="auto"/>
              </w:rPr>
              <w:t>(1)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6.18 %</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2.49 %</w:t>
            </w: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1.02 %  —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Average of rates at December 30,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2017 Annual Report under the following captions: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Earnings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9" w:lineRule="exact"/>
        <w:rPr>
          <w:sz w:val="20"/>
          <w:szCs w:val="20"/>
          <w:color w:val="auto"/>
        </w:rPr>
      </w:pPr>
    </w:p>
    <w:p>
      <w:pPr>
        <w:jc w:val="both"/>
        <w:ind w:left="660" w:hanging="657"/>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30, 2017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jc w:val="both"/>
        <w:ind w:left="660" w:hanging="657"/>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Management’s Annual Report on Internal Control Over Financial Reporting</w:t>
      </w:r>
      <w:r>
        <w:rPr>
          <w:rFonts w:ascii="Arial" w:cs="Arial" w:eastAsia="Arial" w:hAnsi="Arial"/>
          <w:sz w:val="17"/>
          <w:szCs w:val="17"/>
          <w:color w:val="auto"/>
        </w:rPr>
        <w:t>. Management’s Annual Report on Internal Control Over Financial Reporting is included in the 2017 Annual Report under the caption “Management’s Annual Report on Internal Control Over Financial Reporting” and is incorporated herein by reference. Our independent registered public accounting firm’s attestation Report on our internal control over financial reporting is also included in the 2017 Annual Report in the caption “Report of Independent Registered Public Accounting Firm On Internal Control over Financial Reporting” and is incorporated herein by reference.</w:t>
      </w:r>
    </w:p>
    <w:p>
      <w:pPr>
        <w:spacing w:after="0" w:line="178" w:lineRule="exact"/>
        <w:rPr>
          <w:rFonts w:ascii="Arial" w:cs="Arial" w:eastAsia="Arial" w:hAnsi="Arial"/>
          <w:sz w:val="17"/>
          <w:szCs w:val="17"/>
          <w:color w:val="auto"/>
        </w:rPr>
      </w:pPr>
    </w:p>
    <w:p>
      <w:pPr>
        <w:jc w:val="both"/>
        <w:ind w:left="660" w:hanging="657"/>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fourth quarter ended December 30, 2017, there were no changes in our internal control over financial reporting that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Information relating to our directors, compliance with Section 16(a) of the Securities and Exchange Act of 1934 and various corporate governance matters is incorporated by reference from our definitive Proxy Statement for the year ended December 30, 2017 for the 2017 Annual Meeting of Shareholders, as filed with the Commission ("2018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relating to director and executive compensation is incorporated by reference from the 2018 Proxy Statement under the caption "Executive Compensation." The "Personnel and Compensation Committee Report" included in the 2018 Proxy Statement is incorporated by reference for the purpose of being furnished herein and is not and shall not be deemed to be filed under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12. Security Ownership of Certain Beneficial Owners and Management and Related Shareholder Matters.</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Information relating to security ownership of certain beneficial owners and management is incorporated by reference from our 2018 Proxy Statement under the captions "Ownership of Common Stock" and "Securities Ownership of Management."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Information relating to securities authorized for issuance under equity compensation plans as of December 30, 2017,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shares</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 to be</w:t>
            </w: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price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reflected in</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 (1)</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(b)</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10,524,581</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both"/>
        <w:ind w:left="320" w:hanging="317"/>
        <w:spacing w:after="0" w:line="255"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remaining available for future issuance under equity compensation plans, excluding outstanding options, warrants, or similar rights, as of December 30, 2017, is as follows: 295,698 shares for our Employee Stock Purchase Plan, 295,591 shares for our Directors’ Retainer Stock Plan, and 11,467 shares for our Employee Stock Gift Program. In addition, of the remaining 9,921,825 shares available for future issuance under our Long-Term Stock Incentive Plan, those awards may be made in the form of options as well as stock appreciation rights, restricted stock, performance shares, or other stock-based awards. All shares remaining to be issued were retroactively impacted by the 3 to 1 stock split on November 14,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relating to certain relationships and related transactions, and director independence is incorporated by reference from the 2018 Proxy Statement under the captions "Election of Directors", “Affirmative Determination Regarding Director Independence and Other Matters” and "Related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relating to the types of services rendered by our Independent Registered Public Accounting Firm and the fees paid for these services is incorporated by reference from our 2018 Proxy Statement under the caption "Independent Registered Public Accounting Firm – Disclosure of Fees.”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29" w:lineRule="exact"/>
        <w:rPr>
          <w:sz w:val="20"/>
          <w:szCs w:val="20"/>
          <w:color w:val="auto"/>
        </w:rPr>
      </w:pPr>
    </w:p>
    <w:p>
      <w:pPr>
        <w:ind w:left="660" w:hanging="65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1. Financial Statements</w:t>
      </w:r>
      <w:r>
        <w:rPr>
          <w:rFonts w:ascii="Arial" w:cs="Arial" w:eastAsia="Arial" w:hAnsi="Arial"/>
          <w:sz w:val="18"/>
          <w:szCs w:val="18"/>
          <w:color w:val="auto"/>
        </w:rPr>
        <w:t>. The following are incorporated by reference, under Item 8 of this report, from the 2017 Annual Report:</w:t>
      </w:r>
    </w:p>
    <w:p>
      <w:pPr>
        <w:spacing w:after="0" w:line="170" w:lineRule="exact"/>
        <w:rPr>
          <w:rFonts w:ascii="Arial" w:cs="Arial" w:eastAsia="Arial" w:hAnsi="Arial"/>
          <w:sz w:val="18"/>
          <w:szCs w:val="18"/>
          <w:color w:val="auto"/>
        </w:rPr>
      </w:pPr>
    </w:p>
    <w:p>
      <w:pPr>
        <w:ind w:left="660" w:right="2940"/>
        <w:spacing w:after="0" w:line="258" w:lineRule="auto"/>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 Report of Independent Registered Public Accounting Firm</w:t>
      </w:r>
    </w:p>
    <w:p>
      <w:pPr>
        <w:spacing w:after="0" w:line="1" w:lineRule="exact"/>
        <w:rPr>
          <w:rFonts w:ascii="Arial" w:cs="Arial" w:eastAsia="Arial" w:hAnsi="Arial"/>
          <w:sz w:val="18"/>
          <w:szCs w:val="18"/>
          <w:color w:val="auto"/>
        </w:rPr>
      </w:pPr>
    </w:p>
    <w:p>
      <w:pPr>
        <w:ind w:left="660" w:right="3680"/>
        <w:spacing w:after="0" w:line="250" w:lineRule="auto"/>
        <w:rPr>
          <w:rFonts w:ascii="Arial" w:cs="Arial" w:eastAsia="Arial" w:hAnsi="Arial"/>
          <w:sz w:val="18"/>
          <w:szCs w:val="18"/>
          <w:color w:val="auto"/>
        </w:rPr>
      </w:pPr>
      <w:r>
        <w:rPr>
          <w:rFonts w:ascii="Arial" w:cs="Arial" w:eastAsia="Arial" w:hAnsi="Arial"/>
          <w:sz w:val="18"/>
          <w:szCs w:val="18"/>
          <w:color w:val="auto"/>
        </w:rPr>
        <w:t>Report of Independent Registered Public Accounting Firm Consolidated Statements of Earnings and Comprehensive Income Consolidated Statements of Shareholders’ Equity Consolidated Statements of Cash Flows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0" w:lineRule="exact"/>
        <w:rPr>
          <w:rFonts w:ascii="Arial" w:cs="Arial" w:eastAsia="Arial" w:hAnsi="Arial"/>
          <w:sz w:val="18"/>
          <w:szCs w:val="18"/>
          <w:color w:val="auto"/>
        </w:rPr>
      </w:pPr>
    </w:p>
    <w:p>
      <w:pPr>
        <w:ind w:left="660" w:right="280"/>
        <w:spacing w:after="0" w:line="221" w:lineRule="exact"/>
        <w:rPr>
          <w:rFonts w:ascii="Arial" w:cs="Arial" w:eastAsia="Arial" w:hAnsi="Arial"/>
          <w:sz w:val="18"/>
          <w:szCs w:val="18"/>
          <w:color w:val="auto"/>
        </w:rPr>
      </w:pPr>
      <w:r>
        <w:rPr>
          <w:rFonts w:ascii="Arial" w:cs="Arial" w:eastAsia="Arial" w:hAnsi="Arial"/>
          <w:sz w:val="16"/>
          <w:szCs w:val="16"/>
          <w:u w:val="single" w:color="auto"/>
          <w:color w:val="auto"/>
        </w:rPr>
        <w:t>2. Financial Statement Schedules</w:t>
      </w:r>
      <w:r>
        <w:rPr>
          <w:rFonts w:ascii="Arial" w:cs="Arial" w:eastAsia="Arial" w:hAnsi="Arial"/>
          <w:sz w:val="16"/>
          <w:szCs w:val="16"/>
          <w:color w:val="auto"/>
        </w:rPr>
        <w:t>. All schedules required by this Form 10</w:t>
      </w:r>
      <w:r>
        <w:rPr>
          <w:rFonts w:ascii="MS PGothic" w:cs="MS PGothic" w:eastAsia="MS PGothic" w:hAnsi="MS PGothic"/>
          <w:sz w:val="16"/>
          <w:szCs w:val="16"/>
          <w:color w:val="auto"/>
        </w:rPr>
        <w:t>‑</w:t>
      </w:r>
      <w:r>
        <w:rPr>
          <w:rFonts w:ascii="Arial" w:cs="Arial" w:eastAsia="Arial" w:hAnsi="Arial"/>
          <w:sz w:val="16"/>
          <w:szCs w:val="16"/>
          <w:color w:val="auto"/>
        </w:rPr>
        <w:t>K Report have been omitted because they were inapplicable, included in the Consolidated Financial Statements or Notes to Consolidated Financial Statements, or otherwise not required under instructions contained in Regulation S-X.</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ind w:left="657"/>
        <w:spacing w:after="0" w:line="184" w:lineRule="exact"/>
        <w:rPr>
          <w:sz w:val="20"/>
          <w:szCs w:val="20"/>
          <w:color w:val="auto"/>
        </w:rPr>
      </w:pPr>
      <w:r>
        <w:rPr>
          <w:rFonts w:ascii="Arial" w:cs="Arial" w:eastAsia="Arial" w:hAnsi="Arial"/>
          <w:sz w:val="16"/>
          <w:szCs w:val="16"/>
          <w:u w:val="single" w:color="auto"/>
          <w:color w:val="auto"/>
        </w:rPr>
        <w:t>3.  Exhibits</w:t>
      </w:r>
      <w:r>
        <w:rPr>
          <w:rFonts w:ascii="Arial" w:cs="Arial" w:eastAsia="Arial" w:hAnsi="Arial"/>
          <w:sz w:val="16"/>
          <w:szCs w:val="16"/>
          <w:color w:val="auto"/>
        </w:rPr>
        <w:t>. Reference is made to the Exhibit Index which is included in this Form 10</w:t>
      </w:r>
      <w:r>
        <w:rPr>
          <w:rFonts w:ascii="MS PGothic" w:cs="MS PGothic" w:eastAsia="MS PGothic" w:hAnsi="MS PGothic"/>
          <w:sz w:val="16"/>
          <w:szCs w:val="16"/>
          <w:color w:val="auto"/>
        </w:rPr>
        <w:t>‑</w:t>
      </w:r>
      <w:r>
        <w:rPr>
          <w:rFonts w:ascii="Arial" w:cs="Arial" w:eastAsia="Arial" w:hAnsi="Arial"/>
          <w:sz w:val="16"/>
          <w:szCs w:val="16"/>
          <w:color w:val="auto"/>
        </w:rPr>
        <w:t>K Report.</w:t>
      </w:r>
    </w:p>
    <w:p>
      <w:pPr>
        <w:spacing w:after="0" w:line="248" w:lineRule="exact"/>
        <w:rPr>
          <w:sz w:val="20"/>
          <w:szCs w:val="20"/>
          <w:color w:val="auto"/>
        </w:rPr>
      </w:pPr>
    </w:p>
    <w:p>
      <w:pPr>
        <w:ind w:left="657" w:hanging="657"/>
        <w:spacing w:after="0" w:line="207" w:lineRule="exact"/>
        <w:tabs>
          <w:tab w:leader="none" w:pos="657"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 is made to the Exhibit Index which is included in this Form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25" w:lineRule="exact"/>
        <w:rPr>
          <w:rFonts w:ascii="Arial" w:cs="Arial" w:eastAsia="Arial" w:hAnsi="Arial"/>
          <w:sz w:val="18"/>
          <w:szCs w:val="18"/>
          <w:color w:val="auto"/>
        </w:rPr>
      </w:pPr>
    </w:p>
    <w:p>
      <w:pPr>
        <w:ind w:left="657" w:hanging="657"/>
        <w:spacing w:after="0"/>
        <w:tabs>
          <w:tab w:leader="none" w:pos="657"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6"/>
          </w:cols>
          <w:pgMar w:left="1423" w:top="125" w:right="1440"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14605</wp:posOffset>
            </wp:positionV>
            <wp:extent cx="5171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78" w:lineRule="exact"/>
        <w:rPr>
          <w:sz w:val="20"/>
          <w:szCs w:val="20"/>
          <w:color w:val="auto"/>
        </w:rPr>
      </w:pPr>
    </w:p>
    <w:p>
      <w:pPr>
        <w:ind w:left="920" w:hanging="91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171" w:lineRule="exact"/>
        <w:rPr>
          <w:rFonts w:ascii="Arial" w:cs="Arial" w:eastAsia="Arial" w:hAnsi="Arial"/>
          <w:sz w:val="18"/>
          <w:szCs w:val="18"/>
          <w:color w:val="auto"/>
        </w:rPr>
      </w:pPr>
    </w:p>
    <w:p>
      <w:pPr>
        <w:ind w:left="1480" w:right="39" w:hanging="559"/>
        <w:spacing w:after="0" w:line="246"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Registrant’s Articles of Incorporation were filed as Exhibit 3(a) to a Registration Statement on Form S-1 (No. 33-69474) and the same is incorporated herein by reference.</w:t>
      </w:r>
    </w:p>
    <w:p>
      <w:pPr>
        <w:spacing w:after="0" w:line="142" w:lineRule="exact"/>
        <w:rPr>
          <w:rFonts w:ascii="Arial" w:cs="Arial" w:eastAsia="Arial" w:hAnsi="Arial"/>
          <w:sz w:val="18"/>
          <w:szCs w:val="18"/>
          <w:color w:val="auto"/>
        </w:rPr>
      </w:pPr>
    </w:p>
    <w:p>
      <w:pPr>
        <w:ind w:left="1480" w:hanging="559"/>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Amended Bylaws</w:t>
      </w:r>
    </w:p>
    <w:p>
      <w:pPr>
        <w:spacing w:after="0" w:line="171" w:lineRule="exact"/>
        <w:rPr>
          <w:sz w:val="20"/>
          <w:szCs w:val="20"/>
          <w:color w:val="auto"/>
        </w:rPr>
      </w:pPr>
    </w:p>
    <w:p>
      <w:pPr>
        <w:ind w:left="920" w:hanging="91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171" w:lineRule="exact"/>
        <w:rPr>
          <w:sz w:val="20"/>
          <w:szCs w:val="20"/>
          <w:color w:val="auto"/>
        </w:rPr>
      </w:pPr>
    </w:p>
    <w:p>
      <w:pPr>
        <w:ind w:left="1480" w:right="539" w:hanging="559"/>
        <w:spacing w:after="0" w:line="307"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Specimen form of Stock Certificate for Common Stock was filed as Exhibit 4(a) to a Registration Statement on Form S-1 (No. 33-69474) and the same is incorporated herein by reference.</w:t>
      </w:r>
    </w:p>
    <w:p>
      <w:pPr>
        <w:spacing w:after="0" w:line="97" w:lineRule="exact"/>
        <w:rPr>
          <w:sz w:val="20"/>
          <w:szCs w:val="20"/>
          <w:color w:val="auto"/>
        </w:rPr>
      </w:pPr>
    </w:p>
    <w:p>
      <w:pPr>
        <w:ind w:left="920" w:hanging="91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360" w:lineRule="exact"/>
        <w:rPr>
          <w:rFonts w:ascii="Arial" w:cs="Arial" w:eastAsia="Arial" w:hAnsi="Arial"/>
          <w:sz w:val="18"/>
          <w:szCs w:val="18"/>
          <w:color w:val="auto"/>
        </w:rPr>
      </w:pPr>
    </w:p>
    <w:p>
      <w:pPr>
        <w:ind w:left="1480" w:right="19" w:hanging="554"/>
        <w:spacing w:after="0" w:line="203" w:lineRule="exact"/>
        <w:rPr>
          <w:rFonts w:ascii="Arial" w:cs="Arial" w:eastAsia="Arial" w:hAnsi="Arial"/>
          <w:sz w:val="16"/>
          <w:szCs w:val="16"/>
          <w:color w:val="0000EE"/>
        </w:rPr>
      </w:pPr>
      <w:r>
        <w:rPr>
          <w:rFonts w:ascii="Arial" w:cs="Arial" w:eastAsia="Arial" w:hAnsi="Arial"/>
          <w:sz w:val="16"/>
          <w:szCs w:val="16"/>
          <w:color w:val="auto"/>
        </w:rPr>
        <w:t xml:space="preserve">*(a)(6) </w:t>
      </w:r>
      <w:hyperlink r:id="rId26">
        <w:r>
          <w:rPr>
            <w:rFonts w:ascii="Arial" w:cs="Arial" w:eastAsia="Arial" w:hAnsi="Arial"/>
            <w:sz w:val="16"/>
            <w:szCs w:val="16"/>
            <w:u w:val="single" w:color="auto"/>
            <w:color w:val="0000EE"/>
          </w:rPr>
          <w:t>Form of Conditional Share Grant Agreement utilized under the Company’s Long Term Stock Incentive</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Plan was filed as Exhibit 10(a)(6) to a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Annual Report for the year ended December 25, 2010</w:t>
        </w:r>
      </w:hyperlink>
      <w:r>
        <w:rPr>
          <w:rFonts w:ascii="Arial" w:cs="Arial" w:eastAsia="Arial" w:hAnsi="Arial"/>
          <w:sz w:val="16"/>
          <w:szCs w:val="16"/>
          <w:u w:val="single" w:color="auto"/>
          <w:color w:val="0000EE"/>
        </w:rPr>
        <w:t xml:space="preserve"> </w:t>
      </w:r>
      <w:hyperlink r:id="rId26">
        <w:r>
          <w:rPr>
            <w:rFonts w:ascii="Arial" w:cs="Arial" w:eastAsia="Arial" w:hAnsi="Arial"/>
            <w:sz w:val="16"/>
            <w:szCs w:val="16"/>
            <w:u w:val="single" w:color="auto"/>
            <w:color w:val="0000EE"/>
          </w:rPr>
          <w:t>(Commission file No.: 0-22684) and the same is incorporated herein by reference</w:t>
        </w:r>
        <w:r>
          <w:rPr>
            <w:rFonts w:ascii="Arial" w:cs="Arial" w:eastAsia="Arial" w:hAnsi="Arial"/>
            <w:sz w:val="16"/>
            <w:szCs w:val="16"/>
            <w:color w:val="000000"/>
          </w:rPr>
          <w:t>.</w:t>
        </w:r>
      </w:hyperlink>
    </w:p>
    <w:p>
      <w:pPr>
        <w:spacing w:after="0" w:line="149" w:lineRule="exact"/>
        <w:rPr>
          <w:rFonts w:ascii="Arial" w:cs="Arial" w:eastAsia="Arial" w:hAnsi="Arial"/>
          <w:sz w:val="16"/>
          <w:szCs w:val="16"/>
          <w:color w:val="auto"/>
        </w:rPr>
      </w:pPr>
    </w:p>
    <w:p>
      <w:pPr>
        <w:ind w:left="1480" w:right="99" w:hanging="559"/>
        <w:spacing w:after="0" w:line="235"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of Indemnity Agreement entered into between the Registrant and each of its directors was filed as Exhibit 10(b) to a Registration Statement on Form S-1 (No. 33-69474) and the same is incorporated herein by reference.</w:t>
      </w:r>
    </w:p>
    <w:p>
      <w:pPr>
        <w:spacing w:after="0" w:line="148" w:lineRule="exact"/>
        <w:rPr>
          <w:rFonts w:ascii="Arial" w:cs="Arial" w:eastAsia="Arial" w:hAnsi="Arial"/>
          <w:sz w:val="16"/>
          <w:szCs w:val="16"/>
          <w:color w:val="auto"/>
        </w:rPr>
      </w:pPr>
    </w:p>
    <w:p>
      <w:pPr>
        <w:ind w:left="1480" w:right="219" w:hanging="553"/>
        <w:spacing w:after="0" w:line="210" w:lineRule="exact"/>
        <w:rPr>
          <w:sz w:val="20"/>
          <w:szCs w:val="20"/>
          <w:color w:val="auto"/>
        </w:rPr>
      </w:pPr>
      <w:r>
        <w:rPr>
          <w:rFonts w:ascii="Arial" w:cs="Arial" w:eastAsia="Arial" w:hAnsi="Arial"/>
          <w:sz w:val="18"/>
          <w:szCs w:val="18"/>
          <w:color w:val="auto"/>
        </w:rPr>
        <w:t>*(e)(1) Form of Executive Stock Option Agreement was filed as Exhibit 10(e)(1) to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(No. 33</w:t>
      </w:r>
      <w:r>
        <w:rPr>
          <w:rFonts w:ascii="MS PGothic" w:cs="MS PGothic" w:eastAsia="MS PGothic" w:hAnsi="MS PGothic"/>
          <w:sz w:val="18"/>
          <w:szCs w:val="18"/>
          <w:color w:val="auto"/>
        </w:rPr>
        <w:t>‑</w:t>
      </w:r>
      <w:r>
        <w:rPr>
          <w:rFonts w:ascii="Arial" w:cs="Arial" w:eastAsia="Arial" w:hAnsi="Arial"/>
          <w:sz w:val="18"/>
          <w:szCs w:val="18"/>
          <w:color w:val="auto"/>
        </w:rPr>
        <w:t>69474) and the same is incorporated herein by reference.</w:t>
      </w:r>
    </w:p>
    <w:p>
      <w:pPr>
        <w:spacing w:after="0" w:line="148" w:lineRule="exact"/>
        <w:rPr>
          <w:rFonts w:ascii="Arial" w:cs="Arial" w:eastAsia="Arial" w:hAnsi="Arial"/>
          <w:sz w:val="16"/>
          <w:szCs w:val="16"/>
          <w:color w:val="auto"/>
        </w:rPr>
      </w:pPr>
    </w:p>
    <w:p>
      <w:pPr>
        <w:ind w:left="1480" w:right="119" w:hanging="553"/>
        <w:spacing w:after="0" w:line="210" w:lineRule="exact"/>
        <w:rPr>
          <w:sz w:val="20"/>
          <w:szCs w:val="20"/>
          <w:color w:val="auto"/>
        </w:rPr>
      </w:pPr>
      <w:r>
        <w:rPr>
          <w:rFonts w:ascii="Arial" w:cs="Arial" w:eastAsia="Arial" w:hAnsi="Arial"/>
          <w:sz w:val="18"/>
          <w:szCs w:val="18"/>
          <w:color w:val="auto"/>
        </w:rPr>
        <w:t>*(e)(2) Form of Officers’ Stock Option Agreement was filed as Exhibit 10(e)(2) to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(No. 33</w:t>
      </w:r>
      <w:r>
        <w:rPr>
          <w:rFonts w:ascii="MS PGothic" w:cs="MS PGothic" w:eastAsia="MS PGothic" w:hAnsi="MS PGothic"/>
          <w:sz w:val="18"/>
          <w:szCs w:val="18"/>
          <w:color w:val="auto"/>
        </w:rPr>
        <w:t>‑</w:t>
      </w:r>
      <w:r>
        <w:rPr>
          <w:rFonts w:ascii="Arial" w:cs="Arial" w:eastAsia="Arial" w:hAnsi="Arial"/>
          <w:sz w:val="18"/>
          <w:szCs w:val="18"/>
          <w:color w:val="auto"/>
        </w:rPr>
        <w:t>69474) and the same is incorporated herein by reference.</w:t>
      </w:r>
    </w:p>
    <w:p>
      <w:pPr>
        <w:spacing w:after="0" w:line="131" w:lineRule="exact"/>
        <w:rPr>
          <w:rFonts w:ascii="Arial" w:cs="Arial" w:eastAsia="Arial" w:hAnsi="Arial"/>
          <w:sz w:val="16"/>
          <w:szCs w:val="16"/>
          <w:color w:val="auto"/>
        </w:rPr>
      </w:pPr>
    </w:p>
    <w:tbl>
      <w:tblPr>
        <w:tblLayout w:type="fixed"/>
        <w:tblInd w:w="9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*(f)</w:t>
            </w:r>
          </w:p>
        </w:tc>
        <w:tc>
          <w:tcPr>
            <w:tcW w:w="7460" w:type="dxa"/>
            <w:vAlign w:val="bottom"/>
            <w:gridSpan w:val="12"/>
          </w:tcPr>
          <w:p>
            <w:pPr>
              <w:spacing w:after="0" w:line="207"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Performance Bonus Plan Summary Plan Description was filed as Exhibit 10(f) to a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Annual</w:t>
              </w:r>
            </w:hyperlink>
          </w:p>
        </w:tc>
      </w:tr>
      <w:tr>
        <w:trPr>
          <w:trHeight w:val="169"/>
        </w:trPr>
        <w:tc>
          <w:tcPr>
            <w:tcW w:w="560" w:type="dxa"/>
            <w:vAlign w:val="bottom"/>
          </w:tcPr>
          <w:p>
            <w:pPr>
              <w:spacing w:after="0"/>
              <w:rPr>
                <w:sz w:val="14"/>
                <w:szCs w:val="14"/>
                <w:color w:val="auto"/>
              </w:rPr>
            </w:pPr>
          </w:p>
        </w:tc>
        <w:tc>
          <w:tcPr>
            <w:tcW w:w="7440" w:type="dxa"/>
            <w:vAlign w:val="bottom"/>
            <w:tcBorders>
              <w:top w:val="single" w:sz="8" w:color="0000EE"/>
            </w:tcBorders>
            <w:gridSpan w:val="11"/>
          </w:tcPr>
          <w:p>
            <w:pPr>
              <w:spacing w:after="0" w:line="170" w:lineRule="exact"/>
              <w:rPr>
                <w:rFonts w:ascii="Arial" w:cs="Arial" w:eastAsia="Arial" w:hAnsi="Arial"/>
                <w:sz w:val="18"/>
                <w:szCs w:val="18"/>
                <w:color w:val="0000EE"/>
                <w:w w:val="98"/>
              </w:rPr>
            </w:pPr>
            <w:hyperlink r:id="rId27">
              <w:r>
                <w:rPr>
                  <w:rFonts w:ascii="Arial" w:cs="Arial" w:eastAsia="Arial" w:hAnsi="Arial"/>
                  <w:sz w:val="18"/>
                  <w:szCs w:val="18"/>
                  <w:color w:val="0000EE"/>
                  <w:w w:val="98"/>
                </w:rPr>
                <w:t>Report for the year ended December 25, 2010 (Commission file No.: 0-22684) and the same is</w:t>
              </w:r>
            </w:hyperlink>
          </w:p>
        </w:tc>
        <w:tc>
          <w:tcPr>
            <w:tcW w:w="20" w:type="dxa"/>
            <w:vAlign w:val="bottom"/>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6800" w:type="dxa"/>
            <w:vAlign w:val="bottom"/>
            <w:tcBorders>
              <w:top w:val="single" w:sz="8" w:color="0000EE"/>
            </w:tcBorders>
            <w:gridSpan w:val="5"/>
          </w:tcPr>
          <w:p>
            <w:pPr>
              <w:spacing w:after="0" w:line="170" w:lineRule="exact"/>
              <w:rPr>
                <w:rFonts w:ascii="Arial" w:cs="Arial" w:eastAsia="Arial" w:hAnsi="Arial"/>
                <w:sz w:val="18"/>
                <w:szCs w:val="18"/>
                <w:color w:val="0000EE"/>
              </w:rPr>
            </w:pPr>
            <w:hyperlink r:id="rId27">
              <w:r>
                <w:rPr>
                  <w:rFonts w:ascii="Arial" w:cs="Arial" w:eastAsia="Arial" w:hAnsi="Arial"/>
                  <w:sz w:val="18"/>
                  <w:szCs w:val="18"/>
                  <w:color w:val="0000EE"/>
                </w:rPr>
                <w:t>incorporated herein by reference.</w:t>
              </w:r>
            </w:hyperlink>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*(g)</w:t>
            </w:r>
          </w:p>
        </w:tc>
        <w:tc>
          <w:tcPr>
            <w:tcW w:w="7460" w:type="dxa"/>
            <w:vAlign w:val="bottom"/>
            <w:gridSpan w:val="12"/>
          </w:tcPr>
          <w:p>
            <w:pPr>
              <w:spacing w:after="0"/>
              <w:rPr>
                <w:rFonts w:ascii="Arial" w:cs="Arial" w:eastAsia="Arial" w:hAnsi="Arial"/>
                <w:sz w:val="18"/>
                <w:szCs w:val="18"/>
                <w:color w:val="0000EE"/>
                <w:w w:val="89"/>
              </w:rPr>
            </w:pPr>
            <w:hyperlink r:id="rId28">
              <w:r>
                <w:rPr>
                  <w:rFonts w:ascii="Arial" w:cs="Arial" w:eastAsia="Arial" w:hAnsi="Arial"/>
                  <w:sz w:val="18"/>
                  <w:szCs w:val="18"/>
                  <w:color w:val="0000EE"/>
                  <w:w w:val="89"/>
                </w:rPr>
                <w:t>Universal Forest Products, Inc. Deferred Compensation Plan as amended and restated effective June 1,</w:t>
              </w:r>
            </w:hyperlink>
          </w:p>
        </w:tc>
      </w:tr>
      <w:tr>
        <w:trPr>
          <w:trHeight w:val="169"/>
        </w:trPr>
        <w:tc>
          <w:tcPr>
            <w:tcW w:w="560" w:type="dxa"/>
            <w:vAlign w:val="bottom"/>
          </w:tcPr>
          <w:p>
            <w:pPr>
              <w:spacing w:after="0"/>
              <w:rPr>
                <w:sz w:val="14"/>
                <w:szCs w:val="14"/>
                <w:color w:val="auto"/>
              </w:rPr>
            </w:pPr>
          </w:p>
        </w:tc>
        <w:tc>
          <w:tcPr>
            <w:tcW w:w="7400" w:type="dxa"/>
            <w:vAlign w:val="bottom"/>
            <w:tcBorders>
              <w:top w:val="single" w:sz="8" w:color="0000EE"/>
            </w:tcBorders>
            <w:gridSpan w:val="10"/>
          </w:tcPr>
          <w:p>
            <w:pPr>
              <w:spacing w:after="0" w:line="170"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2011 was filed as Exhibit 10(g) to a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Annual Report for the year ended December 31, 2011</w:t>
              </w:r>
            </w:hyperlink>
          </w:p>
        </w:tc>
        <w:tc>
          <w:tcPr>
            <w:tcW w:w="60" w:type="dxa"/>
            <w:vAlign w:val="bottom"/>
            <w:gridSpan w:val="2"/>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590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(Commission file No.: 0-22684) and the same is incorporated herein by reference.</w:t>
              </w:r>
            </w:hyperlink>
          </w:p>
        </w:tc>
        <w:tc>
          <w:tcPr>
            <w:tcW w:w="146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*(h)</w:t>
            </w:r>
          </w:p>
        </w:tc>
        <w:tc>
          <w:tcPr>
            <w:tcW w:w="7460" w:type="dxa"/>
            <w:vAlign w:val="bottom"/>
            <w:gridSpan w:val="12"/>
          </w:tcPr>
          <w:p>
            <w:pPr>
              <w:spacing w:after="0" w:line="207"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Executive Stock Grant Program was filed as Exhibit 10(h) to a Form 10</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Annual Report for the year</w:t>
              </w:r>
            </w:hyperlink>
          </w:p>
        </w:tc>
      </w:tr>
      <w:tr>
        <w:trPr>
          <w:trHeight w:val="169"/>
        </w:trPr>
        <w:tc>
          <w:tcPr>
            <w:tcW w:w="560" w:type="dxa"/>
            <w:vAlign w:val="bottom"/>
          </w:tcPr>
          <w:p>
            <w:pPr>
              <w:spacing w:after="0"/>
              <w:rPr>
                <w:sz w:val="14"/>
                <w:szCs w:val="14"/>
                <w:color w:val="auto"/>
              </w:rPr>
            </w:pPr>
          </w:p>
        </w:tc>
        <w:tc>
          <w:tcPr>
            <w:tcW w:w="7380" w:type="dxa"/>
            <w:vAlign w:val="bottom"/>
            <w:tcBorders>
              <w:top w:val="single" w:sz="8" w:color="0000EE"/>
            </w:tcBorders>
            <w:gridSpan w:val="9"/>
          </w:tcPr>
          <w:p>
            <w:pPr>
              <w:spacing w:after="0" w:line="170" w:lineRule="exact"/>
              <w:rPr>
                <w:rFonts w:ascii="Arial" w:cs="Arial" w:eastAsia="Arial" w:hAnsi="Arial"/>
                <w:sz w:val="18"/>
                <w:szCs w:val="18"/>
                <w:color w:val="0000EE"/>
                <w:w w:val="94"/>
              </w:rPr>
            </w:pPr>
            <w:hyperlink r:id="rId29">
              <w:r>
                <w:rPr>
                  <w:rFonts w:ascii="Arial" w:cs="Arial" w:eastAsia="Arial" w:hAnsi="Arial"/>
                  <w:sz w:val="18"/>
                  <w:szCs w:val="18"/>
                  <w:color w:val="0000EE"/>
                  <w:w w:val="94"/>
                </w:rPr>
                <w:t>ended December 31, 2011 (Commission file No.: 0-22684) and the same is incorporated herein by</w:t>
              </w:r>
            </w:hyperlink>
          </w:p>
        </w:tc>
        <w:tc>
          <w:tcPr>
            <w:tcW w:w="80" w:type="dxa"/>
            <w:vAlign w:val="bottom"/>
            <w:gridSpan w:val="3"/>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7060" w:type="dxa"/>
            <w:vAlign w:val="bottom"/>
            <w:tcBorders>
              <w:top w:val="single" w:sz="8" w:color="0000EE"/>
            </w:tcBorders>
            <w:gridSpan w:val="6"/>
          </w:tcPr>
          <w:p>
            <w:pPr>
              <w:spacing w:after="0" w:line="170" w:lineRule="exact"/>
              <w:rPr>
                <w:rFonts w:ascii="Arial" w:cs="Arial" w:eastAsia="Arial" w:hAnsi="Arial"/>
                <w:sz w:val="18"/>
                <w:szCs w:val="18"/>
                <w:color w:val="0000EE"/>
              </w:rPr>
            </w:pPr>
            <w:hyperlink r:id="rId29">
              <w:r>
                <w:rPr>
                  <w:rFonts w:ascii="Arial" w:cs="Arial" w:eastAsia="Arial" w:hAnsi="Arial"/>
                  <w:sz w:val="18"/>
                  <w:szCs w:val="18"/>
                  <w:color w:val="0000EE"/>
                </w:rPr>
                <w:t>reference.</w:t>
              </w:r>
            </w:hyperlink>
          </w:p>
        </w:tc>
        <w:tc>
          <w:tcPr>
            <w:tcW w:w="1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(i)(1)</w:t>
            </w:r>
          </w:p>
        </w:tc>
        <w:tc>
          <w:tcPr>
            <w:tcW w:w="7460" w:type="dxa"/>
            <w:vAlign w:val="bottom"/>
            <w:gridSpan w:val="12"/>
          </w:tcPr>
          <w:p>
            <w:pPr>
              <w:spacing w:after="0" w:line="207"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Credit Agreement dated November 3, 2014 was filed as Exhibit 10(1) to a Form 8</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Current Report</w:t>
              </w:r>
            </w:hyperlink>
          </w:p>
        </w:tc>
      </w:tr>
      <w:tr>
        <w:trPr>
          <w:trHeight w:val="169"/>
        </w:trPr>
        <w:tc>
          <w:tcPr>
            <w:tcW w:w="560" w:type="dxa"/>
            <w:vAlign w:val="bottom"/>
          </w:tcPr>
          <w:p>
            <w:pPr>
              <w:spacing w:after="0"/>
              <w:rPr>
                <w:sz w:val="14"/>
                <w:szCs w:val="14"/>
                <w:color w:val="auto"/>
              </w:rPr>
            </w:pPr>
          </w:p>
        </w:tc>
        <w:tc>
          <w:tcPr>
            <w:tcW w:w="536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88"/>
              </w:rPr>
            </w:pPr>
            <w:hyperlink r:id="rId30">
              <w:r>
                <w:rPr>
                  <w:rFonts w:ascii="Arial" w:cs="Arial" w:eastAsia="Arial" w:hAnsi="Arial"/>
                  <w:sz w:val="18"/>
                  <w:szCs w:val="18"/>
                  <w:color w:val="0000EE"/>
                  <w:w w:val="88"/>
                </w:rPr>
                <w:t>dated November 7, 2014 and the same is incorporated herein by reference.</w:t>
              </w:r>
            </w:hyperlink>
          </w:p>
        </w:tc>
        <w:tc>
          <w:tcPr>
            <w:tcW w:w="1860" w:type="dxa"/>
            <w:vAlign w:val="bottom"/>
            <w:tcBorders>
              <w:top w:val="single" w:sz="8" w:color="0000EE"/>
            </w:tcBorders>
            <w:gridSpan w:val="4"/>
          </w:tcPr>
          <w:p>
            <w:pPr>
              <w:spacing w:after="0"/>
              <w:rPr>
                <w:sz w:val="14"/>
                <w:szCs w:val="14"/>
                <w:color w:val="auto"/>
              </w:rPr>
            </w:pPr>
          </w:p>
        </w:tc>
        <w:tc>
          <w:tcPr>
            <w:tcW w:w="240" w:type="dxa"/>
            <w:vAlign w:val="bottom"/>
            <w:gridSpan w:val="5"/>
          </w:tcPr>
          <w:p>
            <w:pPr>
              <w:spacing w:after="0"/>
              <w:rPr>
                <w:sz w:val="14"/>
                <w:szCs w:val="14"/>
                <w:color w:val="auto"/>
              </w:rPr>
            </w:pPr>
          </w:p>
        </w:tc>
      </w:tr>
    </w:tbl>
    <w:p>
      <w:pPr>
        <w:spacing w:after="0" w:line="175" w:lineRule="exact"/>
        <w:rPr>
          <w:sz w:val="20"/>
          <w:szCs w:val="20"/>
          <w:color w:val="auto"/>
        </w:rPr>
      </w:pPr>
    </w:p>
    <w:p>
      <w:pPr>
        <w:jc w:val="both"/>
        <w:ind w:left="1480" w:right="219" w:hanging="559"/>
        <w:spacing w:after="0" w:line="203" w:lineRule="exact"/>
        <w:tabs>
          <w:tab w:leader="none" w:pos="1480" w:val="left"/>
        </w:tabs>
        <w:numPr>
          <w:ilvl w:val="0"/>
          <w:numId w:val="15"/>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Note Purchase Agreement dated December 17, 2012 was filed as Exhibit 10(k) to a 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Current</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Report dated December 17, 2012 (Commission file No.: 0-22684) and the same is incorporated herein</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by reference.</w:t>
        </w:r>
      </w:hyperlink>
    </w:p>
    <w:p>
      <w:pPr>
        <w:spacing w:after="0" w:line="200" w:lineRule="exact"/>
        <w:rPr>
          <w:rFonts w:ascii="Arial" w:cs="Arial" w:eastAsia="Arial" w:hAnsi="Arial"/>
          <w:sz w:val="18"/>
          <w:szCs w:val="18"/>
          <w:u w:val="single" w:color="auto"/>
          <w:color w:val="0000EE"/>
        </w:rPr>
      </w:pPr>
    </w:p>
    <w:p>
      <w:pPr>
        <w:spacing w:after="0" w:line="394" w:lineRule="exact"/>
        <w:rPr>
          <w:rFonts w:ascii="Arial" w:cs="Arial" w:eastAsia="Arial" w:hAnsi="Arial"/>
          <w:sz w:val="18"/>
          <w:szCs w:val="18"/>
          <w:u w:val="single" w:color="auto"/>
          <w:color w:val="0000EE"/>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337" w:right="1440" w:bottom="1440" w:gutter="0" w:footer="0" w:header="0"/>
        </w:sectPr>
      </w:pPr>
    </w:p>
    <w:bookmarkStart w:id="14" w:name="page15"/>
    <w:bookmarkEnd w:id="14"/>
    <w:p>
      <w:pPr>
        <w:ind w:left="1477" w:right="119" w:hanging="559"/>
        <w:spacing w:after="0" w:line="203" w:lineRule="exact"/>
        <w:tabs>
          <w:tab w:leader="none" w:pos="1477" w:val="left"/>
        </w:tabs>
        <w:numPr>
          <w:ilvl w:val="0"/>
          <w:numId w:val="16"/>
        </w:numPr>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Universal Forest Products, Inc. 2002 Employee Stock Purchase Plan was filed as Exhibit 10(l) to a</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Annual Report for the year ended December 27, 2014 (Commission file No.: 0-22684) and</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the same is incorporated herein by reference.</w:t>
        </w:r>
      </w:hyperlink>
    </w:p>
    <w:p>
      <w:pPr>
        <w:spacing w:after="0" w:line="148" w:lineRule="exact"/>
        <w:rPr>
          <w:rFonts w:ascii="Arial" w:cs="Arial" w:eastAsia="Arial" w:hAnsi="Arial"/>
          <w:sz w:val="18"/>
          <w:szCs w:val="18"/>
          <w:u w:val="single" w:color="auto"/>
          <w:color w:val="0000EE"/>
        </w:rPr>
      </w:pPr>
    </w:p>
    <w:p>
      <w:pPr>
        <w:ind w:left="1477" w:right="59" w:hanging="559"/>
        <w:spacing w:after="0" w:line="203" w:lineRule="exact"/>
        <w:tabs>
          <w:tab w:leader="none" w:pos="1477" w:val="left"/>
        </w:tabs>
        <w:numPr>
          <w:ilvl w:val="0"/>
          <w:numId w:val="16"/>
        </w:numPr>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Universal Forest Products, Inc. Director Retainer Stock Plan was filed as Exhibit 10(m) to a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Annual Report for the year ended December 31, 2016 (Commission file No.: 0-22684) and the same is</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incorporated herein by reference.</w:t>
        </w:r>
      </w:hyperlink>
    </w:p>
    <w:p>
      <w:pPr>
        <w:spacing w:after="0" w:line="148" w:lineRule="exact"/>
        <w:rPr>
          <w:rFonts w:ascii="Arial" w:cs="Arial" w:eastAsia="Arial" w:hAnsi="Arial"/>
          <w:sz w:val="18"/>
          <w:szCs w:val="18"/>
          <w:u w:val="single" w:color="auto"/>
          <w:color w:val="0000EE"/>
        </w:rPr>
      </w:pPr>
    </w:p>
    <w:p>
      <w:pPr>
        <w:ind w:left="1477" w:right="139" w:hanging="559"/>
        <w:spacing w:after="0" w:line="235" w:lineRule="auto"/>
        <w:tabs>
          <w:tab w:leader="none" w:pos="1477" w:val="left"/>
        </w:tabs>
        <w:numPr>
          <w:ilvl w:val="0"/>
          <w:numId w:val="16"/>
        </w:numPr>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Universal Forest Products, Inc. Amended and Restricted Long Term Stock Incentive Plan in</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incorporated by reference from Appendix A to the Company’s proxy statement dated and filed with the</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Commission on March 6, 2012.</w:t>
        </w:r>
      </w:hyperlink>
    </w:p>
    <w:p>
      <w:pPr>
        <w:spacing w:after="0" w:line="148" w:lineRule="exact"/>
        <w:rPr>
          <w:rFonts w:ascii="Arial" w:cs="Arial" w:eastAsia="Arial" w:hAnsi="Arial"/>
          <w:sz w:val="18"/>
          <w:szCs w:val="18"/>
          <w:u w:val="single" w:color="auto"/>
          <w:color w:val="0000EE"/>
        </w:rPr>
      </w:pPr>
    </w:p>
    <w:p>
      <w:pPr>
        <w:ind w:left="1477" w:right="159" w:hanging="559"/>
        <w:spacing w:after="0" w:line="203" w:lineRule="exact"/>
        <w:tabs>
          <w:tab w:leader="none" w:pos="1477" w:val="left"/>
        </w:tabs>
        <w:numPr>
          <w:ilvl w:val="0"/>
          <w:numId w:val="16"/>
        </w:numPr>
        <w:rPr>
          <w:rFonts w:ascii="Arial" w:cs="Arial" w:eastAsia="Arial" w:hAnsi="Arial"/>
          <w:sz w:val="16"/>
          <w:szCs w:val="16"/>
          <w:u w:val="single" w:color="auto"/>
          <w:color w:val="0000EE"/>
        </w:rPr>
      </w:pPr>
      <w:hyperlink r:id="rId36">
        <w:r>
          <w:rPr>
            <w:rFonts w:ascii="Arial" w:cs="Arial" w:eastAsia="Arial" w:hAnsi="Arial"/>
            <w:sz w:val="16"/>
            <w:szCs w:val="16"/>
            <w:u w:val="single" w:color="auto"/>
            <w:color w:val="0000EE"/>
          </w:rPr>
          <w:t>Amended and restated agreement and plan of merger by and among Universal Forest Products, Inc.,</w:t>
        </w:r>
      </w:hyperlink>
      <w:r>
        <w:rPr>
          <w:rFonts w:ascii="Arial" w:cs="Arial" w:eastAsia="Arial" w:hAnsi="Arial"/>
          <w:sz w:val="16"/>
          <w:szCs w:val="16"/>
          <w:u w:val="single" w:color="auto"/>
          <w:color w:val="0000EE"/>
        </w:rPr>
        <w:t xml:space="preserve"> </w:t>
      </w:r>
      <w:hyperlink r:id="rId36">
        <w:r>
          <w:rPr>
            <w:rFonts w:ascii="Arial" w:cs="Arial" w:eastAsia="Arial" w:hAnsi="Arial"/>
            <w:sz w:val="16"/>
            <w:szCs w:val="16"/>
            <w:u w:val="single" w:color="auto"/>
            <w:color w:val="0000EE"/>
          </w:rPr>
          <w:t>UFP Apple Merger Sub, Inc., idX Holdings, Inc. dated September 7, 2016 and filed as Exhibit 10(o) to</w:t>
        </w:r>
      </w:hyperlink>
      <w:r>
        <w:rPr>
          <w:rFonts w:ascii="Arial" w:cs="Arial" w:eastAsia="Arial" w:hAnsi="Arial"/>
          <w:sz w:val="16"/>
          <w:szCs w:val="16"/>
          <w:u w:val="single" w:color="auto"/>
          <w:color w:val="0000EE"/>
        </w:rPr>
        <w:t xml:space="preserve"> </w:t>
      </w:r>
      <w:hyperlink r:id="rId36">
        <w:r>
          <w:rPr>
            <w:rFonts w:ascii="Arial" w:cs="Arial" w:eastAsia="Arial" w:hAnsi="Arial"/>
            <w:sz w:val="16"/>
            <w:szCs w:val="16"/>
            <w:u w:val="single" w:color="auto"/>
            <w:color w:val="0000EE"/>
          </w:rPr>
          <w:t>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Q, quarter ended September 24, 2016, and the same is incorporated herein by reference.</w:t>
        </w:r>
      </w:hyperlink>
    </w:p>
    <w:p>
      <w:pPr>
        <w:spacing w:after="0" w:line="149" w:lineRule="exact"/>
        <w:rPr>
          <w:rFonts w:ascii="Arial" w:cs="Arial" w:eastAsia="Arial" w:hAnsi="Arial"/>
          <w:sz w:val="16"/>
          <w:szCs w:val="16"/>
          <w:u w:val="single" w:color="auto"/>
          <w:color w:val="0000EE"/>
        </w:rPr>
      </w:pPr>
    </w:p>
    <w:p>
      <w:pPr>
        <w:ind w:left="917" w:right="39" w:hanging="917"/>
        <w:spacing w:after="0" w:line="246" w:lineRule="auto"/>
        <w:tabs>
          <w:tab w:leader="none" w:pos="917" w:val="left"/>
        </w:tabs>
        <w:numPr>
          <w:ilvl w:val="0"/>
          <w:numId w:val="17"/>
        </w:numPr>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Selected portions of the Company’s Annual Report to Shareholders for the fiscal year ended December 30,</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2017.</w:t>
        </w:r>
      </w:hyperlink>
    </w:p>
    <w:p>
      <w:pPr>
        <w:spacing w:after="0" w:line="142" w:lineRule="exact"/>
        <w:rPr>
          <w:rFonts w:ascii="Arial" w:cs="Arial" w:eastAsia="Arial" w:hAnsi="Arial"/>
          <w:sz w:val="18"/>
          <w:szCs w:val="18"/>
          <w:u w:val="single" w:color="auto"/>
          <w:color w:val="0000EE"/>
        </w:rPr>
      </w:pPr>
    </w:p>
    <w:p>
      <w:pPr>
        <w:ind w:left="917" w:hanging="917"/>
        <w:spacing w:after="0"/>
        <w:tabs>
          <w:tab w:leader="none" w:pos="9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spacing w:after="0" w:line="171" w:lineRule="exact"/>
        <w:rPr>
          <w:rFonts w:ascii="Arial" w:cs="Arial" w:eastAsia="Arial" w:hAnsi="Arial"/>
          <w:sz w:val="18"/>
          <w:szCs w:val="18"/>
          <w:color w:val="auto"/>
        </w:rPr>
      </w:pPr>
    </w:p>
    <w:p>
      <w:pPr>
        <w:ind w:left="1477" w:right="59" w:hanging="559"/>
        <w:spacing w:after="0" w:line="275" w:lineRule="auto"/>
        <w:tabs>
          <w:tab w:leader="none" w:pos="1477" w:val="left"/>
        </w:tabs>
        <w:numPr>
          <w:ilvl w:val="0"/>
          <w:numId w:val="18"/>
        </w:numPr>
        <w:rPr>
          <w:rFonts w:ascii="Arial" w:cs="Arial" w:eastAsia="Arial" w:hAnsi="Arial"/>
          <w:sz w:val="17"/>
          <w:szCs w:val="17"/>
          <w:u w:val="single" w:color="auto"/>
          <w:color w:val="0000EE"/>
        </w:rPr>
      </w:pPr>
      <w:hyperlink r:id="rId37">
        <w:r>
          <w:rPr>
            <w:rFonts w:ascii="Arial" w:cs="Arial" w:eastAsia="Arial" w:hAnsi="Arial"/>
            <w:sz w:val="17"/>
            <w:szCs w:val="17"/>
            <w:u w:val="single" w:color="auto"/>
            <w:color w:val="0000EE"/>
          </w:rPr>
          <w:t>Code of Ethics for Chief Financial Officer was filed as Exhibit 14(a) to a Form 10-K, Annual Report for</w:t>
        </w:r>
      </w:hyperlink>
      <w:r>
        <w:rPr>
          <w:rFonts w:ascii="Arial" w:cs="Arial" w:eastAsia="Arial" w:hAnsi="Arial"/>
          <w:sz w:val="17"/>
          <w:szCs w:val="17"/>
          <w:u w:val="single" w:color="auto"/>
          <w:color w:val="0000EE"/>
        </w:rPr>
        <w:t xml:space="preserve"> </w:t>
      </w:r>
      <w:hyperlink r:id="rId37">
        <w:r>
          <w:rPr>
            <w:rFonts w:ascii="Arial" w:cs="Arial" w:eastAsia="Arial" w:hAnsi="Arial"/>
            <w:sz w:val="17"/>
            <w:szCs w:val="17"/>
            <w:u w:val="single" w:color="auto"/>
            <w:color w:val="0000EE"/>
          </w:rPr>
          <w:t>the year ended December 25, 2010 and the same is incorporated herein by reference.</w:t>
        </w:r>
      </w:hyperlink>
    </w:p>
    <w:p>
      <w:pPr>
        <w:spacing w:after="0" w:line="119" w:lineRule="exact"/>
        <w:rPr>
          <w:rFonts w:ascii="Arial" w:cs="Arial" w:eastAsia="Arial" w:hAnsi="Arial"/>
          <w:sz w:val="17"/>
          <w:szCs w:val="17"/>
          <w:color w:val="auto"/>
        </w:rPr>
      </w:pPr>
    </w:p>
    <w:p>
      <w:pPr>
        <w:ind w:left="917" w:hanging="917"/>
        <w:spacing w:after="0"/>
        <w:tabs>
          <w:tab w:leader="none" w:pos="917" w:val="left"/>
        </w:tabs>
        <w:numPr>
          <w:ilvl w:val="0"/>
          <w:numId w:val="19"/>
        </w:numPr>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Subsidiaries of the Registrant.</w:t>
        </w:r>
      </w:hyperlink>
    </w:p>
    <w:p>
      <w:pPr>
        <w:spacing w:after="0" w:line="171" w:lineRule="exact"/>
        <w:rPr>
          <w:rFonts w:ascii="Arial" w:cs="Arial" w:eastAsia="Arial" w:hAnsi="Arial"/>
          <w:sz w:val="17"/>
          <w:szCs w:val="17"/>
          <w:color w:val="auto"/>
        </w:rPr>
      </w:pPr>
    </w:p>
    <w:p>
      <w:pPr>
        <w:ind w:left="917" w:hanging="917"/>
        <w:spacing w:after="0"/>
        <w:tabs>
          <w:tab w:leader="none" w:pos="917" w:val="left"/>
        </w:tabs>
        <w:numPr>
          <w:ilvl w:val="0"/>
          <w:numId w:val="20"/>
        </w:numPr>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Consent of Deloitte &amp; Touche LLP.</w:t>
        </w:r>
      </w:hyperlink>
    </w:p>
    <w:p>
      <w:pPr>
        <w:spacing w:after="0" w:line="171" w:lineRule="exact"/>
        <w:rPr>
          <w:rFonts w:ascii="Arial" w:cs="Arial" w:eastAsia="Arial" w:hAnsi="Arial"/>
          <w:sz w:val="17"/>
          <w:szCs w:val="17"/>
          <w:color w:val="auto"/>
        </w:rPr>
      </w:pPr>
    </w:p>
    <w:p>
      <w:pPr>
        <w:ind w:left="917" w:hanging="917"/>
        <w:spacing w:after="0"/>
        <w:tabs>
          <w:tab w:leader="none" w:pos="9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71" w:lineRule="exact"/>
        <w:rPr>
          <w:rFonts w:ascii="Arial" w:cs="Arial" w:eastAsia="Arial" w:hAnsi="Arial"/>
          <w:sz w:val="18"/>
          <w:szCs w:val="18"/>
          <w:color w:val="auto"/>
        </w:rPr>
      </w:pPr>
    </w:p>
    <w:p>
      <w:pPr>
        <w:ind w:left="1477" w:right="119" w:hanging="559"/>
        <w:spacing w:after="0" w:line="246" w:lineRule="auto"/>
        <w:tabs>
          <w:tab w:leader="none" w:pos="1477" w:val="left"/>
        </w:tabs>
        <w:numPr>
          <w:ilvl w:val="1"/>
          <w:numId w:val="21"/>
        </w:numPr>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Certificate of the Chief Executive Officer of Universal Forest Products, Inc., pursuant to Section 302 of</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the Sarbanes-Oxley Act of 2002 (18 U.S.C. 1350).</w:t>
        </w:r>
      </w:hyperlink>
    </w:p>
    <w:p>
      <w:pPr>
        <w:spacing w:after="0" w:line="142" w:lineRule="exact"/>
        <w:rPr>
          <w:rFonts w:ascii="Arial" w:cs="Arial" w:eastAsia="Arial" w:hAnsi="Arial"/>
          <w:sz w:val="18"/>
          <w:szCs w:val="18"/>
          <w:u w:val="single" w:color="auto"/>
          <w:color w:val="0000EE"/>
        </w:rPr>
      </w:pPr>
    </w:p>
    <w:p>
      <w:pPr>
        <w:ind w:left="1477" w:right="159" w:hanging="559"/>
        <w:spacing w:after="0" w:line="246" w:lineRule="auto"/>
        <w:tabs>
          <w:tab w:leader="none" w:pos="1477" w:val="left"/>
        </w:tabs>
        <w:numPr>
          <w:ilvl w:val="1"/>
          <w:numId w:val="21"/>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Certificate of the Chief Financial Officer of Universal Forest Products, Inc., pursuant to Section 302 of</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the Sarbanes-Oxley Act of 2002 (18 U.S.C. 1350).</w:t>
        </w:r>
      </w:hyperlink>
    </w:p>
    <w:p>
      <w:pPr>
        <w:spacing w:after="0" w:line="142" w:lineRule="exact"/>
        <w:rPr>
          <w:rFonts w:ascii="Arial" w:cs="Arial" w:eastAsia="Arial" w:hAnsi="Arial"/>
          <w:sz w:val="18"/>
          <w:szCs w:val="18"/>
          <w:u w:val="single" w:color="auto"/>
          <w:color w:val="0000EE"/>
        </w:rPr>
      </w:pPr>
    </w:p>
    <w:p>
      <w:pPr>
        <w:ind w:left="917" w:hanging="917"/>
        <w:spacing w:after="0"/>
        <w:tabs>
          <w:tab w:leader="none" w:pos="9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71" w:lineRule="exact"/>
        <w:rPr>
          <w:rFonts w:ascii="Arial" w:cs="Arial" w:eastAsia="Arial" w:hAnsi="Arial"/>
          <w:sz w:val="18"/>
          <w:szCs w:val="18"/>
          <w:color w:val="auto"/>
        </w:rPr>
      </w:pPr>
    </w:p>
    <w:p>
      <w:pPr>
        <w:ind w:left="1477" w:right="119" w:hanging="559"/>
        <w:spacing w:after="0" w:line="246" w:lineRule="auto"/>
        <w:tabs>
          <w:tab w:leader="none" w:pos="1477" w:val="left"/>
        </w:tabs>
        <w:numPr>
          <w:ilvl w:val="1"/>
          <w:numId w:val="21"/>
        </w:numPr>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Certificate of the Chief Executive Officer of Universal Forest Products, Inc., pursuant to Section 906 of</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the Sarbanes-Oxley Act of 2002 (18 U.S.C. 1350).</w:t>
        </w:r>
      </w:hyperlink>
    </w:p>
    <w:p>
      <w:pPr>
        <w:spacing w:after="0" w:line="142" w:lineRule="exact"/>
        <w:rPr>
          <w:rFonts w:ascii="Arial" w:cs="Arial" w:eastAsia="Arial" w:hAnsi="Arial"/>
          <w:sz w:val="18"/>
          <w:szCs w:val="18"/>
          <w:u w:val="single" w:color="auto"/>
          <w:color w:val="0000EE"/>
        </w:rPr>
      </w:pPr>
    </w:p>
    <w:p>
      <w:pPr>
        <w:ind w:left="1477" w:right="159" w:hanging="559"/>
        <w:spacing w:after="0" w:line="246" w:lineRule="auto"/>
        <w:tabs>
          <w:tab w:leader="none" w:pos="1477" w:val="left"/>
        </w:tabs>
        <w:numPr>
          <w:ilvl w:val="1"/>
          <w:numId w:val="21"/>
        </w:numPr>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Certificate of the Chief Financial Officer of Universal Forest Products, Inc., pursuant to Section 906 of</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the Sarbanes-Oxley Act of 2002 (18 U.S.C. 1350).</w:t>
        </w:r>
      </w:hyperlink>
    </w:p>
    <w:p>
      <w:pPr>
        <w:spacing w:after="0" w:line="143" w:lineRule="exact"/>
        <w:rPr>
          <w:rFonts w:ascii="Arial" w:cs="Arial" w:eastAsia="Arial" w:hAnsi="Arial"/>
          <w:sz w:val="18"/>
          <w:szCs w:val="18"/>
          <w:color w:val="auto"/>
        </w:rPr>
      </w:pPr>
    </w:p>
    <w:p>
      <w:pPr>
        <w:ind w:left="917" w:hanging="917"/>
        <w:spacing w:after="0"/>
        <w:tabs>
          <w:tab w:leader="none" w:pos="9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71" w:lineRule="exact"/>
        <w:rPr>
          <w:rFonts w:ascii="Arial" w:cs="Arial" w:eastAsia="Arial" w:hAnsi="Arial"/>
          <w:sz w:val="18"/>
          <w:szCs w:val="18"/>
          <w:color w:val="auto"/>
        </w:rPr>
      </w:pPr>
    </w:p>
    <w:p>
      <w:pPr>
        <w:jc w:val="both"/>
        <w:ind w:left="917" w:right="5659"/>
        <w:spacing w:after="0" w:line="493" w:lineRule="auto"/>
        <w:rPr>
          <w:rFonts w:ascii="Arial" w:cs="Arial" w:eastAsia="Arial" w:hAnsi="Arial"/>
          <w:sz w:val="18"/>
          <w:szCs w:val="18"/>
          <w:color w:val="auto"/>
        </w:rPr>
      </w:pPr>
      <w:r>
        <w:rPr>
          <w:rFonts w:ascii="Arial" w:cs="Arial" w:eastAsia="Arial" w:hAnsi="Arial"/>
          <w:sz w:val="16"/>
          <w:szCs w:val="16"/>
          <w:color w:val="auto"/>
        </w:rPr>
        <w:t>(INS) XBRL Instance Document. (SCH) XBRL Schema Document.</w:t>
      </w:r>
    </w:p>
    <w:p>
      <w:pPr>
        <w:ind w:left="917"/>
        <w:spacing w:after="0"/>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171" w:lineRule="exact"/>
        <w:rPr>
          <w:rFonts w:ascii="Arial" w:cs="Arial" w:eastAsia="Arial" w:hAnsi="Arial"/>
          <w:sz w:val="18"/>
          <w:szCs w:val="18"/>
          <w:color w:val="auto"/>
        </w:rPr>
      </w:pPr>
    </w:p>
    <w:p>
      <w:pPr>
        <w:ind w:left="917" w:right="3079"/>
        <w:spacing w:after="0" w:line="553" w:lineRule="auto"/>
        <w:rPr>
          <w:rFonts w:ascii="Arial" w:cs="Arial" w:eastAsia="Arial" w:hAnsi="Arial"/>
          <w:sz w:val="18"/>
          <w:szCs w:val="18"/>
          <w:color w:val="auto"/>
        </w:rPr>
      </w:pPr>
      <w:r>
        <w:rPr>
          <w:rFonts w:ascii="Arial" w:cs="Arial" w:eastAsia="Arial" w:hAnsi="Arial"/>
          <w:sz w:val="16"/>
          <w:szCs w:val="16"/>
          <w:color w:val="auto"/>
        </w:rPr>
        <w:t>(LAB) XBRL Taxonomy Extension Label Linkbase Document. (PRE) XBRL Taxonomy Extension Presentation Linkbase Document.</w:t>
      </w:r>
    </w:p>
    <w:p>
      <w:pPr>
        <w:spacing w:after="0" w:line="368" w:lineRule="exact"/>
        <w:rPr>
          <w:rFonts w:ascii="Arial" w:cs="Arial" w:eastAsia="Arial" w:hAnsi="Arial"/>
          <w:sz w:val="18"/>
          <w:szCs w:val="18"/>
          <w:color w:val="auto"/>
        </w:rPr>
      </w:pPr>
    </w:p>
    <w:p>
      <w:pPr>
        <w:jc w:val="center"/>
        <w:ind w:right="-17"/>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6"/>
          </w:cols>
          <w:pgMar w:left="1423" w:top="112" w:right="1440" w:bottom="1440" w:gutter="0" w:footer="0" w:header="0"/>
        </w:sectPr>
      </w:pPr>
    </w:p>
    <w:bookmarkStart w:id="15" w:name="page16"/>
    <w:bookmarkEnd w:id="15"/>
    <w:p>
      <w:pPr>
        <w:jc w:val="right"/>
        <w:ind w:right="3219"/>
        <w:spacing w:after="0"/>
        <w:rPr>
          <w:sz w:val="20"/>
          <w:szCs w:val="20"/>
          <w:color w:val="auto"/>
        </w:rPr>
      </w:pPr>
      <w:r>
        <w:rPr>
          <w:rFonts w:ascii="Arial" w:cs="Arial" w:eastAsia="Arial" w:hAnsi="Arial"/>
          <w:sz w:val="18"/>
          <w:szCs w:val="18"/>
          <w:color w:val="auto"/>
        </w:rPr>
        <w:t>(DEF)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5"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Dated: February 28, 2018</w:t>
      </w:r>
      <w:r>
        <w:rPr>
          <w:sz w:val="20"/>
          <w:szCs w:val="20"/>
          <w:color w:val="auto"/>
        </w:rPr>
        <w:tab/>
      </w:r>
      <w:r>
        <w:rPr>
          <w:rFonts w:ascii="Arial" w:cs="Arial" w:eastAsia="Arial" w:hAnsi="Arial"/>
          <w:sz w:val="17"/>
          <w:szCs w:val="17"/>
          <w:b w:val="1"/>
          <w:bCs w:val="1"/>
          <w:color w:val="auto"/>
        </w:rPr>
        <w:t>UNIVERSAL FOREST PRODUCTS, INC.</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-130810</wp:posOffset>
            </wp:positionV>
            <wp:extent cx="2718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28th day of February, 2018, by the following persons on behalf of us and in the capacities indicated.</w:t>
      </w:r>
    </w:p>
    <w:p>
      <w:pPr>
        <w:spacing w:after="0" w:line="1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-130810</wp:posOffset>
            </wp:positionV>
            <wp:extent cx="2727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Michael R. Cole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-130810</wp:posOffset>
            </wp:positionV>
            <wp:extent cx="2727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Each Director whose signature appears below hereby appoints Matthew J. Missad and Michael R. Cole, and each of them individually, as his or her attorney-in-fact to sign in his or her name and on his or her behalf as a Director, and to file with the Commission any and all amendments to this report on Form 10</w:t>
      </w:r>
      <w:r>
        <w:rPr>
          <w:rFonts w:ascii="MS PGothic" w:cs="MS PGothic" w:eastAsia="MS PGothic" w:hAnsi="MS PGothic"/>
          <w:sz w:val="18"/>
          <w:szCs w:val="18"/>
          <w:color w:val="auto"/>
        </w:rPr>
        <w:t>‑</w:t>
      </w:r>
      <w:r>
        <w:rPr>
          <w:rFonts w:ascii="Arial" w:cs="Arial" w:eastAsia="Arial" w:hAnsi="Arial"/>
          <w:sz w:val="18"/>
          <w:szCs w:val="18"/>
          <w:color w:val="auto"/>
        </w:rPr>
        <w:t>K to the same extent and with the same effect as if done personally.</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William G. Currie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G. Currie,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Gary F. Goode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F. Goode,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J. Missad,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Mary E. Tuuk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 E. Tuuk,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69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ind w:right="1520"/>
        <w:spacing w:after="0" w:line="360" w:lineRule="auto"/>
        <w:rPr>
          <w:sz w:val="20"/>
          <w:szCs w:val="20"/>
          <w:color w:val="auto"/>
        </w:rPr>
      </w:pPr>
      <w:r>
        <w:rPr>
          <w:rFonts w:ascii="Arial" w:cs="Arial" w:eastAsia="Arial" w:hAnsi="Arial"/>
          <w:sz w:val="16"/>
          <w:szCs w:val="16"/>
          <w:color w:val="auto"/>
        </w:rPr>
        <w:t xml:space="preserve">/s/ Michael G. Wooldridge </w:t>
      </w:r>
      <w:r>
        <w:rPr>
          <w:rFonts w:ascii="Arial" w:cs="Arial" w:eastAsia="Arial" w:hAnsi="Arial"/>
          <w:sz w:val="16"/>
          <w:szCs w:val="16"/>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2769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John M. Engler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Engler,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727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Bruce A. Merino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A. Merino,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727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Thomas W. Rhodes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W. Rhodes,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2727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Brian C. Walker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C. Walker,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727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976" w:lineRule="exact"/>
        <w:rPr>
          <w:sz w:val="20"/>
          <w:szCs w:val="20"/>
          <w:color w:val="auto"/>
        </w:rPr>
      </w:pPr>
    </w:p>
    <w:p>
      <w:pPr>
        <w:sectPr>
          <w:pgSz w:w="11900" w:h="16838" w:orient="portrait"/>
          <w:cols w:equalWidth="0" w:num="2">
            <w:col w:w="4060" w:space="720"/>
            <w:col w:w="4280"/>
          </w:cols>
          <w:pgMar w:left="1420" w:top="121" w:right="1419" w:bottom="144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Selected Financial Data</w:t>
              </w:r>
            </w:hyperlink>
          </w:p>
        </w:tc>
        <w:tc>
          <w:tcPr>
            <w:tcW w:w="6740" w:type="dxa"/>
            <w:vAlign w:val="bottom"/>
            <w:gridSpan w:val="13"/>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7"/>
        </w:trPr>
        <w:tc>
          <w:tcPr>
            <w:tcW w:w="846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547"/>
        </w:trPr>
        <w:tc>
          <w:tcPr>
            <w:tcW w:w="6460" w:type="dxa"/>
            <w:vAlign w:val="bottom"/>
            <w:tcBorders>
              <w:top w:val="single" w:sz="8" w:color="0000EE"/>
            </w:tcBorders>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Annual Report on Internal Control Over Financial Reporting</w:t>
              </w:r>
            </w:hyperlink>
          </w:p>
        </w:tc>
        <w:tc>
          <w:tcPr>
            <w:tcW w:w="200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547"/>
        </w:trPr>
        <w:tc>
          <w:tcPr>
            <w:tcW w:w="5480" w:type="dxa"/>
            <w:vAlign w:val="bottom"/>
            <w:tcBorders>
              <w:top w:val="single" w:sz="8" w:color="0000EE"/>
            </w:tcBorders>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298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547"/>
        </w:trPr>
        <w:tc>
          <w:tcPr>
            <w:tcW w:w="846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547"/>
        </w:trPr>
        <w:tc>
          <w:tcPr>
            <w:tcW w:w="8460" w:type="dxa"/>
            <w:vAlign w:val="bottom"/>
            <w:gridSpan w:val="16"/>
          </w:tcPr>
          <w:p>
            <w:pPr>
              <w:spacing w:after="0"/>
              <w:rPr>
                <w:sz w:val="20"/>
                <w:szCs w:val="20"/>
                <w:color w:val="auto"/>
              </w:rPr>
            </w:pPr>
            <w:r>
              <w:rPr>
                <w:rFonts w:ascii="Arial" w:cs="Arial" w:eastAsia="Arial" w:hAnsi="Arial"/>
                <w:sz w:val="18"/>
                <w:szCs w:val="18"/>
                <w:color w:val="0000EE"/>
              </w:rPr>
              <w:t>Consolidated Balance Sheets as of December 30, 2017 and December 31, 2016</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547"/>
        </w:trPr>
        <w:tc>
          <w:tcPr>
            <w:tcW w:w="8460" w:type="dxa"/>
            <w:vAlign w:val="bottom"/>
            <w:gridSpan w:val="16"/>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Consolidated Statements of Earnings and Comprehensive Income for the Years Ended December 30, 2017,</w:t>
              </w:r>
            </w:hyperlink>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13"/>
          </w:tcPr>
          <w:p>
            <w:pPr>
              <w:ind w:left="4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December 31, 2016, and December 26, 2015</w:t>
              </w:r>
            </w:hyperlink>
          </w:p>
        </w:tc>
        <w:tc>
          <w:tcPr>
            <w:tcW w:w="7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547"/>
        </w:trPr>
        <w:tc>
          <w:tcPr>
            <w:tcW w:w="8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Shareholders’ Equity for the Years Ended December 30, 2017, December 31, 2016, and</w:t>
              </w:r>
            </w:hyperlink>
          </w:p>
        </w:tc>
        <w:tc>
          <w:tcPr>
            <w:tcW w:w="1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320" w:type="dxa"/>
            <w:vAlign w:val="bottom"/>
            <w:gridSpan w:val="1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December 26, 2015</w:t>
              </w:r>
            </w:hyperlink>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547"/>
        </w:trPr>
        <w:tc>
          <w:tcPr>
            <w:tcW w:w="76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Cash Flows for the Years Ended December 30, 2017, December 31, 2016, and</w:t>
              </w:r>
            </w:hyperlink>
          </w:p>
        </w:tc>
        <w:tc>
          <w:tcPr>
            <w:tcW w:w="800" w:type="dxa"/>
            <w:vAlign w:val="bottom"/>
            <w:gridSpan w:val="3"/>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320" w:type="dxa"/>
            <w:vAlign w:val="bottom"/>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December 26, 2015</w:t>
              </w:r>
            </w:hyperlink>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Notes to Consolidated Financial Statements</w:t>
              </w:r>
            </w:hyperlink>
          </w:p>
        </w:tc>
        <w:tc>
          <w:tcPr>
            <w:tcW w:w="530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547"/>
        </w:trPr>
        <w:tc>
          <w:tcPr>
            <w:tcW w:w="34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Price Range of Common Stock and Dividends</w:t>
              </w:r>
            </w:hyperlink>
          </w:p>
        </w:tc>
        <w:tc>
          <w:tcPr>
            <w:tcW w:w="50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547"/>
        </w:trPr>
        <w:tc>
          <w:tcPr>
            <w:tcW w:w="18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Stock Performance Graph</w:t>
              </w:r>
            </w:hyperlink>
          </w:p>
        </w:tc>
        <w:tc>
          <w:tcPr>
            <w:tcW w:w="658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547"/>
        </w:trPr>
        <w:tc>
          <w:tcPr>
            <w:tcW w:w="23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Directors and Executive Officers</w:t>
              </w:r>
            </w:hyperlink>
          </w:p>
        </w:tc>
        <w:tc>
          <w:tcPr>
            <w:tcW w:w="60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547"/>
        </w:trPr>
        <w:tc>
          <w:tcPr>
            <w:tcW w:w="8460" w:type="dxa"/>
            <w:vAlign w:val="bottom"/>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Shareholder Information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486"/>
        </w:trPr>
        <w:tc>
          <w:tcPr>
            <w:tcW w:w="14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and statistics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03"/>
        </w:trPr>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3"/>
              </w:rPr>
              <w:t>Consolidated Statement of Earnings Data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3,941,182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3,240,493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2,887,071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2,660,329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2,470,448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160,671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95,713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earnings attributable to controlling</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8"/>
                <w:szCs w:val="8"/>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1,464,677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1,292,058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1,107,679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1,023,800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916,987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974,023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860,466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766,409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699,560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649,734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Statistics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Gross profit as a percentage of net sales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earnings attributable to controlling</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as a percentage of net sales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Return on beginning equity</w:t>
            </w:r>
            <w:r>
              <w:rPr>
                <w:rFonts w:ascii="Arial" w:cs="Arial" w:eastAsia="Arial" w:hAnsi="Arial"/>
                <w:sz w:val="8"/>
                <w:szCs w:val="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7.1 %</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r>
              <w:rPr>
                <w:rFonts w:ascii="Arial" w:cs="Arial" w:eastAsia="Arial" w:hAnsi="Arial"/>
                <w:sz w:val="8"/>
                <w:szCs w:val="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Debt to equity ratio</w:t>
            </w:r>
            <w:r>
              <w:rPr>
                <w:rFonts w:ascii="Arial" w:cs="Arial" w:eastAsia="Arial" w:hAnsi="Arial"/>
                <w:sz w:val="8"/>
                <w:szCs w:val="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common share</w:t>
            </w:r>
            <w:r>
              <w:rPr>
                <w:rFonts w:ascii="Arial" w:cs="Arial" w:eastAsia="Arial" w:hAnsi="Arial"/>
                <w:sz w:val="8"/>
                <w:szCs w:val="8"/>
                <w:color w:val="auto"/>
              </w:rPr>
              <w:t>(3)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94" w:lineRule="exact"/>
        <w:rPr>
          <w:sz w:val="20"/>
          <w:szCs w:val="20"/>
          <w:color w:val="auto"/>
        </w:rPr>
      </w:pPr>
    </w:p>
    <w:p>
      <w:pPr>
        <w:ind w:left="380" w:hanging="377"/>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assets less current liabilities.</w:t>
      </w:r>
    </w:p>
    <w:p>
      <w:pPr>
        <w:spacing w:after="0" w:line="23" w:lineRule="exact"/>
        <w:rPr>
          <w:rFonts w:ascii="Arial" w:cs="Arial" w:eastAsia="Arial" w:hAnsi="Arial"/>
          <w:sz w:val="18"/>
          <w:szCs w:val="18"/>
          <w:color w:val="auto"/>
        </w:rPr>
      </w:pPr>
    </w:p>
    <w:p>
      <w:pPr>
        <w:ind w:left="380" w:hanging="377"/>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divided by beginning shareholders’ equity.</w:t>
      </w:r>
    </w:p>
    <w:p>
      <w:pPr>
        <w:spacing w:after="0" w:line="9" w:lineRule="exact"/>
        <w:rPr>
          <w:rFonts w:ascii="Arial" w:cs="Arial" w:eastAsia="Arial" w:hAnsi="Arial"/>
          <w:sz w:val="18"/>
          <w:szCs w:val="18"/>
          <w:color w:val="auto"/>
        </w:rPr>
      </w:pPr>
    </w:p>
    <w:p>
      <w:pPr>
        <w:ind w:left="380" w:hanging="377"/>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Shareholders’ equity divided by common stock outstanding.</w:t>
      </w:r>
    </w:p>
    <w:p>
      <w:pPr>
        <w:spacing w:after="0" w:line="9" w:lineRule="exact"/>
        <w:rPr>
          <w:rFonts w:ascii="Arial" w:cs="Arial" w:eastAsia="Arial" w:hAnsi="Arial"/>
          <w:sz w:val="18"/>
          <w:szCs w:val="18"/>
          <w:color w:val="auto"/>
        </w:rPr>
      </w:pPr>
    </w:p>
    <w:p>
      <w:pPr>
        <w:ind w:left="380" w:hanging="377"/>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assets divided by current liabilities.</w:t>
      </w:r>
    </w:p>
    <w:p>
      <w:pPr>
        <w:spacing w:after="0" w:line="9" w:lineRule="exact"/>
        <w:rPr>
          <w:rFonts w:ascii="Arial" w:cs="Arial" w:eastAsia="Arial" w:hAnsi="Arial"/>
          <w:sz w:val="18"/>
          <w:szCs w:val="18"/>
          <w:color w:val="auto"/>
        </w:rPr>
      </w:pPr>
    </w:p>
    <w:p>
      <w:pPr>
        <w:ind w:left="380" w:hanging="377"/>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debt divided by shareholders’ equity.</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Acquisition growth is the primary contributing factor to material increases over the period from 2013 to 2017. Refer to Note C under the“Notes to the Consolidated Financial Statements” for further discussion on the Company’s business combinations and impact on 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Universal Forest Products, Inc. is a holding company with subsidiaries throughout North America, Europe, Asia, and in Australia that supply wood, wood composite and other products to three robust markets: retail, industrial, and construction. The Company is headquartered in Grand Rapids, Mich. For more information about Universal Forest Products, Inc., or its affiliated operations, go to www.ufpi.com.</w:t>
      </w:r>
    </w:p>
    <w:p>
      <w:pPr>
        <w:spacing w:after="0" w:line="18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w:t>
      </w:r>
      <w:r>
        <w:rPr>
          <w:rFonts w:ascii="MS PGothic" w:cs="MS PGothic" w:eastAsia="MS PGothic" w:hAnsi="MS PGothic"/>
          <w:sz w:val="17"/>
          <w:szCs w:val="17"/>
          <w:color w:val="auto"/>
        </w:rPr>
        <w:t>‑</w:t>
      </w:r>
      <w:r>
        <w:rPr>
          <w:rFonts w:ascii="Arial" w:cs="Arial" w:eastAsia="Arial" w:hAnsi="Arial"/>
          <w:sz w:val="17"/>
          <w:szCs w:val="17"/>
          <w:color w:val="auto"/>
        </w:rPr>
        <w:t>K and 10</w:t>
      </w:r>
      <w:r>
        <w:rPr>
          <w:rFonts w:ascii="MS PGothic" w:cs="MS PGothic" w:eastAsia="MS PGothic" w:hAnsi="MS PGothic"/>
          <w:sz w:val="17"/>
          <w:szCs w:val="17"/>
          <w:color w:val="auto"/>
        </w:rPr>
        <w:t>‑</w:t>
      </w:r>
      <w:r>
        <w:rPr>
          <w:rFonts w:ascii="Arial" w:cs="Arial" w:eastAsia="Arial" w:hAnsi="Arial"/>
          <w:sz w:val="17"/>
          <w:szCs w:val="17"/>
          <w:color w:val="auto"/>
        </w:rPr>
        <w:t>Q on file with the Securities and Exchange Commission. We are pleased to present this overview of 2017.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2017 were impacted by the following:</w:t>
      </w:r>
    </w:p>
    <w:p>
      <w:pPr>
        <w:spacing w:after="0" w:line="225" w:lineRule="exact"/>
        <w:rPr>
          <w:sz w:val="20"/>
          <w:szCs w:val="20"/>
          <w:color w:val="auto"/>
        </w:rPr>
      </w:pPr>
    </w:p>
    <w:p>
      <w:pPr>
        <w:jc w:val="both"/>
        <w:ind w:left="660" w:hanging="333"/>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sales increased almost 22% in 2017 due to a 15% increase in our unit sales and a 7% increase in overall selling prices (see “Historical Lumber Prices”). Our unit sales increased in all three of our markets - retail, industrial, and construction - and were driven by a combination of acquisition and organic growth. Overall, businesses we acquired contributed 11% to our unit sales growth in 2017 (see Note C of the Notes to Consolidated Financial Statements) and we achieved 4% organic unit sales growth. In 2016, we had 53 weeks in our fiscal year which contributed an additional $60 million of sales compared to 2017, which was a 52 week year (See Note A of the Notes to Consolidated Financial Statements).</w:t>
      </w:r>
    </w:p>
    <w:p>
      <w:pPr>
        <w:spacing w:after="0" w:line="189"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Home Improvement Research Institute reported a 5% increase in home improvement sales in 2017. Comparatively, our unit sales to the retail market increased 10% in 2017, including approximately 7% contributed from acquired businesses.</w:t>
      </w:r>
    </w:p>
    <w:p>
      <w:pPr>
        <w:spacing w:after="0" w:line="181"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sales to the industrial market increased 35% in 2017. Businesses we acquired contributed 25% to unit sales growth. Comparatively, the </w:t>
      </w:r>
      <w:r>
        <w:rPr>
          <w:rFonts w:ascii="Arial" w:cs="Arial" w:eastAsia="Arial" w:hAnsi="Arial"/>
          <w:sz w:val="18"/>
          <w:szCs w:val="18"/>
          <w:i w:val="1"/>
          <w:iCs w:val="1"/>
          <w:color w:val="auto"/>
        </w:rPr>
        <w:t>Federal Reserve’s Industrial Production</w:t>
      </w:r>
      <w:r>
        <w:rPr>
          <w:rFonts w:ascii="Arial" w:cs="Arial" w:eastAsia="Arial" w:hAnsi="Arial"/>
          <w:sz w:val="18"/>
          <w:szCs w:val="18"/>
          <w:color w:val="auto"/>
        </w:rPr>
        <w:t xml:space="preserve"> noted that national industrial production increased less than 1% in 2017.</w:t>
      </w:r>
    </w:p>
    <w:p>
      <w:pPr>
        <w:spacing w:after="0" w:line="181"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National housing starts increased approximately 4% in the period from December 2016 through November 2017, compared to the same period of the prior year (our sales trail housing starts by about a month). Comparatively, our unit sales to residential construction customers increased 7% in 2017.</w:t>
      </w:r>
    </w:p>
    <w:p>
      <w:pPr>
        <w:spacing w:after="0" w:line="181"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of HUD code manufactured homes were up 16% in the period from January through November 2017, compared to the same period of the prior year. Comparatively, our unit sales to the manufactured housing market increased 9% in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ind w:left="660" w:hanging="333"/>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earnings from operations increased 10.4% to $181.5 million in 2017 from $164.4 million in 2016. Acquired businesses contributed $6.7 million to our increase, which was below our expectations primarily due to idX. The remaining $10.4 million, or 6.3%, increase was primarily driven by our organic unit sales growth and a decline in our incentive bonus expense due to a decrease in our return on investment which is a key performance metric for determining incentive bonus payments.</w:t>
      </w:r>
    </w:p>
    <w:p>
      <w:pPr>
        <w:spacing w:after="0" w:line="188"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Finally, the Tax Act, as defined in Note K to our 2017 Annual Financial Statements, resulted in a $6.4 million decrease to our net deferred tax liability and income taxes in 2017. Excluding the impact of the Tax Act, our net earnings attributable to controlling interest was $113.1 million, compared to $101.2 million in 2016, an 11.8% increase.</w:t>
      </w:r>
    </w:p>
    <w:p>
      <w:pPr>
        <w:spacing w:after="0" w:line="186"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flow from operating activities decreased to $137 million due to an increase in our investment in working capital resulting from higher year over year lumber prices in the fourth quarter of 2017 compared with the fourth quarter of 2016 as presented in the tables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Random Lengths framing lumber composite price.</w:t>
      </w:r>
    </w:p>
    <w:p>
      <w:pPr>
        <w:spacing w:after="0" w:line="230"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Random Lengths Composite</w:t>
      </w:r>
    </w:p>
    <w:p>
      <w:pPr>
        <w:jc w:val="center"/>
        <w:ind w:left="610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February</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April</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June</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August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October</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Annual average</w:t>
            </w: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Annual percentage change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a Southern Yellow Pine (“SYP”) composite price, which we prepare and use, is presented below. Our purchases of this species comprises approximately 44% and 43% of total lumber purchases for 2017 and 2016, respectively.</w:t>
      </w:r>
    </w:p>
    <w:p>
      <w:pPr>
        <w:spacing w:after="0" w:line="129"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Southern Yellow Pine</w:t>
      </w:r>
    </w:p>
    <w:p>
      <w:pPr>
        <w:jc w:val="center"/>
        <w:ind w:left="646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February</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April</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June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August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October</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December</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Annual average</w:t>
            </w:r>
          </w:p>
        </w:tc>
        <w:tc>
          <w:tcPr>
            <w:tcW w:w="244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Annual percentage change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increases in lumber prices from 2016 to 2017 can primarily be attributed to the following factors:</w:t>
      </w:r>
    </w:p>
    <w:p>
      <w:pPr>
        <w:spacing w:after="0" w:line="23" w:lineRule="exact"/>
        <w:rPr>
          <w:sz w:val="20"/>
          <w:szCs w:val="20"/>
          <w:color w:val="auto"/>
        </w:rPr>
      </w:pPr>
    </w:p>
    <w:p>
      <w:pPr>
        <w:jc w:val="both"/>
        <w:ind w:left="660" w:hanging="333"/>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Duties on imported lumber from Canada - The U.S. Department of Commerce has preliminarily determined that subsidies are being provided to producers and exporters of certain softwood lumber products (softwood lumber) from Canada and duties are being assessed ranging from 7% to 23%.</w:t>
      </w:r>
    </w:p>
    <w:p>
      <w:pPr>
        <w:spacing w:after="0" w:line="19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Canadian Wildfires - In 2017, British Columbia experienced its worst wildfire season in history which impacted the producers and exporters of lumber products.</w:t>
      </w:r>
    </w:p>
    <w:p>
      <w:pPr>
        <w:spacing w:after="0" w:line="17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Hurricanes Irma and Harvey - Caused catastrophic damage in parts of the U.S. and the Caribbean. The necessity for lumber to prevent and repair hurricane damage resulted in a surge in lumber demand during the third and fourth quarters of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49.1%, 48.4%, and 48.9% of our gross sales in 2017, 2016, and 2015, respectively.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Our gross margins are impacted by (1) the relative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Lumber Market (i.e. whether prices are higher or lower from comparative periods), and (2)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660" w:hanging="333"/>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retail building materials customers, as well as trusses, wall panels and other components sold to the residential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in the price of component lumber products, we attempt to lock in costs with our suppliers for these sales commitments. Also, the time period and quantity limitations generally allow us to eventually re-price our products for changes in lumber costs from our suppliers.</w:t>
      </w:r>
    </w:p>
    <w:p>
      <w:pPr>
        <w:spacing w:after="0" w:line="167" w:lineRule="exact"/>
        <w:rPr>
          <w:rFonts w:ascii="Arial" w:cs="Arial" w:eastAsia="Arial" w:hAnsi="Arial"/>
          <w:sz w:val="16"/>
          <w:szCs w:val="16"/>
          <w:color w:val="auto"/>
        </w:rPr>
      </w:pPr>
    </w:p>
    <w:p>
      <w:pPr>
        <w:jc w:val="both"/>
        <w:ind w:left="660" w:hanging="333"/>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Products with selling prices indexed to the reported Lumber Market with a fixed dollar "adder" to cover conversion costs and profits.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For these products, our margins are exposed to changes in the trend of lumber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660" w:hanging="333"/>
        <w:spacing w:after="0" w:line="218" w:lineRule="exact"/>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19% of our total sales. This exposure is less significant with remanufactured lumber, trusses sold to the manufactured housing market, and other similar products, due to our higher rate of inventory turnover of these products. We attempt to mitigate the risk associated with treated lumber through vendor consignment inventory programs. (</w:t>
      </w:r>
      <w:r>
        <w:rPr>
          <w:rFonts w:ascii="Arial" w:cs="Arial" w:eastAsia="Arial" w:hAnsi="Arial"/>
          <w:sz w:val="18"/>
          <w:szCs w:val="18"/>
          <w:i w:val="1"/>
          <w:iCs w:val="1"/>
          <w:color w:val="auto"/>
        </w:rPr>
        <w:t>Please refer to</w:t>
      </w:r>
      <w:r>
        <w:rPr>
          <w:rFonts w:ascii="Arial" w:cs="Arial" w:eastAsia="Arial" w:hAnsi="Arial"/>
          <w:sz w:val="18"/>
          <w:szCs w:val="18"/>
          <w:color w:val="auto"/>
        </w:rPr>
        <w:t xml:space="preserve"> </w:t>
      </w:r>
      <w:r>
        <w:rPr>
          <w:rFonts w:ascii="Arial" w:cs="Arial" w:eastAsia="Arial" w:hAnsi="Arial"/>
          <w:sz w:val="18"/>
          <w:szCs w:val="18"/>
          <w:i w:val="1"/>
          <w:iCs w:val="1"/>
          <w:color w:val="auto"/>
        </w:rPr>
        <w:t>the “Risk Factors” section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with the United States Securities and Exchange Commission.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jc w:val="both"/>
        <w:ind w:left="660" w:hanging="333"/>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Products with fixed selling prices sold under long-term supply arrangements, particularly those involving multi-family construction projects. We attempt to mitigate this risk through our purchasing practices by locking in costs or including re-pricing triggers if lumber prices change in excess of an agreed upon percentage.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4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4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4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r>
        <w:trPr>
          <w:trHeight w:val="850"/>
        </w:trPr>
        <w:tc>
          <w:tcPr>
            <w:tcW w:w="2820" w:type="dxa"/>
            <w:vAlign w:val="bottom"/>
          </w:tcPr>
          <w:p>
            <w:pPr>
              <w:spacing w:after="0"/>
              <w:rPr>
                <w:sz w:val="24"/>
                <w:szCs w:val="24"/>
                <w:color w:val="auto"/>
              </w:rPr>
            </w:pPr>
          </w:p>
        </w:tc>
        <w:tc>
          <w:tcPr>
            <w:tcW w:w="4180" w:type="dxa"/>
            <w:vAlign w:val="bottom"/>
          </w:tcPr>
          <w:p>
            <w:pPr>
              <w:jc w:val="right"/>
              <w:ind w:right="23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9"/>
        </w:trPr>
        <w:tc>
          <w:tcPr>
            <w:tcW w:w="282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As is apparent from the preceding example, the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shipped with our change in gross profits, operating profits, and selling, general, and administrative expenses as a method of evaluating our profitability and efficiency.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COMBINATIONS AND ASSET PURCHASES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completed four business acquisitions during 2017 and six during 2016. The annual historical sales attributable to acquisitions in 2017 and 2016 were approximately $127 million and $362 million, respectively. These business combinations were not significant to our operating results individually or in aggregate, and thus pro forma results for 2017 and 2016 are not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C, "Business Combinations" for additional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26"/>
        </w:trPr>
        <w:tc>
          <w:tcPr>
            <w:tcW w:w="58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December 30,</w:t>
            </w:r>
          </w:p>
        </w:tc>
        <w:tc>
          <w:tcPr>
            <w:tcW w:w="26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26,</w:t>
            </w:r>
          </w:p>
        </w:tc>
        <w:tc>
          <w:tcPr>
            <w:tcW w:w="160" w:type="dxa"/>
            <w:vAlign w:val="bottom"/>
          </w:tcPr>
          <w:p>
            <w:pPr>
              <w:spacing w:after="0"/>
              <w:rPr>
                <w:sz w:val="10"/>
                <w:szCs w:val="10"/>
                <w:color w:val="auto"/>
              </w:rPr>
            </w:pPr>
          </w:p>
        </w:tc>
      </w:tr>
      <w:tr>
        <w:trPr>
          <w:trHeight w:val="178"/>
        </w:trPr>
        <w:tc>
          <w:tcPr>
            <w:tcW w:w="58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5"/>
                <w:szCs w:val="15"/>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Borders>
              <w:bottom w:val="single" w:sz="8" w:color="CCEEFF"/>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r>
      <w:tr>
        <w:trPr>
          <w:trHeight w:val="21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controlling interest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8"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ind w:left="660" w:hanging="333"/>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Diversifying our end market sales mix by increasing sales of specialty 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54" w:lineRule="exact"/>
        <w:rPr>
          <w:rFonts w:ascii="Arial" w:cs="Arial" w:eastAsia="Arial" w:hAnsi="Arial"/>
          <w:sz w:val="16"/>
          <w:szCs w:val="16"/>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w:t>
      </w:r>
    </w:p>
    <w:p>
      <w:pPr>
        <w:spacing w:after="0" w:line="193"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new products and expanding our product offering for existing customers. New product sales were $418.4 million in 2017, $338.6 million in 2016, and $298.0 million in 2015 and are presented by market in the table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w w:val="93"/>
              </w:rPr>
              <w:t>New Product Sales by Market</w:t>
            </w:r>
          </w:p>
        </w:tc>
        <w:tc>
          <w:tcPr>
            <w:tcW w:w="118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Twelve Months Ended</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right"/>
              <w:ind w:right="116"/>
              <w:spacing w:after="0" w:line="126" w:lineRule="exact"/>
              <w:rPr>
                <w:sz w:val="20"/>
                <w:szCs w:val="20"/>
                <w:color w:val="auto"/>
              </w:rPr>
            </w:pPr>
            <w:r>
              <w:rPr>
                <w:rFonts w:ascii="Arial" w:cs="Arial" w:eastAsia="Arial" w:hAnsi="Arial"/>
                <w:sz w:val="14"/>
                <w:szCs w:val="14"/>
                <w:b w:val="1"/>
                <w:bCs w:val="1"/>
                <w:color w:val="auto"/>
                <w:w w:val="96"/>
              </w:rPr>
              <w:t>December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right"/>
              <w:ind w:right="196"/>
              <w:spacing w:after="0" w:line="126" w:lineRule="exact"/>
              <w:rPr>
                <w:sz w:val="20"/>
                <w:szCs w:val="20"/>
                <w:color w:val="auto"/>
              </w:rPr>
            </w:pPr>
            <w:r>
              <w:rPr>
                <w:rFonts w:ascii="Arial" w:cs="Arial" w:eastAsia="Arial" w:hAnsi="Arial"/>
                <w:sz w:val="14"/>
                <w:szCs w:val="14"/>
                <w:b w:val="1"/>
                <w:bCs w:val="1"/>
                <w:color w:val="auto"/>
                <w:w w:val="96"/>
              </w:rPr>
              <w:t>December 26,</w:t>
            </w: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2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241,009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191,619</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167,938</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77,723</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6"/>
        </w:trPr>
        <w:tc>
          <w:tcPr>
            <w:tcW w:w="2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49,290</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52,378</w:t>
            </w: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2340" w:type="dxa"/>
            <w:vAlign w:val="bottom"/>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418,437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338,627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298,039</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12"/>
        </w:trPr>
        <w:tc>
          <w:tcPr>
            <w:tcW w:w="7960" w:type="dxa"/>
            <w:vAlign w:val="bottom"/>
            <w:gridSpan w:val="13"/>
          </w:tcPr>
          <w:p>
            <w:pPr>
              <w:ind w:left="660"/>
              <w:spacing w:after="0"/>
              <w:rPr>
                <w:sz w:val="20"/>
                <w:szCs w:val="20"/>
                <w:color w:val="auto"/>
              </w:rPr>
            </w:pPr>
            <w:r>
              <w:rPr>
                <w:rFonts w:ascii="Arial" w:cs="Arial" w:eastAsia="Arial" w:hAnsi="Arial"/>
                <w:sz w:val="14"/>
                <w:szCs w:val="14"/>
                <w:color w:val="auto"/>
                <w:w w:val="94"/>
              </w:rPr>
              <w:t>Note: Certain prior year product reclassifications resulted in a decrease and increase in new product sales in 2016 and 2015,</w:t>
            </w:r>
          </w:p>
        </w:tc>
        <w:tc>
          <w:tcPr>
            <w:tcW w:w="860" w:type="dxa"/>
            <w:vAlign w:val="bottom"/>
          </w:tcPr>
          <w:p>
            <w:pPr>
              <w:ind w:left="140"/>
              <w:spacing w:after="0"/>
              <w:rPr>
                <w:sz w:val="20"/>
                <w:szCs w:val="20"/>
                <w:color w:val="auto"/>
              </w:rPr>
            </w:pPr>
            <w:r>
              <w:rPr>
                <w:rFonts w:ascii="Arial" w:cs="Arial" w:eastAsia="Arial" w:hAnsi="Arial"/>
                <w:sz w:val="14"/>
                <w:szCs w:val="14"/>
                <w:color w:val="auto"/>
                <w:w w:val="89"/>
              </w:rPr>
              <w:t>respectively.</w:t>
            </w:r>
          </w:p>
        </w:tc>
      </w:tr>
    </w:tbl>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26"/>
        </w:trPr>
        <w:tc>
          <w:tcPr>
            <w:tcW w:w="1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December 30,</w:t>
            </w:r>
          </w:p>
        </w:tc>
        <w:tc>
          <w:tcPr>
            <w:tcW w:w="660" w:type="dxa"/>
            <w:vAlign w:val="bottom"/>
            <w:gridSpan w:val="2"/>
          </w:tcPr>
          <w:p>
            <w:pPr>
              <w:jc w:val="right"/>
              <w:ind w:right="99"/>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December 31,</w:t>
            </w:r>
          </w:p>
        </w:tc>
        <w:tc>
          <w:tcPr>
            <w:tcW w:w="640" w:type="dxa"/>
            <w:vAlign w:val="bottom"/>
            <w:gridSpan w:val="2"/>
          </w:tcPr>
          <w:p>
            <w:pPr>
              <w:jc w:val="right"/>
              <w:ind w:right="99"/>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26,</w:t>
            </w: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2015</w:t>
            </w: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7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$1,493,366</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$1,294,273</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$1,137,109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1,334,082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984,968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890,179</w:t>
            </w:r>
          </w:p>
        </w:tc>
      </w:tr>
      <w:tr>
        <w:trPr>
          <w:trHeight w:val="23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1,178,755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1,018,136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905,193</w:t>
            </w:r>
          </w:p>
        </w:tc>
      </w:tr>
      <w:tr>
        <w:trPr>
          <w:trHeight w:val="203"/>
        </w:trPr>
        <w:tc>
          <w:tcPr>
            <w:tcW w:w="30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7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4,006,203</w:t>
            </w:r>
          </w:p>
        </w:tc>
        <w:tc>
          <w:tcPr>
            <w:tcW w:w="6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3,297,377</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12.4</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2,932,481</w:t>
            </w:r>
          </w:p>
        </w:tc>
      </w:tr>
      <w:tr>
        <w:trPr>
          <w:trHeight w:val="23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(56,884)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(45,410)</w:t>
            </w:r>
          </w:p>
        </w:tc>
      </w:tr>
      <w:tr>
        <w:trPr>
          <w:trHeight w:val="210"/>
        </w:trPr>
        <w:tc>
          <w:tcPr>
            <w:tcW w:w="30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7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3,941,182</w:t>
            </w:r>
          </w:p>
        </w:tc>
        <w:tc>
          <w:tcPr>
            <w:tcW w:w="6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21.6</w:t>
            </w: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3,240,493</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12.2</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2,887,071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Note: During 2017, certain customers were reclassified to a different market. Prior year information has been restated to reflect these changes.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estimates, for the periods indicated, of our percentage change in gross sales which were attributable to changes in overall selling prices versus changes in units shipped.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82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w w:val="94"/>
              </w:rPr>
              <w:t>in Sales</w:t>
            </w:r>
          </w:p>
        </w:tc>
        <w:tc>
          <w:tcPr>
            <w:tcW w:w="126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w w:val="90"/>
              </w:rPr>
              <w:t>in Selling Prices</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in Units</w:t>
            </w:r>
          </w:p>
        </w:tc>
        <w:tc>
          <w:tcPr>
            <w:tcW w:w="16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 versus 2016</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2016 versus 2015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12.4 %</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11.2 %</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2015 versus 2014</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8.5 %</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sales to the retail market increased over 15% in 2017 compared to 2016 due to a 10% increase in unit sales and a 5% increase in selling prices. Within this market, sales to our big box customers increased 16% while our sales to other retailers increased 14%. Businesses we acquired contributed 7% to our growth, while new products contributed to our 3% organic unit sales growth. Comparatively, our large retail customers reported year over year same store sales growth of approximately 8% during the first nine months of 2017, the latest information available to us.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sales to the retail market increased almost 14% in 2016 compared to 2015 due to a 10% increase in unit sales and a 4% increase in selling prices. Within this market, sales to our big box customers increased 17% while our sales to other retailers increased 10%. Our increase in unit sales primarily consisted of organic growth achieved through a combination of share gains in existing product lines with certain retailers, an improvement in consumer demand, and growth in our new product sales. Our large retail customers reported year over year same store sales growth of approximately 6% during 2016.</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to Consolidated Financial Statements, Note C, "Business Combinations" for additional information concerning acquired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sales to the industrial market increased 35% in 2017 compared to 2016, resulting from a 29% increase in overall unit sales and a 6% increase in selling prices. Businesses we acquired contributed 25% to our growth in unit sales. Our organic unit sales growth of 4% was primarily achieved through share gains including adding 390 new customers during the year and increasing the number of locations we serve of existing customers by 142 new stores.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sales to the industrial market increased 11% in 2016 compared to 2015, resulting from a 13% increase in overall unit sales, offset by a 2% decrease in selling prices. Businesses we acquired contributed 10% to our growth in unit sales. Our organic growth in unit sales was 3% as a result of share gains achieved by adding 191 new customers during the year and increasing the number of locations we serve certain large customers. We believe overall market demand decreased in 2016 due, in part, to the strong U.S. dollar which impacted our customers with export sales.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to Consolidated Financial Statements, Note C, "Business Combinations" for additional information concerning acquired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Gross sales to the construction market increased almost 16% in 2017 compared to 2016, due to a unit sales increase of 7% and a 9% increase in selling prices. Unit sales increased due to a 7% increase in units shipped to residential construction customers and a 9% increase in shipments to manufactured housing customers while unit sales to commercial construction customers remained flat. Businesses we acquired in 2017 contributed 1% to unit sales growth. Comparatively,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Mortgage Bankers Association of America </w:t>
      </w:r>
      <w:r>
        <w:rPr>
          <w:rFonts w:ascii="Arial" w:cs="Arial" w:eastAsia="Arial" w:hAnsi="Arial"/>
          <w:sz w:val="18"/>
          <w:szCs w:val="18"/>
          <w:color w:val="auto"/>
        </w:rPr>
        <w:t>reported</w:t>
      </w:r>
      <w:r>
        <w:rPr>
          <w:rFonts w:ascii="Arial" w:cs="Arial" w:eastAsia="Arial" w:hAnsi="Arial"/>
          <w:sz w:val="18"/>
          <w:szCs w:val="18"/>
          <w:i w:val="1"/>
          <w:iCs w:val="1"/>
          <w:color w:val="auto"/>
        </w:rPr>
        <w:t xml:space="preserve"> year </w:t>
      </w:r>
      <w:r>
        <w:rPr>
          <w:rFonts w:ascii="Arial" w:cs="Arial" w:eastAsia="Arial" w:hAnsi="Arial"/>
          <w:sz w:val="18"/>
          <w:szCs w:val="18"/>
          <w:color w:val="auto"/>
        </w:rPr>
        <w:t>over year national housing starts increased 4%,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construction market increased 3% and the </w:t>
      </w:r>
      <w:r>
        <w:rPr>
          <w:rFonts w:ascii="Arial" w:cs="Arial" w:eastAsia="Arial" w:hAnsi="Arial"/>
          <w:sz w:val="18"/>
          <w:szCs w:val="18"/>
          <w:i w:val="1"/>
          <w:iCs w:val="1"/>
          <w:color w:val="auto"/>
        </w:rPr>
        <w:t>National Association of Home Builders</w:t>
      </w:r>
      <w:r>
        <w:rPr>
          <w:rFonts w:ascii="Arial" w:cs="Arial" w:eastAsia="Arial" w:hAnsi="Arial"/>
          <w:sz w:val="18"/>
          <w:szCs w:val="18"/>
          <w:color w:val="auto"/>
        </w:rPr>
        <w:t xml:space="preserve"> reported industry production of HUD-code homes increased over 15%.</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Gross sales to the construction market increased over 12% in 2016 compared to 2015, due to a unit sales increase of 11% and a 1% increase in selling prices. Unit sales increased due to a 17% increase in units shipped to residential construction customers, a 10% increase in shipments to commercial construction customers, and a 5% increase in shipments to manufactured housing customers. Businesses we acquired in 2016 contributed 2% in unit sales growth to manufactured housing customers. Comparatively, the </w:t>
      </w:r>
      <w:r>
        <w:rPr>
          <w:rFonts w:ascii="Arial" w:cs="Arial" w:eastAsia="Arial" w:hAnsi="Arial"/>
          <w:sz w:val="17"/>
          <w:szCs w:val="17"/>
          <w:i w:val="1"/>
          <w:iCs w:val="1"/>
          <w:color w:val="auto"/>
        </w:rPr>
        <w:t>Mortgage Bankers Association of America</w:t>
      </w:r>
      <w:r>
        <w:rPr>
          <w:rFonts w:ascii="Arial" w:cs="Arial" w:eastAsia="Arial" w:hAnsi="Arial"/>
          <w:sz w:val="17"/>
          <w:szCs w:val="17"/>
          <w:color w:val="auto"/>
        </w:rPr>
        <w:t xml:space="preserve"> reported </w:t>
      </w:r>
      <w:r>
        <w:rPr>
          <w:rFonts w:ascii="Arial" w:cs="Arial" w:eastAsia="Arial" w:hAnsi="Arial"/>
          <w:sz w:val="17"/>
          <w:szCs w:val="17"/>
          <w:i w:val="1"/>
          <w:iCs w:val="1"/>
          <w:color w:val="auto"/>
        </w:rPr>
        <w:t>year</w:t>
      </w:r>
      <w:r>
        <w:rPr>
          <w:rFonts w:ascii="Arial" w:cs="Arial" w:eastAsia="Arial" w:hAnsi="Arial"/>
          <w:sz w:val="17"/>
          <w:szCs w:val="17"/>
          <w:color w:val="auto"/>
        </w:rPr>
        <w:t xml:space="preserve"> over year national housing starts increased 5%, the commercial construction market increased 5%, the </w:t>
      </w:r>
      <w:r>
        <w:rPr>
          <w:rFonts w:ascii="Arial" w:cs="Arial" w:eastAsia="Arial" w:hAnsi="Arial"/>
          <w:sz w:val="17"/>
          <w:szCs w:val="17"/>
          <w:i w:val="1"/>
          <w:iCs w:val="1"/>
          <w:color w:val="auto"/>
        </w:rPr>
        <w:t>National Association of Home Builders</w:t>
      </w:r>
      <w:r>
        <w:rPr>
          <w:rFonts w:ascii="Arial" w:cs="Arial" w:eastAsia="Arial" w:hAnsi="Arial"/>
          <w:sz w:val="17"/>
          <w:szCs w:val="17"/>
          <w:color w:val="auto"/>
        </w:rPr>
        <w:t xml:space="preserve"> reported industry production of HUD-code homes increased 14%, and modular home starts decreased 1% in 2016 (the last period reported). The increases in our sales to residential and commercial construction above nationally recognized market data are primarily due to a combination of increased demand and market share in certain areas of our geographic footprint. Our growth in the manufactured housing market was less than the national average, which was primarily due to a reduction in market share resulting from the loss of certain customers.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4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Value-Added</w:t>
            </w:r>
          </w:p>
        </w:tc>
        <w:tc>
          <w:tcPr>
            <w:tcW w:w="14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2"/>
              </w:rPr>
              <w:t>Commodity-Based</w:t>
            </w:r>
          </w:p>
        </w:tc>
      </w:tr>
      <w:tr>
        <w:trPr>
          <w:trHeight w:val="223"/>
        </w:trPr>
        <w:tc>
          <w:tcPr>
            <w:tcW w:w="6180" w:type="dxa"/>
            <w:vAlign w:val="bottom"/>
            <w:tcBorders>
              <w:top w:val="single" w:sz="8" w:color="CCEEFF"/>
            </w:tcBorders>
            <w:shd w:val="clear" w:color="auto" w:fill="CCEEFF"/>
          </w:tcPr>
          <w:p>
            <w:pPr>
              <w:jc w:val="right"/>
              <w:ind w:right="5730"/>
              <w:spacing w:after="0"/>
              <w:rPr>
                <w:sz w:val="20"/>
                <w:szCs w:val="20"/>
                <w:color w:val="auto"/>
              </w:rPr>
            </w:pPr>
            <w:r>
              <w:rPr>
                <w:rFonts w:ascii="Arial" w:cs="Arial" w:eastAsia="Arial" w:hAnsi="Arial"/>
                <w:sz w:val="18"/>
                <w:szCs w:val="18"/>
                <w:color w:val="auto"/>
                <w:w w:val="84"/>
              </w:rPr>
              <w:t>2017</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6180" w:type="dxa"/>
            <w:vAlign w:val="bottom"/>
          </w:tcPr>
          <w:p>
            <w:pPr>
              <w:jc w:val="right"/>
              <w:ind w:right="5730"/>
              <w:spacing w:after="0"/>
              <w:rPr>
                <w:sz w:val="20"/>
                <w:szCs w:val="20"/>
                <w:color w:val="auto"/>
              </w:rPr>
            </w:pPr>
            <w:r>
              <w:rPr>
                <w:rFonts w:ascii="Arial" w:cs="Arial" w:eastAsia="Arial" w:hAnsi="Arial"/>
                <w:sz w:val="18"/>
                <w:szCs w:val="18"/>
                <w:color w:val="auto"/>
                <w:w w:val="84"/>
              </w:rPr>
              <w:t>2016</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62.6 %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37.4 %</w:t>
            </w:r>
          </w:p>
        </w:tc>
      </w:tr>
      <w:tr>
        <w:trPr>
          <w:trHeight w:val="230"/>
        </w:trPr>
        <w:tc>
          <w:tcPr>
            <w:tcW w:w="6180" w:type="dxa"/>
            <w:vAlign w:val="bottom"/>
            <w:shd w:val="clear" w:color="auto" w:fill="CCEEFF"/>
          </w:tcPr>
          <w:p>
            <w:pPr>
              <w:jc w:val="right"/>
              <w:ind w:right="5730"/>
              <w:spacing w:after="0"/>
              <w:rPr>
                <w:sz w:val="20"/>
                <w:szCs w:val="20"/>
                <w:color w:val="auto"/>
              </w:rPr>
            </w:pPr>
            <w:r>
              <w:rPr>
                <w:rFonts w:ascii="Arial" w:cs="Arial" w:eastAsia="Arial" w:hAnsi="Arial"/>
                <w:sz w:val="18"/>
                <w:szCs w:val="18"/>
                <w:color w:val="auto"/>
                <w:w w:val="84"/>
              </w:rPr>
              <w:t>2015</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59.8 %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gross profit percentage decreased from 14.6% in 2016 to 13.8% in 2017 due, in part, to the high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This is evident when comparing our increase in gross profits with our increase in units shipped. Our gross profit dollars increased by over $68 million, or 14%, which is slightly below our 15% increase in unit sales. Our profitability in 2017 was impacted by the following factors:</w:t>
      </w:r>
    </w:p>
    <w:p>
      <w:pPr>
        <w:spacing w:after="0" w:line="187" w:lineRule="exact"/>
        <w:rPr>
          <w:sz w:val="20"/>
          <w:szCs w:val="20"/>
          <w:color w:val="auto"/>
        </w:rPr>
      </w:pPr>
    </w:p>
    <w:p>
      <w:pPr>
        <w:jc w:val="both"/>
        <w:ind w:left="660" w:hanging="333"/>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Approximately $8 million, a 5% increase in our gross profit in the retail market, was attributable to our growth in unit sales to that market. Businesses we acquired in 2017 contributed $1.6 million of this increase. Our increase in gross profit was less than our increase in unit sales as a result of (1) Lumber Market volatility, particularly in the second quarter which is our primary selling season, and (2) the acquisition of Robbins in the first quarter of 2017, which primarily sells lower margin treated lumber products.</w:t>
      </w:r>
    </w:p>
    <w:p>
      <w:pPr>
        <w:spacing w:after="0" w:line="172"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growth in unit sales to the industrial market resulted in a $34 million, or 20%, increase in our gross profit, which was due primarily to businesses we acquired in 2017 and 2016. Our increase in gross profit was less than our increase in unit sales primarily due to the impact of higher lumber prices on our products sold with fixed selling prices.</w:t>
      </w:r>
    </w:p>
    <w:p>
      <w:pPr>
        <w:spacing w:after="0" w:line="186"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Almost $13 million, or 9%, of our gross profit improvement was due to growth in sales to the residential construction and manufactured housing markets. Our gross profit increase exceeded our increase in unit sales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primarily due to leveraging our fixed manufacturing costs, which helped offset the impact of Lumber Market volatility and higher labor rates and benefit costs.</w:t>
      </w:r>
    </w:p>
    <w:p>
      <w:pPr>
        <w:spacing w:after="0" w:line="170" w:lineRule="exact"/>
        <w:rPr>
          <w:sz w:val="20"/>
          <w:szCs w:val="20"/>
          <w:color w:val="auto"/>
        </w:rPr>
      </w:pPr>
    </w:p>
    <w:p>
      <w:pPr>
        <w:ind w:left="660" w:hanging="333"/>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remaining $13 million increase in our gross profit was due to a variety of factors including favorable labor and overhead cost variances, increases in vendor rebates, and a decrease in customer rebates compared to 2017.</w:t>
      </w:r>
    </w:p>
    <w:p>
      <w:pPr>
        <w:spacing w:after="0" w:line="3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percentage increased from 13.9% in 2015 to 14.6% in 2016. Additionally, our gross profit dollars increased by over $75 million, or 19%, which exceeded our 11% increase in unit sales. The improvement in our profitability in 2016 is attributable to the following factors:</w:t>
      </w:r>
    </w:p>
    <w:p>
      <w:pPr>
        <w:spacing w:after="0" w:line="181" w:lineRule="exact"/>
        <w:rPr>
          <w:sz w:val="20"/>
          <w:szCs w:val="20"/>
          <w:color w:val="auto"/>
        </w:rPr>
      </w:pPr>
    </w:p>
    <w:p>
      <w:pPr>
        <w:jc w:val="both"/>
        <w:ind w:left="660" w:hanging="333"/>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$38 million of the increase was attributable to our growth in unit sales to the retail market and an improvement in margin on those sales. New product sales, effective inventory positioning leading to lower lumber costs, and the favorable impact of selling into a rising lumber market on variable priced products contributed to our margin improvement.</w:t>
      </w:r>
    </w:p>
    <w:p>
      <w:pPr>
        <w:spacing w:after="0" w:line="186"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growth in unit sales to the industrial market and margin improvement on those sales for most of the year resulted in a $22 million improvement in our gross profit. Businesses we acquired in 2016 contributed $16 million to this increase. The gross margin improvement was attributable to a favorable improvement in our product sales mix of more value-added products.</w:t>
      </w:r>
    </w:p>
    <w:p>
      <w:pPr>
        <w:spacing w:after="0" w:line="186"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Almost $16 million of our gross profit improvement was due to growth in sales to the residential construction, commercial construction, and manufactured housing markets as our gross margins remained relatively flat.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$52.1 million, or 16.7%, in 2017 compared to 2016, while we reported a 15% increase in unit sales. Acquired businesses contributed $41.0 million to our increase. The remaining increase in SG&amp;A was primarily due to a $11.1 million increase in compensation and related costs resulting from annual raises, greater benefit costs, and hiring additional personnel to support sales growth. Our annual incentive bonus expense was almost $44 million compared to $45 million last year. This decrease, in spite of an increase in profits, was due to a decline in our return on investment, a key performance metric for determining incentive compensation bonus payments.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("SG&amp;A") expenses increased by approximately $45.9 million, or 17%, in 2016 compared to 2015, while we reported an 11% increase in unit sales. Acquired businesses contributed $17 million to this increase. The remaining increase in SG&amp;A was primarily due to an $11 million increase in compensation and benefit costs resulting from annual raises, other cost increases, and hiring additional personnel to support sales growth, and a $14 million increase in incentive compensation expense tied to our return on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costs were higher in 2017 compared to 2016, due to a higher outstanding balance on our revolving line of credit throughout 2017 as well as an increase in the borrowing rate on our revolving credit facility which is tied to LIBOR.</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costs were lower in 2016 compared to 2015, due to a lower outstanding balance on our revolving line of credit throughout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permanent tax differences, and the impact of the Tax Act in the U.S. Our effective tax rate decreased to 29.5% in 2017 compared to 34.3% in 2016. The decrease in the 2017 tax rate is primarily due to the impact of the Tax Act, which resulted in a $6.4 million reduction in our net deferred tax liability at the end of December 2017. The remaining decrease was due to increases in tax credits and permanent tax differences.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decreased to 34.3% in 2016 compared to 35.0% in 2015. The decrease in the 2016 tax rate is primarily due to a reduction in our estimated state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for the periods indicated, our net sales and earnings from operations by reportable segment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w w:val="85"/>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30,</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26,</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 vs</w:t>
            </w:r>
          </w:p>
        </w:tc>
        <w:tc>
          <w:tcPr>
            <w:tcW w:w="2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 vs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960" w:type="dxa"/>
            <w:vAlign w:val="bottom"/>
            <w:gridSpan w:val="3"/>
            <w:vMerge w:val="restart"/>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9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$1,133,656</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$1,000,426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922,092</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South</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837,370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711,862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656,550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1,417,924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1,251,093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1,133,398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552,232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277,112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175,031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$3,941,182</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$3,240,493</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2,887,071</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8"/>
        </w:trPr>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355"/>
              <w:spacing w:after="0"/>
              <w:rPr>
                <w:sz w:val="20"/>
                <w:szCs w:val="20"/>
                <w:color w:val="auto"/>
              </w:rPr>
            </w:pPr>
            <w:r>
              <w:rPr>
                <w:rFonts w:ascii="Arial" w:cs="Arial" w:eastAsia="Arial" w:hAnsi="Arial"/>
                <w:sz w:val="14"/>
                <w:szCs w:val="14"/>
                <w:b w:val="1"/>
                <w:bCs w:val="1"/>
                <w:color w:val="auto"/>
              </w:rPr>
              <w:t>Earnings from Operations</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w w:val="87"/>
              </w:rPr>
              <w:t>December 30,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December 26,</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2017 vs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960" w:type="dxa"/>
            <w:vAlign w:val="bottom"/>
            <w:gridSpan w:val="3"/>
            <w:vMerge w:val="restart"/>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7"/>
                <w:szCs w:val="7"/>
                <w:color w:val="auto"/>
              </w:rPr>
            </w:pPr>
          </w:p>
        </w:tc>
        <w:tc>
          <w:tcPr>
            <w:tcW w:w="1000" w:type="dxa"/>
            <w:vAlign w:val="bottom"/>
            <w:gridSpan w:val="2"/>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2016 vs 2015</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w w:val="95"/>
              </w:rPr>
              <w:t>$  61,326</w:t>
            </w:r>
          </w:p>
        </w:tc>
        <w:tc>
          <w:tcPr>
            <w:tcW w:w="9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8"/>
              </w:rPr>
              <w:t>$  59,408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7"/>
              </w:rPr>
              <w:t>53,879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South</w:t>
            </w:r>
          </w:p>
        </w:tc>
        <w:tc>
          <w:tcPr>
            <w:tcW w:w="960" w:type="dxa"/>
            <w:vAlign w:val="bottom"/>
            <w:gridSpan w:val="3"/>
          </w:tcPr>
          <w:p>
            <w:pPr>
              <w:jc w:val="right"/>
              <w:ind w:right="116"/>
              <w:spacing w:after="0"/>
              <w:rPr>
                <w:sz w:val="20"/>
                <w:szCs w:val="20"/>
                <w:color w:val="auto"/>
              </w:rPr>
            </w:pPr>
            <w:r>
              <w:rPr>
                <w:rFonts w:ascii="Arial" w:cs="Arial" w:eastAsia="Arial" w:hAnsi="Arial"/>
                <w:sz w:val="18"/>
                <w:szCs w:val="18"/>
                <w:color w:val="auto"/>
              </w:rPr>
              <w:t>46,646</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47,146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w w:val="87"/>
              </w:rPr>
              <w:t>30,740</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t>
            </w:r>
          </w:p>
        </w:tc>
        <w:tc>
          <w:tcPr>
            <w:tcW w:w="960" w:type="dxa"/>
            <w:vAlign w:val="bottom"/>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82,465</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76,875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7"/>
              </w:rPr>
              <w:t>70,220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960" w:type="dxa"/>
            <w:vAlign w:val="bottom"/>
            <w:gridSpan w:val="3"/>
          </w:tcPr>
          <w:p>
            <w:pPr>
              <w:jc w:val="right"/>
              <w:ind w:right="116"/>
              <w:spacing w:after="0"/>
              <w:rPr>
                <w:sz w:val="20"/>
                <w:szCs w:val="20"/>
                <w:color w:val="auto"/>
              </w:rPr>
            </w:pPr>
            <w:r>
              <w:rPr>
                <w:rFonts w:ascii="Arial" w:cs="Arial" w:eastAsia="Arial" w:hAnsi="Arial"/>
                <w:sz w:val="18"/>
                <w:szCs w:val="18"/>
                <w:color w:val="auto"/>
              </w:rPr>
              <w:t>17,296</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16,639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3,038</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8"/>
                <w:szCs w:val="8"/>
                <w:color w:val="auto"/>
              </w:rPr>
              <w:t>1</w:t>
            </w:r>
          </w:p>
        </w:tc>
        <w:tc>
          <w:tcPr>
            <w:tcW w:w="96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(26,264)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(35,630)</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(22,410)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116"/>
              <w:spacing w:after="0" w:line="203" w:lineRule="exact"/>
              <w:rPr>
                <w:sz w:val="20"/>
                <w:szCs w:val="20"/>
                <w:color w:val="auto"/>
              </w:rPr>
            </w:pPr>
            <w:r>
              <w:rPr>
                <w:rFonts w:ascii="Arial" w:cs="Arial" w:eastAsia="Arial" w:hAnsi="Arial"/>
                <w:sz w:val="18"/>
                <w:szCs w:val="18"/>
                <w:color w:val="auto"/>
                <w:w w:val="89"/>
              </w:rPr>
              <w:t>$ 181,469</w:t>
            </w:r>
          </w:p>
        </w:tc>
        <w:tc>
          <w:tcPr>
            <w:tcW w:w="920" w:type="dxa"/>
            <w:vAlign w:val="bottom"/>
            <w:tcBorders>
              <w:top w:val="single" w:sz="8" w:color="auto"/>
              <w:bottom w:val="single" w:sz="8" w:color="auto"/>
            </w:tcBorders>
          </w:tcPr>
          <w:p>
            <w:pPr>
              <w:jc w:val="right"/>
              <w:ind w:right="76"/>
              <w:spacing w:after="0" w:line="203" w:lineRule="exact"/>
              <w:rPr>
                <w:sz w:val="20"/>
                <w:szCs w:val="20"/>
                <w:color w:val="auto"/>
              </w:rPr>
            </w:pPr>
            <w:r>
              <w:rPr>
                <w:rFonts w:ascii="Arial" w:cs="Arial" w:eastAsia="Arial" w:hAnsi="Arial"/>
                <w:sz w:val="18"/>
                <w:szCs w:val="18"/>
                <w:color w:val="auto"/>
                <w:w w:val="92"/>
              </w:rPr>
              <w:t>$ 164,438</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right"/>
              <w:ind w:right="172"/>
              <w:spacing w:after="0" w:line="203" w:lineRule="exact"/>
              <w:rPr>
                <w:sz w:val="20"/>
                <w:szCs w:val="20"/>
                <w:color w:val="auto"/>
              </w:rPr>
            </w:pPr>
            <w:r>
              <w:rPr>
                <w:rFonts w:ascii="Arial" w:cs="Arial" w:eastAsia="Arial" w:hAnsi="Arial"/>
                <w:sz w:val="18"/>
                <w:szCs w:val="18"/>
                <w:color w:val="auto"/>
              </w:rPr>
              <w:t>135,467</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w:t>
            </w: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Corporate primarily represents over (under) allocated administrative costs and certain incentive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Net Sales of North Segment by Market</w:t>
            </w:r>
          </w:p>
        </w:tc>
        <w:tc>
          <w:tcPr>
            <w:tcW w:w="116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854"/>
              <w:spacing w:after="0" w:line="149" w:lineRule="exact"/>
              <w:rPr>
                <w:sz w:val="20"/>
                <w:szCs w:val="20"/>
                <w:color w:val="auto"/>
              </w:rPr>
            </w:pPr>
            <w:r>
              <w:rPr>
                <w:rFonts w:ascii="Arial" w:cs="Arial" w:eastAsia="Arial" w:hAnsi="Arial"/>
                <w:sz w:val="14"/>
                <w:szCs w:val="14"/>
                <w:b w:val="1"/>
                <w:bCs w:val="1"/>
                <w:color w:val="auto"/>
                <w:w w:val="95"/>
              </w:rPr>
              <w:t>Twelve Months Ended</w:t>
            </w:r>
          </w:p>
        </w:tc>
        <w:tc>
          <w:tcPr>
            <w:tcW w:w="116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4"/>
              </w:rPr>
              <w:t>December 30,</w:t>
            </w:r>
          </w:p>
        </w:tc>
        <w:tc>
          <w:tcPr>
            <w:tcW w:w="1120" w:type="dxa"/>
            <w:vAlign w:val="bottom"/>
            <w:gridSpan w:val="2"/>
          </w:tcPr>
          <w:p>
            <w:pPr>
              <w:jc w:val="right"/>
              <w:ind w:right="14"/>
              <w:spacing w:after="0" w:line="126"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December 26,</w:t>
            </w:r>
          </w:p>
        </w:tc>
        <w:tc>
          <w:tcPr>
            <w:tcW w:w="1260" w:type="dxa"/>
            <w:vAlign w:val="bottom"/>
          </w:tcPr>
          <w:p>
            <w:pPr>
              <w:jc w:val="right"/>
              <w:ind w:right="294"/>
              <w:spacing w:after="0" w:line="126" w:lineRule="exact"/>
              <w:rPr>
                <w:sz w:val="20"/>
                <w:szCs w:val="20"/>
                <w:color w:val="auto"/>
              </w:rPr>
            </w:pPr>
            <w:r>
              <w:rPr>
                <w:rFonts w:ascii="Arial" w:cs="Arial" w:eastAsia="Arial" w:hAnsi="Arial"/>
                <w:sz w:val="14"/>
                <w:szCs w:val="14"/>
                <w:b w:val="1"/>
                <w:bCs w:val="1"/>
                <w:color w:val="auto"/>
              </w:rPr>
              <w:t>% Change</w:t>
            </w:r>
          </w:p>
        </w:tc>
        <w:tc>
          <w:tcPr>
            <w:tcW w:w="1160" w:type="dxa"/>
            <w:vAlign w:val="bottom"/>
          </w:tcPr>
          <w:p>
            <w:pPr>
              <w:jc w:val="right"/>
              <w:ind w:right="154"/>
              <w:spacing w:after="0" w:line="126" w:lineRule="exact"/>
              <w:rPr>
                <w:sz w:val="20"/>
                <w:szCs w:val="20"/>
                <w:color w:val="auto"/>
              </w:rPr>
            </w:pPr>
            <w:r>
              <w:rPr>
                <w:rFonts w:ascii="Arial" w:cs="Arial" w:eastAsia="Arial" w:hAnsi="Arial"/>
                <w:sz w:val="14"/>
                <w:szCs w:val="14"/>
                <w:b w:val="1"/>
                <w:bCs w:val="1"/>
                <w:color w:val="auto"/>
              </w:rPr>
              <w:t>% Change</w:t>
            </w: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 vs 2016</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 vs 2015</w:t>
            </w:r>
          </w:p>
        </w:tc>
      </w:tr>
      <w:tr>
        <w:trPr>
          <w:trHeight w:val="203"/>
        </w:trPr>
        <w:tc>
          <w:tcPr>
            <w:tcW w:w="2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488,871</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467,619</w:t>
            </w:r>
          </w:p>
        </w:tc>
        <w:tc>
          <w:tcPr>
            <w:tcW w:w="22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53"/>
              <w:spacing w:after="0" w:line="203" w:lineRule="exact"/>
              <w:rPr>
                <w:sz w:val="20"/>
                <w:szCs w:val="20"/>
                <w:color w:val="auto"/>
              </w:rPr>
            </w:pPr>
            <w:r>
              <w:rPr>
                <w:rFonts w:ascii="Arial" w:cs="Arial" w:eastAsia="Arial" w:hAnsi="Arial"/>
                <w:sz w:val="18"/>
                <w:szCs w:val="18"/>
                <w:color w:val="auto"/>
                <w:w w:val="95"/>
              </w:rPr>
              <w:t>416,635</w:t>
            </w:r>
          </w:p>
        </w:tc>
        <w:tc>
          <w:tcPr>
            <w:tcW w:w="1260" w:type="dxa"/>
            <w:vAlign w:val="bottom"/>
            <w:tcBorders>
              <w:top w:val="single" w:sz="8" w:color="auto"/>
            </w:tcBorders>
            <w:shd w:val="clear" w:color="auto" w:fill="CCEEFF"/>
          </w:tcPr>
          <w:p>
            <w:pPr>
              <w:jc w:val="right"/>
              <w:ind w:right="114"/>
              <w:spacing w:after="0" w:line="203" w:lineRule="exact"/>
              <w:rPr>
                <w:sz w:val="20"/>
                <w:szCs w:val="20"/>
                <w:color w:val="auto"/>
              </w:rPr>
            </w:pPr>
            <w:r>
              <w:rPr>
                <w:rFonts w:ascii="Arial" w:cs="Arial" w:eastAsia="Arial" w:hAnsi="Arial"/>
                <w:sz w:val="18"/>
                <w:szCs w:val="18"/>
                <w:color w:val="auto"/>
              </w:rPr>
              <w:t>4.5</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157,365</w:t>
            </w: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115,889</w:t>
            </w:r>
          </w:p>
        </w:tc>
        <w:tc>
          <w:tcPr>
            <w:tcW w:w="22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w w:val="95"/>
              </w:rPr>
              <w:t>118,315</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35.8</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6"/>
        </w:trPr>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510,810</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436,928</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5"/>
              </w:rPr>
              <w:t>403,183</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16.9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3"/>
        </w:trPr>
        <w:tc>
          <w:tcPr>
            <w:tcW w:w="24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89"/>
              </w:rPr>
              <w:t>1,157,046</w:t>
            </w:r>
          </w:p>
        </w:tc>
        <w:tc>
          <w:tcPr>
            <w:tcW w:w="260" w:type="dxa"/>
            <w:vAlign w:val="bottom"/>
          </w:tcPr>
          <w:p>
            <w:pPr>
              <w:spacing w:after="0"/>
              <w:rPr>
                <w:sz w:val="17"/>
                <w:szCs w:val="17"/>
                <w:color w:val="auto"/>
              </w:rPr>
            </w:pPr>
          </w:p>
        </w:tc>
        <w:tc>
          <w:tcPr>
            <w:tcW w:w="860" w:type="dxa"/>
            <w:vAlign w:val="bottom"/>
          </w:tcPr>
          <w:p>
            <w:pPr>
              <w:jc w:val="right"/>
              <w:ind w:right="54"/>
              <w:spacing w:after="0" w:line="203" w:lineRule="exact"/>
              <w:rPr>
                <w:sz w:val="20"/>
                <w:szCs w:val="20"/>
                <w:color w:val="auto"/>
              </w:rPr>
            </w:pPr>
            <w:r>
              <w:rPr>
                <w:rFonts w:ascii="Arial" w:cs="Arial" w:eastAsia="Arial" w:hAnsi="Arial"/>
                <w:sz w:val="18"/>
                <w:szCs w:val="18"/>
                <w:color w:val="auto"/>
                <w:w w:val="87"/>
              </w:rPr>
              <w:t>1,020,436</w:t>
            </w:r>
          </w:p>
        </w:tc>
        <w:tc>
          <w:tcPr>
            <w:tcW w:w="220" w:type="dxa"/>
            <w:vAlign w:val="bottom"/>
          </w:tcPr>
          <w:p>
            <w:pPr>
              <w:spacing w:after="0"/>
              <w:rPr>
                <w:sz w:val="17"/>
                <w:szCs w:val="17"/>
                <w:color w:val="auto"/>
              </w:rPr>
            </w:pPr>
          </w:p>
        </w:tc>
        <w:tc>
          <w:tcPr>
            <w:tcW w:w="880" w:type="dxa"/>
            <w:vAlign w:val="bottom"/>
          </w:tcPr>
          <w:p>
            <w:pPr>
              <w:jc w:val="right"/>
              <w:ind w:right="153"/>
              <w:spacing w:after="0" w:line="203" w:lineRule="exact"/>
              <w:rPr>
                <w:sz w:val="20"/>
                <w:szCs w:val="20"/>
                <w:color w:val="auto"/>
              </w:rPr>
            </w:pPr>
            <w:r>
              <w:rPr>
                <w:rFonts w:ascii="Arial" w:cs="Arial" w:eastAsia="Arial" w:hAnsi="Arial"/>
                <w:sz w:val="18"/>
                <w:szCs w:val="18"/>
                <w:color w:val="auto"/>
                <w:w w:val="95"/>
              </w:rPr>
              <w:t>938,133</w:t>
            </w:r>
          </w:p>
        </w:tc>
        <w:tc>
          <w:tcPr>
            <w:tcW w:w="1260" w:type="dxa"/>
            <w:vAlign w:val="bottom"/>
          </w:tcPr>
          <w:p>
            <w:pPr>
              <w:jc w:val="right"/>
              <w:ind w:right="114"/>
              <w:spacing w:after="0" w:line="203" w:lineRule="exact"/>
              <w:rPr>
                <w:sz w:val="20"/>
                <w:szCs w:val="20"/>
                <w:color w:val="auto"/>
              </w:rPr>
            </w:pPr>
            <w:r>
              <w:rPr>
                <w:rFonts w:ascii="Arial" w:cs="Arial" w:eastAsia="Arial" w:hAnsi="Arial"/>
                <w:sz w:val="18"/>
                <w:szCs w:val="18"/>
                <w:color w:val="auto"/>
              </w:rPr>
              <w:t>13.4</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8.8</w:t>
            </w:r>
          </w:p>
        </w:tc>
      </w:tr>
      <w:tr>
        <w:trPr>
          <w:trHeight w:val="236"/>
        </w:trPr>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(23,390)</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(16,041)</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16.9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0"/>
        </w:trPr>
        <w:tc>
          <w:tcPr>
            <w:tcW w:w="242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0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1,133,656</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87"/>
              </w:rPr>
              <w:t>1,000,426</w:t>
            </w:r>
          </w:p>
        </w:tc>
        <w:tc>
          <w:tcPr>
            <w:tcW w:w="2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w w:val="95"/>
              </w:rPr>
              <w:t>922,092</w:t>
            </w:r>
          </w:p>
        </w:tc>
        <w:tc>
          <w:tcPr>
            <w:tcW w:w="1260" w:type="dxa"/>
            <w:vAlign w:val="bottom"/>
            <w:tcBorders>
              <w:bottom w:val="single" w:sz="8" w:color="auto"/>
            </w:tcBorders>
          </w:tcPr>
          <w:p>
            <w:pPr>
              <w:jc w:val="right"/>
              <w:ind w:right="114"/>
              <w:spacing w:after="0" w:line="203" w:lineRule="exact"/>
              <w:rPr>
                <w:sz w:val="20"/>
                <w:szCs w:val="20"/>
                <w:color w:val="auto"/>
              </w:rPr>
            </w:pPr>
            <w:r>
              <w:rPr>
                <w:rFonts w:ascii="Arial" w:cs="Arial" w:eastAsia="Arial" w:hAnsi="Arial"/>
                <w:sz w:val="18"/>
                <w:szCs w:val="18"/>
                <w:color w:val="auto"/>
              </w:rPr>
              <w:t>13.3</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w:t>
            </w:r>
          </w:p>
        </w:tc>
      </w:tr>
      <w:tr>
        <w:trPr>
          <w:trHeight w:val="64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29"/>
        </w:trPr>
        <w:tc>
          <w:tcPr>
            <w:tcW w:w="1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attributable to the North reportable segment increased by $133 million, or 13.3%, in 2017, due primarily to the following factors:</w:t>
      </w:r>
    </w:p>
    <w:p>
      <w:pPr>
        <w:spacing w:after="0" w:line="170"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Acquired operations contributed over $29 million to our growth in sales to the industrial market.</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lumber prices resulted in an increase in our selling prices.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Organic unit sales growth to the industrial and construction markets was offset slightly by a decrease in unit sales to the retail market due to a reduction in demand from certain customers.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Earnings from operations for the North reportable segment increased in 2017 by $1.9 million, or 3.2%, due to an increase in gross profit of $9.2 million, offset by a $7.3 million increase in SG&amp;A expenses compared to last year. Acquired operations contributed $1.5 million to our operating profits in 2017. Gross profits and SG&amp;A were impacted by the same factors discussed under “Cost of Goods Sold and Gross Profit” and “Selling, General, and Administrative Expenses.”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attributable to the North reportable segment increased by 8.5% in 2016, due to increases in sales to our retail and residential construction markets, offset by a decrease in sales to our industrial customers as a result of the same factors discussed under "Gross Sales".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Earnings from operations for the North reportable segment increased in 2016 by $5.5 million, or 10.3%, due to an increase in gross profit of $13.6 million, offset by an $8.1 million increase in SG&amp;A expenses compared to the prior year.</w:t>
      </w:r>
    </w:p>
    <w:p>
      <w:pPr>
        <w:jc w:val="both"/>
        <w:ind w:firstLine="127"/>
        <w:spacing w:after="0" w:line="261" w:lineRule="auto"/>
        <w:rPr>
          <w:sz w:val="20"/>
          <w:szCs w:val="20"/>
          <w:color w:val="auto"/>
        </w:rPr>
      </w:pPr>
      <w:r>
        <w:rPr>
          <w:rFonts w:ascii="Arial" w:cs="Arial" w:eastAsia="Arial" w:hAnsi="Arial"/>
          <w:sz w:val="18"/>
          <w:szCs w:val="18"/>
          <w:color w:val="auto"/>
        </w:rPr>
        <w:t>Additionally, margin improvements were achieved on sales to the retail and industrial markets due to a more favorable product sales mix focused on value-added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Net Sales of South Segment by Market</w:t>
            </w:r>
          </w:p>
        </w:tc>
        <w:tc>
          <w:tcPr>
            <w:tcW w:w="118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ind w:right="774"/>
              <w:spacing w:after="0" w:line="149" w:lineRule="exact"/>
              <w:rPr>
                <w:sz w:val="20"/>
                <w:szCs w:val="20"/>
                <w:color w:val="auto"/>
              </w:rPr>
            </w:pPr>
            <w:r>
              <w:rPr>
                <w:rFonts w:ascii="Arial" w:cs="Arial" w:eastAsia="Arial" w:hAnsi="Arial"/>
                <w:sz w:val="14"/>
                <w:szCs w:val="14"/>
                <w:b w:val="1"/>
                <w:bCs w:val="1"/>
                <w:color w:val="auto"/>
              </w:rPr>
              <w:t>Twelve Months Ended</w:t>
            </w:r>
          </w:p>
        </w:tc>
        <w:tc>
          <w:tcPr>
            <w:tcW w:w="118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6"/>
              </w:rPr>
              <w:t>December 30,</w:t>
            </w:r>
          </w:p>
        </w:tc>
        <w:tc>
          <w:tcPr>
            <w:tcW w:w="98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w w:val="96"/>
              </w:rPr>
              <w:t>December 31,</w:t>
            </w:r>
          </w:p>
        </w:tc>
        <w:tc>
          <w:tcPr>
            <w:tcW w:w="108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December 26,</w:t>
            </w:r>
          </w:p>
        </w:tc>
        <w:tc>
          <w:tcPr>
            <w:tcW w:w="1300" w:type="dxa"/>
            <w:vAlign w:val="bottom"/>
          </w:tcPr>
          <w:p>
            <w:pPr>
              <w:jc w:val="right"/>
              <w:ind w:right="314"/>
              <w:spacing w:after="0" w:line="126" w:lineRule="exact"/>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74"/>
              <w:spacing w:after="0" w:line="126" w:lineRule="exact"/>
              <w:rPr>
                <w:sz w:val="20"/>
                <w:szCs w:val="20"/>
                <w:color w:val="auto"/>
              </w:rPr>
            </w:pPr>
            <w:r>
              <w:rPr>
                <w:rFonts w:ascii="Arial" w:cs="Arial" w:eastAsia="Arial" w:hAnsi="Arial"/>
                <w:sz w:val="14"/>
                <w:szCs w:val="14"/>
                <w:b w:val="1"/>
                <w:bCs w:val="1"/>
                <w:color w:val="auto"/>
              </w:rPr>
              <w:t>% Change</w:t>
            </w: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 vs 2016</w:t>
            </w: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 vs 2015</w:t>
            </w: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w w:val="92"/>
              </w:rPr>
              <w:t>388,784</w:t>
            </w:r>
          </w:p>
        </w:tc>
        <w:tc>
          <w:tcPr>
            <w:tcW w:w="2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w w:val="95"/>
              </w:rPr>
              <w:t>317,242</w:t>
            </w:r>
          </w:p>
        </w:tc>
        <w:tc>
          <w:tcPr>
            <w:tcW w:w="22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53"/>
              <w:spacing w:after="0" w:line="203" w:lineRule="exact"/>
              <w:rPr>
                <w:sz w:val="20"/>
                <w:szCs w:val="20"/>
                <w:color w:val="auto"/>
              </w:rPr>
            </w:pPr>
            <w:r>
              <w:rPr>
                <w:rFonts w:ascii="Arial" w:cs="Arial" w:eastAsia="Arial" w:hAnsi="Arial"/>
                <w:sz w:val="18"/>
                <w:szCs w:val="18"/>
                <w:color w:val="auto"/>
                <w:w w:val="92"/>
              </w:rPr>
              <w:t>288,442</w:t>
            </w:r>
          </w:p>
        </w:tc>
        <w:tc>
          <w:tcPr>
            <w:tcW w:w="1300" w:type="dxa"/>
            <w:vAlign w:val="bottom"/>
            <w:tcBorders>
              <w:top w:val="single" w:sz="8" w:color="auto"/>
            </w:tcBorders>
            <w:shd w:val="clear" w:color="auto" w:fill="CCEEFF"/>
          </w:tcPr>
          <w:p>
            <w:pPr>
              <w:jc w:val="right"/>
              <w:ind w:right="134"/>
              <w:spacing w:after="0" w:line="203" w:lineRule="exact"/>
              <w:rPr>
                <w:sz w:val="20"/>
                <w:szCs w:val="20"/>
                <w:color w:val="auto"/>
              </w:rPr>
            </w:pPr>
            <w:r>
              <w:rPr>
                <w:rFonts w:ascii="Arial" w:cs="Arial" w:eastAsia="Arial" w:hAnsi="Arial"/>
                <w:sz w:val="18"/>
                <w:szCs w:val="18"/>
                <w:color w:val="auto"/>
              </w:rPr>
              <w:t>22.6</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271,005</w:t>
            </w:r>
          </w:p>
        </w:tc>
        <w:tc>
          <w:tcPr>
            <w:tcW w:w="20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w w:val="95"/>
              </w:rPr>
              <w:t>246,849</w:t>
            </w:r>
          </w:p>
        </w:tc>
        <w:tc>
          <w:tcPr>
            <w:tcW w:w="22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w w:val="92"/>
              </w:rPr>
              <w:t>244,380</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9.8</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6"/>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2"/>
              </w:rPr>
              <w:t>196,471</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5"/>
              </w:rPr>
              <w:t>161,999</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2"/>
              </w:rPr>
              <w:t>135,512</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03"/>
        </w:trPr>
        <w:tc>
          <w:tcPr>
            <w:tcW w:w="360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3"/>
              <w:spacing w:after="0" w:line="203" w:lineRule="exact"/>
              <w:rPr>
                <w:sz w:val="20"/>
                <w:szCs w:val="20"/>
                <w:color w:val="auto"/>
              </w:rPr>
            </w:pPr>
            <w:r>
              <w:rPr>
                <w:rFonts w:ascii="Arial" w:cs="Arial" w:eastAsia="Arial" w:hAnsi="Arial"/>
                <w:sz w:val="18"/>
                <w:szCs w:val="18"/>
                <w:color w:val="auto"/>
                <w:w w:val="92"/>
              </w:rPr>
              <w:t>856,260</w:t>
            </w:r>
          </w:p>
        </w:tc>
        <w:tc>
          <w:tcPr>
            <w:tcW w:w="200" w:type="dxa"/>
            <w:vAlign w:val="bottom"/>
          </w:tcPr>
          <w:p>
            <w:pPr>
              <w:spacing w:after="0"/>
              <w:rPr>
                <w:sz w:val="17"/>
                <w:szCs w:val="17"/>
                <w:color w:val="auto"/>
              </w:rPr>
            </w:pPr>
          </w:p>
        </w:tc>
        <w:tc>
          <w:tcPr>
            <w:tcW w:w="780" w:type="dxa"/>
            <w:vAlign w:val="bottom"/>
          </w:tcPr>
          <w:p>
            <w:pPr>
              <w:jc w:val="right"/>
              <w:ind w:right="54"/>
              <w:spacing w:after="0" w:line="203" w:lineRule="exact"/>
              <w:rPr>
                <w:sz w:val="20"/>
                <w:szCs w:val="20"/>
                <w:color w:val="auto"/>
              </w:rPr>
            </w:pPr>
            <w:r>
              <w:rPr>
                <w:rFonts w:ascii="Arial" w:cs="Arial" w:eastAsia="Arial" w:hAnsi="Arial"/>
                <w:sz w:val="18"/>
                <w:szCs w:val="18"/>
                <w:color w:val="auto"/>
                <w:w w:val="95"/>
              </w:rPr>
              <w:t>726,090</w:t>
            </w:r>
          </w:p>
        </w:tc>
        <w:tc>
          <w:tcPr>
            <w:tcW w:w="220" w:type="dxa"/>
            <w:vAlign w:val="bottom"/>
          </w:tcPr>
          <w:p>
            <w:pPr>
              <w:spacing w:after="0"/>
              <w:rPr>
                <w:sz w:val="17"/>
                <w:szCs w:val="17"/>
                <w:color w:val="auto"/>
              </w:rPr>
            </w:pPr>
          </w:p>
        </w:tc>
        <w:tc>
          <w:tcPr>
            <w:tcW w:w="860" w:type="dxa"/>
            <w:vAlign w:val="bottom"/>
          </w:tcPr>
          <w:p>
            <w:pPr>
              <w:jc w:val="right"/>
              <w:ind w:right="153"/>
              <w:spacing w:after="0" w:line="203" w:lineRule="exact"/>
              <w:rPr>
                <w:sz w:val="20"/>
                <w:szCs w:val="20"/>
                <w:color w:val="auto"/>
              </w:rPr>
            </w:pPr>
            <w:r>
              <w:rPr>
                <w:rFonts w:ascii="Arial" w:cs="Arial" w:eastAsia="Arial" w:hAnsi="Arial"/>
                <w:sz w:val="18"/>
                <w:szCs w:val="18"/>
                <w:color w:val="auto"/>
                <w:w w:val="92"/>
              </w:rPr>
              <w:t>668,334</w:t>
            </w:r>
          </w:p>
        </w:tc>
        <w:tc>
          <w:tcPr>
            <w:tcW w:w="1300" w:type="dxa"/>
            <w:vAlign w:val="bottom"/>
          </w:tcPr>
          <w:p>
            <w:pPr>
              <w:jc w:val="right"/>
              <w:ind w:right="134"/>
              <w:spacing w:after="0" w:line="203" w:lineRule="exact"/>
              <w:rPr>
                <w:sz w:val="20"/>
                <w:szCs w:val="20"/>
                <w:color w:val="auto"/>
              </w:rPr>
            </w:pPr>
            <w:r>
              <w:rPr>
                <w:rFonts w:ascii="Arial" w:cs="Arial" w:eastAsia="Arial" w:hAnsi="Arial"/>
                <w:sz w:val="18"/>
                <w:szCs w:val="18"/>
                <w:color w:val="auto"/>
              </w:rPr>
              <w:t>17.9</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8.6</w:t>
            </w:r>
          </w:p>
        </w:tc>
      </w:tr>
      <w:tr>
        <w:trPr>
          <w:trHeight w:val="236"/>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(18,890)</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(11,784)</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32.8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10"/>
        </w:trPr>
        <w:tc>
          <w:tcPr>
            <w:tcW w:w="360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w w:val="92"/>
              </w:rPr>
              <w:t>837,370</w:t>
            </w:r>
          </w:p>
        </w:tc>
        <w:tc>
          <w:tcPr>
            <w:tcW w:w="2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95"/>
              </w:rPr>
              <w:t>711,862</w:t>
            </w:r>
          </w:p>
        </w:tc>
        <w:tc>
          <w:tcPr>
            <w:tcW w:w="22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w w:val="92"/>
              </w:rPr>
              <w:t>656,550</w:t>
            </w:r>
          </w:p>
        </w:tc>
        <w:tc>
          <w:tcPr>
            <w:tcW w:w="1300" w:type="dxa"/>
            <w:vAlign w:val="bottom"/>
            <w:tcBorders>
              <w:bottom w:val="single" w:sz="8" w:color="auto"/>
            </w:tcBorders>
          </w:tcPr>
          <w:p>
            <w:pPr>
              <w:jc w:val="right"/>
              <w:ind w:right="134"/>
              <w:spacing w:after="0" w:line="203" w:lineRule="exact"/>
              <w:rPr>
                <w:sz w:val="20"/>
                <w:szCs w:val="20"/>
                <w:color w:val="auto"/>
              </w:rPr>
            </w:pPr>
            <w:r>
              <w:rPr>
                <w:rFonts w:ascii="Arial" w:cs="Arial" w:eastAsia="Arial" w:hAnsi="Arial"/>
                <w:sz w:val="18"/>
                <w:szCs w:val="18"/>
                <w:color w:val="auto"/>
              </w:rPr>
              <w:t>17.6</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attributable to the South reportable segment increased by $125 million, or 17.6%, in 2017, primarily due to the following factors:</w:t>
      </w:r>
    </w:p>
    <w:p>
      <w:pPr>
        <w:spacing w:after="0" w:line="170" w:lineRule="exact"/>
        <w:rPr>
          <w:sz w:val="20"/>
          <w:szCs w:val="20"/>
          <w:color w:val="auto"/>
        </w:rPr>
      </w:pPr>
    </w:p>
    <w:p>
      <w:pPr>
        <w:ind w:left="660" w:hanging="3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Acquired operations contributed $88.4 million, $5.0 million, and $6.1 million to our retail, industrial, and construction markets, respectively.</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lumber prices increased our selling prices.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ind w:left="660" w:hanging="333"/>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Organic unit sales growth to the construction and industrial markets was offset by a decline in unit sales to the retail market as a result of transferring our import and export business to our International segment and management team. Our International segment was formed, among other reasons, to gain efficiencies by consolidating our international business into one unit.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Earnings from operations for the South reportable segment decreased in 2017 by $0.5 million, or 1.1%, as the increase in gross profit of $3.9 million was more than offset by a $4.4 million increase in SG&amp;A expenses compared to last year. Acquired operations contributed $3.5 million to our operating profits in 2017. Our decline in profitability was due to customer attrition in our East Central and Southeast regions.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sales attributable to the South reportable segment increased by 8.4% in 2016, primarily due to an increase in sales to our retail and manufactured housing customers, as a result of the same factors discussed under "Gross Sales".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Earnings from operations for the South reportable segment increased in 2016 by $16.4 million, or 53.4%, due to an increase in gross profit of $17.9 million, offset by a $1.5 million increase in SG&amp;A expenses compared to the prior year. Additionally, we achieved margin improvements primarily due to improvements in our sales mix of more value-added products and the closure of certain under-performing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Net Sales of West Segment by Market</w:t>
            </w:r>
          </w:p>
        </w:tc>
        <w:tc>
          <w:tcPr>
            <w:tcW w:w="116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ind w:left="80"/>
              <w:spacing w:after="0" w:line="149" w:lineRule="exact"/>
              <w:rPr>
                <w:sz w:val="20"/>
                <w:szCs w:val="20"/>
                <w:color w:val="auto"/>
              </w:rPr>
            </w:pPr>
            <w:r>
              <w:rPr>
                <w:rFonts w:ascii="Arial" w:cs="Arial" w:eastAsia="Arial" w:hAnsi="Arial"/>
                <w:sz w:val="14"/>
                <w:szCs w:val="14"/>
                <w:b w:val="1"/>
                <w:bCs w:val="1"/>
                <w:color w:val="auto"/>
              </w:rPr>
              <w:t>Twelve Months Ended</w:t>
            </w:r>
          </w:p>
        </w:tc>
        <w:tc>
          <w:tcPr>
            <w:tcW w:w="116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jc w:val="right"/>
              <w:ind w:right="33"/>
              <w:spacing w:after="0" w:line="126" w:lineRule="exact"/>
              <w:rPr>
                <w:sz w:val="20"/>
                <w:szCs w:val="20"/>
                <w:color w:val="auto"/>
              </w:rPr>
            </w:pPr>
            <w:r>
              <w:rPr>
                <w:rFonts w:ascii="Arial" w:cs="Arial" w:eastAsia="Arial" w:hAnsi="Arial"/>
                <w:sz w:val="14"/>
                <w:szCs w:val="14"/>
                <w:b w:val="1"/>
                <w:bCs w:val="1"/>
                <w:color w:val="auto"/>
                <w:w w:val="90"/>
              </w:rPr>
              <w:t>December 30,</w:t>
            </w:r>
          </w:p>
        </w:tc>
        <w:tc>
          <w:tcPr>
            <w:tcW w:w="1060" w:type="dxa"/>
            <w:vAlign w:val="bottom"/>
            <w:gridSpan w:val="2"/>
          </w:tcPr>
          <w:p>
            <w:pPr>
              <w:jc w:val="right"/>
              <w:ind w:right="14"/>
              <w:spacing w:after="0" w:line="126"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right"/>
              <w:ind w:right="113"/>
              <w:spacing w:after="0" w:line="126" w:lineRule="exact"/>
              <w:rPr>
                <w:sz w:val="20"/>
                <w:szCs w:val="20"/>
                <w:color w:val="auto"/>
              </w:rPr>
            </w:pPr>
            <w:r>
              <w:rPr>
                <w:rFonts w:ascii="Arial" w:cs="Arial" w:eastAsia="Arial" w:hAnsi="Arial"/>
                <w:sz w:val="14"/>
                <w:szCs w:val="14"/>
                <w:b w:val="1"/>
                <w:bCs w:val="1"/>
                <w:color w:val="auto"/>
              </w:rPr>
              <w:t>December 26,</w:t>
            </w:r>
          </w:p>
        </w:tc>
        <w:tc>
          <w:tcPr>
            <w:tcW w:w="1260" w:type="dxa"/>
            <w:vAlign w:val="bottom"/>
          </w:tcPr>
          <w:p>
            <w:pPr>
              <w:jc w:val="right"/>
              <w:ind w:right="294"/>
              <w:spacing w:after="0" w:line="126" w:lineRule="exact"/>
              <w:rPr>
                <w:sz w:val="20"/>
                <w:szCs w:val="20"/>
                <w:color w:val="auto"/>
              </w:rPr>
            </w:pPr>
            <w:r>
              <w:rPr>
                <w:rFonts w:ascii="Arial" w:cs="Arial" w:eastAsia="Arial" w:hAnsi="Arial"/>
                <w:sz w:val="14"/>
                <w:szCs w:val="14"/>
                <w:b w:val="1"/>
                <w:bCs w:val="1"/>
                <w:color w:val="auto"/>
              </w:rPr>
              <w:t>% Change</w:t>
            </w:r>
          </w:p>
        </w:tc>
        <w:tc>
          <w:tcPr>
            <w:tcW w:w="1160" w:type="dxa"/>
            <w:vAlign w:val="bottom"/>
          </w:tcPr>
          <w:p>
            <w:pPr>
              <w:jc w:val="right"/>
              <w:ind w:right="154"/>
              <w:spacing w:after="0" w:line="126" w:lineRule="exact"/>
              <w:rPr>
                <w:sz w:val="20"/>
                <w:szCs w:val="20"/>
                <w:color w:val="auto"/>
              </w:rPr>
            </w:pPr>
            <w:r>
              <w:rPr>
                <w:rFonts w:ascii="Arial" w:cs="Arial" w:eastAsia="Arial" w:hAnsi="Arial"/>
                <w:sz w:val="14"/>
                <w:szCs w:val="14"/>
                <w:b w:val="1"/>
                <w:bCs w:val="1"/>
                <w:color w:val="auto"/>
              </w:rPr>
              <w:t>% Change</w:t>
            </w: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 vs 2016</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 vs 2015</w:t>
            </w: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439,667</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382,117</w:t>
            </w:r>
          </w:p>
        </w:tc>
        <w:tc>
          <w:tcPr>
            <w:tcW w:w="2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3"/>
              <w:spacing w:after="0" w:line="203" w:lineRule="exact"/>
              <w:rPr>
                <w:sz w:val="20"/>
                <w:szCs w:val="20"/>
                <w:color w:val="auto"/>
              </w:rPr>
            </w:pPr>
            <w:r>
              <w:rPr>
                <w:rFonts w:ascii="Arial" w:cs="Arial" w:eastAsia="Arial" w:hAnsi="Arial"/>
                <w:sz w:val="18"/>
                <w:szCs w:val="18"/>
                <w:color w:val="auto"/>
              </w:rPr>
              <w:t>322,215</w:t>
            </w:r>
          </w:p>
        </w:tc>
        <w:tc>
          <w:tcPr>
            <w:tcW w:w="1260" w:type="dxa"/>
            <w:vAlign w:val="bottom"/>
            <w:tcBorders>
              <w:top w:val="single" w:sz="8" w:color="auto"/>
            </w:tcBorders>
            <w:shd w:val="clear" w:color="auto" w:fill="CCEEFF"/>
          </w:tcPr>
          <w:p>
            <w:pPr>
              <w:jc w:val="right"/>
              <w:ind w:right="114"/>
              <w:spacing w:after="0" w:line="203" w:lineRule="exact"/>
              <w:rPr>
                <w:sz w:val="20"/>
                <w:szCs w:val="20"/>
                <w:color w:val="auto"/>
              </w:rPr>
            </w:pPr>
            <w:r>
              <w:rPr>
                <w:rFonts w:ascii="Arial" w:cs="Arial" w:eastAsia="Arial" w:hAnsi="Arial"/>
                <w:sz w:val="18"/>
                <w:szCs w:val="18"/>
                <w:color w:val="auto"/>
              </w:rPr>
              <w:t>15.1</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524,819</w:t>
            </w:r>
          </w:p>
        </w:tc>
        <w:tc>
          <w:tcPr>
            <w:tcW w:w="18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466,209</w:t>
            </w:r>
          </w:p>
        </w:tc>
        <w:tc>
          <w:tcPr>
            <w:tcW w:w="200" w:type="dxa"/>
            <w:vAlign w:val="bottom"/>
          </w:tcPr>
          <w:p>
            <w:pPr>
              <w:spacing w:after="0"/>
              <w:rPr>
                <w:sz w:val="18"/>
                <w:szCs w:val="18"/>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458,202</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12.6</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470,773</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419,205</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366,483</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3"/>
        </w:trPr>
        <w:tc>
          <w:tcPr>
            <w:tcW w:w="344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53"/>
              <w:spacing w:after="0" w:line="203" w:lineRule="exact"/>
              <w:rPr>
                <w:sz w:val="20"/>
                <w:szCs w:val="20"/>
                <w:color w:val="auto"/>
              </w:rPr>
            </w:pPr>
            <w:r>
              <w:rPr>
                <w:rFonts w:ascii="Arial" w:cs="Arial" w:eastAsia="Arial" w:hAnsi="Arial"/>
                <w:sz w:val="18"/>
                <w:szCs w:val="18"/>
                <w:color w:val="auto"/>
                <w:w w:val="89"/>
              </w:rPr>
              <w:t>1,435,259</w:t>
            </w:r>
          </w:p>
        </w:tc>
        <w:tc>
          <w:tcPr>
            <w:tcW w:w="180" w:type="dxa"/>
            <w:vAlign w:val="bottom"/>
          </w:tcPr>
          <w:p>
            <w:pPr>
              <w:spacing w:after="0"/>
              <w:rPr>
                <w:sz w:val="17"/>
                <w:szCs w:val="17"/>
                <w:color w:val="auto"/>
              </w:rPr>
            </w:pPr>
          </w:p>
        </w:tc>
        <w:tc>
          <w:tcPr>
            <w:tcW w:w="880" w:type="dxa"/>
            <w:vAlign w:val="bottom"/>
          </w:tcPr>
          <w:p>
            <w:pPr>
              <w:jc w:val="right"/>
              <w:ind w:right="54"/>
              <w:spacing w:after="0" w:line="203" w:lineRule="exact"/>
              <w:rPr>
                <w:sz w:val="20"/>
                <w:szCs w:val="20"/>
                <w:color w:val="auto"/>
              </w:rPr>
            </w:pPr>
            <w:r>
              <w:rPr>
                <w:rFonts w:ascii="Arial" w:cs="Arial" w:eastAsia="Arial" w:hAnsi="Arial"/>
                <w:sz w:val="18"/>
                <w:szCs w:val="18"/>
                <w:color w:val="auto"/>
                <w:w w:val="89"/>
              </w:rPr>
              <w:t>1,267,531</w:t>
            </w:r>
          </w:p>
        </w:tc>
        <w:tc>
          <w:tcPr>
            <w:tcW w:w="200" w:type="dxa"/>
            <w:vAlign w:val="bottom"/>
          </w:tcPr>
          <w:p>
            <w:pPr>
              <w:spacing w:after="0"/>
              <w:rPr>
                <w:sz w:val="17"/>
                <w:szCs w:val="17"/>
                <w:color w:val="auto"/>
              </w:rPr>
            </w:pPr>
          </w:p>
        </w:tc>
        <w:tc>
          <w:tcPr>
            <w:tcW w:w="960" w:type="dxa"/>
            <w:vAlign w:val="bottom"/>
          </w:tcPr>
          <w:p>
            <w:pPr>
              <w:jc w:val="right"/>
              <w:ind w:right="153"/>
              <w:spacing w:after="0" w:line="203" w:lineRule="exact"/>
              <w:rPr>
                <w:sz w:val="20"/>
                <w:szCs w:val="20"/>
                <w:color w:val="auto"/>
              </w:rPr>
            </w:pPr>
            <w:r>
              <w:rPr>
                <w:rFonts w:ascii="Arial" w:cs="Arial" w:eastAsia="Arial" w:hAnsi="Arial"/>
                <w:sz w:val="18"/>
                <w:szCs w:val="18"/>
                <w:color w:val="auto"/>
                <w:w w:val="87"/>
              </w:rPr>
              <w:t>1,146,900</w:t>
            </w:r>
          </w:p>
        </w:tc>
        <w:tc>
          <w:tcPr>
            <w:tcW w:w="1260" w:type="dxa"/>
            <w:vAlign w:val="bottom"/>
          </w:tcPr>
          <w:p>
            <w:pPr>
              <w:jc w:val="right"/>
              <w:ind w:right="114"/>
              <w:spacing w:after="0" w:line="203" w:lineRule="exact"/>
              <w:rPr>
                <w:sz w:val="20"/>
                <w:szCs w:val="20"/>
                <w:color w:val="auto"/>
              </w:rPr>
            </w:pPr>
            <w:r>
              <w:rPr>
                <w:rFonts w:ascii="Arial" w:cs="Arial" w:eastAsia="Arial" w:hAnsi="Arial"/>
                <w:sz w:val="18"/>
                <w:szCs w:val="18"/>
                <w:color w:val="auto"/>
              </w:rPr>
              <w:t>13.2</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r>
      <w:tr>
        <w:trPr>
          <w:trHeight w:val="236"/>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(13,502)</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0"/>
        </w:trPr>
        <w:tc>
          <w:tcPr>
            <w:tcW w:w="344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53"/>
              <w:spacing w:after="0" w:line="203" w:lineRule="exact"/>
              <w:rPr>
                <w:sz w:val="20"/>
                <w:szCs w:val="20"/>
                <w:color w:val="auto"/>
              </w:rPr>
            </w:pPr>
            <w:r>
              <w:rPr>
                <w:rFonts w:ascii="Arial" w:cs="Arial" w:eastAsia="Arial" w:hAnsi="Arial"/>
                <w:sz w:val="18"/>
                <w:szCs w:val="18"/>
                <w:color w:val="auto"/>
                <w:w w:val="89"/>
              </w:rPr>
              <w:t>1,417,924</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89"/>
              </w:rPr>
              <w:t>1,251,093</w:t>
            </w:r>
          </w:p>
        </w:tc>
        <w:tc>
          <w:tcPr>
            <w:tcW w:w="2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w w:val="87"/>
              </w:rPr>
              <w:t>1,133,398</w:t>
            </w:r>
          </w:p>
        </w:tc>
        <w:tc>
          <w:tcPr>
            <w:tcW w:w="1260" w:type="dxa"/>
            <w:vAlign w:val="bottom"/>
            <w:tcBorders>
              <w:bottom w:val="single" w:sz="8" w:color="auto"/>
            </w:tcBorders>
          </w:tcPr>
          <w:p>
            <w:pPr>
              <w:jc w:val="right"/>
              <w:ind w:right="114"/>
              <w:spacing w:after="0" w:line="203" w:lineRule="exact"/>
              <w:rPr>
                <w:sz w:val="20"/>
                <w:szCs w:val="20"/>
                <w:color w:val="auto"/>
              </w:rPr>
            </w:pPr>
            <w:r>
              <w:rPr>
                <w:rFonts w:ascii="Arial" w:cs="Arial" w:eastAsia="Arial" w:hAnsi="Arial"/>
                <w:sz w:val="18"/>
                <w:szCs w:val="18"/>
                <w:color w:val="auto"/>
              </w:rPr>
              <w:t>13.3</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of the West reportable segment increased by $167 million, or 13.3%, in 2017, primarily due to the following factors:</w:t>
      </w:r>
    </w:p>
    <w:p>
      <w:pPr>
        <w:spacing w:after="0" w:line="170" w:lineRule="exact"/>
        <w:rPr>
          <w:sz w:val="20"/>
          <w:szCs w:val="20"/>
          <w:color w:val="auto"/>
        </w:rPr>
      </w:pPr>
    </w:p>
    <w:p>
      <w:pPr>
        <w:ind w:left="700" w:hanging="333"/>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Acquired operations contributed $4.9 million, $3.2 million, and $6.8 million to our retail, industrial, and construction markets, respectively.</w:t>
      </w:r>
    </w:p>
    <w:p>
      <w:pPr>
        <w:spacing w:after="0" w:line="170" w:lineRule="exact"/>
        <w:rPr>
          <w:rFonts w:ascii="Arial" w:cs="Arial" w:eastAsia="Arial" w:hAnsi="Arial"/>
          <w:sz w:val="18"/>
          <w:szCs w:val="18"/>
          <w:color w:val="auto"/>
        </w:rPr>
      </w:pPr>
    </w:p>
    <w:p>
      <w:pPr>
        <w:ind w:left="700" w:hanging="33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lumber prices increased our selling prices.</w:t>
      </w:r>
    </w:p>
    <w:p>
      <w:pPr>
        <w:spacing w:after="0" w:line="225" w:lineRule="exact"/>
        <w:rPr>
          <w:rFonts w:ascii="Arial" w:cs="Arial" w:eastAsia="Arial" w:hAnsi="Arial"/>
          <w:sz w:val="18"/>
          <w:szCs w:val="18"/>
          <w:color w:val="auto"/>
        </w:rPr>
      </w:pPr>
    </w:p>
    <w:p>
      <w:pPr>
        <w:ind w:left="700" w:hanging="33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Organic unit sales growth in each of our markets due to the factors discussed under “Gross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Earnings from operations for the West reportable segment increased in 2017 by $5.6 million, or 7.3%, due to an increase in gross profit of $12.1 million, offset by a $6.5 million increase in SG&amp;A expenses compared to last year due to the same factors discussed under “Cost of Goods Sold and Gross Profit” and “Selling, General, and Administrative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of the West reportable segment increased by 10.4% in 2016, primarily due to an increase in sales to the retail and construction markets, as a result of the same factors discussed under "Gross Sales". Additionally, newly acquired businesses contributed $11.3 million in gross sales to the retail and construction markets in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from operations for the West reportable segment increased in 2016 by $6.7 million, or 9.5%, due to an increase in gross profit of $15.1 million, offset by a $8.4 million increase in SG&amp;A expenses compared to the prior year. Our margins increased due to an improvement in our sales mix of value-added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4"/>
              </w:rPr>
              <w:t>Net Sales of All Other Segment by Market</w:t>
            </w:r>
          </w:p>
        </w:tc>
        <w:tc>
          <w:tcPr>
            <w:tcW w:w="94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694"/>
              <w:spacing w:after="0" w:line="149" w:lineRule="exact"/>
              <w:rPr>
                <w:sz w:val="20"/>
                <w:szCs w:val="20"/>
                <w:color w:val="auto"/>
              </w:rPr>
            </w:pPr>
            <w:r>
              <w:rPr>
                <w:rFonts w:ascii="Arial" w:cs="Arial" w:eastAsia="Arial" w:hAnsi="Arial"/>
                <w:sz w:val="14"/>
                <w:szCs w:val="14"/>
                <w:b w:val="1"/>
                <w:bCs w:val="1"/>
                <w:color w:val="auto"/>
              </w:rPr>
              <w:t>Twelve Months Ended</w:t>
            </w:r>
          </w:p>
        </w:tc>
        <w:tc>
          <w:tcPr>
            <w:tcW w:w="94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4"/>
              </w:rPr>
              <w:t>December 30,</w:t>
            </w:r>
          </w:p>
        </w:tc>
        <w:tc>
          <w:tcPr>
            <w:tcW w:w="96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w w:val="96"/>
              </w:rPr>
              <w:t>December 31,</w:t>
            </w:r>
          </w:p>
        </w:tc>
        <w:tc>
          <w:tcPr>
            <w:tcW w:w="100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w w:val="98"/>
              </w:rPr>
              <w:t>December 26,</w:t>
            </w:r>
          </w:p>
        </w:tc>
        <w:tc>
          <w:tcPr>
            <w:tcW w:w="1020" w:type="dxa"/>
            <w:vAlign w:val="bottom"/>
          </w:tcPr>
          <w:p>
            <w:pPr>
              <w:jc w:val="right"/>
              <w:ind w:right="134"/>
              <w:spacing w:after="0" w:line="126" w:lineRule="exact"/>
              <w:rPr>
                <w:sz w:val="20"/>
                <w:szCs w:val="20"/>
                <w:color w:val="auto"/>
              </w:rPr>
            </w:pPr>
            <w:r>
              <w:rPr>
                <w:rFonts w:ascii="Arial" w:cs="Arial" w:eastAsia="Arial" w:hAnsi="Arial"/>
                <w:sz w:val="14"/>
                <w:szCs w:val="14"/>
                <w:b w:val="1"/>
                <w:bCs w:val="1"/>
                <w:color w:val="auto"/>
              </w:rPr>
              <w:t>% Change</w:t>
            </w:r>
          </w:p>
        </w:tc>
        <w:tc>
          <w:tcPr>
            <w:tcW w:w="940" w:type="dxa"/>
            <w:vAlign w:val="bottom"/>
          </w:tcPr>
          <w:p>
            <w:pPr>
              <w:jc w:val="right"/>
              <w:ind w:right="34"/>
              <w:spacing w:after="0" w:line="126" w:lineRule="exact"/>
              <w:rPr>
                <w:sz w:val="20"/>
                <w:szCs w:val="20"/>
                <w:color w:val="auto"/>
              </w:rPr>
            </w:pPr>
            <w:r>
              <w:rPr>
                <w:rFonts w:ascii="Arial" w:cs="Arial" w:eastAsia="Arial" w:hAnsi="Arial"/>
                <w:sz w:val="14"/>
                <w:szCs w:val="14"/>
                <w:b w:val="1"/>
                <w:bCs w:val="1"/>
                <w:color w:val="auto"/>
              </w:rPr>
              <w:t>% Change</w:t>
            </w: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8"/>
              </w:rPr>
              <w:t>2017 vs 2016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 vs 2015</w:t>
            </w: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w w:val="92"/>
              </w:rPr>
              <w:t>176,043</w:t>
            </w:r>
          </w:p>
        </w:tc>
        <w:tc>
          <w:tcPr>
            <w:tcW w:w="1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56"/>
              <w:spacing w:after="0" w:line="203" w:lineRule="exact"/>
              <w:rPr>
                <w:sz w:val="20"/>
                <w:szCs w:val="20"/>
                <w:color w:val="auto"/>
              </w:rPr>
            </w:pPr>
            <w:r>
              <w:rPr>
                <w:rFonts w:ascii="Arial" w:cs="Arial" w:eastAsia="Arial" w:hAnsi="Arial"/>
                <w:sz w:val="18"/>
                <w:szCs w:val="18"/>
                <w:color w:val="auto"/>
                <w:w w:val="95"/>
              </w:rPr>
              <w:t>127,294</w:t>
            </w:r>
          </w:p>
        </w:tc>
        <w:tc>
          <w:tcPr>
            <w:tcW w:w="2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w w:val="95"/>
              </w:rPr>
              <w:t>109,818</w:t>
            </w:r>
          </w:p>
        </w:tc>
        <w:tc>
          <w:tcPr>
            <w:tcW w:w="1020" w:type="dxa"/>
            <w:vAlign w:val="bottom"/>
            <w:tcBorders>
              <w:top w:val="single" w:sz="8" w:color="auto"/>
            </w:tcBorders>
            <w:shd w:val="clear" w:color="auto" w:fill="CCEEFF"/>
          </w:tcPr>
          <w:p>
            <w:pPr>
              <w:jc w:val="right"/>
              <w:ind w:right="94"/>
              <w:spacing w:after="0" w:line="203" w:lineRule="exact"/>
              <w:rPr>
                <w:sz w:val="20"/>
                <w:szCs w:val="20"/>
                <w:color w:val="auto"/>
              </w:rPr>
            </w:pPr>
            <w:r>
              <w:rPr>
                <w:rFonts w:ascii="Arial" w:cs="Arial" w:eastAsia="Arial" w:hAnsi="Arial"/>
                <w:sz w:val="18"/>
                <w:szCs w:val="18"/>
                <w:color w:val="auto"/>
              </w:rPr>
              <w:t>38.3</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380,892</w:t>
            </w:r>
          </w:p>
        </w:tc>
        <w:tc>
          <w:tcPr>
            <w:tcW w:w="18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w w:val="95"/>
              </w:rPr>
              <w:t>156,022</w:t>
            </w:r>
          </w:p>
        </w:tc>
        <w:tc>
          <w:tcPr>
            <w:tcW w:w="20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69,282</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144.1</w:t>
            </w:r>
          </w:p>
        </w:tc>
        <w:tc>
          <w:tcPr>
            <w:tcW w:w="94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36"/>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9,533.3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03"/>
        </w:trPr>
        <w:tc>
          <w:tcPr>
            <w:tcW w:w="424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3"/>
              <w:spacing w:after="0" w:line="203" w:lineRule="exact"/>
              <w:rPr>
                <w:sz w:val="20"/>
                <w:szCs w:val="20"/>
                <w:color w:val="auto"/>
              </w:rPr>
            </w:pPr>
            <w:r>
              <w:rPr>
                <w:rFonts w:ascii="Arial" w:cs="Arial" w:eastAsia="Arial" w:hAnsi="Arial"/>
                <w:sz w:val="18"/>
                <w:szCs w:val="18"/>
                <w:color w:val="auto"/>
                <w:w w:val="92"/>
              </w:rPr>
              <w:t>557,224</w:t>
            </w:r>
          </w:p>
        </w:tc>
        <w:tc>
          <w:tcPr>
            <w:tcW w:w="180" w:type="dxa"/>
            <w:vAlign w:val="bottom"/>
          </w:tcPr>
          <w:p>
            <w:pPr>
              <w:spacing w:after="0"/>
              <w:rPr>
                <w:sz w:val="17"/>
                <w:szCs w:val="17"/>
                <w:color w:val="auto"/>
              </w:rPr>
            </w:pPr>
          </w:p>
        </w:tc>
        <w:tc>
          <w:tcPr>
            <w:tcW w:w="780" w:type="dxa"/>
            <w:vAlign w:val="bottom"/>
          </w:tcPr>
          <w:p>
            <w:pPr>
              <w:jc w:val="right"/>
              <w:ind w:right="56"/>
              <w:spacing w:after="0" w:line="203" w:lineRule="exact"/>
              <w:rPr>
                <w:sz w:val="20"/>
                <w:szCs w:val="20"/>
                <w:color w:val="auto"/>
              </w:rPr>
            </w:pPr>
            <w:r>
              <w:rPr>
                <w:rFonts w:ascii="Arial" w:cs="Arial" w:eastAsia="Arial" w:hAnsi="Arial"/>
                <w:sz w:val="18"/>
                <w:szCs w:val="18"/>
                <w:color w:val="auto"/>
                <w:w w:val="95"/>
              </w:rPr>
              <w:t>283,319</w:t>
            </w:r>
          </w:p>
        </w:tc>
        <w:tc>
          <w:tcPr>
            <w:tcW w:w="200" w:type="dxa"/>
            <w:vAlign w:val="bottom"/>
          </w:tcPr>
          <w:p>
            <w:pPr>
              <w:spacing w:after="0"/>
              <w:rPr>
                <w:sz w:val="17"/>
                <w:szCs w:val="17"/>
                <w:color w:val="auto"/>
              </w:rPr>
            </w:pPr>
          </w:p>
        </w:tc>
        <w:tc>
          <w:tcPr>
            <w:tcW w:w="800" w:type="dxa"/>
            <w:vAlign w:val="bottom"/>
          </w:tcPr>
          <w:p>
            <w:pPr>
              <w:jc w:val="right"/>
              <w:ind w:right="73"/>
              <w:spacing w:after="0" w:line="203" w:lineRule="exact"/>
              <w:rPr>
                <w:sz w:val="20"/>
                <w:szCs w:val="20"/>
                <w:color w:val="auto"/>
              </w:rPr>
            </w:pPr>
            <w:r>
              <w:rPr>
                <w:rFonts w:ascii="Arial" w:cs="Arial" w:eastAsia="Arial" w:hAnsi="Arial"/>
                <w:sz w:val="18"/>
                <w:szCs w:val="18"/>
                <w:color w:val="auto"/>
                <w:w w:val="95"/>
              </w:rPr>
              <w:t>179,112</w:t>
            </w:r>
          </w:p>
        </w:tc>
        <w:tc>
          <w:tcPr>
            <w:tcW w:w="1020" w:type="dxa"/>
            <w:vAlign w:val="bottom"/>
          </w:tcPr>
          <w:p>
            <w:pPr>
              <w:jc w:val="right"/>
              <w:ind w:right="94"/>
              <w:spacing w:after="0" w:line="203" w:lineRule="exact"/>
              <w:rPr>
                <w:sz w:val="20"/>
                <w:szCs w:val="20"/>
                <w:color w:val="auto"/>
              </w:rPr>
            </w:pPr>
            <w:r>
              <w:rPr>
                <w:rFonts w:ascii="Arial" w:cs="Arial" w:eastAsia="Arial" w:hAnsi="Arial"/>
                <w:sz w:val="18"/>
                <w:szCs w:val="18"/>
                <w:color w:val="auto"/>
              </w:rPr>
              <w:t>96.7</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58.2</w:t>
            </w:r>
          </w:p>
        </w:tc>
      </w:tr>
      <w:tr>
        <w:trPr>
          <w:trHeight w:val="236"/>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(4,081)</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10"/>
        </w:trPr>
        <w:tc>
          <w:tcPr>
            <w:tcW w:w="424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w w:val="92"/>
              </w:rPr>
              <w:t>552,232</w:t>
            </w:r>
          </w:p>
        </w:tc>
        <w:tc>
          <w:tcPr>
            <w:tcW w:w="18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56"/>
              <w:spacing w:after="0" w:line="203" w:lineRule="exact"/>
              <w:rPr>
                <w:sz w:val="20"/>
                <w:szCs w:val="20"/>
                <w:color w:val="auto"/>
              </w:rPr>
            </w:pPr>
            <w:r>
              <w:rPr>
                <w:rFonts w:ascii="Arial" w:cs="Arial" w:eastAsia="Arial" w:hAnsi="Arial"/>
                <w:sz w:val="18"/>
                <w:szCs w:val="18"/>
                <w:color w:val="auto"/>
                <w:w w:val="95"/>
              </w:rPr>
              <w:t>277,112</w:t>
            </w:r>
          </w:p>
        </w:tc>
        <w:tc>
          <w:tcPr>
            <w:tcW w:w="2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w w:val="95"/>
              </w:rPr>
              <w:t>175,031</w:t>
            </w:r>
          </w:p>
        </w:tc>
        <w:tc>
          <w:tcPr>
            <w:tcW w:w="1020" w:type="dxa"/>
            <w:vAlign w:val="bottom"/>
            <w:tcBorders>
              <w:bottom w:val="single" w:sz="8" w:color="auto"/>
            </w:tcBorders>
          </w:tcPr>
          <w:p>
            <w:pPr>
              <w:jc w:val="right"/>
              <w:ind w:right="94"/>
              <w:spacing w:after="0" w:line="203" w:lineRule="exact"/>
              <w:rPr>
                <w:sz w:val="20"/>
                <w:szCs w:val="20"/>
                <w:color w:val="auto"/>
              </w:rPr>
            </w:pPr>
            <w:r>
              <w:rPr>
                <w:rFonts w:ascii="Arial" w:cs="Arial" w:eastAsia="Arial" w:hAnsi="Arial"/>
                <w:sz w:val="18"/>
                <w:szCs w:val="18"/>
                <w:color w:val="auto"/>
              </w:rPr>
              <w:t>99.3</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58.3</w:t>
            </w:r>
          </w:p>
        </w:tc>
      </w:tr>
    </w:tbl>
    <w:p>
      <w:pPr>
        <w:spacing w:after="0" w:line="34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Note that prior years have been restated to reflect the reclassification of captive insurance external revenue from the sales allowances line item into the industrial market. We believe these amounts to be immaterial to the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sales of all other segments increased $275.1 million, or 99.3%, in 2017 primarily due to:</w:t>
      </w:r>
    </w:p>
    <w:p>
      <w:pPr>
        <w:spacing w:after="0" w:line="225" w:lineRule="exact"/>
        <w:rPr>
          <w:sz w:val="20"/>
          <w:szCs w:val="20"/>
          <w:color w:val="auto"/>
        </w:rPr>
      </w:pPr>
    </w:p>
    <w:p>
      <w:pPr>
        <w:ind w:left="720" w:hanging="353"/>
        <w:spacing w:after="0" w:line="308" w:lineRule="auto"/>
        <w:tabs>
          <w:tab w:leader="none" w:pos="6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Acquired operations, including idX, contributed $196 million to our sales growth to the industrial market. Additionally, the Mexico reporting unit of our international segment increased its sales to the industrial market.</w:t>
      </w:r>
    </w:p>
    <w:p>
      <w:pPr>
        <w:spacing w:after="0" w:line="146" w:lineRule="exact"/>
        <w:rPr>
          <w:rFonts w:ascii="Arial" w:cs="Arial" w:eastAsia="Arial" w:hAnsi="Arial"/>
          <w:sz w:val="17"/>
          <w:szCs w:val="17"/>
          <w:color w:val="auto"/>
        </w:rPr>
      </w:pPr>
    </w:p>
    <w:p>
      <w:pPr>
        <w:ind w:left="700" w:hanging="333"/>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increase in sales to the retail market was due to the transfer of our import and export business into our international segment.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from operations for the All Other reportable segment increased in 2017 by $0.7 million, or 3.9%, due to an increase in gross profit of $46.5 million, offset by a $45.8 million increase in SG&amp;A expenses compared to last year. Acquired operations increased earnings from operations by $1.7 million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sales of all other segments increased $102.1 million, or 58.3%, in 2016 primarily due to:</w:t>
      </w:r>
    </w:p>
    <w:p>
      <w:pPr>
        <w:spacing w:after="0" w:line="225" w:lineRule="exact"/>
        <w:rPr>
          <w:sz w:val="20"/>
          <w:szCs w:val="20"/>
          <w:color w:val="auto"/>
        </w:rPr>
      </w:pPr>
    </w:p>
    <w:p>
      <w:pPr>
        <w:ind w:left="700" w:hanging="333"/>
        <w:spacing w:after="0"/>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idX acquisition on September 16, 2016, which contributed $87.0 million in sales to the industrial market.</w:t>
      </w:r>
    </w:p>
    <w:p>
      <w:pPr>
        <w:spacing w:after="0" w:line="236" w:lineRule="exact"/>
        <w:rPr>
          <w:rFonts w:ascii="Arial" w:cs="Arial" w:eastAsia="Arial" w:hAnsi="Arial"/>
          <w:sz w:val="17"/>
          <w:szCs w:val="17"/>
          <w:color w:val="auto"/>
        </w:rPr>
      </w:pPr>
    </w:p>
    <w:p>
      <w:pPr>
        <w:ind w:left="700" w:hanging="333"/>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sales by our Alternative Materials operations, primarily due to an increase in market share with certain Big Box retailers.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Earnings from operations for the All Other reportable segment increased in 2016 by $13.6 million, or 448%, due to an increase in gross profit of $23.9 million, offset by a $10.3 million increase in SG&amp;A expenses compared to the prior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 was primarily due to the idX acquisition’s contribution during the fourth quarter of 2016 and sales growth and operational improvements of our Alternative Materials operations and to a lesser extent the performance of our captive insurance subsidiary, Ardellis.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CONTRACTUAL OBLIGATIONS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significant off-balance sheet commitments other than operating leases. The following table summarizes our contractual obligations as of December 30,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257"/>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26"/>
        </w:trPr>
        <w:tc>
          <w:tcPr>
            <w:tcW w:w="5060" w:type="dxa"/>
            <w:vAlign w:val="bottom"/>
          </w:tcPr>
          <w:p>
            <w:pPr>
              <w:spacing w:after="0"/>
              <w:rPr>
                <w:sz w:val="10"/>
                <w:szCs w:val="10"/>
                <w:color w:val="auto"/>
              </w:rPr>
            </w:pPr>
          </w:p>
        </w:tc>
        <w:tc>
          <w:tcPr>
            <w:tcW w:w="6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0"/>
                <w:szCs w:val="10"/>
                <w:color w:val="auto"/>
              </w:rPr>
            </w:pPr>
          </w:p>
        </w:tc>
        <w:tc>
          <w:tcPr>
            <w:tcW w:w="660" w:type="dxa"/>
            <w:vAlign w:val="bottom"/>
          </w:tcPr>
          <w:p>
            <w:pPr>
              <w:jc w:val="right"/>
              <w:ind w:right="99"/>
              <w:spacing w:after="0" w:line="126" w:lineRule="exact"/>
              <w:rPr>
                <w:sz w:val="20"/>
                <w:szCs w:val="20"/>
                <w:color w:val="auto"/>
              </w:rPr>
            </w:pPr>
            <w:r>
              <w:rPr>
                <w:rFonts w:ascii="Arial" w:cs="Arial" w:eastAsia="Arial" w:hAnsi="Arial"/>
                <w:sz w:val="14"/>
                <w:szCs w:val="14"/>
                <w:b w:val="1"/>
                <w:bCs w:val="1"/>
                <w:color w:val="auto"/>
              </w:rPr>
              <w:t>1 – 3</w:t>
            </w:r>
          </w:p>
        </w:tc>
        <w:tc>
          <w:tcPr>
            <w:tcW w:w="140" w:type="dxa"/>
            <w:vAlign w:val="bottom"/>
          </w:tcPr>
          <w:p>
            <w:pPr>
              <w:spacing w:after="0"/>
              <w:rPr>
                <w:sz w:val="10"/>
                <w:szCs w:val="10"/>
                <w:color w:val="auto"/>
              </w:rPr>
            </w:pPr>
          </w:p>
        </w:tc>
        <w:tc>
          <w:tcPr>
            <w:tcW w:w="660" w:type="dxa"/>
            <w:vAlign w:val="bottom"/>
          </w:tcPr>
          <w:p>
            <w:pPr>
              <w:jc w:val="right"/>
              <w:ind w:right="97"/>
              <w:spacing w:after="0" w:line="126" w:lineRule="exact"/>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0"/>
                <w:szCs w:val="10"/>
                <w:color w:val="auto"/>
              </w:rPr>
            </w:pPr>
          </w:p>
        </w:tc>
        <w:tc>
          <w:tcPr>
            <w:tcW w:w="660" w:type="dxa"/>
            <w:vAlign w:val="bottom"/>
          </w:tcPr>
          <w:p>
            <w:pPr>
              <w:jc w:val="right"/>
              <w:ind w:right="77"/>
              <w:spacing w:after="0" w:line="126"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78"/>
        </w:trPr>
        <w:tc>
          <w:tcPr>
            <w:tcW w:w="5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Contractual Obligation</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9"/>
              </w:rPr>
              <w:t>1 Year</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Years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5 Years</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Total</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$62,575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$43,260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$146,003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w w:val="96"/>
              </w:rPr>
              <w:t>Estimated interest on long-term debt and capital lease obligations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8,161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6,174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22,967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73,924</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Capital project purchase obligations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7,743</w:t>
            </w:r>
          </w:p>
        </w:tc>
      </w:tr>
      <w:tr>
        <w:trPr>
          <w:trHeight w:val="223"/>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33,677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93,890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58,777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64,293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250,637</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30, 2017, we also had $26.5 million in outstanding letters of credit issued during the normal course of business, as required by some vendor contracts.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30,</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December 26,</w:t>
            </w:r>
          </w:p>
        </w:tc>
      </w:tr>
      <w:tr>
        <w:trPr>
          <w:trHeight w:val="178"/>
        </w:trPr>
        <w:tc>
          <w:tcPr>
            <w:tcW w:w="5340" w:type="dxa"/>
            <w:vAlign w:val="bottom"/>
          </w:tcPr>
          <w:p>
            <w:pPr>
              <w:spacing w:after="0"/>
              <w:rPr>
                <w:sz w:val="15"/>
                <w:szCs w:val="15"/>
                <w:color w:val="auto"/>
              </w:rPr>
            </w:pPr>
          </w:p>
        </w:tc>
        <w:tc>
          <w:tcPr>
            <w:tcW w:w="174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9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5"/>
                <w:szCs w:val="15"/>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136,583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172,520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168,796</w:t>
            </w: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(137,659)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(227,657)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(46,636)</w:t>
            </w: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(33,002)</w:t>
            </w:r>
          </w:p>
        </w:tc>
        <w:tc>
          <w:tcPr>
            <w:tcW w:w="20" w:type="dxa"/>
            <w:vAlign w:val="bottom"/>
          </w:tcPr>
          <w:p>
            <w:pPr>
              <w:spacing w:after="0"/>
              <w:rPr>
                <w:sz w:val="18"/>
                <w:szCs w:val="18"/>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9"/>
                <w:szCs w:val="19"/>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87,937</w:t>
            </w:r>
          </w:p>
        </w:tc>
        <w:tc>
          <w:tcPr>
            <w:tcW w:w="20" w:type="dxa"/>
            <w:vAlign w:val="bottom"/>
          </w:tcPr>
          <w:p>
            <w:pPr>
              <w:spacing w:after="0"/>
              <w:rPr>
                <w:sz w:val="18"/>
                <w:szCs w:val="18"/>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34,489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88,342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r>
      <w:tr>
        <w:trPr>
          <w:trHeight w:val="223"/>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28,816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34,489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88,342</w:t>
            </w:r>
          </w:p>
        </w:tc>
        <w:tc>
          <w:tcPr>
            <w:tcW w:w="20" w:type="dxa"/>
            <w:vAlign w:val="bottom"/>
          </w:tcPr>
          <w:p>
            <w:pPr>
              <w:spacing w:after="0"/>
              <w:rPr>
                <w:sz w:val="19"/>
                <w:szCs w:val="19"/>
                <w:color w:val="auto"/>
              </w:rPr>
            </w:pPr>
          </w:p>
        </w:tc>
      </w:tr>
    </w:tbl>
    <w:p>
      <w:pPr>
        <w:spacing w:after="0" w:line="20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52 days in 2017 from 48 days in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Twelve Months Ended</w:t>
            </w:r>
          </w:p>
        </w:tc>
      </w:tr>
      <w:tr>
        <w:trPr>
          <w:trHeight w:val="126"/>
        </w:trPr>
        <w:tc>
          <w:tcPr>
            <w:tcW w:w="3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8"/>
              </w:rPr>
              <w:t>December 30,</w:t>
            </w:r>
          </w:p>
        </w:tc>
        <w:tc>
          <w:tcPr>
            <w:tcW w:w="1000" w:type="dxa"/>
            <w:vAlign w:val="bottom"/>
            <w:tcBorders>
              <w:top w:val="single" w:sz="8" w:color="auto"/>
            </w:tcBorders>
            <w:gridSpan w:val="3"/>
          </w:tcPr>
          <w:p>
            <w:pPr>
              <w:jc w:val="center"/>
              <w:spacing w:after="0" w:line="126"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8"/>
              </w:rPr>
              <w:t>December 26,</w:t>
            </w:r>
          </w:p>
        </w:tc>
        <w:tc>
          <w:tcPr>
            <w:tcW w:w="20" w:type="dxa"/>
            <w:vAlign w:val="bottom"/>
          </w:tcPr>
          <w:p>
            <w:pPr>
              <w:spacing w:after="0"/>
              <w:rPr>
                <w:sz w:val="10"/>
                <w:szCs w:val="10"/>
                <w:color w:val="auto"/>
              </w:rPr>
            </w:pPr>
          </w:p>
        </w:tc>
      </w:tr>
      <w:tr>
        <w:trPr>
          <w:trHeight w:val="178"/>
        </w:trPr>
        <w:tc>
          <w:tcPr>
            <w:tcW w:w="3160" w:type="dxa"/>
            <w:vAlign w:val="bottom"/>
          </w:tcPr>
          <w:p>
            <w:pPr>
              <w:spacing w:after="0"/>
              <w:rPr>
                <w:sz w:val="15"/>
                <w:szCs w:val="15"/>
                <w:color w:val="auto"/>
              </w:rPr>
            </w:pPr>
          </w:p>
        </w:tc>
        <w:tc>
          <w:tcPr>
            <w:tcW w:w="20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90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5"/>
                <w:szCs w:val="15"/>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5"/>
                <w:szCs w:val="15"/>
                <w:color w:val="auto"/>
              </w:rPr>
            </w:pP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1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3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0"/>
        </w:trPr>
        <w:tc>
          <w:tcPr>
            <w:tcW w:w="3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Days in cash cycle</w:t>
            </w:r>
          </w:p>
        </w:tc>
        <w:tc>
          <w:tcPr>
            <w:tcW w:w="12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days’ supply of inventory was due to idX as its business requires a higher investment in inventory due to the long project lead time of its customers.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flows from operating activities in 2017 was $136.6 million, which was comprised of net earnings of $124.0 million and $47.7 million of non-cash expenses, offset by a $35.1 million increase in working capital since the end of December 2016. Comparatively, cash generated from operating activities was approximately $172.5 million in 2016, which was comprised of net earnings of $105.5 million, $48.2 million of non-cash expenses, and an $18.8 million decrease in working capital since the end of 2015.</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cash used in investing activities during 2017 was $137.7 million, which was comprised primarily of purchases of property, plant, and equipment totaling $71.1 million and business acquisitions totaling $60.6 million. The increase in our capital expenditures in 2017 is primarily due to the additional requirements of our recently acquired operations and an increase in our “expansionary and efficiency” capital expenditures tied to initiatives including new products, value-added product capacity expansion, and automation. Outstanding purchase commitments on existing capital projects totaled approximately $7.7 million on December 30, 2017. The sale and purchase of investments totaling $5.1 million and $13.5 million, respectively, are due to investment activity in our captive insurance subsidiary.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investments in business acquisitions comprised most of our cash used in investing activities and totaled $172.9 million (which includes $92.8 million paid to retire all of idX's debt and certain other obligations on the acquisition date). Purchases of property, plant, and equipment totaled $53.8 million. Outstanding purchase commitments on existing capital projects totaled approximately $10.1 million on December 31, 2016.</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financing activities primarily consisted of net borrowings under our revolving credit facility of approximately $35.6 million, offset by $19.6 million in dividend payments. We paid a dividend in June at $0.15 per share and December at $0.17 per share after considering the impact of our 3 for 1 stock split on November 14, 2017. Additionally, we had approximately $13.0 million in stock repurchases. Comparatively in 2016, cash flows from financing activities primarily consisted of net borrowings under our revolving credit facility of approximately $23.7 million, offset by $17.7 million in dividend payments.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30, 2017, we had $59.4 million outstanding on our $295 million revolving credit facility. The revolving credit facility also supports letters of credit totaling approximately $9.8 million on December 30, 2017. As a result, we have approximately $226 million in remaining availability on our revolver.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30, 2017.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CONSIDERATIONS AND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M, “Commitments, Contingencies, and Guarantees”.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 provisions against gross revenues for estimated returns and cash discounts in the period when the related revenue is recorded. These estimates are based on factors that include, but are not limited to, historical discounts taken, analysis of credit memorandums activity, and customer demand. We also evaluate the allowance for uncollectible accounts receivable and discounts based on historical collection experience and specific identification of other potential problems, including the economic climate. Actual collections can differ, requiring adjustments to the allowances.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evaluate long-lived assets for indicators of impairment when events or circumstances indicate that this risk may be present. Our judgments regarding the existence of impairment are based on market conditions, operational performance and estimated future cash flows. As a result of favorable factors in each of these areas combined with substantial excess equity value over carrying value from the prior year analysis, management has determined that the carryforward method is appropriate to use with the exception of the idX and Australian reporting units where a more in-depth analysis was completed. The discounted cash flow analysis, from prior years, uses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our annual testing date of October 1, 2017, based on the carryforward method and the analysis, the fair values would exceed the carrying values for each of the Company’s reporting units.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carrying value of a long-lived asset is considered impaired, a level two analysis will be conducted and an impairment charge is recorded to adjust the asset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through a wholly-owned insurance company; the related assets and liabilities of which are included in the consolidated financial statements as of December 30, 2017. Our accounting policies with respect to the reserves are as follows:</w:t>
      </w:r>
    </w:p>
    <w:p>
      <w:pPr>
        <w:spacing w:after="0" w:line="147" w:lineRule="exact"/>
        <w:rPr>
          <w:sz w:val="20"/>
          <w:szCs w:val="20"/>
          <w:color w:val="auto"/>
        </w:rPr>
      </w:pPr>
    </w:p>
    <w:p>
      <w:pPr>
        <w:ind w:left="660" w:hanging="333"/>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liability, automobile, and workers’ compensation reserves are accrued based on third party actuarial valuations of the expected future liabilities.</w:t>
      </w:r>
    </w:p>
    <w:p>
      <w:pPr>
        <w:spacing w:after="0" w:line="17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Health benefits are self-insured up to our pre-determined stop loss limits. These reserves, including incurred but not reported claims, are based on internal computations. These computations consider our historical claims experience, independent statistics, and trends.</w:t>
      </w:r>
    </w:p>
    <w:p>
      <w:pPr>
        <w:spacing w:after="0" w:line="181"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environmental reserve is based on known remediation activities at certain wood preservation facilities and the potential for undetected environmental matters at other sites. The reserve for known activities is based on expected future costs and is computed by in-house experts responsible for managing our monitoring and remediation activities.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providing coverage for the Company, our wholly-owned insurance company provides Excess Loss Insurance (primarily medical and prescription drug) to certain third parties. As of December 30, 2017, there were 30 such contracts in place. Reserves associated with these contracts were $3.4 million at December 30, 2017 and $2.5 million at December 31, 2016, and are accrued based on third party actuarial valuations of the expected future liabilities.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14, 2017 the U.S. Branch of Ardellis Insurance Ltd. was granted its Certificate of Authority to transact property and casualty insurance lines as an admitted carrier in the State of Michigan.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laws are complex and subject to different interpretations by taxpayers and respective government taxing authorities, which results in judgment in determining our tax expense and in evaluating our tax positions. Our tax positions are reviewed quarterly and adjusted as new information becomes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for product sales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Performance on construction contracts is reflected in operations using percentage-of-completion accounting, under either the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per the contract. Revisions in earnings estimates on the construction contracts are recorded in the accounting period in which the basis for such revisions becomes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known. Projected losses on individual contracts are charged to operations in their entirety when such losses become apparent.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achieve long-term sales growth that exceeds positive U.S. GDP growth by 4 percent to 6 percent.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general long-term objectives also include:</w:t>
      </w:r>
    </w:p>
    <w:p>
      <w:pPr>
        <w:spacing w:after="0" w:line="225" w:lineRule="exact"/>
        <w:rPr>
          <w:sz w:val="20"/>
          <w:szCs w:val="20"/>
          <w:color w:val="auto"/>
        </w:rPr>
      </w:pPr>
    </w:p>
    <w:p>
      <w:pPr>
        <w:ind w:left="660" w:hanging="333"/>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Achieving sales growth primarily through new product introduction, international business expansion, and gaining additional market share, particularly in our core retail, industrial and commercial construction markets;</w:t>
      </w:r>
    </w:p>
    <w:p>
      <w:pPr>
        <w:spacing w:after="0" w:line="146" w:lineRule="exact"/>
        <w:rPr>
          <w:rFonts w:ascii="Arial" w:cs="Arial" w:eastAsia="Arial" w:hAnsi="Arial"/>
          <w:sz w:val="17"/>
          <w:szCs w:val="17"/>
          <w:color w:val="auto"/>
        </w:rPr>
      </w:pPr>
    </w:p>
    <w:p>
      <w:pPr>
        <w:ind w:left="660" w:hanging="333"/>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new growth opportunities in businesses with adjacencies to our core businesses, primarily through strategic business acquisitions;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our profitability through cost reductions, productivity improvements as volume improves, and a more favorable mix of value-added products;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Earning a return on invested capital in excess of our weighted average cost of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MARKET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Home Improvement Research Institute (“HIRI”) anticipates growth in home improvement spending and has forecasted a 3.7% compounded annual growth rate through 2020.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compete for market share for certain retail customers and face intense pricing pressure from other suppliers to this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long-term goal is to achieve sales growth by:</w:t>
      </w:r>
    </w:p>
    <w:p>
      <w:pPr>
        <w:spacing w:after="0" w:line="225" w:lineRule="exact"/>
        <w:rPr>
          <w:sz w:val="20"/>
          <w:szCs w:val="20"/>
          <w:color w:val="auto"/>
        </w:rPr>
      </w:pPr>
    </w:p>
    <w:p>
      <w:pPr>
        <w:ind w:left="660" w:hanging="333"/>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our market share of value-added and preservative-treated products, particularly with independent retail customers.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Developing new, value-added products, such as our Eovations product line.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Adding new products and customers through strategic business acquisitions or alliances.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our emphasis on product innovation and product differentiation in order to counter commoditization trends and influences.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MARKET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goal is to increase our sales of wood and alternative packaging products to a wide variety of industrial and OEM users. We believe the vast amount of hardwood and softwood lumber consumed for industrial applications, combined with the highly fragmented nature of this market, provides us with growth opportunities as a result of our competitive advantages in manufacturing, purchasing, and material utilization. We plan to continue to obtain market share by expanding our manufacturing capacity capabilities and product offerings and increasing the size of our dedicated industrial design and sales personnel. We also plan to pursue strategic acquisition opportunities.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September 16, 2016, we acquired idX. See Footnote C "Business Combinations" in the Notes to Consolidated Financial Statements. We plan to pursue opportunities to grow this business in the future including strategic acquisition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MARKET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National Association of Home Builders</w:t>
      </w:r>
      <w:r>
        <w:rPr>
          <w:rFonts w:ascii="Arial" w:cs="Arial" w:eastAsia="Arial" w:hAnsi="Arial"/>
          <w:sz w:val="18"/>
          <w:szCs w:val="18"/>
          <w:color w:val="auto"/>
        </w:rPr>
        <w:t xml:space="preserve"> forecasts a 2% increase in manufactured home shipments in 2018 followed by a 6% increase in 2019. We currently supply approximately 40% of the trusses used in manufactured housing and we will strive to maintain our market share of trusses produced for this market.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Mortgage Bankers Association of America</w:t>
      </w:r>
      <w:r>
        <w:rPr>
          <w:rFonts w:ascii="Arial" w:cs="Arial" w:eastAsia="Arial" w:hAnsi="Arial"/>
          <w:sz w:val="17"/>
          <w:szCs w:val="17"/>
          <w:color w:val="auto"/>
        </w:rPr>
        <w:t xml:space="preserve"> forecasts a 7% increase in national housing starts to an estimated 1.4 million starts in 2018. The </w:t>
      </w:r>
      <w:r>
        <w:rPr>
          <w:rFonts w:ascii="Arial" w:cs="Arial" w:eastAsia="Arial" w:hAnsi="Arial"/>
          <w:sz w:val="17"/>
          <w:szCs w:val="17"/>
          <w:i w:val="1"/>
          <w:iCs w:val="1"/>
          <w:color w:val="auto"/>
        </w:rPr>
        <w:t>National Association of Home Builders</w:t>
      </w:r>
      <w:r>
        <w:rPr>
          <w:rFonts w:ascii="Arial" w:cs="Arial" w:eastAsia="Arial" w:hAnsi="Arial"/>
          <w:sz w:val="17"/>
          <w:szCs w:val="17"/>
          <w:color w:val="auto"/>
        </w:rPr>
        <w:t xml:space="preserve"> forecasts starts of 1.2 million, a 3% increase from 2017. We believe we are well-positioned to capture our share of any increase that may occur in housing starts in the regions we operate. However, due to our conservative approach to adding capacity to serve this market and focus on managing potential channel conflicts with certain customers, our growth may trail the market in future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may impact our gross profits and margins in the future:</w:t>
      </w:r>
    </w:p>
    <w:p>
      <w:pPr>
        <w:spacing w:after="0" w:line="225" w:lineRule="exact"/>
        <w:rPr>
          <w:sz w:val="20"/>
          <w:szCs w:val="20"/>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End market demand.</w:t>
      </w:r>
    </w:p>
    <w:p>
      <w:pPr>
        <w:spacing w:after="0" w:line="225" w:lineRule="exact"/>
        <w:rPr>
          <w:rFonts w:ascii="Arial" w:cs="Arial" w:eastAsia="Arial" w:hAnsi="Arial"/>
          <w:sz w:val="18"/>
          <w:szCs w:val="18"/>
          <w:color w:val="auto"/>
        </w:rPr>
      </w:pPr>
    </w:p>
    <w:p>
      <w:pPr>
        <w:jc w:val="both"/>
        <w:ind w:left="660" w:hanging="333"/>
        <w:spacing w:after="0" w:line="30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 Excess capacity exists for suppliers in certain of our markets. As a result, we may experience pricing pressure in the future.</w:t>
      </w:r>
    </w:p>
    <w:p>
      <w:pPr>
        <w:spacing w:after="0" w:line="154" w:lineRule="exact"/>
        <w:rPr>
          <w:rFonts w:ascii="Arial" w:cs="Arial" w:eastAsia="Arial" w:hAnsi="Arial"/>
          <w:sz w:val="16"/>
          <w:szCs w:val="16"/>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mix of value-added and commodity products.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relative level of the Lumber Market and the trend in the market place of lumber. (See "Impact of the Lumber Market on our Operating Results.")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Fuel and transportation costs.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Rising labor and benefit costs.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continue to achieve productivity improvements as our unit sales increase and planned cost reductions through our continuous improvement, automation, and other initiatives.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recent years, selling, general and administrative (SG&amp;A) expenses have increased as we have added personnel needed to take advantage of growth opportunities and execute our initiatives designed to increase our sales of new products and improve our sales mix of value-added products. We anticipate our trend of increases in these costs will continue in 2018; however, our objective to reduce these costs as a percentage of sales (assuming lumber prices remain stable) as we grow as a result of fixed costs and through the improved productivity of our people. In addition, bonus and other incentive expenses for all salaried and sales employees is based on our profitability and the effective management of our assets and will continue to fluctuate based on our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a long-term basis, we expect that our SG&amp;A expenses will primarily be impacted by:</w:t>
      </w:r>
    </w:p>
    <w:p>
      <w:pPr>
        <w:spacing w:after="0" w:line="225" w:lineRule="exact"/>
        <w:rPr>
          <w:sz w:val="20"/>
          <w:szCs w:val="20"/>
          <w:color w:val="auto"/>
        </w:rPr>
      </w:pPr>
    </w:p>
    <w:p>
      <w:pPr>
        <w:ind w:left="660" w:hanging="333"/>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growth in sales to the industrial market and the construction market. Our sales to these markets require a higher ratio of SG&amp;A costs due, in part, to product design and engineering requirements.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Sales of new products which generally require higher development, marketing, advertising, and other selling costs.</w:t>
      </w:r>
    </w:p>
    <w:p>
      <w:pPr>
        <w:spacing w:after="0" w:line="248"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incentive compensation programs which is tied to gross profits, pre-bonus earnings from operations and return on investment.</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growth and success in achieving continuous improvement objectives designed to improve our productivity and leveraging our fixed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an additional 4.5% in our overall effective tax rate in 2018 from 2017 to approximately 25%, which is driven primarily by a reduction in the U.S. corporate federal tax rate from 35% to 21% as a result of the Tax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cycle will continue to be impacted in the future by our mix of sales by market. Sales to the residential and commercial construction and industrial markets require a greater investment in working capital (inventory and accounts receivable) than our sales to the retail and manufactured housing markets. Additionally, our investment in trade receivables and inventory will continue to be impacted by the level of lumber prices.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we sold real estate in Medley, Florida, and received $36 million of pretax proceeds and recognized a $7 million pretax gain. We are currently evaluating purchases of other real estate, including replacement capacity of our Medley plant, which will qualify as a like-kind exchange for U.S. tax purposes and allow us to defer the $25 million tax gain from the sale.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management expects to spend approximately $85 million on capital expenditures, incur depreciation of approximately $50 million, and incur amortization and other non-cash expenses of approximately $8 million in 2018.</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30, 2017, we had outstanding purchase commitments on capital projects of approximately $8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0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present plan to change our dividend policy, which was recently increased by 13% to a semi-annual rate of $0.17 per share. Our dividend rates are reviewed and approved at our April and October board meetings and payments are made in June and December of each year.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share repurchase program approved by our Board of Directors, and as of December 30, 2017, we have authorization to buy back approximately 2.7 million shares. In the past, we have repurchased shares in order to offset the effect of issuances resulting from our employee benefit plans and at opportune times when our stock price falls to predetermined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management of Universal Forest Products, Inc.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assessed the effectiveness of our internal control over financial reporting as of December 30, 2017, based on the framework in Internal Control-Integrated Framework issued by the Committee of Sponsoring Organizations of the Treadway Commission (2013 Framework) (“COSO”). Based on that evaluation, management has concluded that as of December 30, 2017, our internal control over financial reporting was effective.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has been audited by Deloitte &amp; Touche LLP, an independent registered public accounting firm, as stated in their report, which follows our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880"/>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Universal Forest Products, Inc. </w:t>
      </w:r>
      <w:r>
        <w:rPr>
          <w:rFonts w:ascii="Arial" w:cs="Arial" w:eastAsia="Arial" w:hAnsi="Arial"/>
          <w:sz w:val="18"/>
          <w:szCs w:val="18"/>
          <w:b w:val="1"/>
          <w:bCs w:val="1"/>
          <w:color w:val="auto"/>
        </w:rPr>
        <w:t>Opinion on Internal Control over Financial Reporting</w:t>
      </w:r>
    </w:p>
    <w:p>
      <w:pPr>
        <w:ind w:right="14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Universal Forest Products, Inc. and subsidiaries (the “Company”) as of December 30,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30,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30, 2017, of the Company and our report dated February 28, 2018, expressed an unqualified opinion on those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900"/>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Universal Forest Products, Inc. </w:t>
      </w:r>
      <w:r>
        <w:rPr>
          <w:rFonts w:ascii="Arial" w:cs="Arial" w:eastAsia="Arial" w:hAnsi="Arial"/>
          <w:sz w:val="18"/>
          <w:szCs w:val="18"/>
          <w:b w:val="1"/>
          <w:bCs w:val="1"/>
          <w:color w:val="auto"/>
        </w:rPr>
        <w:t>Opinion on the Financial Statements</w:t>
      </w:r>
    </w:p>
    <w:p>
      <w:pPr>
        <w:spacing w:after="0" w:line="291" w:lineRule="auto"/>
        <w:rPr>
          <w:sz w:val="20"/>
          <w:szCs w:val="20"/>
          <w:color w:val="auto"/>
        </w:rPr>
      </w:pPr>
      <w:r>
        <w:rPr>
          <w:rFonts w:ascii="Arial" w:cs="Arial" w:eastAsia="Arial" w:hAnsi="Arial"/>
          <w:sz w:val="16"/>
          <w:szCs w:val="16"/>
          <w:color w:val="auto"/>
        </w:rPr>
        <w:t>We have audited the accompanying consolidated balance sheets of Universal Forest Products, Inc. and subsidiaries (the "Company") as of December 30, 2017 and December 31, 2016, the related consolidated statements of earnings and comprehensive income, shareholders' equity, and cash flows, for each of the three years in the period ended December 30, 2017, and the related notes (collectively referred to as the "financial statements"). In our opinion, the financial statements present fairly, in all material respects, the financial position of the Company as of December 30, 2017 and December 31, 2016, and the results of its operations and its cash flows for each of the three years in the period ended December 30, 2017, in conformity with accounting principles generally accepted in the United States of America.</w:t>
      </w:r>
    </w:p>
    <w:p>
      <w:pPr>
        <w:spacing w:after="0" w:line="11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30, 2017,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February 28, 2018, expressed an unqualified opinion on the Company's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December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34"/>
        </w:trPr>
        <w:tc>
          <w:tcPr>
            <w:tcW w:w="6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28,339</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34,091</w:t>
            </w: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11,269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10,348</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327,751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282,253</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234,354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198,954</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225,954</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198,273</w:t>
            </w:r>
          </w:p>
        </w:tc>
        <w:tc>
          <w:tcPr>
            <w:tcW w:w="0" w:type="dxa"/>
            <w:vAlign w:val="bottom"/>
          </w:tcPr>
          <w:p>
            <w:pPr>
              <w:spacing w:after="0"/>
              <w:rPr>
                <w:sz w:val="1"/>
                <w:szCs w:val="1"/>
                <w:color w:val="auto"/>
              </w:rPr>
            </w:pPr>
          </w:p>
        </w:tc>
      </w:tr>
      <w:tr>
        <w:trPr>
          <w:trHeight w:val="136"/>
        </w:trPr>
        <w:tc>
          <w:tcPr>
            <w:tcW w:w="6320" w:type="dxa"/>
            <w:vAlign w:val="bottom"/>
          </w:tcPr>
          <w:p>
            <w:pPr>
              <w:ind w:left="440"/>
              <w:spacing w:after="0" w:line="136" w:lineRule="exact"/>
              <w:rPr>
                <w:sz w:val="20"/>
                <w:szCs w:val="20"/>
                <w:color w:val="auto"/>
              </w:rPr>
            </w:pPr>
            <w:r>
              <w:rPr>
                <w:rFonts w:ascii="Arial" w:cs="Arial" w:eastAsia="Arial" w:hAnsi="Arial"/>
                <w:sz w:val="14"/>
                <w:szCs w:val="14"/>
                <w:color w:val="auto"/>
              </w:rPr>
              <w:t>Total inventories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460,308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397,227</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11,459</w:t>
            </w:r>
          </w:p>
        </w:tc>
        <w:tc>
          <w:tcPr>
            <w:tcW w:w="0" w:type="dxa"/>
            <w:vAlign w:val="bottom"/>
          </w:tcPr>
          <w:p>
            <w:pPr>
              <w:spacing w:after="0"/>
              <w:rPr>
                <w:sz w:val="1"/>
                <w:szCs w:val="1"/>
                <w:color w:val="auto"/>
              </w:rPr>
            </w:pPr>
          </w:p>
        </w:tc>
      </w:tr>
      <w:tr>
        <w:trPr>
          <w:trHeight w:val="156"/>
        </w:trPr>
        <w:tc>
          <w:tcPr>
            <w:tcW w:w="63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28,115</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20,662</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863,487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756,438</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1,865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7,368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8,617</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212,644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198,535</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7,415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34,910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26,731</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Land and improvements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124,316</w:t>
            </w:r>
          </w:p>
        </w:tc>
        <w:tc>
          <w:tcPr>
            <w:tcW w:w="0" w:type="dxa"/>
            <w:vAlign w:val="bottom"/>
          </w:tcPr>
          <w:p>
            <w:pPr>
              <w:spacing w:after="0"/>
              <w:rPr>
                <w:sz w:val="1"/>
                <w:szCs w:val="1"/>
                <w:color w:val="auto"/>
              </w:rPr>
            </w:pPr>
          </w:p>
        </w:tc>
      </w:tr>
      <w:tr>
        <w:trPr>
          <w:trHeight w:val="149"/>
        </w:trPr>
        <w:tc>
          <w:tcPr>
            <w:tcW w:w="6320" w:type="dxa"/>
            <w:vAlign w:val="bottom"/>
          </w:tcPr>
          <w:p>
            <w:pPr>
              <w:ind w:left="80"/>
              <w:spacing w:after="0" w:line="149" w:lineRule="exact"/>
              <w:rPr>
                <w:sz w:val="20"/>
                <w:szCs w:val="20"/>
                <w:color w:val="auto"/>
              </w:rPr>
            </w:pPr>
            <w:r>
              <w:rPr>
                <w:rFonts w:ascii="Arial" w:cs="Arial" w:eastAsia="Arial" w:hAnsi="Arial"/>
                <w:sz w:val="14"/>
                <w:szCs w:val="14"/>
                <w:color w:val="auto"/>
              </w:rPr>
              <w:t>Building and improvements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213,384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204,586</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Machinery and equipment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372,628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332,397</w:t>
            </w:r>
          </w:p>
        </w:tc>
        <w:tc>
          <w:tcPr>
            <w:tcW w:w="0" w:type="dxa"/>
            <w:vAlign w:val="bottom"/>
          </w:tcPr>
          <w:p>
            <w:pPr>
              <w:spacing w:after="0"/>
              <w:rPr>
                <w:sz w:val="1"/>
                <w:szCs w:val="1"/>
                <w:color w:val="auto"/>
              </w:rPr>
            </w:pPr>
          </w:p>
        </w:tc>
      </w:tr>
      <w:tr>
        <w:trPr>
          <w:trHeight w:val="149"/>
        </w:trPr>
        <w:tc>
          <w:tcPr>
            <w:tcW w:w="6320" w:type="dxa"/>
            <w:vAlign w:val="bottom"/>
          </w:tcPr>
          <w:p>
            <w:pPr>
              <w:ind w:left="80"/>
              <w:spacing w:after="0" w:line="149" w:lineRule="exact"/>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25,251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22,570</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Construction in progress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16,922</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15,593</w:t>
            </w:r>
          </w:p>
        </w:tc>
        <w:tc>
          <w:tcPr>
            <w:tcW w:w="0" w:type="dxa"/>
            <w:vAlign w:val="bottom"/>
          </w:tcPr>
          <w:p>
            <w:pPr>
              <w:spacing w:after="0"/>
              <w:rPr>
                <w:sz w:val="1"/>
                <w:szCs w:val="1"/>
                <w:color w:val="auto"/>
              </w:rPr>
            </w:pPr>
          </w:p>
        </w:tc>
      </w:tr>
      <w:tr>
        <w:trPr>
          <w:trHeight w:val="136"/>
        </w:trPr>
        <w:tc>
          <w:tcPr>
            <w:tcW w:w="6320" w:type="dxa"/>
            <w:vAlign w:val="bottom"/>
          </w:tcPr>
          <w:p>
            <w:pPr>
              <w:ind w:left="440"/>
              <w:spacing w:after="0" w:line="136" w:lineRule="exact"/>
              <w:rPr>
                <w:sz w:val="20"/>
                <w:szCs w:val="20"/>
                <w:color w:val="auto"/>
              </w:rPr>
            </w:pPr>
            <w:r>
              <w:rPr>
                <w:rFonts w:ascii="Arial" w:cs="Arial" w:eastAsia="Arial" w:hAnsi="Arial"/>
                <w:sz w:val="14"/>
                <w:szCs w:val="14"/>
                <w:color w:val="auto"/>
              </w:rPr>
              <w:t>PROPERTY, PLANT AND EQUIPMENT,GROSS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763,101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699,462</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(434,472)</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(401,611)</w:t>
            </w:r>
          </w:p>
        </w:tc>
        <w:tc>
          <w:tcPr>
            <w:tcW w:w="0" w:type="dxa"/>
            <w:vAlign w:val="bottom"/>
          </w:tcPr>
          <w:p>
            <w:pPr>
              <w:spacing w:after="0"/>
              <w:rPr>
                <w:sz w:val="1"/>
                <w:szCs w:val="1"/>
                <w:color w:val="auto"/>
              </w:rPr>
            </w:pPr>
          </w:p>
        </w:tc>
      </w:tr>
      <w:tr>
        <w:trPr>
          <w:trHeight w:val="143"/>
        </w:trPr>
        <w:tc>
          <w:tcPr>
            <w:tcW w:w="6320" w:type="dxa"/>
            <w:vAlign w:val="bottom"/>
            <w:tcBorders>
              <w:bottom w:val="single" w:sz="8" w:color="CCEEFF"/>
            </w:tcBorders>
          </w:tcPr>
          <w:p>
            <w:pPr>
              <w:ind w:left="360"/>
              <w:spacing w:after="0" w:line="136" w:lineRule="exact"/>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328,629</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297,851</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ASSETS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1,464,677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1,292,058</w:t>
            </w:r>
          </w:p>
        </w:tc>
        <w:tc>
          <w:tcPr>
            <w:tcW w:w="0" w:type="dxa"/>
            <w:vAlign w:val="bottom"/>
          </w:tcPr>
          <w:p>
            <w:pPr>
              <w:spacing w:after="0"/>
              <w:rPr>
                <w:sz w:val="1"/>
                <w:szCs w:val="1"/>
                <w:color w:val="auto"/>
              </w:rPr>
            </w:pPr>
          </w:p>
        </w:tc>
      </w:tr>
      <w:tr>
        <w:trPr>
          <w:trHeight w:val="136"/>
        </w:trPr>
        <w:tc>
          <w:tcPr>
            <w:tcW w:w="6320" w:type="dxa"/>
            <w:vAlign w:val="bottom"/>
            <w:tcBorders>
              <w:top w:val="single" w:sz="8" w:color="CCEEFF"/>
            </w:tcBorders>
          </w:tcPr>
          <w:p>
            <w:pPr>
              <w:spacing w:after="0" w:line="136" w:lineRule="exact"/>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25,851</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19,761</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140,106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124,660</w:t>
            </w: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97,556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92,441</w:t>
            </w:r>
          </w:p>
        </w:tc>
        <w:tc>
          <w:tcPr>
            <w:tcW w:w="0" w:type="dxa"/>
            <w:vAlign w:val="bottom"/>
          </w:tcPr>
          <w:p>
            <w:pPr>
              <w:spacing w:after="0"/>
              <w:rPr>
                <w:sz w:val="1"/>
                <w:szCs w:val="1"/>
                <w:color w:val="auto"/>
              </w:rPr>
            </w:pPr>
          </w:p>
        </w:tc>
      </w:tr>
      <w:tr>
        <w:trPr>
          <w:trHeight w:val="149"/>
        </w:trPr>
        <w:tc>
          <w:tcPr>
            <w:tcW w:w="63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38,404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32,281</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1,329</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2,634</w:t>
            </w:r>
          </w:p>
        </w:tc>
        <w:tc>
          <w:tcPr>
            <w:tcW w:w="0" w:type="dxa"/>
            <w:vAlign w:val="bottom"/>
          </w:tcPr>
          <w:p>
            <w:pPr>
              <w:spacing w:after="0"/>
              <w:rPr>
                <w:sz w:val="1"/>
                <w:szCs w:val="1"/>
                <w:color w:val="auto"/>
              </w:rPr>
            </w:pPr>
          </w:p>
        </w:tc>
      </w:tr>
      <w:tr>
        <w:trPr>
          <w:trHeight w:val="136"/>
        </w:trPr>
        <w:tc>
          <w:tcPr>
            <w:tcW w:w="6320" w:type="dxa"/>
            <w:vAlign w:val="bottom"/>
          </w:tcPr>
          <w:p>
            <w:pPr>
              <w:ind w:left="440"/>
              <w:spacing w:after="0" w:line="136" w:lineRule="exact"/>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303,246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271,777</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144,674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109,059</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14,079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20,817</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28,655</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29,939</w:t>
            </w:r>
          </w:p>
        </w:tc>
        <w:tc>
          <w:tcPr>
            <w:tcW w:w="0" w:type="dxa"/>
            <w:vAlign w:val="bottom"/>
          </w:tcPr>
          <w:p>
            <w:pPr>
              <w:spacing w:after="0"/>
              <w:rPr>
                <w:sz w:val="1"/>
                <w:szCs w:val="1"/>
                <w:color w:val="auto"/>
              </w:rPr>
            </w:pPr>
          </w:p>
        </w:tc>
      </w:tr>
      <w:tr>
        <w:trPr>
          <w:trHeight w:val="176"/>
        </w:trPr>
        <w:tc>
          <w:tcPr>
            <w:tcW w:w="6320" w:type="dxa"/>
            <w:vAlign w:val="bottom"/>
          </w:tcPr>
          <w:p>
            <w:pPr>
              <w:ind w:left="440"/>
              <w:spacing w:after="0" w:line="176" w:lineRule="exact"/>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490,654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431,592</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Preferred stock, no par value; shares authorized 1,000,000; issued and outstanding, none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320" w:type="dxa"/>
            <w:vAlign w:val="bottom"/>
          </w:tcPr>
          <w:p>
            <w:pPr>
              <w:ind w:left="320"/>
              <w:spacing w:after="0" w:line="130" w:lineRule="exact"/>
              <w:rPr>
                <w:sz w:val="20"/>
                <w:szCs w:val="20"/>
                <w:color w:val="auto"/>
              </w:rPr>
            </w:pPr>
            <w:r>
              <w:rPr>
                <w:rFonts w:ascii="Arial" w:cs="Arial" w:eastAsia="Arial" w:hAnsi="Arial"/>
                <w:sz w:val="14"/>
                <w:szCs w:val="14"/>
                <w:color w:val="auto"/>
                <w:w w:val="95"/>
              </w:rPr>
              <w:t>Common stock, $1 par value; shares authorized 80,000,000; issued and outstanding, 61,191,888 and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20" w:type="dxa"/>
            <w:vAlign w:val="bottom"/>
          </w:tcPr>
          <w:p>
            <w:pPr>
              <w:ind w:left="320"/>
              <w:spacing w:after="0"/>
              <w:rPr>
                <w:sz w:val="20"/>
                <w:szCs w:val="20"/>
                <w:color w:val="auto"/>
              </w:rPr>
            </w:pPr>
            <w:r>
              <w:rPr>
                <w:rFonts w:ascii="Arial" w:cs="Arial" w:eastAsia="Arial" w:hAnsi="Arial"/>
                <w:sz w:val="14"/>
                <w:szCs w:val="14"/>
                <w:color w:val="auto"/>
              </w:rPr>
              <w:t>61,026,207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61,192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61,026</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161,928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144,649</w:t>
            </w:r>
          </w:p>
        </w:tc>
        <w:tc>
          <w:tcPr>
            <w:tcW w:w="0" w:type="dxa"/>
            <w:vAlign w:val="bottom"/>
          </w:tcPr>
          <w:p>
            <w:pPr>
              <w:spacing w:after="0"/>
              <w:rPr>
                <w:sz w:val="1"/>
                <w:szCs w:val="1"/>
                <w:color w:val="auto"/>
              </w:rPr>
            </w:pPr>
          </w:p>
        </w:tc>
      </w:tr>
      <w:tr>
        <w:trPr>
          <w:trHeight w:val="149"/>
        </w:trPr>
        <w:tc>
          <w:tcPr>
            <w:tcW w:w="632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736,212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649,135</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136"/>
        </w:trPr>
        <w:tc>
          <w:tcPr>
            <w:tcW w:w="6320" w:type="dxa"/>
            <w:vAlign w:val="bottom"/>
          </w:tcPr>
          <w:p>
            <w:pPr>
              <w:ind w:left="440"/>
              <w:spacing w:after="0" w:line="136" w:lineRule="exact"/>
              <w:rPr>
                <w:sz w:val="20"/>
                <w:szCs w:val="20"/>
                <w:color w:val="auto"/>
              </w:rPr>
            </w:pPr>
            <w:r>
              <w:rPr>
                <w:rFonts w:ascii="Arial" w:cs="Arial" w:eastAsia="Arial" w:hAnsi="Arial"/>
                <w:sz w:val="14"/>
                <w:szCs w:val="14"/>
                <w:color w:val="auto"/>
              </w:rPr>
              <w:t>Total controlling interest shareholders’ equity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959,476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4"/>
                <w:szCs w:val="14"/>
                <w:color w:val="auto"/>
              </w:rPr>
              <w:t>849,180</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14,547</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11,286</w:t>
            </w:r>
          </w:p>
        </w:tc>
        <w:tc>
          <w:tcPr>
            <w:tcW w:w="0" w:type="dxa"/>
            <w:vAlign w:val="bottom"/>
          </w:tcPr>
          <w:p>
            <w:pPr>
              <w:spacing w:after="0"/>
              <w:rPr>
                <w:sz w:val="1"/>
                <w:szCs w:val="1"/>
                <w:color w:val="auto"/>
              </w:rPr>
            </w:pPr>
          </w:p>
        </w:tc>
      </w:tr>
      <w:tr>
        <w:trPr>
          <w:trHeight w:val="143"/>
        </w:trPr>
        <w:tc>
          <w:tcPr>
            <w:tcW w:w="6320" w:type="dxa"/>
            <w:vAlign w:val="bottom"/>
            <w:tcBorders>
              <w:bottom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974,023</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860,466</w:t>
            </w: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1,464,677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1,292,058</w:t>
            </w:r>
          </w:p>
        </w:tc>
        <w:tc>
          <w:tcPr>
            <w:tcW w:w="0" w:type="dxa"/>
            <w:vAlign w:val="bottom"/>
          </w:tcPr>
          <w:p>
            <w:pPr>
              <w:spacing w:after="0"/>
              <w:rPr>
                <w:sz w:val="1"/>
                <w:szCs w:val="1"/>
                <w:color w:val="auto"/>
              </w:rPr>
            </w:pPr>
          </w:p>
        </w:tc>
      </w:tr>
      <w:tr>
        <w:trPr>
          <w:trHeight w:val="27"/>
        </w:trPr>
        <w:tc>
          <w:tcPr>
            <w:tcW w:w="6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COMPREHENSIVE INCOME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3"/>
              </w:rPr>
              <w:t>Year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2"/>
              <w:spacing w:after="0" w:line="126" w:lineRule="exact"/>
              <w:rPr>
                <w:sz w:val="20"/>
                <w:szCs w:val="20"/>
                <w:color w:val="auto"/>
              </w:rPr>
            </w:pPr>
            <w:r>
              <w:rPr>
                <w:rFonts w:ascii="Arial" w:cs="Arial" w:eastAsia="Arial" w:hAnsi="Arial"/>
                <w:sz w:val="14"/>
                <w:szCs w:val="14"/>
                <w:b w:val="1"/>
                <w:bCs w:val="1"/>
                <w:color w:val="auto"/>
                <w:w w:val="87"/>
              </w:rPr>
              <w:t>December 26,</w:t>
            </w:r>
          </w:p>
        </w:tc>
        <w:tc>
          <w:tcPr>
            <w:tcW w:w="0" w:type="dxa"/>
            <w:vAlign w:val="bottom"/>
          </w:tcPr>
          <w:p>
            <w:pPr>
              <w:spacing w:after="0"/>
              <w:rPr>
                <w:sz w:val="1"/>
                <w:szCs w:val="1"/>
                <w:color w:val="auto"/>
              </w:rPr>
            </w:pPr>
          </w:p>
        </w:tc>
      </w:tr>
      <w:tr>
        <w:trPr>
          <w:trHeight w:val="178"/>
        </w:trPr>
        <w:tc>
          <w:tcPr>
            <w:tcW w:w="51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3,240,493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2,887,071</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SOLD</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3,398,356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2,765,903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2,487,167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399,904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310,152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264,265</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(GAIN) LOSS ON DISPOSITION OF ASSETS</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181,469</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164,438</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135,467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LESS NET EARNINGS ATTRIBUTABLE TO NONCONTROLLING</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(4,528)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(4,318)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06"/>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w:t>
            </w: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ATTRIBUTABLE TO CONTROLLING INTEREST</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101,179</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GAIN (LOSS)</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130,170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102,794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77,875</w:t>
            </w:r>
          </w:p>
        </w:tc>
        <w:tc>
          <w:tcPr>
            <w:tcW w:w="0" w:type="dxa"/>
            <w:vAlign w:val="bottom"/>
          </w:tcPr>
          <w:p>
            <w:pPr>
              <w:spacing w:after="0"/>
              <w:rPr>
                <w:sz w:val="1"/>
                <w:szCs w:val="1"/>
                <w:color w:val="auto"/>
              </w:rPr>
            </w:pP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LESS COMPREHENSIVE INCOME ATTRIBUTABLE TO</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6"/>
                <w:szCs w:val="16"/>
                <w:color w:val="auto"/>
              </w:rPr>
              <w:t>COMPREHENSIVE INCOME ATTRIBUTABLE TO CONTROLLING</w:t>
            </w:r>
          </w:p>
        </w:tc>
        <w:tc>
          <w:tcPr>
            <w:tcW w:w="44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125,286</w:t>
            </w:r>
          </w:p>
        </w:tc>
        <w:tc>
          <w:tcPr>
            <w:tcW w:w="18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100,134</w:t>
            </w:r>
          </w:p>
        </w:tc>
        <w:tc>
          <w:tcPr>
            <w:tcW w:w="200" w:type="dxa"/>
            <w:vAlign w:val="bottom"/>
          </w:tcPr>
          <w:p>
            <w:pPr>
              <w:spacing w:after="0"/>
              <w:rPr>
                <w:sz w:val="14"/>
                <w:szCs w:val="14"/>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74,662</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INTEREST</w:t>
            </w:r>
          </w:p>
        </w:tc>
        <w:tc>
          <w:tcPr>
            <w:tcW w:w="44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gridSpan w:val="2"/>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1"/>
                <w:szCs w:val="11"/>
                <w:b w:val="1"/>
                <w:bCs w:val="1"/>
                <w:color w:val="auto"/>
                <w:w w:val="98"/>
              </w:rPr>
              <w:t>Controlling Interest Shareholders’ Equity</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08"/>
        </w:trPr>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38"/>
              <w:spacing w:after="0" w:line="122" w:lineRule="exact"/>
              <w:rPr>
                <w:sz w:val="20"/>
                <w:szCs w:val="20"/>
                <w:color w:val="auto"/>
              </w:rPr>
            </w:pPr>
            <w:r>
              <w:rPr>
                <w:rFonts w:ascii="Arial" w:cs="Arial" w:eastAsia="Arial" w:hAnsi="Arial"/>
                <w:sz w:val="11"/>
                <w:szCs w:val="11"/>
                <w:b w:val="1"/>
                <w:bCs w:val="1"/>
                <w:color w:val="auto"/>
                <w:w w:val="92"/>
              </w:rPr>
              <w:t>Additional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2"/>
              </w:rPr>
              <w:t>Employees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78"/>
              <w:spacing w:after="0" w:line="122" w:lineRule="exact"/>
              <w:rPr>
                <w:sz w:val="20"/>
                <w:szCs w:val="20"/>
                <w:color w:val="auto"/>
              </w:rPr>
            </w:pPr>
            <w:r>
              <w:rPr>
                <w:rFonts w:ascii="Arial" w:cs="Arial" w:eastAsia="Arial" w:hAnsi="Arial"/>
                <w:sz w:val="11"/>
                <w:szCs w:val="11"/>
                <w:b w:val="1"/>
                <w:bCs w:val="1"/>
                <w:color w:val="auto"/>
                <w:w w:val="96"/>
              </w:rPr>
              <w:t>Common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79"/>
              <w:spacing w:after="0" w:line="122" w:lineRule="exact"/>
              <w:rPr>
                <w:sz w:val="20"/>
                <w:szCs w:val="20"/>
                <w:color w:val="auto"/>
              </w:rPr>
            </w:pPr>
            <w:r>
              <w:rPr>
                <w:rFonts w:ascii="Arial" w:cs="Arial" w:eastAsia="Arial" w:hAnsi="Arial"/>
                <w:sz w:val="11"/>
                <w:szCs w:val="11"/>
                <w:b w:val="1"/>
                <w:bCs w:val="1"/>
                <w:color w:val="auto"/>
                <w:w w:val="94"/>
              </w:rPr>
              <w:t>Retained</w:t>
            </w:r>
          </w:p>
        </w:tc>
        <w:tc>
          <w:tcPr>
            <w:tcW w:w="14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1"/>
              </w:rPr>
              <w:t>Stock Notes</w:t>
            </w:r>
          </w:p>
        </w:tc>
        <w:tc>
          <w:tcPr>
            <w:tcW w:w="140" w:type="dxa"/>
            <w:vAlign w:val="bottom"/>
          </w:tcPr>
          <w:p>
            <w:pPr>
              <w:spacing w:after="0"/>
              <w:rPr>
                <w:sz w:val="10"/>
                <w:szCs w:val="10"/>
                <w:color w:val="auto"/>
              </w:rPr>
            </w:pPr>
          </w:p>
        </w:tc>
        <w:tc>
          <w:tcPr>
            <w:tcW w:w="8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2"/>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78"/>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18"/>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79"/>
              <w:spacing w:after="0"/>
              <w:rPr>
                <w:sz w:val="20"/>
                <w:szCs w:val="20"/>
                <w:color w:val="auto"/>
              </w:rPr>
            </w:pPr>
            <w:r>
              <w:rPr>
                <w:rFonts w:ascii="Arial" w:cs="Arial" w:eastAsia="Arial" w:hAnsi="Arial"/>
                <w:sz w:val="11"/>
                <w:szCs w:val="11"/>
                <w:b w:val="1"/>
                <w:bCs w:val="1"/>
                <w:color w:val="auto"/>
                <w:w w:val="93"/>
              </w:rPr>
              <w:t>Earnings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9"/>
              </w:rPr>
              <w:t>Earnings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20"/>
              <w:spacing w:after="0"/>
              <w:rPr>
                <w:sz w:val="20"/>
                <w:szCs w:val="20"/>
                <w:color w:val="auto"/>
              </w:rPr>
            </w:pPr>
            <w:r>
              <w:rPr>
                <w:rFonts w:ascii="Arial" w:cs="Arial" w:eastAsia="Arial" w:hAnsi="Arial"/>
                <w:sz w:val="11"/>
                <w:szCs w:val="11"/>
                <w:b w:val="1"/>
                <w:bCs w:val="1"/>
                <w:color w:val="auto"/>
                <w:w w:val="86"/>
              </w:rPr>
              <w:t>Receivable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57"/>
              <w:spacing w:after="0"/>
              <w:rPr>
                <w:sz w:val="20"/>
                <w:szCs w:val="20"/>
                <w:color w:val="auto"/>
              </w:rPr>
            </w:pPr>
            <w:r>
              <w:rPr>
                <w:rFonts w:ascii="Arial" w:cs="Arial" w:eastAsia="Arial" w:hAnsi="Arial"/>
                <w:sz w:val="11"/>
                <w:szCs w:val="11"/>
                <w:b w:val="1"/>
                <w:bCs w:val="1"/>
                <w:color w:val="auto"/>
              </w:rPr>
              <w:t>Total</w:t>
            </w:r>
          </w:p>
        </w:tc>
      </w:tr>
      <w:tr>
        <w:trPr>
          <w:trHeight w:val="135"/>
        </w:trPr>
        <w:tc>
          <w:tcPr>
            <w:tcW w:w="31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27, 2014</w:t>
            </w: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59,952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122,515</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502,334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1,348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(455)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13,866</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699,560</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80,595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4,537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85,132</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(7,216)</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Noncontrolling interest associated with business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(3,188)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(3,188)</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noncontrolling interest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(1,256)</w:t>
            </w: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Cash dividends - $0.133 &amp; $0.140 per share -</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semiannually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(16,507)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(16,507)</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Issuance of 90,639 shares under employee stock plans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1,075</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w w:val="95"/>
              </w:rPr>
              <w:t>Issuance of 226,812 shares under stock grant programs</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1,685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1,912</w:t>
            </w: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Issuance of 195,162 shares under deferred compensation</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plans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Repurchase of 40,839 shares</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(786)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304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(496)</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Tax benefits from non-qualified stock options exercised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w:t>
            </w: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Expense associated with share-based compensation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arrangements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1,846</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Accrued expense under deferred compensation plans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4,048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4,048</w:t>
            </w:r>
          </w:p>
        </w:tc>
      </w:tr>
      <w:tr>
        <w:trPr>
          <w:trHeight w:val="142"/>
        </w:trPr>
        <w:tc>
          <w:tcPr>
            <w:tcW w:w="31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w w:val="95"/>
              </w:rPr>
              <w:t>Payments received on employee stock notes receivable</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26, 2015</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60,425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131,279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565,636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(4,585)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13,654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766,409</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101,179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4,318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105,497</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(2,974)</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Noncontrolling interest associated with business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(3,280)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(3,280)</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Net purchase and dissolution of noncontrolling interest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(892)</w:t>
            </w: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Cash dividends - $0.140 &amp; $0.150 per share -</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semiannually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(17,680)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(17,680)</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Issuance of 20,439 shares under employee stock plans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536</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w w:val="95"/>
              </w:rPr>
              <w:t>Issuance of 407,271 shares under stock grant programs</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407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4,890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5,297</w:t>
            </w: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Issuance of 173,370 shares under deferred compensation</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plans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Expense associated with share-based compensation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arrangements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2,208</w:t>
            </w:r>
          </w:p>
        </w:tc>
      </w:tr>
      <w:tr>
        <w:trPr>
          <w:trHeight w:val="155"/>
        </w:trPr>
        <w:tc>
          <w:tcPr>
            <w:tcW w:w="31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w w:val="99"/>
              </w:rPr>
              <w:t>Accrued expense under deferred compensation plans</w:t>
            </w: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5,074</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5,074</w:t>
            </w:r>
          </w:p>
        </w:tc>
      </w:tr>
      <w:tr>
        <w:trPr>
          <w:trHeight w:val="122"/>
        </w:trPr>
        <w:tc>
          <w:tcPr>
            <w:tcW w:w="310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31, 2016</w:t>
            </w:r>
          </w:p>
        </w:tc>
        <w:tc>
          <w:tcPr>
            <w:tcW w:w="1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82"/>
              </w:rPr>
              <w:t>$</w:t>
            </w: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61,026</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144,649</w:t>
            </w:r>
          </w:p>
        </w:tc>
        <w:tc>
          <w:tcPr>
            <w:tcW w:w="1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649,135</w:t>
            </w:r>
          </w:p>
        </w:tc>
        <w:tc>
          <w:tcPr>
            <w:tcW w:w="14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b w:val="1"/>
                <w:bCs w:val="1"/>
                <w:color w:val="auto"/>
                <w:w w:val="78"/>
              </w:rPr>
              <w:t>$</w:t>
            </w:r>
          </w:p>
        </w:tc>
        <w:tc>
          <w:tcPr>
            <w:tcW w:w="6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(5,630)</w:t>
            </w:r>
          </w:p>
        </w:tc>
        <w:tc>
          <w:tcPr>
            <w:tcW w:w="1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120" w:type="dxa"/>
            <w:vAlign w:val="bottom"/>
          </w:tcPr>
          <w:p>
            <w:pPr>
              <w:spacing w:after="0" w:line="122"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11,286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7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860,466</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119,512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4,528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124,040</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5,070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5,426</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Unrealized gain (loss) on investment &amp; foreign currency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704</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(4,032)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(4,032)</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purchases of noncontrolling interest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2,409</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w w:val="98"/>
              </w:rPr>
              <w:t>Net purchase and dissolution of noncontrolling interest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dividends - $0.150 &amp; $0.170 per share -</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semiannually</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(19,607)</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w w:val="96"/>
              </w:rPr>
              <w:t>Issuance of 23,691 shares under employee stock plans</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637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661</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Issuance of 428,622 shares under stock grant programs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5,769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6,198</w:t>
            </w: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w w:val="92"/>
              </w:rPr>
              <w:t>Issuance of 159,108 shares under deferred compensation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plans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445,740 shares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(12,977)</w:t>
            </w: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Expense associated with share-based compensation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arrangements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3,618</w:t>
            </w:r>
          </w:p>
        </w:tc>
      </w:tr>
      <w:tr>
        <w:trPr>
          <w:trHeight w:val="155"/>
        </w:trPr>
        <w:tc>
          <w:tcPr>
            <w:tcW w:w="31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w w:val="99"/>
              </w:rPr>
              <w:t>Accrued expense under deferred compensation plans</w:t>
            </w: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7,117</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7,117</w:t>
            </w:r>
          </w:p>
        </w:tc>
      </w:tr>
      <w:tr>
        <w:trPr>
          <w:trHeight w:val="129"/>
        </w:trPr>
        <w:tc>
          <w:tcPr>
            <w:tcW w:w="310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30, 2017</w:t>
            </w: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61,192</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161,928</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736,212</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144</w:t>
            </w:r>
          </w:p>
        </w:tc>
        <w:tc>
          <w:tcPr>
            <w:tcW w:w="1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14,547</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974,023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30,</w:t>
            </w:r>
          </w:p>
        </w:tc>
        <w:tc>
          <w:tcPr>
            <w:tcW w:w="20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124,040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105,497</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48,536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40,823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2,335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Expense tax benefits from share-based compensation arrangements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80"/>
              <w:spacing w:after="0" w:line="149" w:lineRule="exact"/>
              <w:rPr>
                <w:sz w:val="20"/>
                <w:szCs w:val="20"/>
                <w:color w:val="auto"/>
              </w:rPr>
            </w:pPr>
            <w:r>
              <w:rPr>
                <w:rFonts w:ascii="Arial" w:cs="Arial" w:eastAsia="Arial" w:hAnsi="Arial"/>
                <w:sz w:val="14"/>
                <w:szCs w:val="14"/>
                <w:color w:val="auto"/>
              </w:rPr>
              <w:t>Deferred income taxes (credits)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2,464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Equity in earnings of investee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80"/>
              <w:spacing w:after="0" w:line="149" w:lineRule="exact"/>
              <w:rPr>
                <w:sz w:val="20"/>
                <w:szCs w:val="20"/>
                <w:color w:val="auto"/>
              </w:rPr>
            </w:pPr>
            <w:r>
              <w:rPr>
                <w:rFonts w:ascii="Arial" w:cs="Arial" w:eastAsia="Arial" w:hAnsi="Arial"/>
                <w:sz w:val="14"/>
                <w:szCs w:val="14"/>
                <w:color w:val="auto"/>
              </w:rPr>
              <w:t>Net (gain) loss on disposition of assets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(30,787)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(5,119)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21,159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11,259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23,749</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15,978</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29,142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Pr>
          <w:p>
            <w:pPr>
              <w:ind w:left="80"/>
              <w:spacing w:after="0" w:line="136" w:lineRule="exact"/>
              <w:rPr>
                <w:sz w:val="20"/>
                <w:szCs w:val="20"/>
                <w:color w:val="auto"/>
              </w:rPr>
            </w:pPr>
            <w:r>
              <w:rPr>
                <w:rFonts w:ascii="Arial" w:cs="Arial" w:eastAsia="Arial" w:hAnsi="Arial"/>
                <w:sz w:val="14"/>
                <w:szCs w:val="14"/>
                <w:color w:val="auto"/>
              </w:rPr>
              <w:t>NET CASH FROM OPERATING ACTIVITIES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136,583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4"/>
                <w:szCs w:val="14"/>
                <w:color w:val="auto"/>
              </w:rPr>
              <w:t>172,520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168,796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(71,116)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(53,762)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Acquisitions, net of cash received</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(60,587)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(80,077)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debt of acquiree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(92,830)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Purchase and dissolution of remaining noncontrolling interest in subsidiary</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Advances of notes receivable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Collections on notes receivable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7,899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2,568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(1,735)</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Pr>
          <w:p>
            <w:pPr>
              <w:ind w:left="80"/>
              <w:spacing w:after="0" w:line="136" w:lineRule="exact"/>
              <w:rPr>
                <w:sz w:val="20"/>
                <w:szCs w:val="20"/>
                <w:color w:val="auto"/>
              </w:rPr>
            </w:pPr>
            <w:r>
              <w:rPr>
                <w:rFonts w:ascii="Arial" w:cs="Arial" w:eastAsia="Arial" w:hAnsi="Arial"/>
                <w:sz w:val="14"/>
                <w:szCs w:val="14"/>
                <w:color w:val="auto"/>
              </w:rPr>
              <w:t>NET CASH USED IN INVESTING ACTIVITIES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(137,659)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4"/>
                <w:szCs w:val="14"/>
                <w:color w:val="auto"/>
              </w:rPr>
              <w:t>(227,657)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(46,636)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758,287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131,002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297,711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(722,725)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(107,294)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Borrowings of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debt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(17,680)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FROM (USED IN) FINANCING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650</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(1,927)</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(53,853)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88,342</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88,342</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34,091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87,756</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62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88,342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6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28,339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34,091</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9"/>
        </w:trPr>
        <w:tc>
          <w:tcPr>
            <w:tcW w:w="62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88,342</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6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SUPPLEMENTAL INFORMATION: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4,550</w:t>
            </w:r>
          </w:p>
        </w:tc>
        <w:tc>
          <w:tcPr>
            <w:tcW w:w="4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56,663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57,311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INVESTING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Notes receivable exchanged for property</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5,116</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4,353</w:t>
            </w:r>
          </w:p>
        </w:tc>
        <w:tc>
          <w:tcPr>
            <w:tcW w:w="4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exchanged for notes receivable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Acquisition earnout and noncompete adjustment prior to final purchase accounting</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14,195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60" w:right="3540" w:hanging="657"/>
        <w:spacing w:after="0" w:line="503" w:lineRule="auto"/>
        <w:tabs>
          <w:tab w:leader="none" w:pos="83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b w:val="1"/>
          <w:bCs w:val="1"/>
          <w:color w:val="auto"/>
        </w:rPr>
        <w:t>OPERATIONS</w:t>
      </w:r>
    </w:p>
    <w:p>
      <w:pPr>
        <w:spacing w:after="0" w:line="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design, manufacture and market wood and wood-alternative products for large home centers and other retailers; structural lumber, engineered wood components, framing services, and other products for the construction market; specialty wood packaging, components, packing materials, and other wood-based products for various industries; and design, manufacture, and install customized interior fixtures used in retail and commercial structures for various markets.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consolidated financial statements include our accounts and those of our wholly-owned and majority-owned subsidiaries and partnerships. In addition, we consolidate any entity which we own 50% or more and exercise control. Intercompany transactions and balances have been eliminated.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 IN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fiscal year is a 52 or 53 week period, ending on the last Saturday of December. Unless otherwise stated, references to 2017, 2016, and 2015 relate to the fiscal years ended December 30, 2017, December 31, 2016, and December 26, 2015, respectively. Fiscal year 2016 was comprised of 53 weeks, which contributed an additional $60 million in sales in 2016 compared to fiscal years 2017 and 2015, which were comprised of 52 weeks.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follow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87" w:lineRule="exact"/>
        <w:rPr>
          <w:sz w:val="20"/>
          <w:szCs w:val="20"/>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 — Financial instruments with unadjusted, quoted prices listed on active market exchanges.</w:t>
      </w:r>
    </w:p>
    <w:p>
      <w:pPr>
        <w:spacing w:after="0" w:line="225"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86"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and cash equivalents consist of cash and highly-liquid investments purchased with an original maturity of three months or 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cash consists of amounts required to be held for loss funding totaling $0.5 million and $0.4 million as of December 30, 2017 and December 31, 2016, respectively.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November 2016, the Financial Accounting Standards Board (FASB) issued Accounting Standard Update (ASU) No. 2016-18, “Statement of Cash Flows (Topic 230)” (ASU 2016-18). Under ASU 2016-18, an entity will be required to explain changes in the statement of cash flows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should be applied using retrospective transition method to each period presented. Companies are required to adopt the new standard for fiscal years beginning after December 15, 2017. Early adoption of ASU 2016-18 is permitted, including adoption in an interim period. The Company has early adopted this standard during the first quarter of 2017.</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Investments are deemed to be "available for sale" and are, accordingly, carried at fair value being the quoted market value. Unrealized investment gains or losses, net of deferred taxes, are reported as a separate component of comprehensive income or loss until sold.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ACCOUNTS RECEIVABLE AND ALLOWANCES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base our allowances related to receivables on historical credit and collections experience,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in our accounts receivable allowances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Additions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4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w w:val="96"/>
              </w:rPr>
              <w:t>Beginning</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Costs and</w:t>
            </w:r>
          </w:p>
        </w:tc>
        <w:tc>
          <w:tcPr>
            <w:tcW w:w="14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Deductions*</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Balance</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Expenses</w:t>
            </w: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30,2017:</w:t>
            </w:r>
          </w:p>
        </w:tc>
        <w:tc>
          <w:tcPr>
            <w:tcW w:w="9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Allowance for possible losses on accounts receivable</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$ 2,845</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$ 28,102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(28,523)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$ 2,424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Allowance for possible losses on accounts receivable</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$ 2,672</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$ 28,405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(28,232)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$ 2,845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2015:</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Allowance for possible losses on accounts receivable</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$ 2,390</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$ 20,538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(20,256)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00" w:hanging="297"/>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accounts charged off, discounts given to customers and actual customer returns and allowances.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record estimated sales returns, discounts, and other applicable adjustments as a reduction of net sales in the same period revenue is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Accounts receivable retainage amounts related to long term construction contracts totaled $4.8 million and $6.0 million as of December 30, 2017 and December 31, 2016, respectively. All amounts are expected to be collected within 18 months. Concentration of accounts receivable related to our largest customer totaled $55.9 million and $34.0 million as of December 30, 2017 and December 31, 2016,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Inventories are stated at the lower of cost or market. The cost of inventories includes raw materials, direct labor, and manufacturing overhead. Cost is determined on a weighted average basis. Raw materials consist primarily of unfinished wood products expected to be manufactured or treated prior to sale, while finished goods represent various manufactured and treated wood products ready for sale. We have inventory on consignment at customer locations valued at $14.8 million as of December 30, 2017 and $12.2 million as of December 31, 2016.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Property, plant, and equipment are stated at cost. Expenditures for renewals and betterments are capitalized, and maintenance and repairs are expensed as incurred. Amortization of assets held under capital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540" w:type="dxa"/>
            <w:vAlign w:val="bottom"/>
          </w:tcPr>
          <w:p>
            <w:pPr>
              <w:jc w:val="right"/>
              <w:spacing w:after="0"/>
              <w:rPr>
                <w:sz w:val="20"/>
                <w:szCs w:val="20"/>
                <w:color w:val="auto"/>
              </w:rPr>
            </w:pPr>
            <w:r>
              <w:rPr>
                <w:rFonts w:ascii="Arial" w:cs="Arial" w:eastAsia="Arial" w:hAnsi="Arial"/>
                <w:sz w:val="18"/>
                <w:szCs w:val="18"/>
                <w:color w:val="auto"/>
              </w:rPr>
              <w:t>10 to 32 years</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office furniture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8 years</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firstLine="648"/>
        <w:spacing w:after="0" w:line="217" w:lineRule="exact"/>
        <w:rPr>
          <w:sz w:val="20"/>
          <w:szCs w:val="20"/>
          <w:color w:val="auto"/>
        </w:rPr>
      </w:pPr>
      <w:r>
        <w:rPr>
          <w:rFonts w:ascii="Arial" w:cs="Arial" w:eastAsia="Arial" w:hAnsi="Arial"/>
          <w:sz w:val="16"/>
          <w:szCs w:val="16"/>
          <w:color w:val="auto"/>
        </w:rPr>
        <w:t>In February 2016, the Financial Accounting Standards Board (FASB) issued Accounting Standard Update (ASU) No. 2016</w:t>
      </w:r>
      <w:r>
        <w:rPr>
          <w:rFonts w:ascii="MS PGothic" w:cs="MS PGothic" w:eastAsia="MS PGothic" w:hAnsi="MS PGothic"/>
          <w:sz w:val="16"/>
          <w:szCs w:val="16"/>
          <w:color w:val="auto"/>
        </w:rPr>
        <w:t>‑</w:t>
      </w:r>
      <w:r>
        <w:rPr>
          <w:rFonts w:ascii="Arial" w:cs="Arial" w:eastAsia="Arial" w:hAnsi="Arial"/>
          <w:sz w:val="16"/>
          <w:szCs w:val="16"/>
          <w:color w:val="auto"/>
        </w:rPr>
        <w:t>02, “Leases (Topic 842)” (ASU 2016</w:t>
      </w:r>
      <w:r>
        <w:rPr>
          <w:rFonts w:ascii="MS PGothic" w:cs="MS PGothic" w:eastAsia="MS PGothic" w:hAnsi="MS PGothic"/>
          <w:sz w:val="16"/>
          <w:szCs w:val="16"/>
          <w:color w:val="auto"/>
        </w:rPr>
        <w:t>‑</w:t>
      </w:r>
      <w:r>
        <w:rPr>
          <w:rFonts w:ascii="Arial" w:cs="Arial" w:eastAsia="Arial" w:hAnsi="Arial"/>
          <w:sz w:val="16"/>
          <w:szCs w:val="16"/>
          <w:color w:val="auto"/>
        </w:rPr>
        <w:t>02). Under ASU 2016</w:t>
      </w:r>
      <w:r>
        <w:rPr>
          <w:rFonts w:ascii="MS PGothic" w:cs="MS PGothic" w:eastAsia="MS PGothic" w:hAnsi="MS PGothic"/>
          <w:sz w:val="16"/>
          <w:szCs w:val="16"/>
          <w:color w:val="auto"/>
        </w:rPr>
        <w:t>‑</w:t>
      </w:r>
      <w:r>
        <w:rPr>
          <w:rFonts w:ascii="Arial" w:cs="Arial" w:eastAsia="Arial" w:hAnsi="Arial"/>
          <w:sz w:val="16"/>
          <w:szCs w:val="16"/>
          <w:color w:val="auto"/>
        </w:rPr>
        <w:t>02, an entity will be required to recognize assets and liabilities for the rights and obligations created by leases on the entity’s balance sheet for both finance and operating leases. For leases with a term of 12 months or less, an entity can elect to not recognize lease assets and lease liabilities and expense the lease over a straight-line basis for the term of the lease. ASU 2016</w:t>
      </w:r>
      <w:r>
        <w:rPr>
          <w:rFonts w:ascii="MS PGothic" w:cs="MS PGothic" w:eastAsia="MS PGothic" w:hAnsi="MS PGothic"/>
          <w:sz w:val="16"/>
          <w:szCs w:val="16"/>
          <w:color w:val="auto"/>
        </w:rPr>
        <w:t>‑</w:t>
      </w:r>
      <w:r>
        <w:rPr>
          <w:rFonts w:ascii="Arial" w:cs="Arial" w:eastAsia="Arial" w:hAnsi="Arial"/>
          <w:sz w:val="16"/>
          <w:szCs w:val="16"/>
          <w:color w:val="auto"/>
        </w:rPr>
        <w:t>02 will require new disclosures that depict the amount, timing, and uncertainty of cash flows pertaining to an entity’s leases. Companies are required to adopt the new standard for annual and interim periods beginning after December 15, 2018. Early adoption of ASU 2016</w:t>
      </w:r>
      <w:r>
        <w:rPr>
          <w:rFonts w:ascii="MS PGothic" w:cs="MS PGothic" w:eastAsia="MS PGothic" w:hAnsi="MS PGothic"/>
          <w:sz w:val="16"/>
          <w:szCs w:val="16"/>
          <w:color w:val="auto"/>
        </w:rPr>
        <w:t>‑</w:t>
      </w:r>
      <w:r>
        <w:rPr>
          <w:rFonts w:ascii="Arial" w:cs="Arial" w:eastAsia="Arial" w:hAnsi="Arial"/>
          <w:sz w:val="16"/>
          <w:szCs w:val="16"/>
          <w:color w:val="auto"/>
        </w:rPr>
        <w:t>02 is permitted. The FASB has tentatively decided to amend certain aspects of its new leasing standard in an attempt to provide a relief from implementation costs. Specifically, entities may elect not to restate their comparative periods in the period of adoption when transitioning to the new standard. The Company plans to continue to evaluate the effect of the new leasing guidance in 2018; therefore, the quantitative impact has not yet been determined however the Company anticipates only a balance sheet impact.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annual testing date for evaluating goodwill and indefinite-lived intangible asset impairment is the first day of the Company’s fourth fiscal quarter for all reporting units. Additionally, the Company reviews various triggering events throughout the year to ensure that a mid-year impairment analysis is not required.</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30, 2017 and December 31, 2016.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providing coverage for the Company, Ardellis provides Excess Loss Insurance (primarily medical and prescription drug) to certain third parties. As of December 30, 2017, Ardellis had 30 such contracts in place. Reserves associated with these contracts were $3.4 million at December 30, 2017 and $2.5 million at December 31, 2016, and are accrued based on third party actuarial valuations of the expected future liabilities.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On May 28, 2014, the FASB issued ASU No. 2014</w:t>
      </w:r>
      <w:r>
        <w:rPr>
          <w:rFonts w:ascii="MS PGothic" w:cs="MS PGothic" w:eastAsia="MS PGothic" w:hAnsi="MS PGothic"/>
          <w:sz w:val="17"/>
          <w:szCs w:val="17"/>
          <w:color w:val="auto"/>
        </w:rPr>
        <w:t>‑</w:t>
      </w:r>
      <w:r>
        <w:rPr>
          <w:rFonts w:ascii="Arial" w:cs="Arial" w:eastAsia="Arial" w:hAnsi="Arial"/>
          <w:sz w:val="17"/>
          <w:szCs w:val="17"/>
          <w:color w:val="auto"/>
        </w:rPr>
        <w:t>09 (Accounting Standard Codification 606),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Company is currently finalizing its evaluation of the impact of adopting this new guidance, which is not expected to materially impact the Company's financial condition or results of operations. The five-step model has been applied to existing contracts with customers, and based upon this review, the Company does not expect the adoption of ASU 2014-09 to have a material quantitative impact on its consolidated financial statements, as the timing of revenue recognition for product sales will continue to occur at the point of shipment. Other types of revenue, such as installation and framing, which are immaterial to our total revenue, will continue to be recognized over the appropriate period of time. As required by the standard, the Company expects to make additional disclosures related to the nature, timing and uncertainty of revenue and cash flows arising from contracts with customers. The Company will adopt this standard in the first quarter of fiscal year 2018 using the modified retrospective.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Earnings on construction contracts are reflected in operations using percentage-of-completion accounting, under either the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recognized losses to the extent that they exist.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balances of percentage-of-completion accounts on December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which are included in other current assets and other accrued liabilities, respectively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r>
      <w:tr>
        <w:trPr>
          <w:trHeight w:val="169"/>
        </w:trPr>
        <w:tc>
          <w:tcPr>
            <w:tcW w:w="6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76"/>
              <w:spacing w:after="0" w:line="14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56"/>
              <w:spacing w:after="0" w:line="149" w:lineRule="exact"/>
              <w:rPr>
                <w:sz w:val="20"/>
                <w:szCs w:val="20"/>
                <w:color w:val="auto"/>
              </w:rPr>
            </w:pPr>
            <w:r>
              <w:rPr>
                <w:rFonts w:ascii="Arial" w:cs="Arial" w:eastAsia="Arial" w:hAnsi="Arial"/>
                <w:sz w:val="14"/>
                <w:szCs w:val="14"/>
                <w:b w:val="1"/>
                <w:bCs w:val="1"/>
                <w:color w:val="auto"/>
              </w:rPr>
              <w:t>2016</w:t>
            </w:r>
          </w:p>
        </w:tc>
      </w:tr>
      <w:tr>
        <w:trPr>
          <w:trHeight w:val="203"/>
        </w:trPr>
        <w:tc>
          <w:tcPr>
            <w:tcW w:w="6920" w:type="dxa"/>
            <w:vAlign w:val="bottom"/>
          </w:tcPr>
          <w:p>
            <w:pPr>
              <w:spacing w:after="0" w:line="203" w:lineRule="exact"/>
              <w:rPr>
                <w:sz w:val="20"/>
                <w:szCs w:val="20"/>
                <w:color w:val="auto"/>
              </w:rPr>
            </w:pPr>
            <w:r>
              <w:rPr>
                <w:rFonts w:ascii="Arial" w:cs="Arial" w:eastAsia="Arial" w:hAnsi="Arial"/>
                <w:sz w:val="18"/>
                <w:szCs w:val="18"/>
                <w:color w:val="auto"/>
              </w:rPr>
              <w:t>Cost and Earnings in Excess of Billings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5,005</w:t>
            </w:r>
          </w:p>
        </w:tc>
        <w:tc>
          <w:tcPr>
            <w:tcW w:w="2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2,573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 and Earnings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SHIPPING AND HANDLING OF PRODUCT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computation of earnings per share (“EPS”) is as follows (in thousands), which incorporate the retroactive effect of the Company’s 3 for 1 stock split: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30,</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26,</w:t>
            </w:r>
          </w:p>
        </w:tc>
        <w:tc>
          <w:tcPr>
            <w:tcW w:w="0" w:type="dxa"/>
            <w:vAlign w:val="bottom"/>
          </w:tcPr>
          <w:p>
            <w:pPr>
              <w:spacing w:after="0"/>
              <w:rPr>
                <w:sz w:val="1"/>
                <w:szCs w:val="1"/>
                <w:color w:val="auto"/>
              </w:rPr>
            </w:pPr>
          </w:p>
        </w:tc>
      </w:tr>
      <w:tr>
        <w:trPr>
          <w:trHeight w:val="178"/>
        </w:trPr>
        <w:tc>
          <w:tcPr>
            <w:tcW w:w="566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6"/>
        </w:trPr>
        <w:tc>
          <w:tcPr>
            <w:tcW w:w="5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80,595</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4"/>
              </w:rPr>
              <w:t>Adjustment for earnings allocated to non-vested restricted common stock</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earnings for calculating EPS</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79,536</w:t>
            </w:r>
          </w:p>
        </w:tc>
        <w:tc>
          <w:tcPr>
            <w:tcW w:w="0" w:type="dxa"/>
            <w:vAlign w:val="bottom"/>
          </w:tcPr>
          <w:p>
            <w:pPr>
              <w:spacing w:after="0"/>
              <w:rPr>
                <w:sz w:val="1"/>
                <w:szCs w:val="1"/>
                <w:color w:val="auto"/>
              </w:rPr>
            </w:pPr>
          </w:p>
        </w:tc>
      </w:tr>
      <w:tr>
        <w:trPr>
          <w:trHeight w:val="203"/>
        </w:trPr>
        <w:tc>
          <w:tcPr>
            <w:tcW w:w="5660" w:type="dxa"/>
            <w:vAlign w:val="bottom"/>
          </w:tcPr>
          <w:p>
            <w:pPr>
              <w:spacing w:after="0" w:line="203" w:lineRule="exact"/>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for calculating basic EPS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Shares for calculating diluted EPS</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59,865</w:t>
            </w:r>
          </w:p>
        </w:tc>
        <w:tc>
          <w:tcPr>
            <w:tcW w:w="0" w:type="dxa"/>
            <w:vAlign w:val="bottom"/>
          </w:tcPr>
          <w:p>
            <w:pPr>
              <w:spacing w:after="0"/>
              <w:rPr>
                <w:sz w:val="1"/>
                <w:szCs w:val="1"/>
                <w:color w:val="auto"/>
              </w:rPr>
            </w:pPr>
          </w:p>
        </w:tc>
      </w:tr>
      <w:tr>
        <w:trPr>
          <w:trHeight w:val="203"/>
        </w:trPr>
        <w:tc>
          <w:tcPr>
            <w:tcW w:w="5660" w:type="dxa"/>
            <w:vAlign w:val="bottom"/>
          </w:tcPr>
          <w:p>
            <w:pPr>
              <w:spacing w:after="0" w:line="203" w:lineRule="exact"/>
              <w:rPr>
                <w:sz w:val="20"/>
                <w:szCs w:val="20"/>
                <w:color w:val="auto"/>
              </w:rPr>
            </w:pPr>
            <w:r>
              <w:rPr>
                <w:rFonts w:ascii="Arial" w:cs="Arial" w:eastAsia="Arial" w:hAnsi="Arial"/>
                <w:sz w:val="18"/>
                <w:szCs w:val="18"/>
                <w:color w:val="auto"/>
              </w:rPr>
              <w:t>Net earnings per share: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850"/>
        </w:trPr>
        <w:tc>
          <w:tcPr>
            <w:tcW w:w="5660" w:type="dxa"/>
            <w:vAlign w:val="bottom"/>
          </w:tcPr>
          <w:p>
            <w:pPr>
              <w:ind w:left="444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options were excluded from the computation of diluted EPS for 2017, 2016, or 2015.</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ACCOUNTING ESTIMATES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20" w:hanging="817"/>
        <w:spacing w:after="0"/>
        <w:tabs>
          <w:tab w:leader="none" w:pos="8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 assets and liabilities measured at fair value. Assets and liabilities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30, 2017</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6"/>
        </w:trPr>
        <w:tc>
          <w:tcPr>
            <w:tcW w:w="2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6"/>
              <w:spacing w:after="0" w:line="126" w:lineRule="exact"/>
              <w:rPr>
                <w:sz w:val="20"/>
                <w:szCs w:val="20"/>
                <w:color w:val="auto"/>
              </w:rPr>
            </w:pPr>
            <w:r>
              <w:rPr>
                <w:rFonts w:ascii="Arial" w:cs="Arial" w:eastAsia="Arial" w:hAnsi="Arial"/>
                <w:sz w:val="14"/>
                <w:szCs w:val="14"/>
                <w:b w:val="1"/>
                <w:bCs w:val="1"/>
                <w:color w:val="auto"/>
                <w:w w:val="89"/>
              </w:rPr>
              <w:t>Quoted</w:t>
            </w:r>
          </w:p>
        </w:tc>
        <w:tc>
          <w:tcPr>
            <w:tcW w:w="180" w:type="dxa"/>
            <w:vAlign w:val="bottom"/>
          </w:tcPr>
          <w:p>
            <w:pPr>
              <w:spacing w:after="0"/>
              <w:rPr>
                <w:sz w:val="10"/>
                <w:szCs w:val="10"/>
                <w:color w:val="auto"/>
              </w:rPr>
            </w:pPr>
          </w:p>
        </w:tc>
        <w:tc>
          <w:tcPr>
            <w:tcW w:w="104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6"/>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Prices with</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2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8"/>
        </w:trPr>
        <w:tc>
          <w:tcPr>
            <w:tcW w:w="2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16"/>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Fixed income funds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4,268</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Mutual funds: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Domestic stock funds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2460" w:type="dxa"/>
            <w:vAlign w:val="bottom"/>
          </w:tcPr>
          <w:p>
            <w:pPr>
              <w:ind w:left="120"/>
              <w:spacing w:after="0"/>
              <w:rPr>
                <w:sz w:val="20"/>
                <w:szCs w:val="20"/>
                <w:color w:val="auto"/>
              </w:rPr>
            </w:pPr>
            <w:r>
              <w:rPr>
                <w:rFonts w:ascii="Arial" w:cs="Arial" w:eastAsia="Arial" w:hAnsi="Arial"/>
                <w:sz w:val="18"/>
                <w:szCs w:val="18"/>
                <w:color w:val="auto"/>
              </w:rPr>
              <w:t>International stock funds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Target funds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2460" w:type="dxa"/>
            <w:vAlign w:val="bottom"/>
          </w:tcPr>
          <w:p>
            <w:pPr>
              <w:ind w:left="120"/>
              <w:spacing w:after="0"/>
              <w:rPr>
                <w:sz w:val="20"/>
                <w:szCs w:val="20"/>
                <w:color w:val="auto"/>
              </w:rPr>
            </w:pPr>
            <w:r>
              <w:rPr>
                <w:rFonts w:ascii="Arial" w:cs="Arial" w:eastAsia="Arial" w:hAnsi="Arial"/>
                <w:sz w:val="18"/>
                <w:szCs w:val="18"/>
                <w:color w:val="auto"/>
              </w:rPr>
              <w:t>Bond funds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6"/>
        </w:trPr>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03"/>
        </w:trPr>
        <w:tc>
          <w:tcPr>
            <w:tcW w:w="246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5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12,893</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10,045</w:t>
            </w:r>
          </w:p>
        </w:tc>
        <w:tc>
          <w:tcPr>
            <w:tcW w:w="1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22,938</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8,617</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2,770</w:t>
            </w:r>
          </w:p>
        </w:tc>
        <w:tc>
          <w:tcPr>
            <w:tcW w:w="2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11,387</w:t>
            </w: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at fair value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r>
      <w:tr>
        <w:trPr>
          <w:trHeight w:val="27"/>
        </w:trPr>
        <w:tc>
          <w:tcPr>
            <w:tcW w:w="2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and "Other Assets".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valuations of the Level 2 assets or liabilities rely on quoted prices in markets that are not active or observable inputs over the full term of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Level 3 assets or liabilities that would be based on significant unobservable inputs.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our wholly-owned captive, Ardellis Insurance Ltd. (“Ardellis”) transferred $4.1 million in fixed income securities from its Investment Account and purchased an additional $4.1 million in fixed income securities which are held in a newly formed collateral trust account in line with regulatory requirements in the State of Michigan to allow Ardellis to act as an admitted carrier in the State. These funds are intended to safeguard the insureds of the Michigan Branch of Ardellis. The funds are classified as “Restricted Investments”.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our investment policy, our wholly-owned company, Ardellis Insurance Ltd. ("Ardellis"), maintains an investment portfolio, totaling $18.9 million as of December 30, 2017, consisting of mutual funds, domestic and international stocks, and fixed income bonds.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Ardellis’ available for sale investment portfolio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4"/>
                <w:szCs w:val="14"/>
                <w:b w:val="1"/>
                <w:bCs w:val="1"/>
                <w:color w:val="auto"/>
                <w:w w:val="93"/>
              </w:rPr>
              <w:t>December 30,2017</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31,2016</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920" w:type="dxa"/>
            <w:vAlign w:val="bottom"/>
            <w:gridSpan w:val="3"/>
          </w:tcPr>
          <w:p>
            <w:pPr>
              <w:jc w:val="center"/>
              <w:ind w:right="160"/>
              <w:spacing w:after="0" w:line="126"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Gain/(Loss)</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4,310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9,185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5,181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0"/>
        </w:trPr>
        <w:tc>
          <w:tcPr>
            <w:tcW w:w="390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17,355</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18,865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9,972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10,348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Fixed Income investments consist of short, intermediate, and long term bonds, as well as fixed blend bonds. Within the fixed income investments, we maintain a specific mixture of US treasury notes, US agency mortgage backed securities, private label mortgage backed securities, and various corporate securities. Our equity investments consist of small, mid, and large cap growth and value funds, as well as international equity. The net pre-tax unrealized gain was $1.5 million. Carrying amounts above are recorded in the investments and restricted investments line items within the balance sheet as of December 30, 2017. During 2017, Ardellis reported a net realized gain of $256 thousand which was recorded in interest income on the statement of earnings.</w:t>
      </w:r>
    </w:p>
    <w:p>
      <w:pPr>
        <w:spacing w:after="0" w:line="174" w:lineRule="exact"/>
        <w:rPr>
          <w:sz w:val="20"/>
          <w:szCs w:val="20"/>
          <w:color w:val="auto"/>
        </w:rPr>
      </w:pPr>
    </w:p>
    <w:p>
      <w:pPr>
        <w:ind w:left="820" w:hanging="817"/>
        <w:spacing w:after="0"/>
        <w:tabs>
          <w:tab w:leader="none" w:pos="8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completed the following business combinations in fiscal 2017 and 2016, which were accounted for using the purchase method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117475</wp:posOffset>
            </wp:positionV>
            <wp:extent cx="889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889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268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right w:val="single" w:sz="8" w:color="auto"/>
            </w:tcBorders>
          </w:tcPr>
          <w:p>
            <w:pPr>
              <w:jc w:val="right"/>
              <w:ind w:right="399"/>
              <w:spacing w:after="0" w:line="169" w:lineRule="exact"/>
              <w:rPr>
                <w:sz w:val="20"/>
                <w:szCs w:val="20"/>
                <w:color w:val="auto"/>
              </w:rPr>
            </w:pPr>
            <w:r>
              <w:rPr>
                <w:rFonts w:ascii="Arial" w:cs="Arial" w:eastAsia="Arial" w:hAnsi="Arial"/>
                <w:sz w:val="16"/>
                <w:szCs w:val="16"/>
                <w:b w:val="1"/>
                <w:bCs w:val="1"/>
                <w:color w:val="auto"/>
              </w:rPr>
              <w:t>Net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0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Intangible</w:t>
            </w: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$931</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16, 2017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Silverwater Box</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2"/>
              </w:rPr>
              <w:t>A manufacturer and distributor of total packaging solutions in timber, plastic, steel, fiberglass,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6"/>
              </w:rPr>
              <w:t>cardboard. Silverwater Box has annual sales of approximately $2.8 million. The acquisition of</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Silverwater Box allows us to make progress on our goal of becoming a global provider of</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packaging solutions.</w:t>
            </w:r>
          </w:p>
        </w:tc>
        <w:tc>
          <w:tcPr>
            <w:tcW w:w="18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$5,042</w:t>
            </w:r>
          </w:p>
        </w:tc>
        <w:tc>
          <w:tcPr>
            <w:tcW w:w="1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May 26, 2017</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4,880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Go Boy Pallets, LLC ("Go Boy")</w:t>
            </w:r>
          </w:p>
        </w:tc>
        <w:tc>
          <w:tcPr>
            <w:tcW w:w="15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A manufacturer and distributor of industrial pallets and packaging in Georgia and North</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Carolina. Go Boy has annual sales of approximately $8 million. The acquisition of Go Boy</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tcPr>
          <w:p>
            <w:pPr>
              <w:spacing w:after="0"/>
              <w:rPr>
                <w:sz w:val="18"/>
                <w:szCs w:val="18"/>
                <w:color w:val="auto"/>
              </w:rPr>
            </w:pPr>
          </w:p>
        </w:tc>
        <w:tc>
          <w:tcPr>
            <w:tcW w:w="64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6"/>
                <w:szCs w:val="16"/>
                <w:color w:val="auto"/>
                <w:w w:val="92"/>
              </w:rPr>
              <w:t>enabled us to expand our industrial packaging product offering and lumber sourcing in this region.</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$31,818</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March 6, 2017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24,165</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Robbins Manufacturing Co.</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5640" w:type="dxa"/>
            <w:vAlign w:val="bottom"/>
            <w:tcBorders>
              <w:right w:val="single" w:sz="8" w:color="CCEEFF"/>
            </w:tcBorders>
            <w:gridSpan w:val="6"/>
            <w:shd w:val="clear" w:color="auto" w:fill="CCEEFF"/>
          </w:tcPr>
          <w:p>
            <w:pPr>
              <w:spacing w:after="0" w:line="176" w:lineRule="exact"/>
              <w:rPr>
                <w:sz w:val="20"/>
                <w:szCs w:val="20"/>
                <w:color w:val="auto"/>
              </w:rPr>
            </w:pPr>
            <w:r>
              <w:rPr>
                <w:rFonts w:ascii="Arial" w:cs="Arial" w:eastAsia="Arial" w:hAnsi="Arial"/>
                <w:sz w:val="16"/>
                <w:szCs w:val="16"/>
                <w:color w:val="auto"/>
                <w:w w:val="93"/>
              </w:rPr>
              <w:t>A manufacturer of treated wood products with facilities in Florida, Georgia, and North</w:t>
            </w:r>
          </w:p>
        </w:tc>
        <w:tc>
          <w:tcPr>
            <w:tcW w:w="7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("Robbins")</w:t>
            </w: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7"/>
              </w:rPr>
              <w:t>Carolina. Robbins has annual sales of approximately $86 million. The acquisition of Robbins</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40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7"/>
              </w:rPr>
              <w:t>allowed us to expand our presence in this region and serve customers more cost effectively.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771525</wp:posOffset>
            </wp:positionV>
            <wp:extent cx="57461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83185</wp:posOffset>
            </wp:positionV>
            <wp:extent cx="889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889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268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right w:val="single" w:sz="8" w:color="auto"/>
            </w:tcBorders>
          </w:tcPr>
          <w:p>
            <w:pPr>
              <w:jc w:val="right"/>
              <w:ind w:right="399"/>
              <w:spacing w:after="0" w:line="169" w:lineRule="exact"/>
              <w:rPr>
                <w:sz w:val="20"/>
                <w:szCs w:val="20"/>
                <w:color w:val="auto"/>
              </w:rPr>
            </w:pPr>
            <w:r>
              <w:rPr>
                <w:rFonts w:ascii="Arial" w:cs="Arial" w:eastAsia="Arial" w:hAnsi="Arial"/>
                <w:sz w:val="16"/>
                <w:szCs w:val="16"/>
                <w:b w:val="1"/>
                <w:bCs w:val="1"/>
                <w:color w:val="auto"/>
              </w:rPr>
              <w:t>Net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0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Intangible</w:t>
            </w: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$22,789</w:t>
            </w:r>
          </w:p>
        </w:tc>
        <w:tc>
          <w:tcPr>
            <w:tcW w:w="1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March 6, 2017</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14,341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8,448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Quality Hardwood Sales, LLC</w:t>
            </w:r>
          </w:p>
        </w:tc>
        <w:tc>
          <w:tcPr>
            <w:tcW w:w="15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680" w:type="dxa"/>
            <w:vAlign w:val="bottom"/>
            <w:tcBorders>
              <w:left w:val="single" w:sz="8" w:color="auto"/>
              <w:right w:val="single" w:sz="8" w:color="auto"/>
            </w:tcBorders>
            <w:vMerge w:val="continue"/>
          </w:tcPr>
          <w:p>
            <w:pPr>
              <w:spacing w:after="0"/>
              <w:rPr>
                <w:sz w:val="15"/>
                <w:szCs w:val="15"/>
                <w:color w:val="auto"/>
              </w:rPr>
            </w:pPr>
          </w:p>
        </w:tc>
        <w:tc>
          <w:tcPr>
            <w:tcW w:w="6400" w:type="dxa"/>
            <w:vAlign w:val="bottom"/>
            <w:tcBorders>
              <w:right w:val="single" w:sz="8" w:color="auto"/>
            </w:tcBorders>
            <w:gridSpan w:val="7"/>
          </w:tcPr>
          <w:p>
            <w:pPr>
              <w:spacing w:after="0" w:line="179" w:lineRule="exact"/>
              <w:rPr>
                <w:sz w:val="20"/>
                <w:szCs w:val="20"/>
                <w:color w:val="auto"/>
              </w:rPr>
            </w:pPr>
            <w:r>
              <w:rPr>
                <w:rFonts w:ascii="Arial" w:cs="Arial" w:eastAsia="Arial" w:hAnsi="Arial"/>
                <w:sz w:val="16"/>
                <w:szCs w:val="16"/>
                <w:color w:val="auto"/>
                <w:w w:val="96"/>
              </w:rPr>
              <w:t>A manufacturer and supplier of hardwood products, including components of cabinets used in</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("Quality")</w:t>
            </w: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homes and recreational vehicles. Quality has annual sales of approximately $30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acquisition of Quality enabled us to expand our product offering to include hardwood-based</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products.</w:t>
            </w: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$9,449</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29, 2016</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cash paid for 100% stock</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The UBEECO Group Pty.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6400" w:type="dxa"/>
            <w:vAlign w:val="bottom"/>
            <w:tcBorders>
              <w:right w:val="single" w:sz="8" w:color="auto"/>
            </w:tcBorders>
            <w:gridSpan w:val="7"/>
            <w:shd w:val="clear" w:color="auto" w:fill="CCEEFF"/>
          </w:tcPr>
          <w:p>
            <w:pPr>
              <w:spacing w:after="0" w:line="176" w:lineRule="exact"/>
              <w:rPr>
                <w:sz w:val="20"/>
                <w:szCs w:val="20"/>
                <w:color w:val="auto"/>
              </w:rPr>
            </w:pPr>
            <w:r>
              <w:rPr>
                <w:rFonts w:ascii="Arial" w:cs="Arial" w:eastAsia="Arial" w:hAnsi="Arial"/>
                <w:sz w:val="16"/>
                <w:szCs w:val="16"/>
                <w:color w:val="auto"/>
                <w:w w:val="93"/>
              </w:rPr>
              <w:t>A manufacturer and distributor of a variety of wood packaging and alternative material products,</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("Ubeeco")</w:t>
            </w: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5"/>
              </w:rPr>
              <w:t>including boxes, crates, pallets, skids, protective packaging, packaging accessories and loose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3"/>
              </w:rPr>
              <w:t>lumber. Ubeeco has annual sales of approximately $20 million. The acquisition of Ubeeco allows</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640" w:type="dxa"/>
            <w:vAlign w:val="bottom"/>
            <w:tcBorders>
              <w:bottom w:val="single" w:sz="8" w:color="auto"/>
              <w:right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w w:val="91"/>
              </w:rPr>
              <w:t>us to make progress on our goal of becoming a global provider of packaging solutions.</w:t>
            </w: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$66,691</w:t>
            </w:r>
          </w:p>
        </w:tc>
        <w:tc>
          <w:tcPr>
            <w:tcW w:w="1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cash paid for 100% stock</w:t>
            </w:r>
          </w:p>
        </w:tc>
        <w:tc>
          <w:tcPr>
            <w:tcW w:w="1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purchase which includes</w:t>
            </w:r>
          </w:p>
        </w:tc>
        <w:tc>
          <w:tcPr>
            <w:tcW w:w="1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$11,337 in net cash</w:t>
            </w:r>
          </w:p>
        </w:tc>
        <w:tc>
          <w:tcPr>
            <w:tcW w:w="1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September 16, 2016</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received. Also, paid</w:t>
            </w:r>
          </w:p>
        </w:tc>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17,455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49,236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$86,294 to retire</w:t>
            </w:r>
          </w:p>
        </w:tc>
        <w:tc>
          <w:tcPr>
            <w:tcW w:w="1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outstanding debt and</w:t>
            </w:r>
          </w:p>
        </w:tc>
        <w:tc>
          <w:tcPr>
            <w:tcW w:w="1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$6,536 of certain other</w:t>
            </w:r>
          </w:p>
        </w:tc>
        <w:tc>
          <w:tcPr>
            <w:tcW w:w="1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obligations.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1"/>
              </w:rPr>
              <w:t>A designer, manufacturer, and installer of customized interior fixtures and related products used in</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a variety of commercial structures. idX had annual sales of $300 million. The acquisition of idX</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enables us to enhance our design, product and service offering to become a tier 1 supplier of</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interior fixtures to retail customers, and continue to use idX's capabilities to continue to develop</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idX Holdings, Inc. ("idX")</w:t>
            </w:r>
          </w:p>
        </w:tc>
        <w:tc>
          <w:tcPr>
            <w:tcW w:w="5640" w:type="dxa"/>
            <w:vAlign w:val="bottom"/>
            <w:gridSpan w:val="6"/>
          </w:tcPr>
          <w:p>
            <w:pPr>
              <w:spacing w:after="0"/>
              <w:rPr>
                <w:sz w:val="20"/>
                <w:szCs w:val="20"/>
                <w:color w:val="auto"/>
              </w:rPr>
            </w:pPr>
            <w:r>
              <w:rPr>
                <w:rFonts w:ascii="Arial" w:cs="Arial" w:eastAsia="Arial" w:hAnsi="Arial"/>
                <w:sz w:val="16"/>
                <w:szCs w:val="16"/>
                <w:color w:val="auto"/>
              </w:rPr>
              <w:t>new markets for growth. Our goal is to achieve long-term synergies, including:</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5640" w:type="dxa"/>
            <w:vAlign w:val="bottom"/>
            <w:gridSpan w:val="6"/>
          </w:tcPr>
          <w:p>
            <w:pPr>
              <w:ind w:left="1300"/>
              <w:spacing w:after="0"/>
              <w:rPr>
                <w:sz w:val="20"/>
                <w:szCs w:val="20"/>
                <w:color w:val="auto"/>
              </w:rPr>
            </w:pPr>
            <w:r>
              <w:rPr>
                <w:rFonts w:ascii="Arial" w:cs="Arial" w:eastAsia="Arial" w:hAnsi="Arial"/>
                <w:sz w:val="16"/>
                <w:szCs w:val="16"/>
                <w:color w:val="auto"/>
              </w:rPr>
              <w:t>a. Eliminating redundant administrative support costs.</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spacing w:after="0"/>
              <w:rPr>
                <w:sz w:val="18"/>
                <w:szCs w:val="18"/>
                <w:color w:val="auto"/>
              </w:rPr>
            </w:pPr>
          </w:p>
        </w:tc>
        <w:tc>
          <w:tcPr>
            <w:tcW w:w="1500" w:type="dxa"/>
            <w:vAlign w:val="bottom"/>
          </w:tcPr>
          <w:p>
            <w:pPr>
              <w:ind w:left="1300"/>
              <w:spacing w:after="0"/>
              <w:rPr>
                <w:sz w:val="20"/>
                <w:szCs w:val="20"/>
                <w:color w:val="auto"/>
              </w:rPr>
            </w:pPr>
            <w:r>
              <w:rPr>
                <w:rFonts w:ascii="Arial" w:cs="Arial" w:eastAsia="Arial" w:hAnsi="Arial"/>
                <w:sz w:val="16"/>
                <w:szCs w:val="16"/>
                <w:color w:val="auto"/>
              </w:rPr>
              <w:t>b.</w:t>
            </w:r>
          </w:p>
        </w:tc>
        <w:tc>
          <w:tcPr>
            <w:tcW w:w="4900" w:type="dxa"/>
            <w:vAlign w:val="bottom"/>
            <w:tcBorders>
              <w:right w:val="single" w:sz="8" w:color="auto"/>
            </w:tcBorders>
            <w:gridSpan w:val="6"/>
          </w:tcPr>
          <w:p>
            <w:pPr>
              <w:spacing w:after="0"/>
              <w:rPr>
                <w:sz w:val="20"/>
                <w:szCs w:val="20"/>
                <w:color w:val="auto"/>
              </w:rPr>
            </w:pPr>
            <w:r>
              <w:rPr>
                <w:rFonts w:ascii="Arial" w:cs="Arial" w:eastAsia="Arial" w:hAnsi="Arial"/>
                <w:sz w:val="16"/>
                <w:szCs w:val="16"/>
                <w:color w:val="auto"/>
                <w:w w:val="97"/>
              </w:rPr>
              <w:t>Using the scale advantage of the Company to reduce material costs of</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common raw materials.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spacing w:after="0"/>
              <w:rPr>
                <w:sz w:val="18"/>
                <w:szCs w:val="18"/>
                <w:color w:val="auto"/>
              </w:rPr>
            </w:pPr>
          </w:p>
        </w:tc>
        <w:tc>
          <w:tcPr>
            <w:tcW w:w="1500" w:type="dxa"/>
            <w:vAlign w:val="bottom"/>
          </w:tcPr>
          <w:p>
            <w:pPr>
              <w:ind w:left="1300"/>
              <w:spacing w:after="0"/>
              <w:rPr>
                <w:sz w:val="20"/>
                <w:szCs w:val="20"/>
                <w:color w:val="auto"/>
              </w:rPr>
            </w:pPr>
            <w:r>
              <w:rPr>
                <w:rFonts w:ascii="Arial" w:cs="Arial" w:eastAsia="Arial" w:hAnsi="Arial"/>
                <w:sz w:val="16"/>
                <w:szCs w:val="16"/>
                <w:color w:val="auto"/>
              </w:rPr>
              <w:t>c.</w:t>
            </w:r>
          </w:p>
        </w:tc>
        <w:tc>
          <w:tcPr>
            <w:tcW w:w="4900" w:type="dxa"/>
            <w:vAlign w:val="bottom"/>
            <w:tcBorders>
              <w:right w:val="single" w:sz="8" w:color="auto"/>
            </w:tcBorders>
            <w:gridSpan w:val="6"/>
          </w:tcPr>
          <w:p>
            <w:pPr>
              <w:spacing w:after="0"/>
              <w:rPr>
                <w:sz w:val="20"/>
                <w:szCs w:val="20"/>
                <w:color w:val="auto"/>
              </w:rPr>
            </w:pPr>
            <w:r>
              <w:rPr>
                <w:rFonts w:ascii="Arial" w:cs="Arial" w:eastAsia="Arial" w:hAnsi="Arial"/>
                <w:sz w:val="16"/>
                <w:szCs w:val="16"/>
                <w:color w:val="auto"/>
                <w:w w:val="99"/>
              </w:rPr>
              <w:t>Utilizing manufacturing capacity of certain existing locations to supply</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idX.</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spacing w:after="0"/>
              <w:rPr>
                <w:sz w:val="18"/>
                <w:szCs w:val="18"/>
                <w:color w:val="auto"/>
              </w:rPr>
            </w:pPr>
          </w:p>
        </w:tc>
        <w:tc>
          <w:tcPr>
            <w:tcW w:w="1500" w:type="dxa"/>
            <w:vAlign w:val="bottom"/>
          </w:tcPr>
          <w:p>
            <w:pPr>
              <w:ind w:left="1300"/>
              <w:spacing w:after="0"/>
              <w:rPr>
                <w:sz w:val="20"/>
                <w:szCs w:val="20"/>
                <w:color w:val="auto"/>
              </w:rPr>
            </w:pPr>
            <w:r>
              <w:rPr>
                <w:rFonts w:ascii="Arial" w:cs="Arial" w:eastAsia="Arial" w:hAnsi="Arial"/>
                <w:sz w:val="16"/>
                <w:szCs w:val="16"/>
                <w:color w:val="auto"/>
              </w:rPr>
              <w:t>d.</w:t>
            </w:r>
          </w:p>
        </w:tc>
        <w:tc>
          <w:tcPr>
            <w:tcW w:w="4900" w:type="dxa"/>
            <w:vAlign w:val="bottom"/>
            <w:tcBorders>
              <w:right w:val="single" w:sz="8" w:color="auto"/>
            </w:tcBorders>
            <w:gridSpan w:val="6"/>
          </w:tcPr>
          <w:p>
            <w:pPr>
              <w:spacing w:after="0"/>
              <w:rPr>
                <w:sz w:val="20"/>
                <w:szCs w:val="20"/>
                <w:color w:val="auto"/>
              </w:rPr>
            </w:pPr>
            <w:r>
              <w:rPr>
                <w:rFonts w:ascii="Arial" w:cs="Arial" w:eastAsia="Arial" w:hAnsi="Arial"/>
                <w:sz w:val="16"/>
                <w:szCs w:val="16"/>
                <w:color w:val="auto"/>
                <w:w w:val="96"/>
              </w:rPr>
              <w:t>Utilizing idX’s international footprint to identify sourcing opportunities for</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certain products.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spacing w:after="0"/>
              <w:rPr>
                <w:sz w:val="18"/>
                <w:szCs w:val="18"/>
                <w:color w:val="auto"/>
              </w:rPr>
            </w:pPr>
          </w:p>
        </w:tc>
        <w:tc>
          <w:tcPr>
            <w:tcW w:w="1500" w:type="dxa"/>
            <w:vAlign w:val="bottom"/>
          </w:tcPr>
          <w:p>
            <w:pPr>
              <w:ind w:left="1300"/>
              <w:spacing w:after="0"/>
              <w:rPr>
                <w:sz w:val="20"/>
                <w:szCs w:val="20"/>
                <w:color w:val="auto"/>
              </w:rPr>
            </w:pPr>
            <w:r>
              <w:rPr>
                <w:rFonts w:ascii="Arial" w:cs="Arial" w:eastAsia="Arial" w:hAnsi="Arial"/>
                <w:sz w:val="16"/>
                <w:szCs w:val="16"/>
                <w:color w:val="auto"/>
              </w:rPr>
              <w:t>e.</w:t>
            </w:r>
          </w:p>
        </w:tc>
        <w:tc>
          <w:tcPr>
            <w:tcW w:w="4900" w:type="dxa"/>
            <w:vAlign w:val="bottom"/>
            <w:tcBorders>
              <w:right w:val="single" w:sz="8" w:color="auto"/>
            </w:tcBorders>
            <w:gridSpan w:val="6"/>
          </w:tcPr>
          <w:p>
            <w:pPr>
              <w:spacing w:after="0"/>
              <w:rPr>
                <w:sz w:val="20"/>
                <w:szCs w:val="20"/>
                <w:color w:val="auto"/>
              </w:rPr>
            </w:pPr>
            <w:r>
              <w:rPr>
                <w:rFonts w:ascii="Arial" w:cs="Arial" w:eastAsia="Arial" w:hAnsi="Arial"/>
                <w:sz w:val="16"/>
                <w:szCs w:val="16"/>
                <w:color w:val="auto"/>
                <w:w w:val="99"/>
              </w:rPr>
              <w:t>Cross selling one another’s products and services with our respective</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customers.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tcPr>
          <w:p>
            <w:pPr>
              <w:spacing w:after="0"/>
              <w:rPr>
                <w:sz w:val="18"/>
                <w:szCs w:val="18"/>
                <w:color w:val="auto"/>
              </w:rPr>
            </w:pPr>
          </w:p>
        </w:tc>
        <w:tc>
          <w:tcPr>
            <w:tcW w:w="4640" w:type="dxa"/>
            <w:vAlign w:val="bottom"/>
            <w:tcBorders>
              <w:bottom w:val="single" w:sz="8" w:color="auto"/>
            </w:tcBorders>
            <w:gridSpan w:val="5"/>
          </w:tcPr>
          <w:p>
            <w:pPr>
              <w:ind w:left="1320"/>
              <w:spacing w:after="0"/>
              <w:rPr>
                <w:sz w:val="20"/>
                <w:szCs w:val="20"/>
                <w:color w:val="auto"/>
              </w:rPr>
            </w:pPr>
            <w:r>
              <w:rPr>
                <w:rFonts w:ascii="Arial" w:cs="Arial" w:eastAsia="Arial" w:hAnsi="Arial"/>
                <w:sz w:val="16"/>
                <w:szCs w:val="16"/>
                <w:color w:val="auto"/>
              </w:rPr>
              <w:t>f. Collaborating on new product development.</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July 29, 2016</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$1,246</w:t>
            </w:r>
          </w:p>
        </w:tc>
        <w:tc>
          <w:tcPr>
            <w:tcW w:w="100" w:type="dxa"/>
            <w:vAlign w:val="bottom"/>
            <w:vMerge w:val="restart"/>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Seven D Truss, L.P.</w:t>
            </w:r>
          </w:p>
        </w:tc>
        <w:tc>
          <w:tcPr>
            <w:tcW w:w="15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cash paid for asset purchase</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5"/>
              </w:rPr>
              <w:t>A manufacturer and distributor of roof and floor trusses. 7D had annual sales of approximately</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7"/>
              </w:rPr>
              <w:t>$4.0 million. The acquisition of 7D gave us the opportunity to consolidate operations with our</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34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Gordon, Pennsylvania location.</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$10,787</w:t>
            </w:r>
          </w:p>
        </w:tc>
        <w:tc>
          <w:tcPr>
            <w:tcW w:w="1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8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June 30, 2016</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cash paid for 100% stock</w:t>
            </w:r>
          </w:p>
        </w:tc>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6,817</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152"/>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90"/>
              </w:rPr>
              <w:t>purchase plus $500</w:t>
            </w:r>
          </w:p>
        </w:tc>
        <w:tc>
          <w:tcPr>
            <w:tcW w:w="1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Idaho Western, Inc. ("IWI")</w:t>
            </w:r>
          </w:p>
        </w:tc>
        <w:tc>
          <w:tcPr>
            <w:tcW w:w="15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holdback.</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A supplier of products ranging from lumber and plywood to siding and doors. IWI had annual</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sales of approximately $21 million. The acquisition of IWI allowed us to expand our presence in</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tcPr>
          <w:p>
            <w:pPr>
              <w:spacing w:after="0"/>
              <w:rPr>
                <w:sz w:val="18"/>
                <w:szCs w:val="18"/>
                <w:color w:val="auto"/>
              </w:rPr>
            </w:pPr>
          </w:p>
        </w:tc>
        <w:tc>
          <w:tcPr>
            <w:tcW w:w="464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Boise, Idaho and consolidate with our Rapid Wood operations.</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83185</wp:posOffset>
            </wp:positionV>
            <wp:extent cx="889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889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268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right w:val="single" w:sz="8" w:color="auto"/>
            </w:tcBorders>
          </w:tcPr>
          <w:p>
            <w:pPr>
              <w:jc w:val="right"/>
              <w:ind w:right="399"/>
              <w:spacing w:after="0" w:line="169" w:lineRule="exact"/>
              <w:rPr>
                <w:sz w:val="20"/>
                <w:szCs w:val="20"/>
                <w:color w:val="auto"/>
              </w:rPr>
            </w:pPr>
            <w:r>
              <w:rPr>
                <w:rFonts w:ascii="Arial" w:cs="Arial" w:eastAsia="Arial" w:hAnsi="Arial"/>
                <w:sz w:val="16"/>
                <w:szCs w:val="16"/>
                <w:b w:val="1"/>
                <w:bCs w:val="1"/>
                <w:color w:val="auto"/>
              </w:rPr>
              <w:t>Net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0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$7,506</w:t>
            </w:r>
          </w:p>
        </w:tc>
        <w:tc>
          <w:tcPr>
            <w:tcW w:w="10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24, 2014</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24, 2014</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cash paid for controlling</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(majority interest)</w:t>
            </w:r>
          </w:p>
        </w:tc>
        <w:tc>
          <w:tcPr>
            <w:tcW w:w="1840" w:type="dxa"/>
            <w:vAlign w:val="bottom"/>
            <w:tcBorders>
              <w:right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interest and</w:t>
            </w:r>
          </w:p>
        </w:tc>
        <w:tc>
          <w:tcPr>
            <w:tcW w:w="100" w:type="dxa"/>
            <w:vAlign w:val="bottom"/>
            <w:vMerge w:val="restart"/>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7,885</w:t>
            </w: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98"/>
        </w:trPr>
        <w:tc>
          <w:tcPr>
            <w:tcW w:w="2680" w:type="dxa"/>
            <w:vAlign w:val="bottom"/>
            <w:tcBorders>
              <w:left w:val="single" w:sz="8" w:color="auto"/>
              <w:right w:val="single" w:sz="8" w:color="auto"/>
            </w:tcBorders>
            <w:shd w:val="clear" w:color="auto" w:fill="CCEEFF"/>
          </w:tcPr>
          <w:p>
            <w:pPr>
              <w:spacing w:after="0"/>
              <w:rPr>
                <w:sz w:val="8"/>
                <w:szCs w:val="8"/>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April 15, 2016</w:t>
            </w:r>
          </w:p>
        </w:tc>
        <w:tc>
          <w:tcPr>
            <w:tcW w:w="1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$1,877</w:t>
            </w:r>
          </w:p>
        </w:tc>
        <w:tc>
          <w:tcPr>
            <w:tcW w:w="100" w:type="dxa"/>
            <w:vAlign w:val="bottom"/>
            <w:vMerge w:val="continue"/>
            <w:shd w:val="clear" w:color="auto" w:fill="CCEEFF"/>
          </w:tcPr>
          <w:p>
            <w:pPr>
              <w:spacing w:after="0"/>
              <w:rPr>
                <w:sz w:val="8"/>
                <w:szCs w:val="8"/>
                <w:color w:val="auto"/>
              </w:rPr>
            </w:pP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7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80" w:type="dxa"/>
            <w:vAlign w:val="bottom"/>
            <w:tcBorders>
              <w:left w:val="single" w:sz="8" w:color="auto"/>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vMerge w:val="continue"/>
            <w:shd w:val="clear" w:color="auto" w:fill="CCEEFF"/>
          </w:tcPr>
          <w:p>
            <w:pPr>
              <w:spacing w:after="0"/>
              <w:rPr>
                <w:sz w:val="9"/>
                <w:szCs w:val="9"/>
                <w:color w:val="auto"/>
              </w:rPr>
            </w:pPr>
          </w:p>
        </w:tc>
        <w:tc>
          <w:tcPr>
            <w:tcW w:w="1840" w:type="dxa"/>
            <w:vAlign w:val="bottom"/>
            <w:tcBorders>
              <w:right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c>
          <w:tcPr>
            <w:tcW w:w="7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(minority interest)</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cash paid for</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noncontrolling asset</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Packnet Ltd ("Packnet")</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2"/>
              </w:rPr>
              <w:t>A supplier of industrial packaging and services based in Eagan, MN. Packnet had annual sales of</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5"/>
              </w:rPr>
              <w:t>$9.6 million. The acquisition of Packnet gave us the opportunity to expand our presence in the</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region.</w:t>
            </w:r>
          </w:p>
        </w:tc>
        <w:tc>
          <w:tcPr>
            <w:tcW w:w="18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$1,682</w:t>
            </w:r>
          </w:p>
        </w:tc>
        <w:tc>
          <w:tcPr>
            <w:tcW w:w="1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cash paid for asset purchase</w:t>
            </w:r>
          </w:p>
        </w:tc>
        <w:tc>
          <w:tcPr>
            <w:tcW w:w="1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April 15, 2016</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plus</w:t>
            </w:r>
          </w:p>
        </w:tc>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$205</w:t>
            </w:r>
          </w:p>
        </w:tc>
        <w:tc>
          <w:tcPr>
            <w:tcW w:w="1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Capital Components &amp; Millwork, Inc.</w:t>
            </w:r>
          </w:p>
        </w:tc>
        <w:tc>
          <w:tcPr>
            <w:tcW w:w="15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assumed liability</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680" w:type="dxa"/>
            <w:vAlign w:val="bottom"/>
            <w:tcBorders>
              <w:left w:val="single" w:sz="8" w:color="auto"/>
              <w:right w:val="single" w:sz="8" w:color="auto"/>
            </w:tcBorders>
            <w:vMerge w:val="continue"/>
          </w:tcPr>
          <w:p>
            <w:pPr>
              <w:spacing w:after="0"/>
              <w:rPr>
                <w:sz w:val="15"/>
                <w:szCs w:val="15"/>
                <w:color w:val="auto"/>
              </w:rPr>
            </w:pPr>
          </w:p>
        </w:tc>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("CCM")</w:t>
            </w:r>
          </w:p>
        </w:tc>
        <w:tc>
          <w:tcPr>
            <w:tcW w:w="1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tcBorders>
              <w:left w:val="single" w:sz="8" w:color="auto"/>
              <w:right w:val="single" w:sz="8" w:color="auto"/>
            </w:tcBorders>
          </w:tcPr>
          <w:p>
            <w:pPr>
              <w:spacing w:after="0"/>
              <w:rPr>
                <w:sz w:val="18"/>
                <w:szCs w:val="18"/>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A producer of doors and trim for customers in the greater Washington, D.C., metro area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Virginia. CCM had approximately $16.6 million in annual sales. The acquisition of CCM allowed</w:t>
            </w: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tcPr>
          <w:p>
            <w:pPr>
              <w:spacing w:after="0"/>
              <w:rPr>
                <w:sz w:val="17"/>
                <w:szCs w:val="17"/>
                <w:color w:val="auto"/>
              </w:rPr>
            </w:pPr>
          </w:p>
        </w:tc>
        <w:tc>
          <w:tcPr>
            <w:tcW w:w="4640" w:type="dxa"/>
            <w:vAlign w:val="bottom"/>
            <w:gridSpan w:val="5"/>
          </w:tcPr>
          <w:p>
            <w:pPr>
              <w:spacing w:after="0"/>
              <w:rPr>
                <w:sz w:val="20"/>
                <w:szCs w:val="20"/>
                <w:color w:val="auto"/>
              </w:rPr>
            </w:pPr>
            <w:r>
              <w:rPr>
                <w:rFonts w:ascii="Arial" w:cs="Arial" w:eastAsia="Arial" w:hAnsi="Arial"/>
                <w:sz w:val="16"/>
                <w:szCs w:val="16"/>
                <w:color w:val="auto"/>
              </w:rPr>
              <w:t>us to expand our product offering in the Washington, D.C. area.</w:t>
            </w:r>
          </w:p>
        </w:tc>
        <w:tc>
          <w:tcPr>
            <w:tcW w:w="10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268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2017, excluding Silverwater Box.</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At December 30, 2017, the amounts assigned to major intangible classes for the business combinations mentioned above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Customer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Goodwill -</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3"/>
              </w:rPr>
              <w:t>Compete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Tradename</w:t>
            </w:r>
          </w:p>
        </w:tc>
        <w:tc>
          <w:tcPr>
            <w:tcW w:w="4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78"/>
        </w:trPr>
        <w:tc>
          <w:tcPr>
            <w:tcW w:w="48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Agreements</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Deductible</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Silverwater Box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Go Boy</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Robbins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Quality</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14,341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Ubeeco</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idX</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10,325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7D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IWI</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for 2017 and 2016 are not presented.</w:t>
      </w:r>
    </w:p>
    <w:p>
      <w:pPr>
        <w:spacing w:after="0" w:line="166" w:lineRule="exact"/>
        <w:rPr>
          <w:sz w:val="20"/>
          <w:szCs w:val="20"/>
          <w:color w:val="auto"/>
        </w:rPr>
      </w:pPr>
    </w:p>
    <w:p>
      <w:pPr>
        <w:ind w:left="820" w:hanging="817"/>
        <w:spacing w:after="0"/>
        <w:tabs>
          <w:tab w:leader="none" w:pos="8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Goodwill represents the excess of the purchase price over the fair value of net tangible and identifiable intangible assets of acquired businesses. Goodwill and intangible assets deemed to have indefinite lives are not amortized, but are subject to impairment tests at least annually in accordance with ASC 350, Intangibles-Goodwill and Other. We review the carrying amounts of goodwill and other non-amortizable intangibles by reporting unit to determine if such assets may be</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impaired. As the carrying amount of these assets are recoverable based upon a discounted cash flow and market approach analysis, no impairment was recognized.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changes in the net carrying amount of goodwill by reporting segment for the years ended December 30, 2017 and December 31, 2016,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North</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South</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West</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2015</w:t>
            </w: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180,990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2016 Acquisitions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14,329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17,506</w:t>
            </w:r>
          </w:p>
        </w:tc>
      </w:tr>
      <w:tr>
        <w:trPr>
          <w:trHeight w:val="23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Net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3"/>
        </w:trPr>
        <w:tc>
          <w:tcPr>
            <w:tcW w:w="3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as of December 31, 2016</w:t>
            </w:r>
          </w:p>
        </w:tc>
        <w:tc>
          <w:tcPr>
            <w:tcW w:w="118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43,386</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43,625</w:t>
            </w:r>
          </w:p>
        </w:tc>
        <w:tc>
          <w:tcPr>
            <w:tcW w:w="16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87,730</w:t>
            </w:r>
          </w:p>
        </w:tc>
        <w:tc>
          <w:tcPr>
            <w:tcW w:w="1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23,794</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198,535</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2017 Acquisitions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11,413</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Foreign Exchange, Net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2,696</w:t>
            </w: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30, 2017</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$ 51,127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$ 46,738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$ 87,730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$ 27,049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$ 212,644</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Indefinite-lived intangible assets totaled $7.4 million and $2.3 million as of December 30, 2017 and December 31, 2016 related to the idX, International, and Consumer Products reporting units which is included in the All Other reportable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amounts were included in other amortizable intangible assets, net as of December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2017</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7"/>
              </w:rPr>
              <w:t>Assets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Assets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8"/>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31,630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25,503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Patents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49,272</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(14,362)</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36,207</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is computed principally by the straight-line method over the estimated useful lives of the intangible assets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 Type</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Useful Life</w:t>
            </w:r>
          </w:p>
        </w:tc>
        <w:tc>
          <w:tcPr>
            <w:tcW w:w="132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78"/>
        </w:trPr>
        <w:tc>
          <w:tcPr>
            <w:tcW w:w="44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to 15 years</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years</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 to 15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13.5 years</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Tradename (amortizable)</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 to 15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12.9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of intangibles totaled $4.9 million, $2.8 million and $3.5 million in 2017, 2016 and 2015, respectively. The estimated amortization expense for intangibles for each of the five succeeding fiscal years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2019</w:t>
            </w:r>
          </w:p>
        </w:tc>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4,264</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2,979</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r>
      <w:tr>
        <w:trPr>
          <w:trHeight w:val="216"/>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w:t>
            </w:r>
          </w:p>
        </w:tc>
      </w:tr>
      <w:tr>
        <w:trPr>
          <w:trHeight w:val="230"/>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5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34,910</w:t>
            </w:r>
          </w:p>
        </w:tc>
      </w:tr>
      <w:tr>
        <w:trPr>
          <w:trHeight w:val="649"/>
        </w:trPr>
        <w:tc>
          <w:tcPr>
            <w:tcW w:w="2600" w:type="dxa"/>
            <w:vAlign w:val="bottom"/>
          </w:tcPr>
          <w:p>
            <w:pPr>
              <w:spacing w:after="0"/>
              <w:rPr>
                <w:sz w:val="24"/>
                <w:szCs w:val="24"/>
                <w:color w:val="auto"/>
              </w:rPr>
            </w:pPr>
          </w:p>
        </w:tc>
        <w:tc>
          <w:tcPr>
            <w:tcW w:w="5500" w:type="dxa"/>
            <w:vAlign w:val="bottom"/>
          </w:tcPr>
          <w:p>
            <w:pPr>
              <w:jc w:val="right"/>
              <w:ind w:right="339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29"/>
        </w:trPr>
        <w:tc>
          <w:tcPr>
            <w:tcW w:w="260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ind w:left="780" w:hanging="777"/>
        <w:spacing w:after="0"/>
        <w:tabs>
          <w:tab w:leader="none" w:pos="7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On December 17, 2012, we entered into an unsecured Note Purchase Agreement (the "Agreement") under which we issued our 3.89% Series 2012 A Senior Notes, due December 17, 2022, in the aggregate principal amount of $35 million and our 3.98% Series 2012 B Senior Notes, due December 17, 2024, in the aggregate principal amount of $40 million. Proceeds from the sale of the Series A Senior Notes and Series B Senior Notes were used to repay amounts due on our existing Series 2002</w:t>
      </w:r>
      <w:r>
        <w:rPr>
          <w:rFonts w:ascii="MS PGothic" w:cs="MS PGothic" w:eastAsia="MS PGothic" w:hAnsi="MS PGothic"/>
          <w:sz w:val="17"/>
          <w:szCs w:val="17"/>
          <w:color w:val="auto"/>
        </w:rPr>
        <w:t>‑</w:t>
      </w:r>
      <w:r>
        <w:rPr>
          <w:rFonts w:ascii="Arial" w:cs="Arial" w:eastAsia="Arial" w:hAnsi="Arial"/>
          <w:sz w:val="17"/>
          <w:szCs w:val="17"/>
          <w:color w:val="auto"/>
        </w:rPr>
        <w:t>A Senior Notes, Tranche B totaling $40 million and our revolving credit facility.</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3, 2014, the Company entered into a five-year, $295 million unsecured revolving credit facility with a syndicate of U.S. banks led by JPMorgan Chase Bank, N.A., as administrative agent and Wells Fargo Bank, N.A., as syndication agent. The facilities include up to $45 million which may be advanced in the form of letters of credit, and up to $100 million (U.S. dollar equivalent) which may be advanced in Canadian dollars, Australian dollars, pounds Sterling, Euros and such other foreign currencies as may subsequently be agreed upon among the parties. This facility replaced our $265 million unsecured revolving credit facility. Cash borrowings are charged interest based upon an index selected by the Company, plus a margin that is determined based upon the index selected and upon the financial performance of the Company and certain of its subsidiaries. The Company is charged a facility fee on the entire amount of the lending commitment, at a per annum rate ranging from 15 to 32.5 basis points, also determined based upon the Company’s performance. The facility fee is payable quarterly in arrears.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Outstanding letters of credit extended on our behalf on December 30, 2017 and December 31, 2016 aggregated $26.5 million and $25.5 million; respectively, which includes approximately $9.8 million related to industrial development revenue bonds. The Company had an outstanding balance of $59.4 million and 23.9 million on its revolver at December 30, 2017, and December 31, 2016, respectively. After considering letters of credit, the Company had $225.7 million and $261.3 million in remaining availability on its revolver on December 30, 2017, and December 31, 2016, respectively. Additionally, we have $150 million in availability under a "shelf agreement" for long term debt with a current lender. Letters of credit have one year terms and include an automatic renewal clause. The letters of credit related to industrial development revenue bonds are charged an annual interest rate of 110 basis points, based upon our financial performance. The letters of credit related to workers’ compensation are charged an annual interest rate of 75 basis points.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Long-term debt obligations are summarized as follows on December 30, 2017 and December 31, 2016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r>
      <w:tr>
        <w:trPr>
          <w:trHeight w:val="182"/>
        </w:trPr>
        <w:tc>
          <w:tcPr>
            <w:tcW w:w="7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Series 2012 Senior Notes Tranche A, due on December 17, 2022, interest payable semi-annually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 3.89%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0"/>
              </w:rPr>
              <w:t>Series 2012 Senior Notes Tranche B, due on December 17, 2024, interest payable semi-annually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at 3.98%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Revolving credit facility totaling $295 million due on November 3, 2019,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payable monthly at a floating rate (2.41% on December 30, 2017 and 1.67% on December 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23,860</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rPr>
              <w:t>Series 1999 Industrial Development Revenue Bonds, due on August 1, 2029, 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8"/>
                <w:szCs w:val="18"/>
                <w:color w:val="auto"/>
                <w:w w:val="92"/>
              </w:rPr>
              <w:t>payable monthly at a floating rate (1.08% on December 30, 2017 and 0.52% on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w:t>
            </w: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2000 Industrial Development Revenue Bonds, due on October 1, 2020,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payable monthly at a floating rate (1.14% on December 30, 2017 and 0.59% on December 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9"/>
              </w:rPr>
              <w:t>Series 2002 Industrial Development Revenue Bonds, due on December 1, 2022, 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8"/>
                <w:szCs w:val="18"/>
                <w:color w:val="auto"/>
                <w:w w:val="92"/>
              </w:rPr>
              <w:t>payable monthly at a floating rate (1.13% on December 30, 2017 and 0.57% on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foreign affiliate debt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r>
      <w:tr>
        <w:trPr>
          <w:trHeight w:val="210"/>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146,180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111,896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Less debt issuance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7"/>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109,059</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30, 2017 and December 31, 2016.</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30, 2017, the principal maturities of long-term debt and capital lease obligations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2019</w:t>
            </w: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59,737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2021</w:t>
            </w: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38,788</w:t>
            </w: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r>
      <w:tr>
        <w:trPr>
          <w:trHeight w:val="217"/>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146,180</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30, 2017, the estimated fair value of our long-term debt, including the current portion, was $148.0 million, which was $1.8 million more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184" w:lineRule="exact"/>
        <w:rPr>
          <w:sz w:val="20"/>
          <w:szCs w:val="20"/>
          <w:color w:val="auto"/>
        </w:rPr>
      </w:pPr>
    </w:p>
    <w:p>
      <w:pPr>
        <w:ind w:left="840" w:hanging="837"/>
        <w:spacing w:after="0"/>
        <w:tabs>
          <w:tab w:leader="none" w:pos="8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lease certain real estate under operating lease agreements with original terms ranging from one to ten years. We are required to pay real estate taxes and other occupancy costs under these leases. Certain leases carry renewal options of five to fifteen years. We also lease motor vehicles, equipment, and an aircraft under operating lease agreements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periods of one to ten years. Future minimum payments under non-cancelable operating leases on December 30, 2017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Operating</w:t>
            </w:r>
          </w:p>
        </w:tc>
      </w:tr>
      <w:tr>
        <w:trPr>
          <w:trHeight w:val="171"/>
        </w:trPr>
        <w:tc>
          <w:tcPr>
            <w:tcW w:w="8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Leases</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13,187</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7,778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w:t>
            </w:r>
          </w:p>
        </w:tc>
      </w:tr>
      <w:tr>
        <w:trPr>
          <w:trHeight w:val="217"/>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73,924</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Rent expense was approximately $22.3 million, $10.5 million, and $6.3 million in 2017, 2016, and 2015, respectively.</w:t>
      </w:r>
    </w:p>
    <w:p>
      <w:pPr>
        <w:spacing w:after="0" w:line="166" w:lineRule="exact"/>
        <w:rPr>
          <w:sz w:val="20"/>
          <w:szCs w:val="20"/>
          <w:color w:val="auto"/>
        </w:rPr>
      </w:pPr>
    </w:p>
    <w:p>
      <w:pPr>
        <w:ind w:left="840" w:hanging="837"/>
        <w:spacing w:after="0"/>
        <w:tabs>
          <w:tab w:leader="none" w:pos="8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 program whereby certain executives irrevocably elected to defer receipt of certain compensation in 1985 through 1988. Deferred compensation payments to these executives will commence upon their retirement.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The deferred compensation liabilities and related cash surrender value of life insurance policies totaled $2.0 million and $2.4 million on December 30, 2017 and December 31, 2016, respectively, and are included "Other Liabilities" and "Other Assets," respectively.</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$1.0 million and $0.9 million on December 30, 2017 and December 31, 2016 respectively, and are included in "Other Assets." Related liabilities totaled $22.6 million and $17.4 million on December 30, 2017 and December 31, 2016, respectively, and are included in "Other Liabilities" and "Shareholders’ Equity." Assets associated with the Plan are recorded at fair market value. The related liabilities are recorded at fair market value, with the exception of obligations associated with investments in our stock which are recorded at the market value on the date of deferral.</w:t>
      </w:r>
    </w:p>
    <w:p>
      <w:pPr>
        <w:spacing w:after="0" w:line="178" w:lineRule="exact"/>
        <w:rPr>
          <w:sz w:val="20"/>
          <w:szCs w:val="20"/>
          <w:color w:val="auto"/>
        </w:rPr>
      </w:pPr>
    </w:p>
    <w:p>
      <w:pPr>
        <w:ind w:left="760" w:hanging="757"/>
        <w:spacing w:after="0"/>
        <w:tabs>
          <w:tab w:leader="none" w:pos="7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2002, our shareholders approved the 2002 Employee Stock Purchase Plan ("Stock Purchase Plan") to succeed the Employee Stock Purchase Plan originally approved in 1994. In April 2008, our shareholders authorized additional shares to be allocated to the Stock Purchase Plan and extended the term of the Stock Purchase Plan to 2018. The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April 1994, our shareholders approved the Directors’ Retainer Stock Plan ("Stock Retainer Plan"). In April 2007, our shareholders authorized additional shares to be issued pursuant to this plan. The Stock Retainer Plan allows eligible members of the Board of Directors to defer the cash portion of their retainer and committee fees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shares is increased by the amount of dividends paid on the Company’s common stock. We recognized expense for this plan of $1.7 million in 2017, $0.7 million in 2016,</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$0.6 million in 2015. Effective January 1, 2017, this plan was amended to allow directors to defer payment of the annual retainer paid in the form of our common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15, 2010, our shareholders approved an amended and restated Long Term Stock Incentive Plan (the "LTSIP”). The LTSIP reserves 1,000,000 shares, plus a balance of unused shares from prior plans of approximately 1.6 million shares, plus an annual increase of no more than 200,000 shares per year which may be added on the dates of our annual shareholder meetings. The LTSIP provides for the grant of stock options, stock appreciation rights, restricted stock, performance shares and other stock-based awards.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18, 2017, the Board of Directors approved a three-for-one split of the Company's outstanding shares of common stock effected as a stock dividend. On November 14, 2017, shareholders of record as of October 31, 2017, received two additional shares for each share held on the record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is no unrecognized compensation expense remaining for stock options in 2017, 2016, and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nonvested restricted stock awards granted under the LTSIP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Unrecognized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6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92"/>
              </w:rPr>
              <w:t>Period to</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240" w:type="dxa"/>
            <w:vAlign w:val="bottom"/>
          </w:tcPr>
          <w:p>
            <w:pPr>
              <w:spacing w:after="0"/>
              <w:rPr>
                <w:sz w:val="12"/>
                <w:szCs w:val="12"/>
                <w:color w:val="auto"/>
              </w:rPr>
            </w:pPr>
          </w:p>
        </w:tc>
        <w:tc>
          <w:tcPr>
            <w:tcW w:w="82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Expense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Recognize</w:t>
            </w:r>
          </w:p>
        </w:tc>
        <w:tc>
          <w:tcPr>
            <w:tcW w:w="0" w:type="dxa"/>
            <w:vAlign w:val="bottom"/>
          </w:tcPr>
          <w:p>
            <w:pPr>
              <w:spacing w:after="0"/>
              <w:rPr>
                <w:sz w:val="1"/>
                <w:szCs w:val="1"/>
                <w:color w:val="auto"/>
              </w:rPr>
            </w:pPr>
          </w:p>
        </w:tc>
      </w:tr>
      <w:tr>
        <w:trPr>
          <w:trHeight w:val="178"/>
        </w:trPr>
        <w:tc>
          <w:tcPr>
            <w:tcW w:w="50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Awards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27, 2014</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771,258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1.81 years</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228,963</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(364,926)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16.28</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26, 2015</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623,748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2.53 years</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350,892</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23.96</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21.45</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2016</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791,532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1.51 years</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388,248</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30.14</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30, 2017</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1,033,626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7.1</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1.31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Stock Purchase Plan and LTSIP, we recognized share-based compensation expense of $3.6 million, $2.2 million, and $1.8 million and the related total income tax benefits of $1.0 million, $1.1 million, and $0.9 million in 2017, 2016 and 2015,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2017, 2016 and 2015, cash received from option exercises and share issuances under our plans was $0.7 million, $0.5 million and $1.1 million, respectively. The actual tax benefit realized in 2017, 2016 and 2015 for the tax deductions from option exercises totaled $0.0 million, $0.0 million and $0.4 million, respectively.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We repurchased 445,740 and 0 shares under this program in 2017 and 2016, respectively. As of December 30, 2017, the cumulative total authorized shares available for repurchase is approximately 2.7 million shares.</w:t>
      </w:r>
    </w:p>
    <w:p>
      <w:pPr>
        <w:spacing w:after="0" w:line="169" w:lineRule="exact"/>
        <w:rPr>
          <w:sz w:val="20"/>
          <w:szCs w:val="20"/>
          <w:color w:val="auto"/>
        </w:rPr>
      </w:pPr>
    </w:p>
    <w:p>
      <w:pPr>
        <w:ind w:left="780" w:hanging="777"/>
        <w:spacing w:after="0"/>
        <w:tabs>
          <w:tab w:leader="none" w:pos="7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have a profit sharing and 401(k) plan for the benefit of substantially all of our employees, excluding the employees of certain wholly-owned subsidiaries. Amounts contributed to the plan are made at the discretion of the Board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Directors. We matched 25% of employee contributions in 2017, 2016, and 2015, on a discretionary basis, totaling $4.8 million, $4.4 million, and $2.4 million respectively. The basis for matching contributions may not exceed the lesser of 6% of the employee’s annual compensation or the IRS limitation.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14, 2011, the compensation committee of the board of directors approved a retirement plan for certain officers of the Company (who have at least 20 years of service with the Company and at least 10 years of service as an officer) whereby we will pay, upon retirement, benefits totaling 150% of the officer’s highest base salary in the three years immediately preceding separation from service plus health care benefits for a specified period of time if certain eligibility requirements are met. Approximately $7.8 million and $6.5 million are accrued in “Other Liabilities” for this plan at December 30, 2017 and December 31, 2016, respectively.</w:t>
      </w:r>
    </w:p>
    <w:p>
      <w:pPr>
        <w:spacing w:after="0" w:line="189" w:lineRule="exact"/>
        <w:rPr>
          <w:sz w:val="20"/>
          <w:szCs w:val="20"/>
          <w:color w:val="auto"/>
        </w:rPr>
      </w:pPr>
    </w:p>
    <w:p>
      <w:pPr>
        <w:ind w:left="840" w:hanging="837"/>
        <w:spacing w:after="0"/>
        <w:tabs>
          <w:tab w:leader="none" w:pos="8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Income tax provisions for the years ended December 30, 2017, December 31, 2016, and December 26, 2015 are summarized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Currently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Federal</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44,413</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42,397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34,672</w:t>
            </w: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r>
      <w:tr>
        <w:trPr>
          <w:trHeight w:val="216"/>
        </w:trPr>
        <w:tc>
          <w:tcPr>
            <w:tcW w:w="6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r>
      <w:tr>
        <w:trPr>
          <w:trHeight w:val="210"/>
        </w:trPr>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Deferred: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State and local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6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6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51,967</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55,174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45,870</w:t>
            </w:r>
          </w:p>
        </w:tc>
      </w:tr>
      <w:tr>
        <w:trPr>
          <w:trHeight w:val="419"/>
        </w:trPr>
        <w:tc>
          <w:tcPr>
            <w:tcW w:w="6160" w:type="dxa"/>
            <w:vAlign w:val="bottom"/>
          </w:tcPr>
          <w:p>
            <w:pPr>
              <w:ind w:left="660"/>
              <w:spacing w:after="0"/>
              <w:rPr>
                <w:sz w:val="20"/>
                <w:szCs w:val="20"/>
                <w:color w:val="auto"/>
              </w:rPr>
            </w:pPr>
            <w:r>
              <w:rPr>
                <w:rFonts w:ascii="Arial" w:cs="Arial" w:eastAsia="Arial" w:hAnsi="Arial"/>
                <w:sz w:val="18"/>
                <w:szCs w:val="18"/>
                <w:color w:val="auto"/>
                <w:w w:val="93"/>
              </w:rPr>
              <w:t>The components of earnings before income taxes consist of the following: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5"/>
        </w:trPr>
        <w:tc>
          <w:tcPr>
            <w:tcW w:w="6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89"/>
              </w:rPr>
              <w:t>$ 151,395</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$ 140,106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115,231</w:t>
            </w:r>
          </w:p>
        </w:tc>
      </w:tr>
      <w:tr>
        <w:trPr>
          <w:trHeight w:val="223"/>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0"/>
              </w:rPr>
              <w:t>24,612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20,565</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15,771</w:t>
            </w:r>
          </w:p>
        </w:tc>
      </w:tr>
      <w:tr>
        <w:trPr>
          <w:trHeight w:val="223"/>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89"/>
              </w:rPr>
              <w:t>$ 176,007</w:t>
            </w:r>
          </w:p>
        </w:tc>
        <w:tc>
          <w:tcPr>
            <w:tcW w:w="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$ 160,671</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131,002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effective income tax rates are different from the statutory federal income tax rates for the following reasons: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5"/>
                <w:szCs w:val="15"/>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State and local taxes (net of federal benefits)</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3.0</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Effect of noncontrolling owned interest in earnings of partnerships</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Manufacturing deduction</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Tax credits, including foreign tax credit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Change in uncertain tax positions reserve</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0.4</w:t>
            </w: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net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(0.6)</w:t>
            </w: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r>
      <w:tr>
        <w:trPr>
          <w:trHeight w:val="236"/>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of Tax Act and reduction of corporate tax rate</w:t>
            </w:r>
          </w:p>
        </w:tc>
        <w:tc>
          <w:tcPr>
            <w:tcW w:w="8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0"/>
        </w:trPr>
        <w:tc>
          <w:tcPr>
            <w:tcW w:w="6600" w:type="dxa"/>
            <w:vAlign w:val="bottom"/>
          </w:tcPr>
          <w:p>
            <w:pPr>
              <w:spacing w:after="0" w:line="203" w:lineRule="exact"/>
              <w:rPr>
                <w:sz w:val="20"/>
                <w:szCs w:val="20"/>
                <w:color w:val="auto"/>
              </w:rPr>
            </w:pPr>
            <w:r>
              <w:rPr>
                <w:rFonts w:ascii="Arial" w:cs="Arial" w:eastAsia="Arial" w:hAnsi="Arial"/>
                <w:sz w:val="18"/>
                <w:szCs w:val="18"/>
                <w:color w:val="auto"/>
              </w:rPr>
              <w:t>Effective income tax rate</w:t>
            </w:r>
          </w:p>
        </w:tc>
        <w:tc>
          <w:tcPr>
            <w:tcW w:w="88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29.5 %</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w:t>
            </w:r>
          </w:p>
        </w:tc>
        <w:tc>
          <w:tcPr>
            <w:tcW w:w="2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864"/>
        </w:trPr>
        <w:tc>
          <w:tcPr>
            <w:tcW w:w="6600" w:type="dxa"/>
            <w:vAlign w:val="bottom"/>
          </w:tcPr>
          <w:p>
            <w:pPr>
              <w:ind w:left="4440"/>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6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Temporary differences which give rise to deferred income tax assets and (liabilities) on December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13,605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subsidiary capital loss carryforward</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tax credits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Reserves on receivables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income tax assets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41,149</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Depreciation</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(19,992)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(29,971)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(25,078)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net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(39,414)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(55,049)</w:t>
            </w: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20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(12,214)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(19,271)</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30, 2017, the company had federal, state and foreign net operating loss carryforwards of $8.6 million and state tax credit carryforwards of $0.5 million, which will expire at various dates. The Company also has a $0.2 million federal alternative minimum tax credit which it expects to be refunded.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NOL and credit carryforwards expire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Net Operating Losses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Tax Credits</w:t>
            </w:r>
          </w:p>
        </w:tc>
      </w:tr>
      <w:tr>
        <w:trPr>
          <w:trHeight w:val="156"/>
        </w:trPr>
        <w:tc>
          <w:tcPr>
            <w:tcW w:w="380" w:type="dxa"/>
            <w:vAlign w:val="bottom"/>
            <w:tcBorders>
              <w:bottom w:val="single" w:sz="8" w:color="CCEEFF"/>
            </w:tcBorders>
          </w:tcPr>
          <w:p>
            <w:pPr>
              <w:spacing w:after="0"/>
              <w:rPr>
                <w:sz w:val="13"/>
                <w:szCs w:val="13"/>
                <w:color w:val="auto"/>
              </w:rPr>
            </w:pPr>
          </w:p>
        </w:tc>
        <w:tc>
          <w:tcPr>
            <w:tcW w:w="204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line="149"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w w:val="93"/>
              </w:rPr>
              <w:t>State</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Foreign</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b w:val="1"/>
                <w:bCs w:val="1"/>
                <w:color w:val="auto"/>
                <w:w w:val="87"/>
              </w:rPr>
              <w:t>State</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2021</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2040" w:type="dxa"/>
            <w:vAlign w:val="bottom"/>
          </w:tcPr>
          <w:p>
            <w:pPr>
              <w:ind w:left="20"/>
              <w:spacing w:after="0"/>
              <w:rPr>
                <w:sz w:val="20"/>
                <w:szCs w:val="20"/>
                <w:color w:val="auto"/>
              </w:rPr>
            </w:pPr>
            <w:r>
              <w:rPr>
                <w:rFonts w:ascii="Arial" w:cs="Arial" w:eastAsia="Arial" w:hAnsi="Arial"/>
                <w:sz w:val="18"/>
                <w:szCs w:val="18"/>
                <w:color w:val="auto"/>
              </w:rPr>
              <w:t>- 2026</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391</w:t>
            </w:r>
          </w:p>
        </w:tc>
        <w:tc>
          <w:tcPr>
            <w:tcW w:w="68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2027</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- 2031</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2032</w:t>
            </w:r>
          </w:p>
        </w:tc>
        <w:tc>
          <w:tcPr>
            <w:tcW w:w="2040" w:type="dxa"/>
            <w:vAlign w:val="bottom"/>
          </w:tcPr>
          <w:p>
            <w:pPr>
              <w:ind w:left="20"/>
              <w:spacing w:after="0"/>
              <w:rPr>
                <w:sz w:val="20"/>
                <w:szCs w:val="20"/>
                <w:color w:val="auto"/>
              </w:rPr>
            </w:pPr>
            <w:r>
              <w:rPr>
                <w:rFonts w:ascii="Arial" w:cs="Arial" w:eastAsia="Arial" w:hAnsi="Arial"/>
                <w:sz w:val="18"/>
                <w:szCs w:val="18"/>
                <w:color w:val="auto"/>
              </w:rPr>
              <w:t>- 2036</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3,431</w:t>
            </w:r>
          </w:p>
        </w:tc>
        <w:tc>
          <w:tcPr>
            <w:tcW w:w="2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804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3,431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2,575</w:t>
            </w:r>
          </w:p>
        </w:tc>
        <w:tc>
          <w:tcPr>
            <w:tcW w:w="680" w:type="dxa"/>
            <w:vAlign w:val="bottom"/>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503</w:t>
            </w: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30, 2017, we believe that it is more likely than not that the benefit from certain state and foreign NOL carryforwards as well as certain state tax credit carryforwards will not be realized. In recognition of this risk, we have provided a valuation allowance against various NOL and tax credit carryforwards.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that will affect 2017, including, but not limited to, (1) requiring a one-time transition tax on certain unrepatriated earnings of foreign subsidiaries that is payable over eight years and (2) bonus depreciation that will allow for full expensing of qualified property.</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Tax Act also established new tax laws that will affect 2018, including, but not limited to, (1) reduction of the U.S. federal corporate tax rate; (2) elimination of the corporate alternative minimum tax (AMT); (3) the creation of the base erosion anti-abuse tax (BEAT), a new minimum tax: (4) a general elimination of U.S. federal income taxes on dividends from foreign subsidiaries; (5) a new provision designed to tax global intangible low-taxed income (GILTI), which allows for the possibility of using foreign tax credits (FTCs) and a deduction of up to 50 percent to offset the income tax liability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some limitations); (6) a new limitation on deductible interest expense; (7) the repeal of the domestic production activity deduction; (8) limitations on the deductibility of certain executive compensation; (9) limitations on the use of FTCs to reduce the U.S. income tax liability; and (10) limitations on net operating losses (NOLs) generated after December 31, 2017, to 80 percent of taxable income.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our initial analysis of the impact of the Tax Act, we have recorded a discrete net tax benefit of $6.1 million in the period ending December 30, 2017. This net benefit primarily consists of (1) a net benefit for the corporate rate reduction of $8.2 million; (2) a net expense for the write-down of deferred tax assets for stock based compensation that will no longer be deductible for $1.9 million; and (3) a net expense for the transition tax of $0.2 million. For various reasons that are discussed more fully below, we have not completed our accounting for the income tax effects of certain elements of the Tax Act. If we were able to make reasonable estimates of the effects of elements for which our analysis is not yet complete, we recorded provisional adjustments. If we were not yet able to make reasonable estimates of the impact of certain elements, we have not recorded any adjustments related to those elements and have continued accounting for them in accordance with ASC 740 on the basis of the tax laws in effect before the Tax Act.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accounting for the following elements of the Tax Act is incomplete. However, we were able to make reasonable estimates of certain effects and, therefore, recorded provisional adjustments as follows: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Reduction of U.S. federal corporate tax rate: </w:t>
      </w:r>
      <w:r>
        <w:rPr>
          <w:rFonts w:ascii="Arial" w:cs="Arial" w:eastAsia="Arial" w:hAnsi="Arial"/>
          <w:sz w:val="17"/>
          <w:szCs w:val="17"/>
          <w:color w:val="auto"/>
        </w:rPr>
        <w:t>The Tax Act reduces the corporate tax rate to 21 percent, effective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2018. For certain of our DTAs and DTLs, we have recorded a provisional decrease of $13.6 million and $21.8 million, respectively, with a corresponding net adjustment of deferred income tax benefit of $8.2 million for the year ended December 30, 2017. While we are able to make a reasonable estimate of the impact of the reduction in corporate rate, it may be affected by other analysis related to the Tax Act, including, but not limited to, our calculation of deemed repatriation of deferred foreign income and the state tax effect of adjustments made to federal temporary differences.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The Deemed Repatriation Transition Tax (Transition Tax) is a tax on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untaxed accumulated and current earnings and profits (E&amp;P) of certain of our foreign subsidiaries. To determine the amount of the Transition Tax, we must determine, in addition to other factors, the amount of post-1986 E&amp;P of the relevant subsidiaries, as well as the amount of non-U.S. income taxes paid on such earnings. We are able to make a reasonable estimate of the Transition Tax and recorded a provisional Transition Tax obligation comprised of $6.3 million tax on foreign earnings and offset by FTCs of $6.1 million. However, we are continuing to gather additional information to more precisely compute the amount of the Transition Tax for any potential state tax effects and we are still evaluating the remaining outside basis differences not closed by the imposition of the transition tax. Tentatively, no changes were made to our ASC 740-30 assertion.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Cost recovery</w:t>
      </w:r>
      <w:r>
        <w:rPr>
          <w:rFonts w:ascii="Arial" w:cs="Arial" w:eastAsia="Arial" w:hAnsi="Arial"/>
          <w:sz w:val="18"/>
          <w:szCs w:val="18"/>
          <w:color w:val="auto"/>
        </w:rPr>
        <w:t>: While we have not yet completed all of the computations necessary or completed an inventory of our 2017</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that qualify for immediate expensing, we have recorded a provisional benefit of $0.1 million based on our current intent to fully expense all qualifying expenditures. This resulted in a decrease of approximately $0.3 million to our current income tax payable and a corresponding increase in our DTLs of approximately $0.2 million (after considering the effects of the reduction in income tax rates).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accounting for the following elements of the Tax Act is incomplete, and we were not yet able to make reasonable estimates of the effects. Therefore, no provisional adjustments were recorded.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Global intangible low taxed income (GILTI): </w:t>
      </w:r>
      <w:r>
        <w:rPr>
          <w:rFonts w:ascii="Arial" w:cs="Arial" w:eastAsia="Arial" w:hAnsi="Arial"/>
          <w:sz w:val="17"/>
          <w:szCs w:val="17"/>
          <w:color w:val="auto"/>
        </w:rPr>
        <w:t>The Tax Act creates a new requirement that certain income (i.e., GILTI) earned</w:t>
      </w:r>
      <w:r>
        <w:rPr>
          <w:rFonts w:ascii="Arial" w:cs="Arial" w:eastAsia="Arial" w:hAnsi="Arial"/>
          <w:sz w:val="17"/>
          <w:szCs w:val="17"/>
          <w:i w:val="1"/>
          <w:iCs w:val="1"/>
          <w:color w:val="auto"/>
        </w:rPr>
        <w:t xml:space="preserve"> </w:t>
      </w:r>
      <w:r>
        <w:rPr>
          <w:rFonts w:ascii="Arial" w:cs="Arial" w:eastAsia="Arial" w:hAnsi="Arial"/>
          <w:sz w:val="17"/>
          <w:szCs w:val="17"/>
          <w:color w:val="auto"/>
        </w:rPr>
        <w:t>by controlled foreign corporations (CFCs) must be included currently in the gross income of the CFCs’ U.S. shareholder. GILTI is the excess of the shareholder’s “net CFC tested income” over the net deemed tangible income return, which is currently defined as the excess of (1) 10 percent of the aggregate of the U.S. shareholder’s pro rata share of the qualified business asset investment of each CFC with respect to which it is a U.S. shareholder over (2) the amount of certain interest expense taken into account in the determination of net CFC-tested income.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of the complexity of the new GILTI tax rules, we are continuing to evaluate this provision of the Tax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not only our current structure and estimated future results of global operations but also our intent and ability to modify our structure and/or our business, we are not yet able to reasonably estimate the effect of the provision of the Tax Act. Therefore, we have not made any adjustments related to potential GILTI tax in our financial statements and have not made a policy decision regarding whether to record deferred taxes on GILTI.</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Valuation allowances: </w:t>
      </w:r>
      <w:r>
        <w:rPr>
          <w:rFonts w:ascii="Arial" w:cs="Arial" w:eastAsia="Arial" w:hAnsi="Arial"/>
          <w:sz w:val="17"/>
          <w:szCs w:val="17"/>
          <w:color w:val="auto"/>
        </w:rPr>
        <w:t>The company must assess whether valuation allowances assessments are affected by various aspects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Tax Act (e.g., deemed repatriation of deferred foreign income and the effects on state NOLs, GILTI inclusions, new categories of FTCs). Since, as discussed herein, the company has recorded no amounts related to certain portions of the Tax Act, any corresponding determination of the need for or change in a valuation allowance has not be completed and no changes to valuation allowances as a result of the Tax Act have been recorded.</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remaining provisions of the Tax Act, as listed above, became effective on January 1, 2018 and did not require accounting treatment for the year-ended December 30, 2017. We are currently analyzing the impact of these provisions.</w:t>
      </w:r>
    </w:p>
    <w:p>
      <w:pPr>
        <w:spacing w:after="0" w:line="143" w:lineRule="exact"/>
        <w:rPr>
          <w:sz w:val="20"/>
          <w:szCs w:val="20"/>
          <w:color w:val="auto"/>
        </w:rPr>
      </w:pPr>
    </w:p>
    <w:p>
      <w:pPr>
        <w:ind w:left="820" w:hanging="817"/>
        <w:spacing w:after="0"/>
        <w:tabs>
          <w:tab w:leader="none" w:pos="8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Increase in tax positions for prior years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positions due to acquisitions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Increase in tax positions for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taxing authorities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Lapse in statute of limitations</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7"/>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end of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effective tax rate would have been affected by the unrecognized tax benefits had this amount been recognized as a reduction to income tax expense.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interest and penalties for unrecognized tax benefits in our provision for income taxes. The liability for unrecognized tax benefits included accrued interest and penalties of $0.7 million, $0.6 million, and $0.2 million at December 30, 2017, December 31, 2016, and December 26, 2015, respectively.</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file income tax returns in the United States and in various state, local and foreign jurisdictions. The federal and a majority of state and foreign jurisdictions are no longer subject to income tax examinations for years before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number of routine state and local examinations are currently ongoing. Due to the potential for resolution of state examinations, and the expiration of various statutes of limitation, and new positions that may be taken, it is reasonably possible that the amounts of unrecognized tax benefits could change in the next twelve months is $0.7 million.</w:t>
      </w:r>
    </w:p>
    <w:p>
      <w:pPr>
        <w:spacing w:after="0" w:line="162" w:lineRule="exact"/>
        <w:rPr>
          <w:sz w:val="20"/>
          <w:szCs w:val="20"/>
          <w:color w:val="auto"/>
        </w:rPr>
      </w:pPr>
    </w:p>
    <w:p>
      <w:pPr>
        <w:ind w:left="860" w:hanging="857"/>
        <w:spacing w:after="0"/>
        <w:tabs>
          <w:tab w:leader="none" w:pos="8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CONTINGENCIES, AND GUARANTEES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consolidated basis, we have reserved approximately $3.0 million and $3.6 million on December 30, 2017 and December 31, 2016, respectively, representing the estimated costs to complete future remediation efforts. These amounts have not been reduced by an insurance receivable.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$0.2 million. As a result, this amount is recorded in other long-term liabilities on December 30, 2017.</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2014, two Company employees were terminated for violating the Company’s Code of Business Conduct and Ethics. In 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Based upon prior communications with the US Attorney’s Office, we do not believe that the resolution of this matter will have a material adverse impact on our financial condition or the results of our operations.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on December 30, 2017,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30, 2017, we had outstanding purchase commitments on commenced capital projects of approximately $7.7 million.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provide a variety of warranties for products we manufacture. Historically, warranty claims have not been material. We distribute products manufactured by other companies, some of which are no longer in business. While we do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30, 2017, we had approximately $1.4 million in outstanding payment and performance bonds for open projects. We had approximately $7.6 million in payment and performance bonds outstanding for completed projects which are still under warranty.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30, 2017 we had outstanding letters of credit totaling $26.5 million, primarily related to certain insurance contracts and industrial development revenue bonds described further below.</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$16.7 million for these types of insurance arrangements. We have reserves recorded on our balance sheet, in accrued liabilities, that reflect our expected future liabilities under these insurance arrangements.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enter into any new guarantee arrangements during 2017 which would require us to recognize a liability on our balance sheet.</w:t>
      </w:r>
    </w:p>
    <w:p>
      <w:pPr>
        <w:spacing w:after="0" w:line="166" w:lineRule="exact"/>
        <w:rPr>
          <w:sz w:val="20"/>
          <w:szCs w:val="20"/>
          <w:color w:val="auto"/>
        </w:rPr>
      </w:pPr>
    </w:p>
    <w:p>
      <w:pPr>
        <w:ind w:left="820" w:hanging="817"/>
        <w:spacing w:after="0"/>
        <w:tabs>
          <w:tab w:leader="none" w:pos="8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manufacturing, treating and distribution facilities throughout North America, Europe, Asia and Australia,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w:t>
      </w:r>
    </w:p>
    <w:p>
      <w:pPr>
        <w:spacing w:after="0" w:line="2" w:lineRule="exact"/>
        <w:rPr>
          <w:sz w:val="20"/>
          <w:szCs w:val="20"/>
          <w:color w:val="auto"/>
        </w:rPr>
      </w:pPr>
    </w:p>
    <w:p>
      <w:pPr>
        <w:jc w:val="both"/>
        <w:ind w:firstLine="3"/>
        <w:spacing w:after="0" w:line="253"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Alternative Materials Division, which offers a portfolio of non-wood products and distributes those products nation-wide and is accounted for as a reporting unit within the All Other segment, (b) the Company’s distribution unit (referred to as UFPD) which distributes a variety of products to the manufactured housing industry and is accounted for as a reporting unit within the North segment, and (c) idX division, which designs, manufactures, and installs customized interior fixtures and is accounted for within the All Other segment.</w:t>
      </w:r>
    </w:p>
    <w:p>
      <w:pPr>
        <w:spacing w:after="0" w:line="1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Alternative Materials, International, and idX divisions have been included in the “All Other” column of the table below. The “Corporate” column includes unallocated administrative costs and certain incentive compensation expense.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0"/>
                <w:szCs w:val="10"/>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South</w:t>
            </w:r>
          </w:p>
        </w:tc>
        <w:tc>
          <w:tcPr>
            <w:tcW w:w="140" w:type="dxa"/>
            <w:vAlign w:val="bottom"/>
          </w:tcPr>
          <w:p>
            <w:pPr>
              <w:spacing w:after="0"/>
              <w:rPr>
                <w:sz w:val="10"/>
                <w:szCs w:val="10"/>
                <w:color w:val="auto"/>
              </w:rPr>
            </w:pPr>
          </w:p>
        </w:tc>
        <w:tc>
          <w:tcPr>
            <w:tcW w:w="9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West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326"/>
              <w:spacing w:after="0" w:line="126" w:lineRule="exact"/>
              <w:rPr>
                <w:sz w:val="20"/>
                <w:szCs w:val="20"/>
                <w:color w:val="auto"/>
              </w:rPr>
            </w:pPr>
            <w:r>
              <w:rPr>
                <w:rFonts w:ascii="Arial" w:cs="Arial" w:eastAsia="Arial" w:hAnsi="Arial"/>
                <w:sz w:val="14"/>
                <w:szCs w:val="14"/>
                <w:b w:val="1"/>
                <w:bCs w:val="1"/>
                <w:color w:val="auto"/>
              </w:rPr>
              <w:t>All</w:t>
            </w:r>
          </w:p>
        </w:tc>
        <w:tc>
          <w:tcPr>
            <w:tcW w:w="800" w:type="dxa"/>
            <w:vAlign w:val="bottom"/>
            <w:gridSpan w:val="3"/>
            <w:vMerge w:val="restart"/>
          </w:tcPr>
          <w:p>
            <w:pPr>
              <w:jc w:val="right"/>
              <w:ind w:right="18"/>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0"/>
                <w:szCs w:val="10"/>
                <w:color w:val="auto"/>
              </w:rPr>
            </w:pPr>
          </w:p>
        </w:tc>
        <w:tc>
          <w:tcPr>
            <w:tcW w:w="11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46"/>
              <w:spacing w:after="0"/>
              <w:rPr>
                <w:sz w:val="20"/>
                <w:szCs w:val="20"/>
                <w:color w:val="auto"/>
              </w:rPr>
            </w:pPr>
            <w:r>
              <w:rPr>
                <w:rFonts w:ascii="Arial" w:cs="Arial" w:eastAsia="Arial" w:hAnsi="Arial"/>
                <w:sz w:val="14"/>
                <w:szCs w:val="14"/>
                <w:b w:val="1"/>
                <w:bCs w:val="1"/>
                <w:color w:val="auto"/>
                <w:w w:val="90"/>
              </w:rPr>
              <w:t>Other</w:t>
            </w:r>
          </w:p>
        </w:tc>
        <w:tc>
          <w:tcPr>
            <w:tcW w:w="8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4"/>
            <w:shd w:val="clear" w:color="auto" w:fill="CCEEFF"/>
          </w:tcPr>
          <w:p>
            <w:pPr>
              <w:jc w:val="right"/>
              <w:ind w:right="82"/>
              <w:spacing w:after="0"/>
              <w:rPr>
                <w:sz w:val="20"/>
                <w:szCs w:val="20"/>
                <w:color w:val="auto"/>
              </w:rPr>
            </w:pPr>
            <w:r>
              <w:rPr>
                <w:rFonts w:ascii="Arial" w:cs="Arial" w:eastAsia="Arial" w:hAnsi="Arial"/>
                <w:sz w:val="18"/>
                <w:szCs w:val="18"/>
                <w:color w:val="auto"/>
                <w:w w:val="88"/>
              </w:rPr>
              <w:t>$1,133,656</w:t>
            </w:r>
          </w:p>
        </w:tc>
        <w:tc>
          <w:tcPr>
            <w:tcW w:w="960" w:type="dxa"/>
            <w:vAlign w:val="bottom"/>
            <w:tcBorders>
              <w:top w:val="single" w:sz="8" w:color="auto"/>
            </w:tcBorders>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98"/>
              </w:rPr>
              <w:t>$837,370</w:t>
            </w:r>
          </w:p>
        </w:tc>
        <w:tc>
          <w:tcPr>
            <w:tcW w:w="1040" w:type="dxa"/>
            <w:vAlign w:val="bottom"/>
            <w:tcBorders>
              <w:top w:val="single" w:sz="8" w:color="auto"/>
            </w:tcBorders>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90"/>
              </w:rPr>
              <w:t>$1,417,924</w:t>
            </w:r>
          </w:p>
        </w:tc>
        <w:tc>
          <w:tcPr>
            <w:tcW w:w="880" w:type="dxa"/>
            <w:vAlign w:val="bottom"/>
            <w:tcBorders>
              <w:top w:val="single" w:sz="8" w:color="auto"/>
            </w:tcBorders>
            <w:gridSpan w:val="3"/>
            <w:shd w:val="clear" w:color="auto" w:fill="CCEEFF"/>
          </w:tcPr>
          <w:p>
            <w:pPr>
              <w:jc w:val="right"/>
              <w:ind w:right="106"/>
              <w:spacing w:after="0"/>
              <w:rPr>
                <w:sz w:val="20"/>
                <w:szCs w:val="20"/>
                <w:color w:val="auto"/>
              </w:rPr>
            </w:pPr>
            <w:r>
              <w:rPr>
                <w:rFonts w:ascii="Arial" w:cs="Arial" w:eastAsia="Arial" w:hAnsi="Arial"/>
                <w:sz w:val="18"/>
                <w:szCs w:val="18"/>
                <w:color w:val="auto"/>
                <w:w w:val="90"/>
              </w:rPr>
              <w:t>$552,232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9"/>
              </w:rPr>
              <w:t>$3,941,182</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40" w:type="dxa"/>
            <w:vAlign w:val="bottom"/>
            <w:gridSpan w:val="5"/>
          </w:tcPr>
          <w:p>
            <w:pPr>
              <w:jc w:val="right"/>
              <w:ind w:right="82"/>
              <w:spacing w:after="0"/>
              <w:rPr>
                <w:sz w:val="20"/>
                <w:szCs w:val="20"/>
                <w:color w:val="auto"/>
              </w:rPr>
            </w:pPr>
            <w:r>
              <w:rPr>
                <w:rFonts w:ascii="Arial" w:cs="Arial" w:eastAsia="Arial" w:hAnsi="Arial"/>
                <w:sz w:val="18"/>
                <w:szCs w:val="18"/>
                <w:color w:val="auto"/>
              </w:rPr>
              <w:t>67,161</w:t>
            </w:r>
          </w:p>
        </w:tc>
        <w:tc>
          <w:tcPr>
            <w:tcW w:w="960" w:type="dxa"/>
            <w:vAlign w:val="bottom"/>
            <w:gridSpan w:val="2"/>
          </w:tcPr>
          <w:p>
            <w:pPr>
              <w:jc w:val="right"/>
              <w:ind w:right="124"/>
              <w:spacing w:after="0"/>
              <w:rPr>
                <w:sz w:val="20"/>
                <w:szCs w:val="20"/>
                <w:color w:val="auto"/>
              </w:rPr>
            </w:pPr>
            <w:r>
              <w:rPr>
                <w:rFonts w:ascii="Arial" w:cs="Arial" w:eastAsia="Arial" w:hAnsi="Arial"/>
                <w:sz w:val="18"/>
                <w:szCs w:val="18"/>
                <w:color w:val="auto"/>
              </w:rPr>
              <w:t>74,566</w:t>
            </w:r>
          </w:p>
        </w:tc>
        <w:tc>
          <w:tcPr>
            <w:tcW w:w="1040" w:type="dxa"/>
            <w:vAlign w:val="bottom"/>
            <w:gridSpan w:val="2"/>
          </w:tcPr>
          <w:p>
            <w:pPr>
              <w:jc w:val="right"/>
              <w:ind w:right="124"/>
              <w:spacing w:after="0"/>
              <w:rPr>
                <w:sz w:val="20"/>
                <w:szCs w:val="20"/>
                <w:color w:val="auto"/>
              </w:rPr>
            </w:pPr>
            <w:r>
              <w:rPr>
                <w:rFonts w:ascii="Arial" w:cs="Arial" w:eastAsia="Arial" w:hAnsi="Arial"/>
                <w:sz w:val="18"/>
                <w:szCs w:val="18"/>
                <w:color w:val="auto"/>
              </w:rPr>
              <w:t>83,245</w:t>
            </w:r>
          </w:p>
        </w:tc>
        <w:tc>
          <w:tcPr>
            <w:tcW w:w="880" w:type="dxa"/>
            <w:vAlign w:val="bottom"/>
            <w:gridSpan w:val="3"/>
          </w:tcPr>
          <w:p>
            <w:pPr>
              <w:jc w:val="right"/>
              <w:ind w:right="106"/>
              <w:spacing w:after="0"/>
              <w:rPr>
                <w:sz w:val="20"/>
                <w:szCs w:val="20"/>
                <w:color w:val="auto"/>
              </w:rPr>
            </w:pPr>
            <w:r>
              <w:rPr>
                <w:rFonts w:ascii="Arial" w:cs="Arial" w:eastAsia="Arial" w:hAnsi="Arial"/>
                <w:sz w:val="18"/>
                <w:szCs w:val="18"/>
                <w:color w:val="auto"/>
              </w:rPr>
              <w:t>167,568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392,540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240" w:type="dxa"/>
            <w:vAlign w:val="bottom"/>
            <w:gridSpan w:val="5"/>
            <w:shd w:val="clear" w:color="auto" w:fill="CCEEFF"/>
          </w:tcPr>
          <w:p>
            <w:pPr>
              <w:jc w:val="right"/>
              <w:ind w:right="82"/>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160</w:t>
            </w:r>
          </w:p>
        </w:tc>
        <w:tc>
          <w:tcPr>
            <w:tcW w:w="104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293</w:t>
            </w:r>
          </w:p>
        </w:tc>
        <w:tc>
          <w:tcPr>
            <w:tcW w:w="880" w:type="dxa"/>
            <w:vAlign w:val="bottom"/>
            <w:gridSpan w:val="3"/>
            <w:shd w:val="clear" w:color="auto" w:fill="CCEEFF"/>
          </w:tcPr>
          <w:p>
            <w:pPr>
              <w:jc w:val="right"/>
              <w:ind w:right="46"/>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6,234</w:t>
            </w:r>
          </w:p>
        </w:tc>
        <w:tc>
          <w:tcPr>
            <w:tcW w:w="3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Amortization expense</w:t>
            </w:r>
          </w:p>
        </w:tc>
        <w:tc>
          <w:tcPr>
            <w:tcW w:w="1240" w:type="dxa"/>
            <w:vAlign w:val="bottom"/>
            <w:gridSpan w:val="5"/>
          </w:tcPr>
          <w:p>
            <w:pPr>
              <w:jc w:val="right"/>
              <w:ind w:right="82"/>
              <w:spacing w:after="0"/>
              <w:rPr>
                <w:sz w:val="20"/>
                <w:szCs w:val="20"/>
                <w:color w:val="auto"/>
              </w:rPr>
            </w:pPr>
            <w:r>
              <w:rPr>
                <w:rFonts w:ascii="Arial" w:cs="Arial" w:eastAsia="Arial" w:hAnsi="Arial"/>
                <w:sz w:val="18"/>
                <w:szCs w:val="18"/>
                <w:color w:val="auto"/>
              </w:rPr>
              <w:t>559</w:t>
            </w:r>
          </w:p>
        </w:tc>
        <w:tc>
          <w:tcPr>
            <w:tcW w:w="960" w:type="dxa"/>
            <w:vAlign w:val="bottom"/>
            <w:gridSpan w:val="2"/>
          </w:tcPr>
          <w:p>
            <w:pPr>
              <w:jc w:val="right"/>
              <w:ind w:right="124"/>
              <w:spacing w:after="0"/>
              <w:rPr>
                <w:sz w:val="20"/>
                <w:szCs w:val="20"/>
                <w:color w:val="auto"/>
              </w:rPr>
            </w:pPr>
            <w:r>
              <w:rPr>
                <w:rFonts w:ascii="Arial" w:cs="Arial" w:eastAsia="Arial" w:hAnsi="Arial"/>
                <w:sz w:val="18"/>
                <w:szCs w:val="18"/>
                <w:color w:val="auto"/>
              </w:rPr>
              <w:t>607</w:t>
            </w:r>
          </w:p>
        </w:tc>
        <w:tc>
          <w:tcPr>
            <w:tcW w:w="1040" w:type="dxa"/>
            <w:vAlign w:val="bottom"/>
            <w:gridSpan w:val="2"/>
          </w:tcPr>
          <w:p>
            <w:pPr>
              <w:jc w:val="right"/>
              <w:ind w:right="124"/>
              <w:spacing w:after="0"/>
              <w:rPr>
                <w:sz w:val="20"/>
                <w:szCs w:val="20"/>
                <w:color w:val="auto"/>
              </w:rPr>
            </w:pPr>
            <w:r>
              <w:rPr>
                <w:rFonts w:ascii="Arial" w:cs="Arial" w:eastAsia="Arial" w:hAnsi="Arial"/>
                <w:sz w:val="18"/>
                <w:szCs w:val="18"/>
                <w:color w:val="auto"/>
              </w:rPr>
              <w:t>1,723</w:t>
            </w:r>
          </w:p>
        </w:tc>
        <w:tc>
          <w:tcPr>
            <w:tcW w:w="880" w:type="dxa"/>
            <w:vAlign w:val="bottom"/>
            <w:gridSpan w:val="3"/>
          </w:tcPr>
          <w:p>
            <w:pPr>
              <w:jc w:val="right"/>
              <w:ind w:right="106"/>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4,860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40" w:type="dxa"/>
            <w:vAlign w:val="bottom"/>
            <w:gridSpan w:val="5"/>
            <w:shd w:val="clear" w:color="auto" w:fill="CCEEFF"/>
          </w:tcPr>
          <w:p>
            <w:pPr>
              <w:jc w:val="right"/>
              <w:ind w:right="82"/>
              <w:spacing w:after="0"/>
              <w:rPr>
                <w:sz w:val="20"/>
                <w:szCs w:val="20"/>
                <w:color w:val="auto"/>
              </w:rPr>
            </w:pPr>
            <w:r>
              <w:rPr>
                <w:rFonts w:ascii="Arial" w:cs="Arial" w:eastAsia="Arial" w:hAnsi="Arial"/>
                <w:sz w:val="18"/>
                <w:szCs w:val="18"/>
                <w:color w:val="auto"/>
              </w:rPr>
              <w:t>10,511</w:t>
            </w:r>
          </w:p>
        </w:tc>
        <w:tc>
          <w:tcPr>
            <w:tcW w:w="9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6,880</w:t>
            </w:r>
          </w:p>
        </w:tc>
        <w:tc>
          <w:tcPr>
            <w:tcW w:w="104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14,116</w:t>
            </w:r>
          </w:p>
        </w:tc>
        <w:tc>
          <w:tcPr>
            <w:tcW w:w="880" w:type="dxa"/>
            <w:vAlign w:val="bottom"/>
            <w:gridSpan w:val="3"/>
            <w:shd w:val="clear" w:color="auto" w:fill="CCEEFF"/>
          </w:tcPr>
          <w:p>
            <w:pPr>
              <w:jc w:val="right"/>
              <w:ind w:right="106"/>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8,443</w:t>
            </w:r>
          </w:p>
        </w:tc>
        <w:tc>
          <w:tcPr>
            <w:tcW w:w="3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48,536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8"/>
              </w:rPr>
              <w:t>Segment earnings from operations</w:t>
            </w:r>
          </w:p>
        </w:tc>
        <w:tc>
          <w:tcPr>
            <w:tcW w:w="1240" w:type="dxa"/>
            <w:vAlign w:val="bottom"/>
            <w:gridSpan w:val="5"/>
          </w:tcPr>
          <w:p>
            <w:pPr>
              <w:jc w:val="right"/>
              <w:ind w:right="82"/>
              <w:spacing w:after="0"/>
              <w:rPr>
                <w:sz w:val="20"/>
                <w:szCs w:val="20"/>
                <w:color w:val="auto"/>
              </w:rPr>
            </w:pPr>
            <w:r>
              <w:rPr>
                <w:rFonts w:ascii="Arial" w:cs="Arial" w:eastAsia="Arial" w:hAnsi="Arial"/>
                <w:sz w:val="18"/>
                <w:szCs w:val="18"/>
                <w:color w:val="auto"/>
              </w:rPr>
              <w:t>61,326</w:t>
            </w:r>
          </w:p>
        </w:tc>
        <w:tc>
          <w:tcPr>
            <w:tcW w:w="960" w:type="dxa"/>
            <w:vAlign w:val="bottom"/>
            <w:gridSpan w:val="2"/>
          </w:tcPr>
          <w:p>
            <w:pPr>
              <w:jc w:val="right"/>
              <w:ind w:right="124"/>
              <w:spacing w:after="0"/>
              <w:rPr>
                <w:sz w:val="20"/>
                <w:szCs w:val="20"/>
                <w:color w:val="auto"/>
              </w:rPr>
            </w:pPr>
            <w:r>
              <w:rPr>
                <w:rFonts w:ascii="Arial" w:cs="Arial" w:eastAsia="Arial" w:hAnsi="Arial"/>
                <w:sz w:val="18"/>
                <w:szCs w:val="18"/>
                <w:color w:val="auto"/>
              </w:rPr>
              <w:t>46,646</w:t>
            </w:r>
          </w:p>
        </w:tc>
        <w:tc>
          <w:tcPr>
            <w:tcW w:w="1040" w:type="dxa"/>
            <w:vAlign w:val="bottom"/>
            <w:gridSpan w:val="2"/>
          </w:tcPr>
          <w:p>
            <w:pPr>
              <w:jc w:val="right"/>
              <w:ind w:right="124"/>
              <w:spacing w:after="0"/>
              <w:rPr>
                <w:sz w:val="20"/>
                <w:szCs w:val="20"/>
                <w:color w:val="auto"/>
              </w:rPr>
            </w:pPr>
            <w:r>
              <w:rPr>
                <w:rFonts w:ascii="Arial" w:cs="Arial" w:eastAsia="Arial" w:hAnsi="Arial"/>
                <w:sz w:val="18"/>
                <w:szCs w:val="18"/>
                <w:color w:val="auto"/>
              </w:rPr>
              <w:t>82,465</w:t>
            </w:r>
          </w:p>
        </w:tc>
        <w:tc>
          <w:tcPr>
            <w:tcW w:w="880" w:type="dxa"/>
            <w:vAlign w:val="bottom"/>
            <w:gridSpan w:val="3"/>
          </w:tcPr>
          <w:p>
            <w:pPr>
              <w:jc w:val="right"/>
              <w:ind w:right="106"/>
              <w:spacing w:after="0"/>
              <w:rPr>
                <w:sz w:val="20"/>
                <w:szCs w:val="20"/>
                <w:color w:val="auto"/>
              </w:rPr>
            </w:pPr>
            <w:r>
              <w:rPr>
                <w:rFonts w:ascii="Arial" w:cs="Arial" w:eastAsia="Arial" w:hAnsi="Arial"/>
                <w:sz w:val="18"/>
                <w:szCs w:val="18"/>
                <w:color w:val="auto"/>
              </w:rPr>
              <w:t>17,296</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(26,264)</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181,469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40" w:type="dxa"/>
            <w:vAlign w:val="bottom"/>
            <w:gridSpan w:val="5"/>
            <w:shd w:val="clear" w:color="auto" w:fill="CCEEFF"/>
          </w:tcPr>
          <w:p>
            <w:pPr>
              <w:jc w:val="right"/>
              <w:ind w:right="82"/>
              <w:spacing w:after="0"/>
              <w:rPr>
                <w:sz w:val="20"/>
                <w:szCs w:val="20"/>
                <w:color w:val="auto"/>
              </w:rPr>
            </w:pPr>
            <w:r>
              <w:rPr>
                <w:rFonts w:ascii="Arial" w:cs="Arial" w:eastAsia="Arial" w:hAnsi="Arial"/>
                <w:sz w:val="18"/>
                <w:szCs w:val="18"/>
                <w:color w:val="auto"/>
              </w:rPr>
              <w:t>351,270</w:t>
            </w:r>
          </w:p>
        </w:tc>
        <w:tc>
          <w:tcPr>
            <w:tcW w:w="9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240,661</w:t>
            </w:r>
          </w:p>
        </w:tc>
        <w:tc>
          <w:tcPr>
            <w:tcW w:w="104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462,311</w:t>
            </w:r>
          </w:p>
        </w:tc>
        <w:tc>
          <w:tcPr>
            <w:tcW w:w="880" w:type="dxa"/>
            <w:vAlign w:val="bottom"/>
            <w:gridSpan w:val="3"/>
            <w:shd w:val="clear" w:color="auto" w:fill="CCEEFF"/>
          </w:tcPr>
          <w:p>
            <w:pPr>
              <w:jc w:val="right"/>
              <w:ind w:right="106"/>
              <w:spacing w:after="0"/>
              <w:rPr>
                <w:sz w:val="20"/>
                <w:szCs w:val="20"/>
                <w:color w:val="auto"/>
              </w:rPr>
            </w:pPr>
            <w:r>
              <w:rPr>
                <w:rFonts w:ascii="Arial" w:cs="Arial" w:eastAsia="Arial" w:hAnsi="Arial"/>
                <w:sz w:val="18"/>
                <w:szCs w:val="18"/>
                <w:color w:val="auto"/>
              </w:rPr>
              <w:t>356,264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8"/>
              </w:rPr>
              <w:t>54,171</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1,464,677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gridSpan w:val="5"/>
          </w:tcPr>
          <w:p>
            <w:pPr>
              <w:jc w:val="right"/>
              <w:ind w:right="82"/>
              <w:spacing w:after="0"/>
              <w:rPr>
                <w:sz w:val="20"/>
                <w:szCs w:val="20"/>
                <w:color w:val="auto"/>
              </w:rPr>
            </w:pPr>
            <w:r>
              <w:rPr>
                <w:rFonts w:ascii="Arial" w:cs="Arial" w:eastAsia="Arial" w:hAnsi="Arial"/>
                <w:sz w:val="18"/>
                <w:szCs w:val="18"/>
                <w:color w:val="auto"/>
              </w:rPr>
              <w:t>23,026</w:t>
            </w:r>
          </w:p>
        </w:tc>
        <w:tc>
          <w:tcPr>
            <w:tcW w:w="960" w:type="dxa"/>
            <w:vAlign w:val="bottom"/>
            <w:gridSpan w:val="2"/>
          </w:tcPr>
          <w:p>
            <w:pPr>
              <w:jc w:val="right"/>
              <w:ind w:right="124"/>
              <w:spacing w:after="0"/>
              <w:rPr>
                <w:sz w:val="20"/>
                <w:szCs w:val="20"/>
                <w:color w:val="auto"/>
              </w:rPr>
            </w:pPr>
            <w:r>
              <w:rPr>
                <w:rFonts w:ascii="Arial" w:cs="Arial" w:eastAsia="Arial" w:hAnsi="Arial"/>
                <w:sz w:val="18"/>
                <w:szCs w:val="18"/>
                <w:color w:val="auto"/>
              </w:rPr>
              <w:t>12,286</w:t>
            </w:r>
          </w:p>
        </w:tc>
        <w:tc>
          <w:tcPr>
            <w:tcW w:w="1040" w:type="dxa"/>
            <w:vAlign w:val="bottom"/>
            <w:gridSpan w:val="2"/>
          </w:tcPr>
          <w:p>
            <w:pPr>
              <w:jc w:val="right"/>
              <w:ind w:right="124"/>
              <w:spacing w:after="0"/>
              <w:rPr>
                <w:sz w:val="20"/>
                <w:szCs w:val="20"/>
                <w:color w:val="auto"/>
              </w:rPr>
            </w:pPr>
            <w:r>
              <w:rPr>
                <w:rFonts w:ascii="Arial" w:cs="Arial" w:eastAsia="Arial" w:hAnsi="Arial"/>
                <w:sz w:val="18"/>
                <w:szCs w:val="18"/>
                <w:color w:val="auto"/>
              </w:rPr>
              <w:t>23,212</w:t>
            </w:r>
          </w:p>
        </w:tc>
        <w:tc>
          <w:tcPr>
            <w:tcW w:w="880" w:type="dxa"/>
            <w:vAlign w:val="bottom"/>
            <w:gridSpan w:val="3"/>
          </w:tcPr>
          <w:p>
            <w:pPr>
              <w:jc w:val="right"/>
              <w:ind w:right="106"/>
              <w:spacing w:after="0"/>
              <w:rPr>
                <w:sz w:val="20"/>
                <w:szCs w:val="20"/>
                <w:color w:val="auto"/>
              </w:rPr>
            </w:pPr>
            <w:r>
              <w:rPr>
                <w:rFonts w:ascii="Arial" w:cs="Arial" w:eastAsia="Arial" w:hAnsi="Arial"/>
                <w:sz w:val="18"/>
                <w:szCs w:val="18"/>
                <w:color w:val="auto"/>
              </w:rPr>
              <w:t>9,865</w:t>
            </w:r>
          </w:p>
        </w:tc>
        <w:tc>
          <w:tcPr>
            <w:tcW w:w="120" w:type="dxa"/>
            <w:vAlign w:val="bottom"/>
          </w:tcPr>
          <w:p>
            <w:pPr>
              <w:spacing w:after="0"/>
              <w:rPr>
                <w:sz w:val="20"/>
                <w:szCs w:val="20"/>
                <w:color w:val="auto"/>
              </w:rPr>
            </w:pPr>
          </w:p>
        </w:tc>
        <w:tc>
          <w:tcPr>
            <w:tcW w:w="680" w:type="dxa"/>
            <w:vAlign w:val="bottom"/>
            <w:gridSpan w:val="2"/>
          </w:tcPr>
          <w:p>
            <w:pPr>
              <w:jc w:val="right"/>
              <w:ind w:right="38"/>
              <w:spacing w:after="0"/>
              <w:rPr>
                <w:sz w:val="20"/>
                <w:szCs w:val="20"/>
                <w:color w:val="auto"/>
              </w:rPr>
            </w:pPr>
            <w:r>
              <w:rPr>
                <w:rFonts w:ascii="Arial" w:cs="Arial" w:eastAsia="Arial" w:hAnsi="Arial"/>
                <w:sz w:val="18"/>
                <w:szCs w:val="18"/>
                <w:color w:val="auto"/>
              </w:rPr>
              <w:t>2,727</w:t>
            </w:r>
          </w:p>
        </w:tc>
        <w:tc>
          <w:tcPr>
            <w:tcW w:w="38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4"/>
              </w:rPr>
              <w:t>71,116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586"/>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South</w:t>
            </w:r>
          </w:p>
        </w:tc>
        <w:tc>
          <w:tcPr>
            <w:tcW w:w="140" w:type="dxa"/>
            <w:vAlign w:val="bottom"/>
          </w:tcPr>
          <w:p>
            <w:pPr>
              <w:spacing w:after="0"/>
              <w:rPr>
                <w:sz w:val="10"/>
                <w:szCs w:val="10"/>
                <w:color w:val="auto"/>
              </w:rPr>
            </w:pPr>
          </w:p>
        </w:tc>
        <w:tc>
          <w:tcPr>
            <w:tcW w:w="9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West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left="86"/>
              <w:spacing w:after="0" w:line="126" w:lineRule="exact"/>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left="86"/>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$ 1,000,426</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$ 711,862</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$ 1,251,093</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$ 277,112</w:t>
            </w:r>
          </w:p>
        </w:tc>
        <w:tc>
          <w:tcPr>
            <w:tcW w:w="680" w:type="dxa"/>
            <w:vAlign w:val="bottom"/>
            <w:tcBorders>
              <w:top w:val="single" w:sz="8" w:color="auto"/>
            </w:tcBorders>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3,240,493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57,770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38,641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88,311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19,322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204,044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3,737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Amortization expense</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13,326</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7,828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8"/>
              </w:rPr>
              <w:t>Segment earnings from operations</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59,408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76,875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16,639</w:t>
            </w:r>
          </w:p>
        </w:tc>
        <w:tc>
          <w:tcPr>
            <w:tcW w:w="1060" w:type="dxa"/>
            <w:vAlign w:val="bottom"/>
            <w:gridSpan w:val="3"/>
          </w:tcPr>
          <w:p>
            <w:pPr>
              <w:jc w:val="right"/>
              <w:ind w:right="12"/>
              <w:spacing w:after="0"/>
              <w:rPr>
                <w:sz w:val="20"/>
                <w:szCs w:val="20"/>
                <w:color w:val="auto"/>
              </w:rPr>
            </w:pPr>
            <w:r>
              <w:rPr>
                <w:rFonts w:ascii="Arial" w:cs="Arial" w:eastAsia="Arial" w:hAnsi="Arial"/>
                <w:sz w:val="18"/>
                <w:szCs w:val="18"/>
                <w:color w:val="auto"/>
              </w:rPr>
              <w:t>(35,630)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164,438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302,009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438,674</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313,304</w:t>
            </w:r>
          </w:p>
        </w:tc>
        <w:tc>
          <w:tcPr>
            <w:tcW w:w="10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45,986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1,292,058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10,902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19,648</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6,037</w:t>
            </w:r>
          </w:p>
        </w:tc>
        <w:tc>
          <w:tcPr>
            <w:tcW w:w="1060" w:type="dxa"/>
            <w:vAlign w:val="bottom"/>
            <w:gridSpan w:val="3"/>
          </w:tcPr>
          <w:p>
            <w:pPr>
              <w:jc w:val="right"/>
              <w:ind w:right="72"/>
              <w:spacing w:after="0"/>
              <w:rPr>
                <w:sz w:val="20"/>
                <w:szCs w:val="20"/>
                <w:color w:val="auto"/>
              </w:rPr>
            </w:pPr>
            <w:r>
              <w:rPr>
                <w:rFonts w:ascii="Arial" w:cs="Arial" w:eastAsia="Arial" w:hAnsi="Arial"/>
                <w:sz w:val="18"/>
                <w:szCs w:val="18"/>
                <w:color w:val="auto"/>
              </w:rPr>
              <w:t>11,604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53,762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526"/>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0"/>
                <w:szCs w:val="10"/>
                <w:color w:val="auto"/>
              </w:rPr>
            </w:pPr>
          </w:p>
        </w:tc>
        <w:tc>
          <w:tcPr>
            <w:tcW w:w="8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South</w:t>
            </w:r>
          </w:p>
        </w:tc>
        <w:tc>
          <w:tcPr>
            <w:tcW w:w="140" w:type="dxa"/>
            <w:vAlign w:val="bottom"/>
          </w:tcPr>
          <w:p>
            <w:pPr>
              <w:spacing w:after="0"/>
              <w:rPr>
                <w:sz w:val="10"/>
                <w:szCs w:val="10"/>
                <w:color w:val="auto"/>
              </w:rPr>
            </w:pPr>
          </w:p>
        </w:tc>
        <w:tc>
          <w:tcPr>
            <w:tcW w:w="9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West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26"/>
              <w:spacing w:after="0" w:line="126" w:lineRule="exact"/>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2"/>
              </w:rPr>
              <w:t>$ 922,092</w:t>
            </w:r>
          </w:p>
        </w:tc>
        <w:tc>
          <w:tcPr>
            <w:tcW w:w="9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$ 656,550</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$ 1,133,398</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$ 175,031</w:t>
            </w:r>
          </w:p>
        </w:tc>
        <w:tc>
          <w:tcPr>
            <w:tcW w:w="680" w:type="dxa"/>
            <w:vAlign w:val="bottom"/>
            <w:tcBorders>
              <w:top w:val="single" w:sz="8" w:color="auto"/>
            </w:tcBorders>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2,887,071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40" w:type="dxa"/>
            <w:vAlign w:val="bottom"/>
            <w:gridSpan w:val="5"/>
          </w:tcPr>
          <w:p>
            <w:pPr>
              <w:jc w:val="right"/>
              <w:ind w:right="2"/>
              <w:spacing w:after="0"/>
              <w:rPr>
                <w:sz w:val="20"/>
                <w:szCs w:val="20"/>
                <w:color w:val="auto"/>
              </w:rPr>
            </w:pPr>
            <w:r>
              <w:rPr>
                <w:rFonts w:ascii="Arial" w:cs="Arial" w:eastAsia="Arial" w:hAnsi="Arial"/>
                <w:sz w:val="18"/>
                <w:szCs w:val="18"/>
                <w:color w:val="auto"/>
              </w:rPr>
              <w:t>51,796</w:t>
            </w:r>
          </w:p>
        </w:tc>
        <w:tc>
          <w:tcPr>
            <w:tcW w:w="960" w:type="dxa"/>
            <w:vAlign w:val="bottom"/>
            <w:gridSpan w:val="2"/>
          </w:tcPr>
          <w:p>
            <w:pPr>
              <w:jc w:val="right"/>
              <w:ind w:right="4"/>
              <w:spacing w:after="0"/>
              <w:rPr>
                <w:sz w:val="20"/>
                <w:szCs w:val="20"/>
                <w:color w:val="auto"/>
              </w:rPr>
            </w:pPr>
            <w:r>
              <w:rPr>
                <w:rFonts w:ascii="Arial" w:cs="Arial" w:eastAsia="Arial" w:hAnsi="Arial"/>
                <w:sz w:val="18"/>
                <w:szCs w:val="18"/>
                <w:color w:val="auto"/>
              </w:rPr>
              <w:t>29,940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58,412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13,673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153,821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4,269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Amortization expense</w:t>
            </w:r>
          </w:p>
        </w:tc>
        <w:tc>
          <w:tcPr>
            <w:tcW w:w="1240" w:type="dxa"/>
            <w:vAlign w:val="bottom"/>
            <w:gridSpan w:val="5"/>
          </w:tcPr>
          <w:p>
            <w:pPr>
              <w:jc w:val="right"/>
              <w:ind w:right="2"/>
              <w:spacing w:after="0"/>
              <w:rPr>
                <w:sz w:val="20"/>
                <w:szCs w:val="20"/>
                <w:color w:val="auto"/>
              </w:rPr>
            </w:pPr>
            <w:r>
              <w:rPr>
                <w:rFonts w:ascii="Arial" w:cs="Arial" w:eastAsia="Arial" w:hAnsi="Arial"/>
                <w:sz w:val="18"/>
                <w:szCs w:val="18"/>
                <w:color w:val="auto"/>
              </w:rPr>
              <w:t>267</w:t>
            </w:r>
          </w:p>
        </w:tc>
        <w:tc>
          <w:tcPr>
            <w:tcW w:w="960" w:type="dxa"/>
            <w:vAlign w:val="bottom"/>
            <w:gridSpan w:val="2"/>
          </w:tcPr>
          <w:p>
            <w:pPr>
              <w:jc w:val="right"/>
              <w:ind w:right="4"/>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4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7,901</w:t>
            </w:r>
          </w:p>
        </w:tc>
        <w:tc>
          <w:tcPr>
            <w:tcW w:w="9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6,255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6,814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8"/>
              </w:rPr>
              <w:t>Segment earnings from operations</w:t>
            </w:r>
          </w:p>
        </w:tc>
        <w:tc>
          <w:tcPr>
            <w:tcW w:w="1240" w:type="dxa"/>
            <w:vAlign w:val="bottom"/>
            <w:gridSpan w:val="5"/>
          </w:tcPr>
          <w:p>
            <w:pPr>
              <w:jc w:val="right"/>
              <w:ind w:right="2"/>
              <w:spacing w:after="0"/>
              <w:rPr>
                <w:sz w:val="20"/>
                <w:szCs w:val="20"/>
                <w:color w:val="auto"/>
              </w:rPr>
            </w:pPr>
            <w:r>
              <w:rPr>
                <w:rFonts w:ascii="Arial" w:cs="Arial" w:eastAsia="Arial" w:hAnsi="Arial"/>
                <w:sz w:val="18"/>
                <w:szCs w:val="18"/>
                <w:color w:val="auto"/>
              </w:rPr>
              <w:t>53,879</w:t>
            </w:r>
          </w:p>
        </w:tc>
        <w:tc>
          <w:tcPr>
            <w:tcW w:w="960" w:type="dxa"/>
            <w:vAlign w:val="bottom"/>
            <w:gridSpan w:val="2"/>
          </w:tcPr>
          <w:p>
            <w:pPr>
              <w:jc w:val="right"/>
              <w:ind w:right="4"/>
              <w:spacing w:after="0"/>
              <w:rPr>
                <w:sz w:val="20"/>
                <w:szCs w:val="20"/>
                <w:color w:val="auto"/>
              </w:rPr>
            </w:pPr>
            <w:r>
              <w:rPr>
                <w:rFonts w:ascii="Arial" w:cs="Arial" w:eastAsia="Arial" w:hAnsi="Arial"/>
                <w:sz w:val="18"/>
                <w:szCs w:val="18"/>
                <w:color w:val="auto"/>
              </w:rPr>
              <w:t>30,740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70,220</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3,038</w:t>
            </w:r>
          </w:p>
        </w:tc>
        <w:tc>
          <w:tcPr>
            <w:tcW w:w="1060" w:type="dxa"/>
            <w:vAlign w:val="bottom"/>
            <w:gridSpan w:val="3"/>
          </w:tcPr>
          <w:p>
            <w:pPr>
              <w:jc w:val="right"/>
              <w:ind w:right="12"/>
              <w:spacing w:after="0"/>
              <w:rPr>
                <w:sz w:val="20"/>
                <w:szCs w:val="20"/>
                <w:color w:val="auto"/>
              </w:rPr>
            </w:pPr>
            <w:r>
              <w:rPr>
                <w:rFonts w:ascii="Arial" w:cs="Arial" w:eastAsia="Arial" w:hAnsi="Arial"/>
                <w:sz w:val="18"/>
                <w:szCs w:val="18"/>
                <w:color w:val="auto"/>
              </w:rPr>
              <w:t>(22,410)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135,467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4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279,664</w:t>
            </w:r>
          </w:p>
        </w:tc>
        <w:tc>
          <w:tcPr>
            <w:tcW w:w="9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192,756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382,251</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152,527</w:t>
            </w:r>
          </w:p>
        </w:tc>
        <w:tc>
          <w:tcPr>
            <w:tcW w:w="10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100,481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1,107,679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gridSpan w:val="5"/>
          </w:tcPr>
          <w:p>
            <w:pPr>
              <w:jc w:val="right"/>
              <w:ind w:right="2"/>
              <w:spacing w:after="0"/>
              <w:rPr>
                <w:sz w:val="20"/>
                <w:szCs w:val="20"/>
                <w:color w:val="auto"/>
              </w:rPr>
            </w:pPr>
            <w:r>
              <w:rPr>
                <w:rFonts w:ascii="Arial" w:cs="Arial" w:eastAsia="Arial" w:hAnsi="Arial"/>
                <w:sz w:val="18"/>
                <w:szCs w:val="18"/>
                <w:color w:val="auto"/>
              </w:rPr>
              <w:t>9,622</w:t>
            </w:r>
          </w:p>
        </w:tc>
        <w:tc>
          <w:tcPr>
            <w:tcW w:w="960" w:type="dxa"/>
            <w:vAlign w:val="bottom"/>
            <w:gridSpan w:val="2"/>
          </w:tcPr>
          <w:p>
            <w:pPr>
              <w:jc w:val="right"/>
              <w:ind w:right="4"/>
              <w:spacing w:after="0"/>
              <w:rPr>
                <w:sz w:val="20"/>
                <w:szCs w:val="20"/>
                <w:color w:val="auto"/>
              </w:rPr>
            </w:pPr>
            <w:r>
              <w:rPr>
                <w:rFonts w:ascii="Arial" w:cs="Arial" w:eastAsia="Arial" w:hAnsi="Arial"/>
                <w:sz w:val="18"/>
                <w:szCs w:val="18"/>
                <w:color w:val="auto"/>
              </w:rPr>
              <w:t>6,138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13,356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6,698</w:t>
            </w:r>
          </w:p>
        </w:tc>
        <w:tc>
          <w:tcPr>
            <w:tcW w:w="1060" w:type="dxa"/>
            <w:vAlign w:val="bottom"/>
            <w:gridSpan w:val="3"/>
          </w:tcPr>
          <w:p>
            <w:pPr>
              <w:jc w:val="right"/>
              <w:ind w:right="72"/>
              <w:spacing w:after="0"/>
              <w:rPr>
                <w:sz w:val="20"/>
                <w:szCs w:val="20"/>
                <w:color w:val="auto"/>
              </w:rPr>
            </w:pPr>
            <w:r>
              <w:rPr>
                <w:rFonts w:ascii="Arial" w:cs="Arial" w:eastAsia="Arial" w:hAnsi="Arial"/>
                <w:sz w:val="18"/>
                <w:szCs w:val="18"/>
                <w:color w:val="auto"/>
              </w:rPr>
              <w:t>7,708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43,522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60" w:type="dxa"/>
            <w:vAlign w:val="bottom"/>
            <w:gridSpan w:val="13"/>
          </w:tcPr>
          <w:p>
            <w:pPr>
              <w:ind w:left="660"/>
              <w:spacing w:after="0"/>
              <w:rPr>
                <w:sz w:val="20"/>
                <w:szCs w:val="20"/>
                <w:color w:val="auto"/>
              </w:rPr>
            </w:pPr>
            <w:r>
              <w:rPr>
                <w:rFonts w:ascii="Arial" w:cs="Arial" w:eastAsia="Arial" w:hAnsi="Arial"/>
                <w:sz w:val="18"/>
                <w:szCs w:val="18"/>
                <w:color w:val="auto"/>
                <w:w w:val="97"/>
              </w:rPr>
              <w:t>Information regarding principal geographic areas was as follows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740" w:type="dxa"/>
            <w:vAlign w:val="bottom"/>
          </w:tcPr>
          <w:p>
            <w:pPr>
              <w:spacing w:after="0"/>
              <w:rPr>
                <w:sz w:val="24"/>
                <w:szCs w:val="24"/>
                <w:color w:val="auto"/>
              </w:rPr>
            </w:pPr>
          </w:p>
        </w:tc>
        <w:tc>
          <w:tcPr>
            <w:tcW w:w="2200" w:type="dxa"/>
            <w:vAlign w:val="bottom"/>
            <w:gridSpan w:val="7"/>
          </w:tcPr>
          <w:p>
            <w:pPr>
              <w:jc w:val="right"/>
              <w:ind w:right="744"/>
              <w:spacing w:after="0"/>
              <w:rPr>
                <w:sz w:val="20"/>
                <w:szCs w:val="20"/>
                <w:color w:val="auto"/>
              </w:rPr>
            </w:pPr>
            <w:r>
              <w:rPr>
                <w:rFonts w:ascii="Arial" w:cs="Arial" w:eastAsia="Arial" w:hAnsi="Arial"/>
                <w:sz w:val="14"/>
                <w:szCs w:val="14"/>
                <w:b w:val="1"/>
                <w:bCs w:val="1"/>
                <w:color w:val="auto"/>
              </w:rPr>
              <w:t>2017</w:t>
            </w:r>
          </w:p>
        </w:tc>
        <w:tc>
          <w:tcPr>
            <w:tcW w:w="1920" w:type="dxa"/>
            <w:vAlign w:val="bottom"/>
            <w:gridSpan w:val="5"/>
          </w:tcPr>
          <w:p>
            <w:pPr>
              <w:jc w:val="right"/>
              <w:ind w:right="60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5"/>
          </w:tcPr>
          <w:p>
            <w:pPr>
              <w:jc w:val="right"/>
              <w:ind w:right="325"/>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Net Sales</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Tangible</w:t>
            </w:r>
          </w:p>
        </w:tc>
        <w:tc>
          <w:tcPr>
            <w:tcW w:w="1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Net Sales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left="46"/>
              <w:spacing w:after="0" w:line="149" w:lineRule="exact"/>
              <w:rPr>
                <w:sz w:val="20"/>
                <w:szCs w:val="20"/>
                <w:color w:val="auto"/>
              </w:rPr>
            </w:pPr>
            <w:r>
              <w:rPr>
                <w:rFonts w:ascii="Arial" w:cs="Arial" w:eastAsia="Arial" w:hAnsi="Arial"/>
                <w:sz w:val="14"/>
                <w:szCs w:val="14"/>
                <w:b w:val="1"/>
                <w:bCs w:val="1"/>
                <w:color w:val="auto"/>
                <w:w w:val="90"/>
              </w:rPr>
              <w:t>Tangible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Net Sales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Tangible</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left="46"/>
              <w:spacing w:after="0"/>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4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$ 3,821,366</w:t>
            </w:r>
          </w:p>
        </w:tc>
        <w:tc>
          <w:tcPr>
            <w:tcW w:w="9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$ 313,976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$ 3,162,331</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$ 280,362</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$ 2,811,359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$ 244,040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Foreign</w:t>
            </w:r>
          </w:p>
        </w:tc>
        <w:tc>
          <w:tcPr>
            <w:tcW w:w="1240" w:type="dxa"/>
            <w:vAlign w:val="bottom"/>
            <w:gridSpan w:val="5"/>
          </w:tcPr>
          <w:p>
            <w:pPr>
              <w:jc w:val="right"/>
              <w:ind w:right="2"/>
              <w:spacing w:after="0"/>
              <w:rPr>
                <w:sz w:val="20"/>
                <w:szCs w:val="20"/>
                <w:color w:val="auto"/>
              </w:rPr>
            </w:pPr>
            <w:r>
              <w:rPr>
                <w:rFonts w:ascii="Arial" w:cs="Arial" w:eastAsia="Arial" w:hAnsi="Arial"/>
                <w:sz w:val="18"/>
                <w:szCs w:val="18"/>
                <w:color w:val="auto"/>
              </w:rPr>
              <w:t>119,816</w:t>
            </w:r>
          </w:p>
        </w:tc>
        <w:tc>
          <w:tcPr>
            <w:tcW w:w="960" w:type="dxa"/>
            <w:vAlign w:val="bottom"/>
            <w:gridSpan w:val="2"/>
          </w:tcPr>
          <w:p>
            <w:pPr>
              <w:jc w:val="right"/>
              <w:ind w:right="4"/>
              <w:spacing w:after="0"/>
              <w:rPr>
                <w:sz w:val="20"/>
                <w:szCs w:val="20"/>
                <w:color w:val="auto"/>
              </w:rPr>
            </w:pPr>
            <w:r>
              <w:rPr>
                <w:rFonts w:ascii="Arial" w:cs="Arial" w:eastAsia="Arial" w:hAnsi="Arial"/>
                <w:sz w:val="18"/>
                <w:szCs w:val="18"/>
                <w:color w:val="auto"/>
              </w:rPr>
              <w:t>30,380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78,162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26,106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75,712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15,408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w w:val="90"/>
              </w:rPr>
              <w:t>$ 3,941,182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89"/>
              </w:rPr>
              <w:t>$ 344,356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$ 3,240,493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$ 306,468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$ 2,887,071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$ 259,448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generated in Canada and Mexico are primarily to customers in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1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5"/>
              </w:rPr>
              <w:t>Value-Added</w:t>
            </w:r>
          </w:p>
        </w:tc>
        <w:tc>
          <w:tcPr>
            <w:tcW w:w="108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Commodity-</w:t>
            </w:r>
          </w:p>
        </w:tc>
        <w:tc>
          <w:tcPr>
            <w:tcW w:w="0" w:type="dxa"/>
            <w:vAlign w:val="bottom"/>
          </w:tcPr>
          <w:p>
            <w:pPr>
              <w:spacing w:after="0"/>
              <w:rPr>
                <w:sz w:val="1"/>
                <w:szCs w:val="1"/>
                <w:color w:val="auto"/>
              </w:rPr>
            </w:pPr>
          </w:p>
        </w:tc>
      </w:tr>
      <w:tr>
        <w:trPr>
          <w:trHeight w:val="178"/>
        </w:trPr>
        <w:tc>
          <w:tcPr>
            <w:tcW w:w="68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Based</w:t>
            </w:r>
          </w:p>
        </w:tc>
        <w:tc>
          <w:tcPr>
            <w:tcW w:w="0" w:type="dxa"/>
            <w:vAlign w:val="bottom"/>
          </w:tcPr>
          <w:p>
            <w:pPr>
              <w:spacing w:after="0"/>
              <w:rPr>
                <w:sz w:val="1"/>
                <w:szCs w:val="1"/>
                <w:color w:val="auto"/>
              </w:rPr>
            </w:pPr>
          </w:p>
        </w:tc>
      </w:tr>
      <w:tr>
        <w:trPr>
          <w:trHeight w:val="230"/>
        </w:trPr>
        <w:tc>
          <w:tcPr>
            <w:tcW w:w="6800" w:type="dxa"/>
            <w:vAlign w:val="bottom"/>
            <w:tcBorders>
              <w:top w:val="single" w:sz="8" w:color="CCEEFF"/>
            </w:tcBorders>
            <w:shd w:val="clear" w:color="auto" w:fill="CCEEFF"/>
          </w:tcPr>
          <w:p>
            <w:pPr>
              <w:jc w:val="right"/>
              <w:ind w:right="6350"/>
              <w:spacing w:after="0"/>
              <w:rPr>
                <w:sz w:val="20"/>
                <w:szCs w:val="20"/>
                <w:color w:val="auto"/>
              </w:rPr>
            </w:pPr>
            <w:r>
              <w:rPr>
                <w:rFonts w:ascii="Arial" w:cs="Arial" w:eastAsia="Arial" w:hAnsi="Arial"/>
                <w:sz w:val="18"/>
                <w:szCs w:val="18"/>
                <w:color w:val="auto"/>
                <w:w w:val="84"/>
              </w:rPr>
              <w:t>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63.3</w:t>
            </w:r>
          </w:p>
        </w:tc>
        <w:tc>
          <w:tcPr>
            <w:tcW w:w="28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7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78"/>
              </w:rPr>
              <w:t>%</w:t>
            </w:r>
          </w:p>
        </w:tc>
        <w:tc>
          <w:tcPr>
            <w:tcW w:w="0" w:type="dxa"/>
            <w:vAlign w:val="bottom"/>
          </w:tcPr>
          <w:p>
            <w:pPr>
              <w:spacing w:after="0"/>
              <w:rPr>
                <w:sz w:val="1"/>
                <w:szCs w:val="1"/>
                <w:color w:val="auto"/>
              </w:rPr>
            </w:pPr>
          </w:p>
        </w:tc>
      </w:tr>
      <w:tr>
        <w:trPr>
          <w:trHeight w:val="230"/>
        </w:trPr>
        <w:tc>
          <w:tcPr>
            <w:tcW w:w="6800" w:type="dxa"/>
            <w:vAlign w:val="bottom"/>
          </w:tcPr>
          <w:p>
            <w:pPr>
              <w:jc w:val="right"/>
              <w:ind w:right="6350"/>
              <w:spacing w:after="0"/>
              <w:rPr>
                <w:sz w:val="20"/>
                <w:szCs w:val="20"/>
                <w:color w:val="auto"/>
              </w:rPr>
            </w:pPr>
            <w:r>
              <w:rPr>
                <w:rFonts w:ascii="Arial" w:cs="Arial" w:eastAsia="Arial" w:hAnsi="Arial"/>
                <w:sz w:val="18"/>
                <w:szCs w:val="18"/>
                <w:color w:val="auto"/>
                <w:w w:val="84"/>
              </w:rPr>
              <w:t>2016</w:t>
            </w:r>
          </w:p>
        </w:tc>
        <w:tc>
          <w:tcPr>
            <w:tcW w:w="1180" w:type="dxa"/>
            <w:vAlign w:val="bottom"/>
            <w:gridSpan w:val="2"/>
          </w:tcPr>
          <w:p>
            <w:pPr>
              <w:jc w:val="right"/>
              <w:ind w:right="21"/>
              <w:spacing w:after="0"/>
              <w:rPr>
                <w:sz w:val="20"/>
                <w:szCs w:val="20"/>
                <w:color w:val="auto"/>
              </w:rPr>
            </w:pPr>
            <w:r>
              <w:rPr>
                <w:rFonts w:ascii="Arial" w:cs="Arial" w:eastAsia="Arial" w:hAnsi="Arial"/>
                <w:sz w:val="20"/>
                <w:szCs w:val="20"/>
                <w:color w:val="auto"/>
              </w:rPr>
              <w:t>62.6 %</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37.4 %</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jc w:val="right"/>
              <w:ind w:right="6350"/>
              <w:spacing w:after="0"/>
              <w:rPr>
                <w:sz w:val="20"/>
                <w:szCs w:val="20"/>
                <w:color w:val="auto"/>
              </w:rPr>
            </w:pPr>
            <w:r>
              <w:rPr>
                <w:rFonts w:ascii="Arial" w:cs="Arial" w:eastAsia="Arial" w:hAnsi="Arial"/>
                <w:sz w:val="18"/>
                <w:szCs w:val="18"/>
                <w:color w:val="auto"/>
                <w:w w:val="84"/>
              </w:rPr>
              <w:t>2015</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59.8 %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40.2 %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Value-added product sales consist of fencing, decking, lattice, and other specialty products sold to the retail building materials market, specialty wood packaging, engineered wood components, in-store fixtures, and wood-alternative products. Engineered wood components include roof trusses, wall panels, and floor systems. Wood-alternative products consist primarily of composite wood and plastics. Although we consider the treatment of dimensional lumber with certain chemical preservatives a value-added process, treated lumber is not presently included in the value-added sales totals. Commodity-based product sales consist primarily of remanufactured lumber and preservative treated lumber.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by major product classification.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December 30,</w:t>
            </w:r>
          </w:p>
        </w:tc>
        <w:tc>
          <w:tcPr>
            <w:tcW w:w="80" w:type="dxa"/>
            <w:vAlign w:val="bottom"/>
          </w:tcPr>
          <w:p>
            <w:pPr>
              <w:spacing w:after="0"/>
              <w:rPr>
                <w:sz w:val="13"/>
                <w:szCs w:val="13"/>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3"/>
                <w:szCs w:val="13"/>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December 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1"/>
              <w:spacing w:after="0" w:line="14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11"/>
              <w:spacing w:after="0" w:line="149"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1"/>
              <w:spacing w:after="0" w:line="14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Value-Added Sales</w:t>
            </w:r>
          </w:p>
        </w:tc>
        <w:tc>
          <w:tcPr>
            <w:tcW w:w="392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Trusses – residential, modular and manufactured housing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368,591</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334,956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Fencing</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Decking and railing – composite, wood and other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244,910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Turn-key framing and installed sales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Industrial packaging and components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471,262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Engineered wood products (eg. LVL; i-joist)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In-store fixtures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260,174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Manufactured brite and other lumber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Wall panels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Outdoor DIY products (eg. stakes; landscape 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Construction and building materials (eg. door packages; drywall)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265,048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204,732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Lattice – plastic and wood</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Manufactured brite and other panels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Siding, trim and moulding</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Hardware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Manufactured treated lumber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Manufactured treated panels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3"/>
          </w:tcPr>
          <w:p>
            <w:pPr>
              <w:spacing w:after="0" w:line="203" w:lineRule="exact"/>
              <w:rPr>
                <w:sz w:val="20"/>
                <w:szCs w:val="20"/>
                <w:color w:val="auto"/>
              </w:rPr>
            </w:pPr>
            <w:r>
              <w:rPr>
                <w:rFonts w:ascii="Arial" w:cs="Arial" w:eastAsia="Arial" w:hAnsi="Arial"/>
                <w:sz w:val="18"/>
                <w:szCs w:val="18"/>
                <w:color w:val="auto"/>
              </w:rPr>
              <w:t>Total Value-Added Sales</w:t>
            </w:r>
          </w:p>
        </w:tc>
        <w:tc>
          <w:tcPr>
            <w:tcW w:w="6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2"/>
              </w:rPr>
              <w:t>2,535,008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2,067,738</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1,754,469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80" w:type="dxa"/>
            <w:vAlign w:val="bottom"/>
            <w:gridSpan w:val="3"/>
          </w:tcPr>
          <w:p>
            <w:pPr>
              <w:spacing w:after="0" w:line="176" w:lineRule="exact"/>
              <w:rPr>
                <w:sz w:val="20"/>
                <w:szCs w:val="20"/>
                <w:color w:val="auto"/>
              </w:rPr>
            </w:pPr>
            <w:r>
              <w:rPr>
                <w:rFonts w:ascii="Arial" w:cs="Arial" w:eastAsia="Arial" w:hAnsi="Arial"/>
                <w:sz w:val="18"/>
                <w:szCs w:val="18"/>
                <w:color w:val="auto"/>
              </w:rPr>
              <w:t>Commodity-Based Sales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Non-manufactured brite and other lumber</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Non-manufactured treated lumber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575,505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Non-manufactured brite and other panels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Non-manufactured treated panels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10"/>
        </w:trPr>
        <w:tc>
          <w:tcPr>
            <w:tcW w:w="5300" w:type="dxa"/>
            <w:vAlign w:val="bottom"/>
            <w:gridSpan w:val="4"/>
          </w:tcPr>
          <w:p>
            <w:pPr>
              <w:spacing w:after="0" w:line="203" w:lineRule="exact"/>
              <w:rPr>
                <w:sz w:val="20"/>
                <w:szCs w:val="20"/>
                <w:color w:val="auto"/>
              </w:rPr>
            </w:pPr>
            <w:r>
              <w:rPr>
                <w:rFonts w:ascii="Arial" w:cs="Arial" w:eastAsia="Arial" w:hAnsi="Arial"/>
                <w:sz w:val="18"/>
                <w:szCs w:val="18"/>
                <w:color w:val="auto"/>
              </w:rPr>
              <w:t>Total Commodity-Based Sales</w:t>
            </w:r>
          </w:p>
        </w:tc>
        <w:tc>
          <w:tcPr>
            <w:tcW w:w="60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2"/>
              </w:rPr>
              <w:t>1,471,195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1,229,639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1,178,011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4,006,203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3,297,377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2,932,480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Sales allowances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3,941,182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3,240,493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2,887,071</w:t>
            </w:r>
          </w:p>
        </w:tc>
        <w:tc>
          <w:tcPr>
            <w:tcW w:w="0" w:type="dxa"/>
            <w:vAlign w:val="bottom"/>
          </w:tcPr>
          <w:p>
            <w:pPr>
              <w:spacing w:after="0"/>
              <w:rPr>
                <w:sz w:val="1"/>
                <w:szCs w:val="1"/>
                <w:color w:val="auto"/>
              </w:rPr>
            </w:pPr>
          </w:p>
        </w:tc>
      </w:tr>
      <w:tr>
        <w:trPr>
          <w:trHeight w:val="865"/>
        </w:trPr>
        <w:tc>
          <w:tcPr>
            <w:tcW w:w="5300" w:type="dxa"/>
            <w:vAlign w:val="bottom"/>
            <w:gridSpan w:val="4"/>
          </w:tcPr>
          <w:p>
            <w:pPr>
              <w:jc w:val="right"/>
              <w:ind w:right="680"/>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840" w:hanging="837"/>
        <w:spacing w:after="0"/>
        <w:tabs>
          <w:tab w:leader="none" w:pos="8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sets forth selected financial information for all of the quarters, consisting of 13 and 14 weeks during the years ended December 30, 2017 and December 31, 2016, respectively,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Fourth</w:t>
            </w: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2017</w:t>
            </w:r>
          </w:p>
        </w:tc>
        <w:tc>
          <w:tcPr>
            <w:tcW w:w="900" w:type="dxa"/>
            <w:vAlign w:val="bottom"/>
            <w:gridSpan w:val="2"/>
          </w:tcPr>
          <w:p>
            <w:pPr>
              <w:jc w:val="right"/>
              <w:ind w:right="130"/>
              <w:spacing w:after="0" w:line="14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880" w:type="dxa"/>
            <w:vAlign w:val="bottom"/>
          </w:tcPr>
          <w:p>
            <w:pPr>
              <w:jc w:val="right"/>
              <w:ind w:right="222"/>
              <w:spacing w:after="0" w:line="149" w:lineRule="exact"/>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150"/>
              <w:spacing w:after="0" w:line="14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2017</w:t>
            </w:r>
          </w:p>
        </w:tc>
        <w:tc>
          <w:tcPr>
            <w:tcW w:w="900" w:type="dxa"/>
            <w:vAlign w:val="bottom"/>
            <w:gridSpan w:val="2"/>
          </w:tcPr>
          <w:p>
            <w:pPr>
              <w:jc w:val="right"/>
              <w:ind w:right="150"/>
              <w:spacing w:after="0" w:line="14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76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2017</w:t>
            </w:r>
          </w:p>
        </w:tc>
        <w:tc>
          <w:tcPr>
            <w:tcW w:w="900" w:type="dxa"/>
            <w:vAlign w:val="bottom"/>
            <w:gridSpan w:val="2"/>
          </w:tcPr>
          <w:p>
            <w:pPr>
              <w:jc w:val="right"/>
              <w:ind w:right="130"/>
              <w:spacing w:after="0" w:line="149" w:lineRule="exact"/>
              <w:rPr>
                <w:sz w:val="20"/>
                <w:szCs w:val="20"/>
                <w:color w:val="auto"/>
              </w:rPr>
            </w:pPr>
            <w:r>
              <w:rPr>
                <w:rFonts w:ascii="Arial" w:cs="Arial" w:eastAsia="Arial" w:hAnsi="Arial"/>
                <w:sz w:val="14"/>
                <w:szCs w:val="14"/>
                <w:b w:val="1"/>
                <w:bCs w:val="1"/>
                <w:color w:val="auto"/>
              </w:rPr>
              <w:t>2016</w:t>
            </w:r>
          </w:p>
        </w:tc>
      </w:tr>
      <w:tr>
        <w:trPr>
          <w:trHeight w:val="216"/>
        </w:trPr>
        <w:tc>
          <w:tcPr>
            <w:tcW w:w="1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$846,130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$682,151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$1,072,375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$872,093</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8"/>
              </w:rPr>
              <w:t>$1,056,586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$826,665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$966,091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$859,584</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120,740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102,739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148,240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131,487</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144,687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118,054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129,159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122,310</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34,237</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34,669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22,241</w:t>
            </w: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attributable to</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controlling interest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19,212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33,642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33,398</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33,693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27,819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31,115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20,750</w:t>
            </w: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w w:val="96"/>
              </w:rPr>
              <w:t>Diluted earnings per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share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0.55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0.34</w:t>
            </w:r>
          </w:p>
        </w:tc>
      </w:tr>
    </w:tbl>
    <w:p>
      <w:pPr>
        <w:spacing w:after="0" w:line="211" w:lineRule="exact"/>
        <w:rPr>
          <w:sz w:val="20"/>
          <w:szCs w:val="20"/>
          <w:color w:val="auto"/>
        </w:rPr>
      </w:pPr>
    </w:p>
    <w:p>
      <w:pPr>
        <w:ind w:left="780" w:hanging="777"/>
        <w:spacing w:after="0"/>
        <w:tabs>
          <w:tab w:leader="none" w:pos="7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Subsequent to December 30, 2017, the Company completed a sale and lease-back transaction with a property in Medley, Florida. The sale price for the property was approximately $36 million and created a $7 million pre-tax gain. The transaction is part of a strategy to create efficiencies and advantages not possible with the current facility by optimizing the capacity of its other three Florida operations, including two it acquired from Robbins Manufacturing in 2017, and adding a state-of-the-art facility in South Florida. The Company will lease back the Medley, Florida, facility for two years as it executes its long-term plan for Florida and the Southeast region.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PRICE RANGE OF COMMON STOCK AND DIVIDENDS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trades on The Nasdaq Stock Market (“NASDAQ”) under the symbol UFPI. The following table sets forth the range of high and low sales prices, which incorporate the retroactive effect of the Company’s 3 for 1 stock split, as reported by NASDAQ.</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Fiscal 2017</w:t>
            </w:r>
          </w:p>
        </w:tc>
        <w:tc>
          <w:tcPr>
            <w:tcW w:w="1380" w:type="dxa"/>
            <w:vAlign w:val="bottom"/>
            <w:gridSpan w:val="2"/>
          </w:tcPr>
          <w:p>
            <w:pPr>
              <w:ind w:left="440"/>
              <w:spacing w:after="0"/>
              <w:rPr>
                <w:sz w:val="20"/>
                <w:szCs w:val="20"/>
                <w:color w:val="auto"/>
              </w:rPr>
            </w:pPr>
            <w:r>
              <w:rPr>
                <w:rFonts w:ascii="Arial" w:cs="Arial" w:eastAsia="Arial" w:hAnsi="Arial"/>
                <w:sz w:val="14"/>
                <w:szCs w:val="14"/>
                <w:b w:val="1"/>
                <w:bCs w:val="1"/>
                <w:color w:val="auto"/>
              </w:rPr>
              <w:t>High</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5"/>
                <w:szCs w:val="15"/>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Fiscal 2016</w:t>
            </w: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Low</w:t>
            </w: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Fourth Quarter</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200" w:type="dxa"/>
            <w:vAlign w:val="bottom"/>
          </w:tcPr>
          <w:p>
            <w:pPr>
              <w:jc w:val="right"/>
              <w:spacing w:after="0"/>
              <w:rPr>
                <w:sz w:val="20"/>
                <w:szCs w:val="20"/>
                <w:color w:val="auto"/>
              </w:rPr>
            </w:pPr>
            <w:r>
              <w:rPr>
                <w:rFonts w:ascii="Arial" w:cs="Arial" w:eastAsia="Arial" w:hAnsi="Arial"/>
                <w:sz w:val="18"/>
                <w:szCs w:val="18"/>
                <w:color w:val="auto"/>
              </w:rPr>
              <w:t>32.72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26.28</w:t>
            </w:r>
          </w:p>
        </w:tc>
        <w:tc>
          <w:tcPr>
            <w:tcW w:w="1520" w:type="dxa"/>
            <w:vAlign w:val="bottom"/>
            <w:gridSpan w:val="3"/>
          </w:tcPr>
          <w:p>
            <w:pPr>
              <w:ind w:left="180"/>
              <w:spacing w:after="0"/>
              <w:rPr>
                <w:sz w:val="20"/>
                <w:szCs w:val="20"/>
                <w:color w:val="auto"/>
              </w:rPr>
            </w:pPr>
            <w:r>
              <w:rPr>
                <w:rFonts w:ascii="Arial" w:cs="Arial" w:eastAsia="Arial" w:hAnsi="Arial"/>
                <w:sz w:val="18"/>
                <w:szCs w:val="18"/>
                <w:color w:val="auto"/>
              </w:rPr>
              <w:t>Third Quarter</w:t>
            </w:r>
          </w:p>
        </w:tc>
        <w:tc>
          <w:tcPr>
            <w:tcW w:w="800" w:type="dxa"/>
            <w:vAlign w:val="bottom"/>
          </w:tcPr>
          <w:p>
            <w:pPr>
              <w:jc w:val="right"/>
              <w:spacing w:after="0"/>
              <w:rPr>
                <w:sz w:val="20"/>
                <w:szCs w:val="20"/>
                <w:color w:val="auto"/>
              </w:rPr>
            </w:pPr>
            <w:r>
              <w:rPr>
                <w:rFonts w:ascii="Arial" w:cs="Arial" w:eastAsia="Arial" w:hAnsi="Arial"/>
                <w:sz w:val="18"/>
                <w:szCs w:val="18"/>
                <w:color w:val="auto"/>
              </w:rPr>
              <w:t>36.66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28.26</w:t>
            </w: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200" w:type="dxa"/>
            <w:vAlign w:val="bottom"/>
          </w:tcPr>
          <w:p>
            <w:pPr>
              <w:jc w:val="right"/>
              <w:spacing w:after="0"/>
              <w:rPr>
                <w:sz w:val="20"/>
                <w:szCs w:val="20"/>
                <w:color w:val="auto"/>
              </w:rPr>
            </w:pPr>
            <w:r>
              <w:rPr>
                <w:rFonts w:ascii="Arial" w:cs="Arial" w:eastAsia="Arial" w:hAnsi="Arial"/>
                <w:sz w:val="18"/>
                <w:szCs w:val="18"/>
                <w:color w:val="auto"/>
              </w:rPr>
              <w:t>35.70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31.34</w:t>
            </w:r>
          </w:p>
        </w:tc>
        <w:tc>
          <w:tcPr>
            <w:tcW w:w="1520" w:type="dxa"/>
            <w:vAlign w:val="bottom"/>
            <w:gridSpan w:val="3"/>
          </w:tcPr>
          <w:p>
            <w:pPr>
              <w:ind w:left="180"/>
              <w:spacing w:after="0"/>
              <w:rPr>
                <w:sz w:val="20"/>
                <w:szCs w:val="20"/>
                <w:color w:val="auto"/>
              </w:rPr>
            </w:pPr>
            <w:r>
              <w:rPr>
                <w:rFonts w:ascii="Arial" w:cs="Arial" w:eastAsia="Arial" w:hAnsi="Arial"/>
                <w:sz w:val="18"/>
                <w:szCs w:val="18"/>
                <w:color w:val="auto"/>
              </w:rPr>
              <w:t>First Quarter</w:t>
            </w:r>
          </w:p>
        </w:tc>
        <w:tc>
          <w:tcPr>
            <w:tcW w:w="800" w:type="dxa"/>
            <w:vAlign w:val="bottom"/>
          </w:tcPr>
          <w:p>
            <w:pPr>
              <w:jc w:val="right"/>
              <w:spacing w:after="0"/>
              <w:rPr>
                <w:sz w:val="20"/>
                <w:szCs w:val="20"/>
                <w:color w:val="auto"/>
              </w:rPr>
            </w:pPr>
            <w:r>
              <w:rPr>
                <w:rFonts w:ascii="Arial" w:cs="Arial" w:eastAsia="Arial" w:hAnsi="Arial"/>
                <w:sz w:val="18"/>
                <w:szCs w:val="18"/>
                <w:color w:val="auto"/>
              </w:rPr>
              <w:t>27.86</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1,450 shareholders of record as of February 23,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paid dividends on our common stock of $0.15 and $0.17 per share in June and December 2017, respectively. In June and December 2016, we paid dividends of $0.14 and $0.15 per share, respectively. We intend to continue with our current semi-annual dividend policy for the foreseeable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PERFORMANCE GRAPH</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graph depicts the cumulative total return on our common stock compared to the cumulative total return on the indices for The Nasdaq Stock Market (all U.S. companies) and an industry peer group we selected. The graph assumes an investment of $100 on December 29, 2012,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071870" cy="2984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07187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companies included in our self-determined industry peer group are as follows: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American Woodmark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Louisiana-Pacific Corporation</w:t>
      </w:r>
    </w:p>
    <w:p>
      <w:pPr>
        <w:spacing w:after="0" w:line="200" w:lineRule="exact"/>
        <w:rPr>
          <w:sz w:val="20"/>
          <w:szCs w:val="20"/>
          <w:color w:val="auto"/>
        </w:rPr>
      </w:pPr>
    </w:p>
    <w:p>
      <w:pPr>
        <w:sectPr>
          <w:pgSz w:w="11900" w:h="16838" w:orient="portrait"/>
          <w:cols w:equalWidth="0" w:num="2">
            <w:col w:w="3820" w:space="720"/>
            <w:col w:w="4520"/>
          </w:cols>
          <w:pgMar w:left="1420" w:top="125" w:right="1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Bemis Company, Inc.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120"/>
        <w:spacing w:after="0"/>
        <w:rPr>
          <w:sz w:val="20"/>
          <w:szCs w:val="20"/>
          <w:color w:val="auto"/>
        </w:rPr>
      </w:pPr>
      <w:r>
        <w:rPr>
          <w:rFonts w:ascii="Arial" w:cs="Arial" w:eastAsia="Arial" w:hAnsi="Arial"/>
          <w:sz w:val="16"/>
          <w:szCs w:val="16"/>
          <w:color w:val="auto"/>
        </w:rPr>
        <w:t>Masco Corporation</w:t>
      </w:r>
    </w:p>
    <w:p>
      <w:pPr>
        <w:spacing w:after="0" w:line="200" w:lineRule="exact"/>
        <w:rPr>
          <w:sz w:val="20"/>
          <w:szCs w:val="20"/>
          <w:color w:val="auto"/>
        </w:rPr>
      </w:pPr>
    </w:p>
    <w:p>
      <w:pPr>
        <w:sectPr>
          <w:pgSz w:w="11900" w:h="16838" w:orient="portrait"/>
          <w:cols w:equalWidth="0" w:num="2">
            <w:col w:w="3820" w:space="720"/>
            <w:col w:w="4520"/>
          </w:cols>
          <w:pgMar w:left="1420" w:top="125" w:right="1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BlueLinx Holdings, Inc.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520"/>
        <w:spacing w:after="0"/>
        <w:rPr>
          <w:sz w:val="20"/>
          <w:szCs w:val="20"/>
          <w:color w:val="auto"/>
        </w:rPr>
      </w:pPr>
      <w:r>
        <w:rPr>
          <w:rFonts w:ascii="Arial" w:cs="Arial" w:eastAsia="Arial" w:hAnsi="Arial"/>
          <w:sz w:val="16"/>
          <w:szCs w:val="16"/>
          <w:color w:val="auto"/>
        </w:rPr>
        <w:t>NCI Building Systems, Inc.</w:t>
      </w:r>
    </w:p>
    <w:p>
      <w:pPr>
        <w:spacing w:after="0" w:line="211" w:lineRule="exact"/>
        <w:rPr>
          <w:sz w:val="20"/>
          <w:szCs w:val="20"/>
          <w:color w:val="auto"/>
        </w:rPr>
      </w:pPr>
    </w:p>
    <w:p>
      <w:pPr>
        <w:sectPr>
          <w:pgSz w:w="11900" w:h="16838" w:orient="portrait"/>
          <w:cols w:equalWidth="0" w:num="2">
            <w:col w:w="3820" w:space="720"/>
            <w:col w:w="4520"/>
          </w:cols>
          <w:pgMar w:left="1420" w:top="125" w:right="14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BMC Stock Holdings,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Simpson Manufacturing Company,Inc.</w:t>
      </w:r>
    </w:p>
    <w:p>
      <w:pPr>
        <w:spacing w:after="0" w:line="200" w:lineRule="exact"/>
        <w:rPr>
          <w:sz w:val="20"/>
          <w:szCs w:val="20"/>
          <w:color w:val="auto"/>
        </w:rPr>
      </w:pPr>
    </w:p>
    <w:p>
      <w:pPr>
        <w:sectPr>
          <w:pgSz w:w="11900" w:h="16838" w:orient="portrait"/>
          <w:cols w:equalWidth="0" w:num="2">
            <w:col w:w="3820" w:space="720"/>
            <w:col w:w="4520"/>
          </w:cols>
          <w:pgMar w:left="1420" w:top="125" w:right="1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Boise Cascade, LLC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Sonoco Products Company</w:t>
      </w:r>
    </w:p>
    <w:p>
      <w:pPr>
        <w:spacing w:after="0" w:line="200" w:lineRule="exact"/>
        <w:rPr>
          <w:sz w:val="20"/>
          <w:szCs w:val="20"/>
          <w:color w:val="auto"/>
        </w:rPr>
      </w:pPr>
    </w:p>
    <w:p>
      <w:pPr>
        <w:sectPr>
          <w:pgSz w:w="11900" w:h="16838" w:orient="portrait"/>
          <w:cols w:equalWidth="0" w:num="2">
            <w:col w:w="3820" w:space="720"/>
            <w:col w:w="4520"/>
          </w:cols>
          <w:pgMar w:left="1420" w:top="125" w:right="1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Builders FirstSource, Inc.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Trex Company, Inc.</w:t>
      </w:r>
    </w:p>
    <w:p>
      <w:pPr>
        <w:spacing w:after="0" w:line="200" w:lineRule="exact"/>
        <w:rPr>
          <w:sz w:val="20"/>
          <w:szCs w:val="20"/>
          <w:color w:val="auto"/>
        </w:rPr>
      </w:pPr>
    </w:p>
    <w:p>
      <w:pPr>
        <w:sectPr>
          <w:pgSz w:w="11900" w:h="16838" w:orient="portrait"/>
          <w:cols w:equalWidth="0" w:num="2">
            <w:col w:w="3820" w:space="720"/>
            <w:col w:w="4520"/>
          </w:cols>
          <w:pgMar w:left="1420" w:top="125" w:right="1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Gibraltar Industries, Inc.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Westrock Company</w:t>
      </w:r>
    </w:p>
    <w:p>
      <w:pPr>
        <w:spacing w:after="0" w:line="200" w:lineRule="exact"/>
        <w:rPr>
          <w:sz w:val="20"/>
          <w:szCs w:val="20"/>
          <w:color w:val="auto"/>
        </w:rPr>
      </w:pPr>
    </w:p>
    <w:p>
      <w:pPr>
        <w:sectPr>
          <w:pgSz w:w="11900" w:h="16838" w:orient="portrait"/>
          <w:cols w:equalWidth="0" w:num="2">
            <w:col w:w="3820" w:space="720"/>
            <w:col w:w="4520"/>
          </w:cols>
          <w:pgMar w:left="1420" w:top="125" w:right="1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Greif Bros. Corporation</w:t>
      </w:r>
    </w:p>
    <w:p>
      <w:pPr>
        <w:sectPr>
          <w:pgSz w:w="11900" w:h="16838" w:orient="portrait"/>
          <w:cols w:equalWidth="0" w:num="1">
            <w:col w:w="9060"/>
          </w:cols>
          <w:pgMar w:left="1420" w:top="125" w:right="141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040" w:type="dxa"/>
            <w:vAlign w:val="bottom"/>
          </w:tcPr>
          <w:p>
            <w:pPr>
              <w:ind w:left="260"/>
              <w:spacing w:after="0"/>
              <w:rPr>
                <w:sz w:val="20"/>
                <w:szCs w:val="20"/>
                <w:color w:val="auto"/>
              </w:rPr>
            </w:pPr>
            <w:r>
              <w:rPr>
                <w:rFonts w:ascii="Arial" w:cs="Arial" w:eastAsia="Arial" w:hAnsi="Arial"/>
                <w:sz w:val="18"/>
                <w:szCs w:val="18"/>
                <w:b w:val="1"/>
                <w:bCs w:val="1"/>
                <w:color w:val="auto"/>
              </w:rPr>
              <w:t>Directors and Executive Officers</w:t>
            </w:r>
          </w:p>
        </w:tc>
      </w:tr>
      <w:tr>
        <w:trPr>
          <w:trHeight w:val="446"/>
        </w:trPr>
        <w:tc>
          <w:tcPr>
            <w:tcW w:w="302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6040" w:type="dxa"/>
            <w:vAlign w:val="bottom"/>
          </w:tcPr>
          <w:p>
            <w:pPr>
              <w:ind w:left="1520"/>
              <w:spacing w:after="0"/>
              <w:rPr>
                <w:sz w:val="20"/>
                <w:szCs w:val="20"/>
                <w:color w:val="auto"/>
              </w:rPr>
            </w:pPr>
            <w:r>
              <w:rPr>
                <w:rFonts w:ascii="Arial" w:cs="Arial" w:eastAsia="Arial" w:hAnsi="Arial"/>
                <w:sz w:val="18"/>
                <w:szCs w:val="18"/>
                <w:b w:val="1"/>
                <w:bCs w:val="1"/>
                <w:color w:val="auto"/>
              </w:rPr>
              <w:t>EXECUTIVE OFFICERS</w:t>
            </w: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William G. Currie</w:t>
            </w:r>
          </w:p>
        </w:tc>
        <w:tc>
          <w:tcPr>
            <w:tcW w:w="6040" w:type="dxa"/>
            <w:vAlign w:val="bottom"/>
          </w:tcPr>
          <w:p>
            <w:pPr>
              <w:ind w:left="1520"/>
              <w:spacing w:after="0"/>
              <w:rPr>
                <w:sz w:val="20"/>
                <w:szCs w:val="20"/>
                <w:color w:val="auto"/>
              </w:rPr>
            </w:pPr>
            <w:r>
              <w:rPr>
                <w:rFonts w:ascii="Arial" w:cs="Arial" w:eastAsia="Arial" w:hAnsi="Arial"/>
                <w:sz w:val="18"/>
                <w:szCs w:val="18"/>
                <w:color w:val="auto"/>
              </w:rPr>
              <w:t>Matthew J. Missad</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Chairman of the Board</w:t>
            </w:r>
          </w:p>
        </w:tc>
        <w:tc>
          <w:tcPr>
            <w:tcW w:w="6040" w:type="dxa"/>
            <w:vAlign w:val="bottom"/>
          </w:tcPr>
          <w:p>
            <w:pPr>
              <w:ind w:left="1520"/>
              <w:spacing w:after="0"/>
              <w:rPr>
                <w:sz w:val="20"/>
                <w:szCs w:val="20"/>
                <w:color w:val="auto"/>
              </w:rPr>
            </w:pPr>
            <w:r>
              <w:rPr>
                <w:rFonts w:ascii="Arial" w:cs="Arial" w:eastAsia="Arial" w:hAnsi="Arial"/>
                <w:sz w:val="18"/>
                <w:szCs w:val="18"/>
                <w:color w:val="auto"/>
              </w:rPr>
              <w:t>Chief Executive Officer</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Universal Forest Products, Inc.</w:t>
            </w:r>
          </w:p>
        </w:tc>
        <w:tc>
          <w:tcPr>
            <w:tcW w:w="6040" w:type="dxa"/>
            <w:vAlign w:val="bottom"/>
          </w:tcPr>
          <w:p>
            <w:pPr>
              <w:spacing w:after="0"/>
              <w:rPr>
                <w:sz w:val="20"/>
                <w:szCs w:val="20"/>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Matthew J. Missad</w:t>
            </w:r>
          </w:p>
        </w:tc>
        <w:tc>
          <w:tcPr>
            <w:tcW w:w="6040" w:type="dxa"/>
            <w:vAlign w:val="bottom"/>
          </w:tcPr>
          <w:p>
            <w:pPr>
              <w:ind w:left="1520"/>
              <w:spacing w:after="0"/>
              <w:rPr>
                <w:sz w:val="20"/>
                <w:szCs w:val="20"/>
                <w:color w:val="auto"/>
              </w:rPr>
            </w:pPr>
            <w:r>
              <w:rPr>
                <w:rFonts w:ascii="Arial" w:cs="Arial" w:eastAsia="Arial" w:hAnsi="Arial"/>
                <w:sz w:val="18"/>
                <w:szCs w:val="18"/>
                <w:color w:val="auto"/>
              </w:rPr>
              <w:t>Patrick M. Webster</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40" w:type="dxa"/>
            <w:vAlign w:val="bottom"/>
          </w:tcPr>
          <w:p>
            <w:pPr>
              <w:ind w:left="1520"/>
              <w:spacing w:after="0"/>
              <w:rPr>
                <w:sz w:val="20"/>
                <w:szCs w:val="20"/>
                <w:color w:val="auto"/>
              </w:rPr>
            </w:pPr>
            <w:r>
              <w:rPr>
                <w:rFonts w:ascii="Arial" w:cs="Arial" w:eastAsia="Arial" w:hAnsi="Arial"/>
                <w:sz w:val="18"/>
                <w:szCs w:val="18"/>
                <w:color w:val="auto"/>
              </w:rPr>
              <w:t>President and Chief Operating Officer</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Universal Forest Products, Inc.</w:t>
            </w:r>
          </w:p>
        </w:tc>
        <w:tc>
          <w:tcPr>
            <w:tcW w:w="6040" w:type="dxa"/>
            <w:vAlign w:val="bottom"/>
          </w:tcPr>
          <w:p>
            <w:pPr>
              <w:spacing w:after="0"/>
              <w:rPr>
                <w:sz w:val="20"/>
                <w:szCs w:val="20"/>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John M. Engler</w:t>
            </w:r>
          </w:p>
        </w:tc>
        <w:tc>
          <w:tcPr>
            <w:tcW w:w="6040" w:type="dxa"/>
            <w:vAlign w:val="bottom"/>
          </w:tcPr>
          <w:p>
            <w:pPr>
              <w:ind w:left="1520"/>
              <w:spacing w:after="0"/>
              <w:rPr>
                <w:sz w:val="20"/>
                <w:szCs w:val="20"/>
                <w:color w:val="auto"/>
              </w:rPr>
            </w:pPr>
            <w:r>
              <w:rPr>
                <w:rFonts w:ascii="Arial" w:cs="Arial" w:eastAsia="Arial" w:hAnsi="Arial"/>
                <w:sz w:val="18"/>
                <w:szCs w:val="18"/>
                <w:color w:val="auto"/>
              </w:rPr>
              <w:t>Michael R. Cole</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Interim President</w:t>
            </w:r>
          </w:p>
        </w:tc>
        <w:tc>
          <w:tcPr>
            <w:tcW w:w="6040" w:type="dxa"/>
            <w:vAlign w:val="bottom"/>
          </w:tcPr>
          <w:p>
            <w:pPr>
              <w:ind w:left="15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Michigan State University</w:t>
            </w:r>
          </w:p>
        </w:tc>
        <w:tc>
          <w:tcPr>
            <w:tcW w:w="6040" w:type="dxa"/>
            <w:vAlign w:val="bottom"/>
          </w:tcPr>
          <w:p>
            <w:pPr>
              <w:spacing w:after="0"/>
              <w:rPr>
                <w:sz w:val="20"/>
                <w:szCs w:val="20"/>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Gary F. Goode, CPA</w:t>
            </w:r>
          </w:p>
        </w:tc>
        <w:tc>
          <w:tcPr>
            <w:tcW w:w="6040" w:type="dxa"/>
            <w:vAlign w:val="bottom"/>
          </w:tcPr>
          <w:p>
            <w:pPr>
              <w:ind w:left="1520"/>
              <w:spacing w:after="0"/>
              <w:rPr>
                <w:sz w:val="20"/>
                <w:szCs w:val="20"/>
                <w:color w:val="auto"/>
              </w:rPr>
            </w:pPr>
            <w:r>
              <w:rPr>
                <w:rFonts w:ascii="Arial" w:cs="Arial" w:eastAsia="Arial" w:hAnsi="Arial"/>
                <w:sz w:val="18"/>
                <w:szCs w:val="18"/>
                <w:color w:val="auto"/>
              </w:rPr>
              <w:t>Allen T. Peters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Chairman</w:t>
            </w:r>
          </w:p>
        </w:tc>
        <w:tc>
          <w:tcPr>
            <w:tcW w:w="6040" w:type="dxa"/>
            <w:vAlign w:val="bottom"/>
          </w:tcPr>
          <w:p>
            <w:pPr>
              <w:ind w:left="1520"/>
              <w:spacing w:after="0"/>
              <w:rPr>
                <w:sz w:val="20"/>
                <w:szCs w:val="20"/>
                <w:color w:val="auto"/>
              </w:rPr>
            </w:pPr>
            <w:r>
              <w:rPr>
                <w:rFonts w:ascii="Arial" w:cs="Arial" w:eastAsia="Arial" w:hAnsi="Arial"/>
                <w:sz w:val="18"/>
                <w:szCs w:val="18"/>
                <w:color w:val="auto"/>
              </w:rPr>
              <w:t>President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Titan Sales &amp; Consulting, LLC</w:t>
            </w:r>
          </w:p>
        </w:tc>
        <w:tc>
          <w:tcPr>
            <w:tcW w:w="6040" w:type="dxa"/>
            <w:vAlign w:val="bottom"/>
          </w:tcPr>
          <w:p>
            <w:pPr>
              <w:ind w:left="1520"/>
              <w:spacing w:after="0"/>
              <w:rPr>
                <w:sz w:val="20"/>
                <w:szCs w:val="20"/>
                <w:color w:val="auto"/>
              </w:rPr>
            </w:pPr>
            <w:r>
              <w:rPr>
                <w:rFonts w:ascii="Arial" w:cs="Arial" w:eastAsia="Arial" w:hAnsi="Arial"/>
                <w:sz w:val="18"/>
                <w:szCs w:val="18"/>
                <w:color w:val="auto"/>
              </w:rPr>
              <w:t>UFP Western Division</w:t>
            </w: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Thomas W. Rhodes</w:t>
            </w:r>
          </w:p>
        </w:tc>
        <w:tc>
          <w:tcPr>
            <w:tcW w:w="6040" w:type="dxa"/>
            <w:vAlign w:val="bottom"/>
          </w:tcPr>
          <w:p>
            <w:pPr>
              <w:ind w:left="1520"/>
              <w:spacing w:after="0"/>
              <w:rPr>
                <w:sz w:val="20"/>
                <w:szCs w:val="20"/>
                <w:color w:val="auto"/>
              </w:rPr>
            </w:pPr>
            <w:r>
              <w:rPr>
                <w:rFonts w:ascii="Arial" w:cs="Arial" w:eastAsia="Arial" w:hAnsi="Arial"/>
                <w:sz w:val="18"/>
                <w:szCs w:val="18"/>
                <w:color w:val="auto"/>
              </w:rPr>
              <w:t>Patrick Benton</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040" w:type="dxa"/>
            <w:vAlign w:val="bottom"/>
          </w:tcPr>
          <w:p>
            <w:pPr>
              <w:ind w:left="1520"/>
              <w:spacing w:after="0"/>
              <w:rPr>
                <w:sz w:val="20"/>
                <w:szCs w:val="20"/>
                <w:color w:val="auto"/>
              </w:rPr>
            </w:pPr>
            <w:r>
              <w:rPr>
                <w:rFonts w:ascii="Arial" w:cs="Arial" w:eastAsia="Arial" w:hAnsi="Arial"/>
                <w:sz w:val="18"/>
                <w:szCs w:val="18"/>
                <w:color w:val="auto"/>
              </w:rPr>
              <w:t>President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TWR Enterprises, Inc.</w:t>
            </w:r>
          </w:p>
        </w:tc>
        <w:tc>
          <w:tcPr>
            <w:tcW w:w="6040" w:type="dxa"/>
            <w:vAlign w:val="bottom"/>
          </w:tcPr>
          <w:p>
            <w:pPr>
              <w:ind w:left="1520"/>
              <w:spacing w:after="0"/>
              <w:rPr>
                <w:sz w:val="20"/>
                <w:szCs w:val="20"/>
                <w:color w:val="auto"/>
              </w:rPr>
            </w:pPr>
            <w:r>
              <w:rPr>
                <w:rFonts w:ascii="Arial" w:cs="Arial" w:eastAsia="Arial" w:hAnsi="Arial"/>
                <w:sz w:val="18"/>
                <w:szCs w:val="18"/>
                <w:color w:val="auto"/>
              </w:rPr>
              <w:t>UFP Northern Division</w:t>
            </w: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Bruce A. Merino</w:t>
            </w:r>
          </w:p>
        </w:tc>
        <w:tc>
          <w:tcPr>
            <w:tcW w:w="6040" w:type="dxa"/>
            <w:vAlign w:val="bottom"/>
          </w:tcPr>
          <w:p>
            <w:pPr>
              <w:ind w:left="1520"/>
              <w:spacing w:after="0"/>
              <w:rPr>
                <w:sz w:val="20"/>
                <w:szCs w:val="20"/>
                <w:color w:val="auto"/>
              </w:rPr>
            </w:pPr>
            <w:r>
              <w:rPr>
                <w:rFonts w:ascii="Arial" w:cs="Arial" w:eastAsia="Arial" w:hAnsi="Arial"/>
                <w:sz w:val="18"/>
                <w:szCs w:val="18"/>
                <w:color w:val="auto"/>
              </w:rPr>
              <w:t>Jonathan West</w:t>
            </w:r>
          </w:p>
        </w:tc>
      </w:tr>
      <w:tr>
        <w:trPr>
          <w:trHeight w:val="216"/>
        </w:trPr>
        <w:tc>
          <w:tcPr>
            <w:tcW w:w="3020" w:type="dxa"/>
            <w:vAlign w:val="bottom"/>
          </w:tcPr>
          <w:p>
            <w:pPr>
              <w:spacing w:after="0"/>
              <w:rPr>
                <w:sz w:val="18"/>
                <w:szCs w:val="18"/>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President</w:t>
            </w:r>
          </w:p>
        </w:tc>
      </w:tr>
      <w:tr>
        <w:trPr>
          <w:trHeight w:val="230"/>
        </w:trPr>
        <w:tc>
          <w:tcPr>
            <w:tcW w:w="3020" w:type="dxa"/>
            <w:vAlign w:val="bottom"/>
          </w:tcPr>
          <w:p>
            <w:pPr>
              <w:spacing w:after="0"/>
              <w:rPr>
                <w:sz w:val="20"/>
                <w:szCs w:val="20"/>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UFP Southern Division</w:t>
            </w: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Mary E. Tuuk</w:t>
            </w:r>
          </w:p>
        </w:tc>
        <w:tc>
          <w:tcPr>
            <w:tcW w:w="6040" w:type="dxa"/>
            <w:vAlign w:val="bottom"/>
          </w:tcPr>
          <w:p>
            <w:pPr>
              <w:ind w:left="1520"/>
              <w:spacing w:after="0"/>
              <w:rPr>
                <w:sz w:val="20"/>
                <w:szCs w:val="20"/>
                <w:color w:val="auto"/>
              </w:rPr>
            </w:pPr>
            <w:r>
              <w:rPr>
                <w:rFonts w:ascii="Arial" w:cs="Arial" w:eastAsia="Arial" w:hAnsi="Arial"/>
                <w:sz w:val="18"/>
                <w:szCs w:val="18"/>
                <w:color w:val="auto"/>
              </w:rPr>
              <w:t>Robert D. Coleman</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Chief Compliance Officer</w:t>
            </w:r>
          </w:p>
        </w:tc>
        <w:tc>
          <w:tcPr>
            <w:tcW w:w="6040" w:type="dxa"/>
            <w:vAlign w:val="bottom"/>
          </w:tcPr>
          <w:p>
            <w:pPr>
              <w:ind w:left="1520"/>
              <w:spacing w:after="0"/>
              <w:rPr>
                <w:sz w:val="20"/>
                <w:szCs w:val="20"/>
                <w:color w:val="auto"/>
              </w:rPr>
            </w:pPr>
            <w:r>
              <w:rPr>
                <w:rFonts w:ascii="Arial" w:cs="Arial" w:eastAsia="Arial" w:hAnsi="Arial"/>
                <w:sz w:val="18"/>
                <w:szCs w:val="18"/>
                <w:color w:val="auto"/>
              </w:rPr>
              <w:t>Executive Vice President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Meijer, Inc.</w:t>
            </w:r>
          </w:p>
        </w:tc>
        <w:tc>
          <w:tcPr>
            <w:tcW w:w="6040" w:type="dxa"/>
            <w:vAlign w:val="bottom"/>
          </w:tcPr>
          <w:p>
            <w:pPr>
              <w:ind w:left="1520"/>
              <w:spacing w:after="0"/>
              <w:rPr>
                <w:sz w:val="20"/>
                <w:szCs w:val="20"/>
                <w:color w:val="auto"/>
              </w:rPr>
            </w:pPr>
            <w:r>
              <w:rPr>
                <w:rFonts w:ascii="Arial" w:cs="Arial" w:eastAsia="Arial" w:hAnsi="Arial"/>
                <w:sz w:val="18"/>
                <w:szCs w:val="18"/>
                <w:color w:val="auto"/>
              </w:rPr>
              <w:t>Manufacturing</w:t>
            </w: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Brian C. Walker</w:t>
            </w:r>
          </w:p>
        </w:tc>
        <w:tc>
          <w:tcPr>
            <w:tcW w:w="6040" w:type="dxa"/>
            <w:vAlign w:val="bottom"/>
          </w:tcPr>
          <w:p>
            <w:pPr>
              <w:ind w:left="1520"/>
              <w:spacing w:after="0"/>
              <w:rPr>
                <w:sz w:val="20"/>
                <w:szCs w:val="20"/>
                <w:color w:val="auto"/>
              </w:rPr>
            </w:pPr>
            <w:r>
              <w:rPr>
                <w:rFonts w:ascii="Arial" w:cs="Arial" w:eastAsia="Arial" w:hAnsi="Arial"/>
                <w:sz w:val="18"/>
                <w:szCs w:val="18"/>
                <w:color w:val="auto"/>
              </w:rPr>
              <w:t>C. Scott Greene</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40" w:type="dxa"/>
            <w:vAlign w:val="bottom"/>
          </w:tcPr>
          <w:p>
            <w:pPr>
              <w:ind w:left="1520"/>
              <w:spacing w:after="0"/>
              <w:rPr>
                <w:sz w:val="20"/>
                <w:szCs w:val="20"/>
                <w:color w:val="auto"/>
              </w:rPr>
            </w:pPr>
            <w:r>
              <w:rPr>
                <w:rFonts w:ascii="Arial" w:cs="Arial" w:eastAsia="Arial" w:hAnsi="Arial"/>
                <w:sz w:val="18"/>
                <w:szCs w:val="18"/>
                <w:color w:val="auto"/>
              </w:rPr>
              <w:t>Executive Vice President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Herman Miller, Inc.</w:t>
            </w:r>
          </w:p>
        </w:tc>
        <w:tc>
          <w:tcPr>
            <w:tcW w:w="6040" w:type="dxa"/>
            <w:vAlign w:val="bottom"/>
          </w:tcPr>
          <w:p>
            <w:pPr>
              <w:ind w:left="1520"/>
              <w:spacing w:after="0"/>
              <w:rPr>
                <w:sz w:val="20"/>
                <w:szCs w:val="20"/>
                <w:color w:val="auto"/>
              </w:rPr>
            </w:pPr>
            <w:r>
              <w:rPr>
                <w:rFonts w:ascii="Arial" w:cs="Arial" w:eastAsia="Arial" w:hAnsi="Arial"/>
                <w:sz w:val="18"/>
                <w:szCs w:val="18"/>
                <w:color w:val="auto"/>
              </w:rPr>
              <w:t>Marketing</w:t>
            </w: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Michael G. Wooldridge</w:t>
            </w:r>
          </w:p>
        </w:tc>
        <w:tc>
          <w:tcPr>
            <w:tcW w:w="6040" w:type="dxa"/>
            <w:vAlign w:val="bottom"/>
          </w:tcPr>
          <w:p>
            <w:pPr>
              <w:ind w:left="1520"/>
              <w:spacing w:after="0"/>
              <w:rPr>
                <w:sz w:val="20"/>
                <w:szCs w:val="20"/>
                <w:color w:val="auto"/>
              </w:rPr>
            </w:pPr>
            <w:r>
              <w:rPr>
                <w:rFonts w:ascii="Arial" w:cs="Arial" w:eastAsia="Arial" w:hAnsi="Arial"/>
                <w:sz w:val="18"/>
                <w:szCs w:val="18"/>
                <w:color w:val="auto"/>
              </w:rPr>
              <w:t>Donald L. James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Partner</w:t>
            </w:r>
          </w:p>
        </w:tc>
        <w:tc>
          <w:tcPr>
            <w:tcW w:w="6040" w:type="dxa"/>
            <w:vAlign w:val="bottom"/>
          </w:tcPr>
          <w:p>
            <w:pPr>
              <w:ind w:left="1520"/>
              <w:spacing w:after="0"/>
              <w:rPr>
                <w:sz w:val="20"/>
                <w:szCs w:val="20"/>
                <w:color w:val="auto"/>
              </w:rPr>
            </w:pPr>
            <w:r>
              <w:rPr>
                <w:rFonts w:ascii="Arial" w:cs="Arial" w:eastAsia="Arial" w:hAnsi="Arial"/>
                <w:sz w:val="18"/>
                <w:szCs w:val="18"/>
                <w:color w:val="auto"/>
              </w:rPr>
              <w:t>Executive Vice President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Varnum, LLP</w:t>
            </w:r>
          </w:p>
        </w:tc>
        <w:tc>
          <w:tcPr>
            <w:tcW w:w="6040" w:type="dxa"/>
            <w:vAlign w:val="bottom"/>
          </w:tcPr>
          <w:p>
            <w:pPr>
              <w:ind w:left="1520"/>
              <w:spacing w:after="0"/>
              <w:rPr>
                <w:sz w:val="20"/>
                <w:szCs w:val="20"/>
                <w:color w:val="auto"/>
              </w:rPr>
            </w:pPr>
            <w:r>
              <w:rPr>
                <w:rFonts w:ascii="Arial" w:cs="Arial" w:eastAsia="Arial" w:hAnsi="Arial"/>
                <w:sz w:val="18"/>
                <w:szCs w:val="18"/>
                <w:color w:val="auto"/>
              </w:rPr>
              <w:t>National Sales</w:t>
            </w:r>
          </w:p>
        </w:tc>
      </w:tr>
      <w:tr>
        <w:trPr>
          <w:trHeight w:val="418"/>
        </w:trPr>
        <w:tc>
          <w:tcPr>
            <w:tcW w:w="3020" w:type="dxa"/>
            <w:vAlign w:val="bottom"/>
          </w:tcPr>
          <w:p>
            <w:pPr>
              <w:spacing w:after="0"/>
              <w:rPr>
                <w:sz w:val="24"/>
                <w:szCs w:val="24"/>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Michael F. Mordell</w:t>
            </w:r>
          </w:p>
        </w:tc>
      </w:tr>
      <w:tr>
        <w:trPr>
          <w:trHeight w:val="216"/>
        </w:trPr>
        <w:tc>
          <w:tcPr>
            <w:tcW w:w="3020" w:type="dxa"/>
            <w:vAlign w:val="bottom"/>
          </w:tcPr>
          <w:p>
            <w:pPr>
              <w:spacing w:after="0"/>
              <w:rPr>
                <w:sz w:val="18"/>
                <w:szCs w:val="18"/>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Executive Vice President</w:t>
            </w:r>
          </w:p>
        </w:tc>
      </w:tr>
      <w:tr>
        <w:trPr>
          <w:trHeight w:val="230"/>
        </w:trPr>
        <w:tc>
          <w:tcPr>
            <w:tcW w:w="3020" w:type="dxa"/>
            <w:vAlign w:val="bottom"/>
          </w:tcPr>
          <w:p>
            <w:pPr>
              <w:spacing w:after="0"/>
              <w:rPr>
                <w:sz w:val="20"/>
                <w:szCs w:val="20"/>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International Operations</w:t>
            </w:r>
          </w:p>
        </w:tc>
      </w:tr>
      <w:tr>
        <w:trPr>
          <w:trHeight w:val="418"/>
        </w:trPr>
        <w:tc>
          <w:tcPr>
            <w:tcW w:w="3020" w:type="dxa"/>
            <w:vAlign w:val="bottom"/>
          </w:tcPr>
          <w:p>
            <w:pPr>
              <w:spacing w:after="0"/>
              <w:rPr>
                <w:sz w:val="24"/>
                <w:szCs w:val="24"/>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Chad C. Uhlig Eastin</w:t>
            </w:r>
          </w:p>
        </w:tc>
      </w:tr>
      <w:tr>
        <w:trPr>
          <w:trHeight w:val="216"/>
        </w:trPr>
        <w:tc>
          <w:tcPr>
            <w:tcW w:w="3020" w:type="dxa"/>
            <w:vAlign w:val="bottom"/>
          </w:tcPr>
          <w:p>
            <w:pPr>
              <w:spacing w:after="0"/>
              <w:rPr>
                <w:sz w:val="18"/>
                <w:szCs w:val="18"/>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Executive Vice President</w:t>
            </w:r>
          </w:p>
        </w:tc>
      </w:tr>
      <w:tr>
        <w:trPr>
          <w:trHeight w:val="230"/>
        </w:trPr>
        <w:tc>
          <w:tcPr>
            <w:tcW w:w="3020" w:type="dxa"/>
            <w:vAlign w:val="bottom"/>
          </w:tcPr>
          <w:p>
            <w:pPr>
              <w:spacing w:after="0"/>
              <w:rPr>
                <w:sz w:val="20"/>
                <w:szCs w:val="20"/>
                <w:color w:val="auto"/>
              </w:rPr>
            </w:pPr>
          </w:p>
        </w:tc>
        <w:tc>
          <w:tcPr>
            <w:tcW w:w="6040" w:type="dxa"/>
            <w:vAlign w:val="bottom"/>
          </w:tcPr>
          <w:p>
            <w:pPr>
              <w:ind w:left="1520"/>
              <w:spacing w:after="0"/>
              <w:rPr>
                <w:sz w:val="20"/>
                <w:szCs w:val="20"/>
                <w:color w:val="auto"/>
              </w:rPr>
            </w:pPr>
            <w:r>
              <w:rPr>
                <w:rFonts w:ascii="Arial" w:cs="Arial" w:eastAsia="Arial" w:hAnsi="Arial"/>
                <w:sz w:val="18"/>
                <w:szCs w:val="18"/>
                <w:color w:val="auto"/>
              </w:rPr>
              <w:t>Purchasing</w:t>
            </w:r>
          </w:p>
        </w:tc>
      </w:tr>
      <w:tr>
        <w:trPr>
          <w:trHeight w:val="878"/>
        </w:trPr>
        <w:tc>
          <w:tcPr>
            <w:tcW w:w="3020" w:type="dxa"/>
            <w:vAlign w:val="bottom"/>
          </w:tcPr>
          <w:p>
            <w:pPr>
              <w:spacing w:after="0"/>
              <w:rPr>
                <w:sz w:val="24"/>
                <w:szCs w:val="24"/>
                <w:color w:val="auto"/>
              </w:rPr>
            </w:pPr>
          </w:p>
        </w:tc>
        <w:tc>
          <w:tcPr>
            <w:tcW w:w="6040" w:type="dxa"/>
            <w:vAlign w:val="bottom"/>
          </w:tcPr>
          <w:p>
            <w:pPr>
              <w:ind w:left="1420"/>
              <w:spacing w:after="0"/>
              <w:rPr>
                <w:sz w:val="20"/>
                <w:szCs w:val="20"/>
                <w:color w:val="auto"/>
              </w:rPr>
            </w:pPr>
            <w:r>
              <w:rPr>
                <w:rFonts w:ascii="Arial" w:cs="Arial" w:eastAsia="Arial" w:hAnsi="Arial"/>
                <w:sz w:val="18"/>
                <w:szCs w:val="18"/>
                <w:color w:val="auto"/>
              </w:rPr>
              <w:t>57</w:t>
            </w:r>
          </w:p>
        </w:tc>
      </w:tr>
      <w:tr>
        <w:trPr>
          <w:trHeight w:val="129"/>
        </w:trPr>
        <w:tc>
          <w:tcPr>
            <w:tcW w:w="3020" w:type="dxa"/>
            <w:vAlign w:val="bottom"/>
            <w:tcBorders>
              <w:bottom w:val="single" w:sz="8" w:color="auto"/>
            </w:tcBorders>
          </w:tcPr>
          <w:p>
            <w:pPr>
              <w:spacing w:after="0"/>
              <w:rPr>
                <w:sz w:val="11"/>
                <w:szCs w:val="11"/>
                <w:color w:val="auto"/>
              </w:rPr>
            </w:pPr>
          </w:p>
        </w:tc>
        <w:tc>
          <w:tcPr>
            <w:tcW w:w="60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meeting of Universal Forest Products, Inc. will be held at 8:30 a.m. on April 18, 2018, at 2880 East Beltline Lane NE, Grand Rapids, MI 49525.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INFORMATION</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Shares of the Company’s stock are traded under the symbol UFPI on the NASDAQ Stock Market. The Company’s 10</w:t>
      </w:r>
      <w:r>
        <w:rPr>
          <w:rFonts w:ascii="MS PGothic" w:cs="MS PGothic" w:eastAsia="MS PGothic" w:hAnsi="MS PGothic"/>
          <w:sz w:val="18"/>
          <w:szCs w:val="18"/>
          <w:color w:val="auto"/>
        </w:rPr>
        <w:t>‑</w:t>
      </w:r>
      <w:r>
        <w:rPr>
          <w:rFonts w:ascii="Arial" w:cs="Arial" w:eastAsia="Arial" w:hAnsi="Arial"/>
          <w:sz w:val="18"/>
          <w:szCs w:val="18"/>
          <w:color w:val="auto"/>
        </w:rPr>
        <w:t>K report, filed with the Securities and Exchange Commission, will be provided free of charge to any shareholder upon written request. For more information contact: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Telephone: (616) 364</w:t>
      </w:r>
      <w:r>
        <w:rPr>
          <w:rFonts w:ascii="MS PGothic" w:cs="MS PGothic" w:eastAsia="MS PGothic" w:hAnsi="MS PGothic"/>
          <w:sz w:val="18"/>
          <w:szCs w:val="18"/>
          <w:color w:val="auto"/>
        </w:rPr>
        <w:t>‑</w:t>
      </w:r>
      <w:r>
        <w:rPr>
          <w:rFonts w:ascii="Arial" w:cs="Arial" w:eastAsia="Arial" w:hAnsi="Arial"/>
          <w:sz w:val="18"/>
          <w:szCs w:val="18"/>
          <w:color w:val="auto"/>
        </w:rPr>
        <w:t>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www.ufpi.com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Varnum,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AGENT/SHAREHOLDER INQUIRIES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Telephone: (800) 937</w:t>
      </w:r>
      <w:r>
        <w:rPr>
          <w:rFonts w:ascii="MS PGothic" w:cs="MS PGothic" w:eastAsia="MS PGothic" w:hAnsi="MS PGothic"/>
          <w:sz w:val="18"/>
          <w:szCs w:val="18"/>
          <w:color w:val="auto"/>
        </w:rPr>
        <w:t>‑</w:t>
      </w:r>
      <w:r>
        <w:rPr>
          <w:rFonts w:ascii="Arial" w:cs="Arial" w:eastAsia="Arial" w:hAnsi="Arial"/>
          <w:sz w:val="18"/>
          <w:szCs w:val="18"/>
          <w:color w:val="auto"/>
        </w:rPr>
        <w:t>5449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 CORPORATE HEADQUARTERS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Telephone: (616) 364</w:t>
      </w:r>
      <w:r>
        <w:rPr>
          <w:rFonts w:ascii="MS PGothic" w:cs="MS PGothic" w:eastAsia="MS PGothic" w:hAnsi="MS PGothic"/>
          <w:sz w:val="18"/>
          <w:szCs w:val="18"/>
          <w:color w:val="auto"/>
        </w:rPr>
        <w:t>‑</w:t>
      </w:r>
      <w:r>
        <w:rPr>
          <w:rFonts w:ascii="Arial" w:cs="Arial" w:eastAsia="Arial" w:hAnsi="Arial"/>
          <w:sz w:val="18"/>
          <w:szCs w:val="18"/>
          <w:color w:val="auto"/>
        </w:rPr>
        <w:t>6161</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Facsimile: (616) 364</w:t>
      </w:r>
      <w:r>
        <w:rPr>
          <w:rFonts w:ascii="MS PGothic" w:cs="MS PGothic" w:eastAsia="MS PGothic" w:hAnsi="MS PGothic"/>
          <w:sz w:val="18"/>
          <w:szCs w:val="18"/>
          <w:color w:val="auto"/>
        </w:rPr>
        <w:t>‑</w:t>
      </w:r>
      <w:r>
        <w:rPr>
          <w:rFonts w:ascii="Arial" w:cs="Arial" w:eastAsia="Arial" w:hAnsi="Arial"/>
          <w:sz w:val="18"/>
          <w:szCs w:val="18"/>
          <w:color w:val="auto"/>
        </w:rPr>
        <w:t>5558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 AND ITS AFFILIATES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Locations:</w:t>
            </w:r>
          </w:p>
        </w:tc>
        <w:tc>
          <w:tcPr>
            <w:tcW w:w="284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1"/>
        </w:trPr>
        <w:tc>
          <w:tcPr>
            <w:tcW w:w="2580" w:type="dxa"/>
            <w:vAlign w:val="bottom"/>
          </w:tcPr>
          <w:p>
            <w:pPr>
              <w:spacing w:after="0"/>
              <w:rPr>
                <w:sz w:val="20"/>
                <w:szCs w:val="20"/>
                <w:color w:val="auto"/>
              </w:rPr>
            </w:pPr>
            <w:r>
              <w:rPr>
                <w:rFonts w:ascii="Arial" w:cs="Arial" w:eastAsia="Arial" w:hAnsi="Arial"/>
                <w:sz w:val="18"/>
                <w:szCs w:val="18"/>
                <w:color w:val="auto"/>
              </w:rPr>
              <w:t>Ashburn, GA</w:t>
            </w:r>
          </w:p>
        </w:tc>
        <w:tc>
          <w:tcPr>
            <w:tcW w:w="2840" w:type="dxa"/>
            <w:vAlign w:val="bottom"/>
          </w:tcPr>
          <w:p>
            <w:pPr>
              <w:ind w:left="440"/>
              <w:spacing w:after="0"/>
              <w:rPr>
                <w:sz w:val="20"/>
                <w:szCs w:val="20"/>
                <w:color w:val="auto"/>
              </w:rPr>
            </w:pPr>
            <w:r>
              <w:rPr>
                <w:rFonts w:ascii="Arial" w:cs="Arial" w:eastAsia="Arial" w:hAnsi="Arial"/>
                <w:sz w:val="18"/>
                <w:szCs w:val="18"/>
                <w:color w:val="auto"/>
              </w:rPr>
              <w:t>Hillsboro, TX</w:t>
            </w:r>
          </w:p>
        </w:tc>
        <w:tc>
          <w:tcPr>
            <w:tcW w:w="3640" w:type="dxa"/>
            <w:vAlign w:val="bottom"/>
          </w:tcPr>
          <w:p>
            <w:pPr>
              <w:ind w:left="600"/>
              <w:spacing w:after="0"/>
              <w:rPr>
                <w:sz w:val="20"/>
                <w:szCs w:val="20"/>
                <w:color w:val="auto"/>
              </w:rPr>
            </w:pPr>
            <w:r>
              <w:rPr>
                <w:rFonts w:ascii="Arial" w:cs="Arial" w:eastAsia="Arial" w:hAnsi="Arial"/>
                <w:sz w:val="18"/>
                <w:szCs w:val="18"/>
                <w:color w:val="auto"/>
              </w:rPr>
              <w:t>Schertz, TX</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Athena, OR</w:t>
            </w:r>
          </w:p>
        </w:tc>
        <w:tc>
          <w:tcPr>
            <w:tcW w:w="2840" w:type="dxa"/>
            <w:vAlign w:val="bottom"/>
          </w:tcPr>
          <w:p>
            <w:pPr>
              <w:ind w:left="440"/>
              <w:spacing w:after="0"/>
              <w:rPr>
                <w:sz w:val="20"/>
                <w:szCs w:val="20"/>
                <w:color w:val="auto"/>
              </w:rPr>
            </w:pPr>
            <w:r>
              <w:rPr>
                <w:rFonts w:ascii="Arial" w:cs="Arial" w:eastAsia="Arial" w:hAnsi="Arial"/>
                <w:sz w:val="18"/>
                <w:szCs w:val="18"/>
                <w:color w:val="auto"/>
              </w:rPr>
              <w:t>Hudson, NY</w:t>
            </w:r>
          </w:p>
        </w:tc>
        <w:tc>
          <w:tcPr>
            <w:tcW w:w="3640" w:type="dxa"/>
            <w:vAlign w:val="bottom"/>
          </w:tcPr>
          <w:p>
            <w:pPr>
              <w:ind w:left="600"/>
              <w:spacing w:after="0"/>
              <w:rPr>
                <w:sz w:val="20"/>
                <w:szCs w:val="20"/>
                <w:color w:val="auto"/>
              </w:rPr>
            </w:pPr>
            <w:r>
              <w:rPr>
                <w:rFonts w:ascii="Arial" w:cs="Arial" w:eastAsia="Arial" w:hAnsi="Arial"/>
                <w:sz w:val="18"/>
                <w:szCs w:val="18"/>
                <w:color w:val="auto"/>
              </w:rPr>
              <w:t>Selma, AL</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Auburn, NY</w:t>
            </w:r>
          </w:p>
        </w:tc>
        <w:tc>
          <w:tcPr>
            <w:tcW w:w="2840" w:type="dxa"/>
            <w:vAlign w:val="bottom"/>
          </w:tcPr>
          <w:p>
            <w:pPr>
              <w:ind w:left="440"/>
              <w:spacing w:after="0"/>
              <w:rPr>
                <w:sz w:val="20"/>
                <w:szCs w:val="20"/>
                <w:color w:val="auto"/>
              </w:rPr>
            </w:pPr>
            <w:r>
              <w:rPr>
                <w:rFonts w:ascii="Arial" w:cs="Arial" w:eastAsia="Arial" w:hAnsi="Arial"/>
                <w:sz w:val="18"/>
                <w:szCs w:val="18"/>
                <w:color w:val="auto"/>
              </w:rPr>
              <w:t>Huntsville, TX</w:t>
            </w:r>
          </w:p>
        </w:tc>
        <w:tc>
          <w:tcPr>
            <w:tcW w:w="3640" w:type="dxa"/>
            <w:vAlign w:val="bottom"/>
          </w:tcPr>
          <w:p>
            <w:pPr>
              <w:ind w:left="600"/>
              <w:spacing w:after="0"/>
              <w:rPr>
                <w:sz w:val="20"/>
                <w:szCs w:val="20"/>
                <w:color w:val="auto"/>
              </w:rPr>
            </w:pPr>
            <w:r>
              <w:rPr>
                <w:rFonts w:ascii="Arial" w:cs="Arial" w:eastAsia="Arial" w:hAnsi="Arial"/>
                <w:sz w:val="18"/>
                <w:szCs w:val="18"/>
                <w:color w:val="auto"/>
              </w:rPr>
              <w:t>Shanghai, China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Auburndale, FL</w:t>
            </w:r>
          </w:p>
        </w:tc>
        <w:tc>
          <w:tcPr>
            <w:tcW w:w="2840" w:type="dxa"/>
            <w:vAlign w:val="bottom"/>
          </w:tcPr>
          <w:p>
            <w:pPr>
              <w:ind w:left="440"/>
              <w:spacing w:after="0"/>
              <w:rPr>
                <w:sz w:val="20"/>
                <w:szCs w:val="20"/>
                <w:color w:val="auto"/>
              </w:rPr>
            </w:pPr>
            <w:r>
              <w:rPr>
                <w:rFonts w:ascii="Arial" w:cs="Arial" w:eastAsia="Arial" w:hAnsi="Arial"/>
                <w:sz w:val="18"/>
                <w:szCs w:val="18"/>
                <w:color w:val="auto"/>
              </w:rPr>
              <w:t>Janesville, WI</w:t>
            </w:r>
          </w:p>
        </w:tc>
        <w:tc>
          <w:tcPr>
            <w:tcW w:w="3640" w:type="dxa"/>
            <w:vAlign w:val="bottom"/>
          </w:tcPr>
          <w:p>
            <w:pPr>
              <w:ind w:left="600"/>
              <w:spacing w:after="0"/>
              <w:rPr>
                <w:sz w:val="20"/>
                <w:szCs w:val="20"/>
                <w:color w:val="auto"/>
              </w:rPr>
            </w:pPr>
            <w:r>
              <w:rPr>
                <w:rFonts w:ascii="Arial" w:cs="Arial" w:eastAsia="Arial" w:hAnsi="Arial"/>
                <w:sz w:val="18"/>
                <w:szCs w:val="18"/>
                <w:color w:val="auto"/>
              </w:rPr>
              <w:t>Shawnee, OK</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Aurora, CO</w:t>
            </w:r>
          </w:p>
        </w:tc>
        <w:tc>
          <w:tcPr>
            <w:tcW w:w="2840" w:type="dxa"/>
            <w:vAlign w:val="bottom"/>
          </w:tcPr>
          <w:p>
            <w:pPr>
              <w:ind w:left="440"/>
              <w:spacing w:after="0"/>
              <w:rPr>
                <w:sz w:val="20"/>
                <w:szCs w:val="20"/>
                <w:color w:val="auto"/>
              </w:rPr>
            </w:pPr>
            <w:r>
              <w:rPr>
                <w:rFonts w:ascii="Arial" w:cs="Arial" w:eastAsia="Arial" w:hAnsi="Arial"/>
                <w:sz w:val="18"/>
                <w:szCs w:val="18"/>
                <w:color w:val="auto"/>
              </w:rPr>
              <w:t>Jefferson, GA</w:t>
            </w:r>
          </w:p>
        </w:tc>
        <w:tc>
          <w:tcPr>
            <w:tcW w:w="3640" w:type="dxa"/>
            <w:vAlign w:val="bottom"/>
          </w:tcPr>
          <w:p>
            <w:pPr>
              <w:ind w:left="600"/>
              <w:spacing w:after="0"/>
              <w:rPr>
                <w:sz w:val="20"/>
                <w:szCs w:val="20"/>
                <w:color w:val="auto"/>
              </w:rPr>
            </w:pPr>
            <w:r>
              <w:rPr>
                <w:rFonts w:ascii="Arial" w:cs="Arial" w:eastAsia="Arial" w:hAnsi="Arial"/>
                <w:sz w:val="18"/>
                <w:szCs w:val="18"/>
                <w:color w:val="auto"/>
              </w:rPr>
              <w:t>Shibuya-ku, Tokyo, Japan</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Bangalore, India</w:t>
            </w:r>
          </w:p>
        </w:tc>
        <w:tc>
          <w:tcPr>
            <w:tcW w:w="2840" w:type="dxa"/>
            <w:vAlign w:val="bottom"/>
          </w:tcPr>
          <w:p>
            <w:pPr>
              <w:ind w:left="440"/>
              <w:spacing w:after="0"/>
              <w:rPr>
                <w:sz w:val="20"/>
                <w:szCs w:val="20"/>
                <w:color w:val="auto"/>
              </w:rPr>
            </w:pPr>
            <w:r>
              <w:rPr>
                <w:rFonts w:ascii="Arial" w:cs="Arial" w:eastAsia="Arial" w:hAnsi="Arial"/>
                <w:sz w:val="18"/>
                <w:szCs w:val="18"/>
                <w:color w:val="auto"/>
              </w:rPr>
              <w:t>Jeffersonville, IN</w:t>
            </w:r>
          </w:p>
        </w:tc>
        <w:tc>
          <w:tcPr>
            <w:tcW w:w="3640" w:type="dxa"/>
            <w:vAlign w:val="bottom"/>
          </w:tcPr>
          <w:p>
            <w:pPr>
              <w:ind w:left="600"/>
              <w:spacing w:after="0"/>
              <w:rPr>
                <w:sz w:val="20"/>
                <w:szCs w:val="20"/>
                <w:color w:val="auto"/>
              </w:rPr>
            </w:pPr>
            <w:r>
              <w:rPr>
                <w:rFonts w:ascii="Arial" w:cs="Arial" w:eastAsia="Arial" w:hAnsi="Arial"/>
                <w:sz w:val="18"/>
                <w:szCs w:val="18"/>
                <w:color w:val="auto"/>
              </w:rPr>
              <w:t>Sidney, NY</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Barnesville, GA</w:t>
            </w:r>
          </w:p>
        </w:tc>
        <w:tc>
          <w:tcPr>
            <w:tcW w:w="2840" w:type="dxa"/>
            <w:vAlign w:val="bottom"/>
          </w:tcPr>
          <w:p>
            <w:pPr>
              <w:ind w:left="440"/>
              <w:spacing w:after="0"/>
              <w:rPr>
                <w:sz w:val="20"/>
                <w:szCs w:val="20"/>
                <w:color w:val="auto"/>
              </w:rPr>
            </w:pPr>
            <w:r>
              <w:rPr>
                <w:rFonts w:ascii="Arial" w:cs="Arial" w:eastAsia="Arial" w:hAnsi="Arial"/>
                <w:sz w:val="18"/>
                <w:szCs w:val="18"/>
                <w:color w:val="auto"/>
              </w:rPr>
              <w:t>Kansas City, MO</w:t>
            </w:r>
          </w:p>
        </w:tc>
        <w:tc>
          <w:tcPr>
            <w:tcW w:w="3640" w:type="dxa"/>
            <w:vAlign w:val="bottom"/>
          </w:tcPr>
          <w:p>
            <w:pPr>
              <w:ind w:left="600"/>
              <w:spacing w:after="0"/>
              <w:rPr>
                <w:sz w:val="20"/>
                <w:szCs w:val="20"/>
                <w:color w:val="auto"/>
              </w:rPr>
            </w:pPr>
            <w:r>
              <w:rPr>
                <w:rFonts w:ascii="Arial" w:cs="Arial" w:eastAsia="Arial" w:hAnsi="Arial"/>
                <w:sz w:val="18"/>
                <w:szCs w:val="18"/>
                <w:color w:val="auto"/>
              </w:rPr>
              <w:t>Snohomish, WA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Belchertown, MA</w:t>
            </w:r>
          </w:p>
        </w:tc>
        <w:tc>
          <w:tcPr>
            <w:tcW w:w="2840" w:type="dxa"/>
            <w:vAlign w:val="bottom"/>
          </w:tcPr>
          <w:p>
            <w:pPr>
              <w:ind w:left="440"/>
              <w:spacing w:after="0"/>
              <w:rPr>
                <w:sz w:val="20"/>
                <w:szCs w:val="20"/>
                <w:color w:val="auto"/>
              </w:rPr>
            </w:pPr>
            <w:r>
              <w:rPr>
                <w:rFonts w:ascii="Arial" w:cs="Arial" w:eastAsia="Arial" w:hAnsi="Arial"/>
                <w:sz w:val="18"/>
                <w:szCs w:val="18"/>
                <w:color w:val="auto"/>
              </w:rPr>
              <w:t>Kearneysville, WV</w:t>
            </w:r>
          </w:p>
        </w:tc>
        <w:tc>
          <w:tcPr>
            <w:tcW w:w="3640" w:type="dxa"/>
            <w:vAlign w:val="bottom"/>
          </w:tcPr>
          <w:p>
            <w:pPr>
              <w:ind w:left="600"/>
              <w:spacing w:after="0"/>
              <w:rPr>
                <w:sz w:val="20"/>
                <w:szCs w:val="20"/>
                <w:color w:val="auto"/>
              </w:rPr>
            </w:pPr>
            <w:r>
              <w:rPr>
                <w:rFonts w:ascii="Arial" w:cs="Arial" w:eastAsia="Arial" w:hAnsi="Arial"/>
                <w:sz w:val="18"/>
                <w:szCs w:val="18"/>
                <w:color w:val="auto"/>
              </w:rPr>
              <w:t>Spring Lake, MI</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Berlin, NJ</w:t>
            </w:r>
          </w:p>
        </w:tc>
        <w:tc>
          <w:tcPr>
            <w:tcW w:w="2840" w:type="dxa"/>
            <w:vAlign w:val="bottom"/>
          </w:tcPr>
          <w:p>
            <w:pPr>
              <w:ind w:left="440"/>
              <w:spacing w:after="0"/>
              <w:rPr>
                <w:sz w:val="20"/>
                <w:szCs w:val="20"/>
                <w:color w:val="auto"/>
              </w:rPr>
            </w:pPr>
            <w:r>
              <w:rPr>
                <w:rFonts w:ascii="Arial" w:cs="Arial" w:eastAsia="Arial" w:hAnsi="Arial"/>
                <w:sz w:val="18"/>
                <w:szCs w:val="18"/>
                <w:color w:val="auto"/>
              </w:rPr>
              <w:t>Kyle, TX</w:t>
            </w:r>
          </w:p>
        </w:tc>
        <w:tc>
          <w:tcPr>
            <w:tcW w:w="3640" w:type="dxa"/>
            <w:vAlign w:val="bottom"/>
          </w:tcPr>
          <w:p>
            <w:pPr>
              <w:ind w:left="600"/>
              <w:spacing w:after="0"/>
              <w:rPr>
                <w:sz w:val="20"/>
                <w:szCs w:val="20"/>
                <w:color w:val="auto"/>
              </w:rPr>
            </w:pPr>
            <w:r>
              <w:rPr>
                <w:rFonts w:ascii="Arial" w:cs="Arial" w:eastAsia="Arial" w:hAnsi="Arial"/>
                <w:sz w:val="18"/>
                <w:szCs w:val="18"/>
                <w:color w:val="auto"/>
              </w:rPr>
              <w:t>Stanfield, NC</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Biscoe, NC</w:t>
            </w:r>
          </w:p>
        </w:tc>
        <w:tc>
          <w:tcPr>
            <w:tcW w:w="2840" w:type="dxa"/>
            <w:vAlign w:val="bottom"/>
          </w:tcPr>
          <w:p>
            <w:pPr>
              <w:ind w:left="440"/>
              <w:spacing w:after="0"/>
              <w:rPr>
                <w:sz w:val="20"/>
                <w:szCs w:val="20"/>
                <w:color w:val="auto"/>
              </w:rPr>
            </w:pPr>
            <w:r>
              <w:rPr>
                <w:rFonts w:ascii="Arial" w:cs="Arial" w:eastAsia="Arial" w:hAnsi="Arial"/>
                <w:sz w:val="18"/>
                <w:szCs w:val="18"/>
                <w:color w:val="auto"/>
              </w:rPr>
              <w:t>Lacolle, Quebec, Canada</w:t>
            </w:r>
          </w:p>
        </w:tc>
        <w:tc>
          <w:tcPr>
            <w:tcW w:w="3640" w:type="dxa"/>
            <w:vAlign w:val="bottom"/>
          </w:tcPr>
          <w:p>
            <w:pPr>
              <w:ind w:left="600"/>
              <w:spacing w:after="0"/>
              <w:rPr>
                <w:sz w:val="20"/>
                <w:szCs w:val="20"/>
                <w:color w:val="auto"/>
              </w:rPr>
            </w:pPr>
            <w:r>
              <w:rPr>
                <w:rFonts w:ascii="Arial" w:cs="Arial" w:eastAsia="Arial" w:hAnsi="Arial"/>
                <w:sz w:val="18"/>
                <w:szCs w:val="18"/>
                <w:color w:val="auto"/>
              </w:rPr>
              <w:t>Stockertown, PA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Blanchester, OH</w:t>
            </w:r>
          </w:p>
        </w:tc>
        <w:tc>
          <w:tcPr>
            <w:tcW w:w="2840" w:type="dxa"/>
            <w:vAlign w:val="bottom"/>
          </w:tcPr>
          <w:p>
            <w:pPr>
              <w:ind w:left="440"/>
              <w:spacing w:after="0"/>
              <w:rPr>
                <w:sz w:val="20"/>
                <w:szCs w:val="20"/>
                <w:color w:val="auto"/>
              </w:rPr>
            </w:pPr>
            <w:r>
              <w:rPr>
                <w:rFonts w:ascii="Arial" w:cs="Arial" w:eastAsia="Arial" w:hAnsi="Arial"/>
                <w:sz w:val="18"/>
                <w:szCs w:val="18"/>
                <w:color w:val="auto"/>
              </w:rPr>
              <w:t>Lafayette, CO</w:t>
            </w:r>
          </w:p>
        </w:tc>
        <w:tc>
          <w:tcPr>
            <w:tcW w:w="3640" w:type="dxa"/>
            <w:vAlign w:val="bottom"/>
          </w:tcPr>
          <w:p>
            <w:pPr>
              <w:ind w:left="600"/>
              <w:spacing w:after="0"/>
              <w:rPr>
                <w:sz w:val="20"/>
                <w:szCs w:val="20"/>
                <w:color w:val="auto"/>
              </w:rPr>
            </w:pPr>
            <w:r>
              <w:rPr>
                <w:rFonts w:ascii="Arial" w:cs="Arial" w:eastAsia="Arial" w:hAnsi="Arial"/>
                <w:sz w:val="18"/>
                <w:szCs w:val="18"/>
                <w:color w:val="auto"/>
              </w:rPr>
              <w:t>Swindon, Wiltshire, United Kingdom</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Bomaderry, NSW, Australia</w:t>
            </w:r>
          </w:p>
        </w:tc>
        <w:tc>
          <w:tcPr>
            <w:tcW w:w="2840" w:type="dxa"/>
            <w:vAlign w:val="bottom"/>
          </w:tcPr>
          <w:p>
            <w:pPr>
              <w:ind w:left="440"/>
              <w:spacing w:after="0"/>
              <w:rPr>
                <w:sz w:val="20"/>
                <w:szCs w:val="20"/>
                <w:color w:val="auto"/>
              </w:rPr>
            </w:pPr>
            <w:r>
              <w:rPr>
                <w:rFonts w:ascii="Arial" w:cs="Arial" w:eastAsia="Arial" w:hAnsi="Arial"/>
                <w:sz w:val="18"/>
                <w:szCs w:val="18"/>
                <w:color w:val="auto"/>
              </w:rPr>
              <w:t>Liberty, NC</w:t>
            </w:r>
          </w:p>
        </w:tc>
        <w:tc>
          <w:tcPr>
            <w:tcW w:w="3640" w:type="dxa"/>
            <w:vAlign w:val="bottom"/>
          </w:tcPr>
          <w:p>
            <w:pPr>
              <w:ind w:left="600"/>
              <w:spacing w:after="0"/>
              <w:rPr>
                <w:sz w:val="20"/>
                <w:szCs w:val="20"/>
                <w:color w:val="auto"/>
              </w:rPr>
            </w:pPr>
            <w:r>
              <w:rPr>
                <w:rFonts w:ascii="Arial" w:cs="Arial" w:eastAsia="Arial" w:hAnsi="Arial"/>
                <w:sz w:val="18"/>
                <w:szCs w:val="18"/>
                <w:color w:val="auto"/>
              </w:rPr>
              <w:t>Tacoma, WA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Bridgeton, MO</w:t>
            </w:r>
          </w:p>
        </w:tc>
        <w:tc>
          <w:tcPr>
            <w:tcW w:w="2840" w:type="dxa"/>
            <w:vAlign w:val="bottom"/>
          </w:tcPr>
          <w:p>
            <w:pPr>
              <w:ind w:left="440"/>
              <w:spacing w:after="0"/>
              <w:rPr>
                <w:sz w:val="20"/>
                <w:szCs w:val="20"/>
                <w:color w:val="auto"/>
              </w:rPr>
            </w:pPr>
            <w:r>
              <w:rPr>
                <w:rFonts w:ascii="Arial" w:cs="Arial" w:eastAsia="Arial" w:hAnsi="Arial"/>
                <w:sz w:val="18"/>
                <w:szCs w:val="18"/>
                <w:color w:val="auto"/>
              </w:rPr>
              <w:t>Lockhart, FL</w:t>
            </w:r>
          </w:p>
        </w:tc>
        <w:tc>
          <w:tcPr>
            <w:tcW w:w="3640" w:type="dxa"/>
            <w:vAlign w:val="bottom"/>
          </w:tcPr>
          <w:p>
            <w:pPr>
              <w:ind w:left="600"/>
              <w:spacing w:after="0"/>
              <w:rPr>
                <w:sz w:val="20"/>
                <w:szCs w:val="20"/>
                <w:color w:val="auto"/>
              </w:rPr>
            </w:pPr>
            <w:r>
              <w:rPr>
                <w:rFonts w:ascii="Arial" w:cs="Arial" w:eastAsia="Arial" w:hAnsi="Arial"/>
                <w:sz w:val="18"/>
                <w:szCs w:val="18"/>
                <w:color w:val="auto"/>
              </w:rPr>
              <w:t>Thomaston, GA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Burlington, NC</w:t>
            </w:r>
          </w:p>
        </w:tc>
        <w:tc>
          <w:tcPr>
            <w:tcW w:w="2840" w:type="dxa"/>
            <w:vAlign w:val="bottom"/>
          </w:tcPr>
          <w:p>
            <w:pPr>
              <w:ind w:left="440"/>
              <w:spacing w:after="0"/>
              <w:rPr>
                <w:sz w:val="20"/>
                <w:szCs w:val="20"/>
                <w:color w:val="auto"/>
              </w:rPr>
            </w:pPr>
            <w:r>
              <w:rPr>
                <w:rFonts w:ascii="Arial" w:cs="Arial" w:eastAsia="Arial" w:hAnsi="Arial"/>
                <w:sz w:val="18"/>
                <w:szCs w:val="18"/>
                <w:color w:val="auto"/>
              </w:rPr>
              <w:t>Locust, NC</w:t>
            </w:r>
          </w:p>
        </w:tc>
        <w:tc>
          <w:tcPr>
            <w:tcW w:w="3640" w:type="dxa"/>
            <w:vAlign w:val="bottom"/>
          </w:tcPr>
          <w:p>
            <w:pPr>
              <w:ind w:left="600"/>
              <w:spacing w:after="0"/>
              <w:rPr>
                <w:sz w:val="20"/>
                <w:szCs w:val="20"/>
                <w:color w:val="auto"/>
              </w:rPr>
            </w:pPr>
            <w:r>
              <w:rPr>
                <w:rFonts w:ascii="Arial" w:cs="Arial" w:eastAsia="Arial" w:hAnsi="Arial"/>
                <w:sz w:val="18"/>
                <w:szCs w:val="18"/>
                <w:color w:val="auto"/>
              </w:rPr>
              <w:t>Thornton, CA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Cedar Hill, TX</w:t>
            </w:r>
          </w:p>
        </w:tc>
        <w:tc>
          <w:tcPr>
            <w:tcW w:w="2840" w:type="dxa"/>
            <w:vAlign w:val="bottom"/>
          </w:tcPr>
          <w:p>
            <w:pPr>
              <w:ind w:left="440"/>
              <w:spacing w:after="0"/>
              <w:rPr>
                <w:sz w:val="20"/>
                <w:szCs w:val="20"/>
                <w:color w:val="auto"/>
              </w:rPr>
            </w:pPr>
            <w:r>
              <w:rPr>
                <w:rFonts w:ascii="Arial" w:cs="Arial" w:eastAsia="Arial" w:hAnsi="Arial"/>
                <w:sz w:val="18"/>
                <w:szCs w:val="18"/>
                <w:color w:val="auto"/>
              </w:rPr>
              <w:t>Magna, UT</w:t>
            </w:r>
          </w:p>
        </w:tc>
        <w:tc>
          <w:tcPr>
            <w:tcW w:w="3640" w:type="dxa"/>
            <w:vAlign w:val="bottom"/>
          </w:tcPr>
          <w:p>
            <w:pPr>
              <w:ind w:left="600"/>
              <w:spacing w:after="0"/>
              <w:rPr>
                <w:sz w:val="20"/>
                <w:szCs w:val="20"/>
                <w:color w:val="auto"/>
              </w:rPr>
            </w:pPr>
            <w:r>
              <w:rPr>
                <w:rFonts w:ascii="Arial" w:cs="Arial" w:eastAsia="Arial" w:hAnsi="Arial"/>
                <w:sz w:val="18"/>
                <w:szCs w:val="18"/>
                <w:color w:val="auto"/>
              </w:rPr>
              <w:t>Union City, GA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Chaffee, NY</w:t>
            </w:r>
          </w:p>
        </w:tc>
        <w:tc>
          <w:tcPr>
            <w:tcW w:w="2840" w:type="dxa"/>
            <w:vAlign w:val="bottom"/>
          </w:tcPr>
          <w:p>
            <w:pPr>
              <w:ind w:left="440"/>
              <w:spacing w:after="0"/>
              <w:rPr>
                <w:sz w:val="20"/>
                <w:szCs w:val="20"/>
                <w:color w:val="auto"/>
              </w:rPr>
            </w:pPr>
            <w:r>
              <w:rPr>
                <w:rFonts w:ascii="Arial" w:cs="Arial" w:eastAsia="Arial" w:hAnsi="Arial"/>
                <w:sz w:val="18"/>
                <w:szCs w:val="18"/>
                <w:color w:val="auto"/>
              </w:rPr>
              <w:t>McMinnville, OR</w:t>
            </w:r>
          </w:p>
        </w:tc>
        <w:tc>
          <w:tcPr>
            <w:tcW w:w="3640" w:type="dxa"/>
            <w:vAlign w:val="bottom"/>
          </w:tcPr>
          <w:p>
            <w:pPr>
              <w:ind w:left="600"/>
              <w:spacing w:after="0"/>
              <w:rPr>
                <w:sz w:val="20"/>
                <w:szCs w:val="20"/>
                <w:color w:val="auto"/>
              </w:rPr>
            </w:pPr>
            <w:r>
              <w:rPr>
                <w:rFonts w:ascii="Arial" w:cs="Arial" w:eastAsia="Arial" w:hAnsi="Arial"/>
                <w:sz w:val="18"/>
                <w:szCs w:val="18"/>
                <w:color w:val="auto"/>
              </w:rPr>
              <w:t>Warrens, WI</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Chandler, AZ</w:t>
            </w:r>
          </w:p>
        </w:tc>
        <w:tc>
          <w:tcPr>
            <w:tcW w:w="2840" w:type="dxa"/>
            <w:vAlign w:val="bottom"/>
          </w:tcPr>
          <w:p>
            <w:pPr>
              <w:ind w:left="440"/>
              <w:spacing w:after="0"/>
              <w:rPr>
                <w:sz w:val="20"/>
                <w:szCs w:val="20"/>
                <w:color w:val="auto"/>
              </w:rPr>
            </w:pPr>
            <w:r>
              <w:rPr>
                <w:rFonts w:ascii="Arial" w:cs="Arial" w:eastAsia="Arial" w:hAnsi="Arial"/>
                <w:sz w:val="18"/>
                <w:szCs w:val="18"/>
                <w:color w:val="auto"/>
              </w:rPr>
              <w:t>Medley, FL</w:t>
            </w:r>
          </w:p>
        </w:tc>
        <w:tc>
          <w:tcPr>
            <w:tcW w:w="3640" w:type="dxa"/>
            <w:vAlign w:val="bottom"/>
          </w:tcPr>
          <w:p>
            <w:pPr>
              <w:ind w:left="600"/>
              <w:spacing w:after="0"/>
              <w:rPr>
                <w:sz w:val="20"/>
                <w:szCs w:val="20"/>
                <w:color w:val="auto"/>
              </w:rPr>
            </w:pPr>
            <w:r>
              <w:rPr>
                <w:rFonts w:ascii="Arial" w:cs="Arial" w:eastAsia="Arial" w:hAnsi="Arial"/>
                <w:sz w:val="18"/>
                <w:szCs w:val="18"/>
                <w:color w:val="auto"/>
              </w:rPr>
              <w:t>Washington, NC</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Chesapeake, VA</w:t>
            </w:r>
          </w:p>
        </w:tc>
        <w:tc>
          <w:tcPr>
            <w:tcW w:w="2840" w:type="dxa"/>
            <w:vAlign w:val="bottom"/>
          </w:tcPr>
          <w:p>
            <w:pPr>
              <w:ind w:left="440"/>
              <w:spacing w:after="0"/>
              <w:rPr>
                <w:sz w:val="20"/>
                <w:szCs w:val="20"/>
                <w:color w:val="auto"/>
              </w:rPr>
            </w:pPr>
            <w:r>
              <w:rPr>
                <w:rFonts w:ascii="Arial" w:cs="Arial" w:eastAsia="Arial" w:hAnsi="Arial"/>
                <w:sz w:val="18"/>
                <w:szCs w:val="18"/>
                <w:color w:val="auto"/>
              </w:rPr>
              <w:t>Merciditas, Puerto Rico</w:t>
            </w:r>
          </w:p>
        </w:tc>
        <w:tc>
          <w:tcPr>
            <w:tcW w:w="3640" w:type="dxa"/>
            <w:vAlign w:val="bottom"/>
          </w:tcPr>
          <w:p>
            <w:pPr>
              <w:ind w:left="600"/>
              <w:spacing w:after="0"/>
              <w:rPr>
                <w:sz w:val="20"/>
                <w:szCs w:val="20"/>
                <w:color w:val="auto"/>
              </w:rPr>
            </w:pPr>
            <w:r>
              <w:rPr>
                <w:rFonts w:ascii="Arial" w:cs="Arial" w:eastAsia="Arial" w:hAnsi="Arial"/>
                <w:sz w:val="18"/>
                <w:szCs w:val="18"/>
                <w:color w:val="auto"/>
              </w:rPr>
              <w:t>Wenatchee, WA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Chicago, IL</w:t>
            </w:r>
          </w:p>
        </w:tc>
        <w:tc>
          <w:tcPr>
            <w:tcW w:w="2840" w:type="dxa"/>
            <w:vAlign w:val="bottom"/>
          </w:tcPr>
          <w:p>
            <w:pPr>
              <w:ind w:left="440"/>
              <w:spacing w:after="0"/>
              <w:rPr>
                <w:sz w:val="20"/>
                <w:szCs w:val="20"/>
                <w:color w:val="auto"/>
              </w:rPr>
            </w:pPr>
            <w:r>
              <w:rPr>
                <w:rFonts w:ascii="Arial" w:cs="Arial" w:eastAsia="Arial" w:hAnsi="Arial"/>
                <w:sz w:val="18"/>
                <w:szCs w:val="18"/>
                <w:color w:val="auto"/>
              </w:rPr>
              <w:t>Mexico City, Mexico</w:t>
            </w:r>
          </w:p>
        </w:tc>
        <w:tc>
          <w:tcPr>
            <w:tcW w:w="3640" w:type="dxa"/>
            <w:vAlign w:val="bottom"/>
          </w:tcPr>
          <w:p>
            <w:pPr>
              <w:ind w:left="600"/>
              <w:spacing w:after="0"/>
              <w:rPr>
                <w:sz w:val="20"/>
                <w:szCs w:val="20"/>
                <w:color w:val="auto"/>
              </w:rPr>
            </w:pPr>
            <w:r>
              <w:rPr>
                <w:rFonts w:ascii="Arial" w:cs="Arial" w:eastAsia="Arial" w:hAnsi="Arial"/>
                <w:sz w:val="18"/>
                <w:szCs w:val="18"/>
                <w:color w:val="auto"/>
              </w:rPr>
              <w:t>White Bear Lake, MN</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Chino, CA</w:t>
            </w:r>
          </w:p>
        </w:tc>
        <w:tc>
          <w:tcPr>
            <w:tcW w:w="2840" w:type="dxa"/>
            <w:vAlign w:val="bottom"/>
          </w:tcPr>
          <w:p>
            <w:pPr>
              <w:ind w:left="440"/>
              <w:spacing w:after="0"/>
              <w:rPr>
                <w:sz w:val="20"/>
                <w:szCs w:val="20"/>
                <w:color w:val="auto"/>
              </w:rPr>
            </w:pPr>
            <w:r>
              <w:rPr>
                <w:rFonts w:ascii="Arial" w:cs="Arial" w:eastAsia="Arial" w:hAnsi="Arial"/>
                <w:sz w:val="18"/>
                <w:szCs w:val="18"/>
                <w:color w:val="auto"/>
              </w:rPr>
              <w:t>Minneota, MN</w:t>
            </w:r>
          </w:p>
        </w:tc>
        <w:tc>
          <w:tcPr>
            <w:tcW w:w="3640" w:type="dxa"/>
            <w:vAlign w:val="bottom"/>
          </w:tcPr>
          <w:p>
            <w:pPr>
              <w:ind w:left="600"/>
              <w:spacing w:after="0"/>
              <w:rPr>
                <w:sz w:val="20"/>
                <w:szCs w:val="20"/>
                <w:color w:val="auto"/>
              </w:rPr>
            </w:pPr>
            <w:r>
              <w:rPr>
                <w:rFonts w:ascii="Arial" w:cs="Arial" w:eastAsia="Arial" w:hAnsi="Arial"/>
                <w:sz w:val="18"/>
                <w:szCs w:val="18"/>
                <w:color w:val="auto"/>
              </w:rPr>
              <w:t>White Pigeon, MI</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Church Hill, TN</w:t>
            </w:r>
          </w:p>
        </w:tc>
        <w:tc>
          <w:tcPr>
            <w:tcW w:w="2840" w:type="dxa"/>
            <w:vAlign w:val="bottom"/>
          </w:tcPr>
          <w:p>
            <w:pPr>
              <w:ind w:left="440"/>
              <w:spacing w:after="0"/>
              <w:rPr>
                <w:sz w:val="20"/>
                <w:szCs w:val="20"/>
                <w:color w:val="auto"/>
              </w:rPr>
            </w:pPr>
            <w:r>
              <w:rPr>
                <w:rFonts w:ascii="Arial" w:cs="Arial" w:eastAsia="Arial" w:hAnsi="Arial"/>
                <w:sz w:val="18"/>
                <w:szCs w:val="18"/>
                <w:color w:val="auto"/>
              </w:rPr>
              <w:t>Morristown, TN</w:t>
            </w:r>
          </w:p>
        </w:tc>
        <w:tc>
          <w:tcPr>
            <w:tcW w:w="3640" w:type="dxa"/>
            <w:vAlign w:val="bottom"/>
          </w:tcPr>
          <w:p>
            <w:pPr>
              <w:ind w:left="600"/>
              <w:spacing w:after="0"/>
              <w:rPr>
                <w:sz w:val="20"/>
                <w:szCs w:val="20"/>
                <w:color w:val="auto"/>
              </w:rPr>
            </w:pPr>
            <w:r>
              <w:rPr>
                <w:rFonts w:ascii="Arial" w:cs="Arial" w:eastAsia="Arial" w:hAnsi="Arial"/>
                <w:sz w:val="18"/>
                <w:szCs w:val="18"/>
                <w:color w:val="auto"/>
              </w:rPr>
              <w:t>Windsor, CO</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Clinton, NC</w:t>
            </w:r>
          </w:p>
        </w:tc>
        <w:tc>
          <w:tcPr>
            <w:tcW w:w="2840" w:type="dxa"/>
            <w:vAlign w:val="bottom"/>
          </w:tcPr>
          <w:p>
            <w:pPr>
              <w:ind w:left="440"/>
              <w:spacing w:after="0"/>
              <w:rPr>
                <w:sz w:val="20"/>
                <w:szCs w:val="20"/>
                <w:color w:val="auto"/>
              </w:rPr>
            </w:pPr>
            <w:r>
              <w:rPr>
                <w:rFonts w:ascii="Arial" w:cs="Arial" w:eastAsia="Arial" w:hAnsi="Arial"/>
                <w:sz w:val="18"/>
                <w:szCs w:val="18"/>
                <w:color w:val="auto"/>
              </w:rPr>
              <w:t>Moultrie, GA</w:t>
            </w:r>
          </w:p>
        </w:tc>
        <w:tc>
          <w:tcPr>
            <w:tcW w:w="3640" w:type="dxa"/>
            <w:vAlign w:val="bottom"/>
          </w:tcPr>
          <w:p>
            <w:pPr>
              <w:ind w:left="600"/>
              <w:spacing w:after="0"/>
              <w:rPr>
                <w:sz w:val="20"/>
                <w:szCs w:val="20"/>
                <w:color w:val="auto"/>
              </w:rPr>
            </w:pPr>
            <w:r>
              <w:rPr>
                <w:rFonts w:ascii="Arial" w:cs="Arial" w:eastAsia="Arial" w:hAnsi="Arial"/>
                <w:sz w:val="18"/>
                <w:szCs w:val="18"/>
                <w:color w:val="auto"/>
              </w:rPr>
              <w:t>Woodburn, OR</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Columbia, MD</w:t>
            </w:r>
          </w:p>
        </w:tc>
        <w:tc>
          <w:tcPr>
            <w:tcW w:w="2840" w:type="dxa"/>
            <w:vAlign w:val="bottom"/>
          </w:tcPr>
          <w:p>
            <w:pPr>
              <w:ind w:left="440"/>
              <w:spacing w:after="0"/>
              <w:rPr>
                <w:sz w:val="20"/>
                <w:szCs w:val="20"/>
                <w:color w:val="auto"/>
              </w:rPr>
            </w:pPr>
            <w:r>
              <w:rPr>
                <w:rFonts w:ascii="Arial" w:cs="Arial" w:eastAsia="Arial" w:hAnsi="Arial"/>
                <w:sz w:val="18"/>
                <w:szCs w:val="18"/>
                <w:color w:val="auto"/>
              </w:rPr>
              <w:t>Muscle Shoals, AL</w:t>
            </w:r>
          </w:p>
        </w:tc>
        <w:tc>
          <w:tcPr>
            <w:tcW w:w="3640" w:type="dxa"/>
            <w:vAlign w:val="bottom"/>
          </w:tcPr>
          <w:p>
            <w:pPr>
              <w:ind w:left="600"/>
              <w:spacing w:after="0"/>
              <w:rPr>
                <w:sz w:val="20"/>
                <w:szCs w:val="20"/>
                <w:color w:val="auto"/>
              </w:rPr>
            </w:pPr>
            <w:r>
              <w:rPr>
                <w:rFonts w:ascii="Arial" w:cs="Arial" w:eastAsia="Arial" w:hAnsi="Arial"/>
                <w:sz w:val="18"/>
                <w:szCs w:val="18"/>
                <w:color w:val="auto"/>
              </w:rPr>
              <w:t>Wujiang City, China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Concord, Ontario, Canada</w:t>
            </w:r>
          </w:p>
        </w:tc>
        <w:tc>
          <w:tcPr>
            <w:tcW w:w="2840" w:type="dxa"/>
            <w:vAlign w:val="bottom"/>
          </w:tcPr>
          <w:p>
            <w:pPr>
              <w:ind w:left="440"/>
              <w:spacing w:after="0"/>
              <w:rPr>
                <w:sz w:val="20"/>
                <w:szCs w:val="20"/>
                <w:color w:val="auto"/>
              </w:rPr>
            </w:pPr>
            <w:r>
              <w:rPr>
                <w:rFonts w:ascii="Arial" w:cs="Arial" w:eastAsia="Arial" w:hAnsi="Arial"/>
                <w:sz w:val="18"/>
                <w:szCs w:val="18"/>
                <w:color w:val="auto"/>
              </w:rPr>
              <w:t>Nampa, ID</w:t>
            </w:r>
          </w:p>
        </w:tc>
        <w:tc>
          <w:tcPr>
            <w:tcW w:w="3640" w:type="dxa"/>
            <w:vAlign w:val="bottom"/>
          </w:tcPr>
          <w:p>
            <w:pPr>
              <w:ind w:left="600"/>
              <w:spacing w:after="0"/>
              <w:rPr>
                <w:sz w:val="20"/>
                <w:szCs w:val="20"/>
                <w:color w:val="auto"/>
              </w:rPr>
            </w:pPr>
            <w:r>
              <w:rPr>
                <w:rFonts w:ascii="Arial" w:cs="Arial" w:eastAsia="Arial" w:hAnsi="Arial"/>
                <w:sz w:val="18"/>
                <w:szCs w:val="18"/>
                <w:color w:val="auto"/>
              </w:rPr>
              <w:t>Yakima, WA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Conway, SC</w:t>
            </w:r>
          </w:p>
        </w:tc>
        <w:tc>
          <w:tcPr>
            <w:tcW w:w="2840" w:type="dxa"/>
            <w:vAlign w:val="bottom"/>
          </w:tcPr>
          <w:p>
            <w:pPr>
              <w:ind w:left="440"/>
              <w:spacing w:after="0"/>
              <w:rPr>
                <w:sz w:val="20"/>
                <w:szCs w:val="20"/>
                <w:color w:val="auto"/>
              </w:rPr>
            </w:pPr>
            <w:r>
              <w:rPr>
                <w:rFonts w:ascii="Arial" w:cs="Arial" w:eastAsia="Arial" w:hAnsi="Arial"/>
                <w:sz w:val="18"/>
                <w:szCs w:val="18"/>
                <w:color w:val="auto"/>
              </w:rPr>
              <w:t>Nappanee, IN</w:t>
            </w:r>
          </w:p>
        </w:tc>
        <w:tc>
          <w:tcPr>
            <w:tcW w:w="3640" w:type="dxa"/>
            <w:vAlign w:val="bottom"/>
          </w:tcPr>
          <w:p>
            <w:pPr>
              <w:ind w:left="600"/>
              <w:spacing w:after="0"/>
              <w:rPr>
                <w:sz w:val="20"/>
                <w:szCs w:val="20"/>
                <w:color w:val="auto"/>
              </w:rPr>
            </w:pPr>
            <w:r>
              <w:rPr>
                <w:rFonts w:ascii="Arial" w:cs="Arial" w:eastAsia="Arial" w:hAnsi="Arial"/>
                <w:sz w:val="18"/>
                <w:szCs w:val="18"/>
                <w:color w:val="auto"/>
              </w:rPr>
              <w:t>Yeerongpilly, QLD, Australia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Cordele, GA</w:t>
            </w:r>
          </w:p>
        </w:tc>
        <w:tc>
          <w:tcPr>
            <w:tcW w:w="2840" w:type="dxa"/>
            <w:vAlign w:val="bottom"/>
          </w:tcPr>
          <w:p>
            <w:pPr>
              <w:ind w:left="440"/>
              <w:spacing w:after="0"/>
              <w:rPr>
                <w:sz w:val="20"/>
                <w:szCs w:val="20"/>
                <w:color w:val="auto"/>
              </w:rPr>
            </w:pPr>
            <w:r>
              <w:rPr>
                <w:rFonts w:ascii="Arial" w:cs="Arial" w:eastAsia="Arial" w:hAnsi="Arial"/>
                <w:sz w:val="18"/>
                <w:szCs w:val="18"/>
                <w:color w:val="auto"/>
              </w:rPr>
              <w:t>Naugatuck, CT</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Dallas, TX</w:t>
            </w:r>
          </w:p>
        </w:tc>
        <w:tc>
          <w:tcPr>
            <w:tcW w:w="2840" w:type="dxa"/>
            <w:vAlign w:val="bottom"/>
          </w:tcPr>
          <w:p>
            <w:pPr>
              <w:ind w:left="440"/>
              <w:spacing w:after="0"/>
              <w:rPr>
                <w:sz w:val="20"/>
                <w:szCs w:val="20"/>
                <w:color w:val="auto"/>
              </w:rPr>
            </w:pPr>
            <w:r>
              <w:rPr>
                <w:rFonts w:ascii="Arial" w:cs="Arial" w:eastAsia="Arial" w:hAnsi="Arial"/>
                <w:sz w:val="18"/>
                <w:szCs w:val="18"/>
                <w:color w:val="auto"/>
              </w:rPr>
              <w:t>New Delhi, India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Dayton, OH</w:t>
            </w:r>
          </w:p>
        </w:tc>
        <w:tc>
          <w:tcPr>
            <w:tcW w:w="2840" w:type="dxa"/>
            <w:vAlign w:val="bottom"/>
          </w:tcPr>
          <w:p>
            <w:pPr>
              <w:ind w:left="440"/>
              <w:spacing w:after="0"/>
              <w:rPr>
                <w:sz w:val="20"/>
                <w:szCs w:val="20"/>
                <w:color w:val="auto"/>
              </w:rPr>
            </w:pPr>
            <w:r>
              <w:rPr>
                <w:rFonts w:ascii="Arial" w:cs="Arial" w:eastAsia="Arial" w:hAnsi="Arial"/>
                <w:sz w:val="18"/>
                <w:szCs w:val="18"/>
                <w:color w:val="auto"/>
              </w:rPr>
              <w:t>New Hartford, NY</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Durango, Mexico</w:t>
            </w:r>
          </w:p>
        </w:tc>
        <w:tc>
          <w:tcPr>
            <w:tcW w:w="2840" w:type="dxa"/>
            <w:vAlign w:val="bottom"/>
          </w:tcPr>
          <w:p>
            <w:pPr>
              <w:ind w:left="440"/>
              <w:spacing w:after="0"/>
              <w:rPr>
                <w:sz w:val="20"/>
                <w:szCs w:val="20"/>
                <w:color w:val="auto"/>
              </w:rPr>
            </w:pPr>
            <w:r>
              <w:rPr>
                <w:rFonts w:ascii="Arial" w:cs="Arial" w:eastAsia="Arial" w:hAnsi="Arial"/>
                <w:sz w:val="18"/>
                <w:szCs w:val="18"/>
                <w:color w:val="auto"/>
              </w:rPr>
              <w:t>New London, NC</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Eagan, MN</w:t>
            </w:r>
          </w:p>
        </w:tc>
        <w:tc>
          <w:tcPr>
            <w:tcW w:w="2840" w:type="dxa"/>
            <w:vAlign w:val="bottom"/>
          </w:tcPr>
          <w:p>
            <w:pPr>
              <w:ind w:left="440"/>
              <w:spacing w:after="0"/>
              <w:rPr>
                <w:sz w:val="20"/>
                <w:szCs w:val="20"/>
                <w:color w:val="auto"/>
              </w:rPr>
            </w:pPr>
            <w:r>
              <w:rPr>
                <w:rFonts w:ascii="Arial" w:cs="Arial" w:eastAsia="Arial" w:hAnsi="Arial"/>
                <w:sz w:val="18"/>
                <w:szCs w:val="18"/>
                <w:color w:val="auto"/>
              </w:rPr>
              <w:t>New Waverly, TX</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Earth City, MO</w:t>
            </w:r>
          </w:p>
        </w:tc>
        <w:tc>
          <w:tcPr>
            <w:tcW w:w="2840" w:type="dxa"/>
            <w:vAlign w:val="bottom"/>
          </w:tcPr>
          <w:p>
            <w:pPr>
              <w:ind w:left="440"/>
              <w:spacing w:after="0"/>
              <w:rPr>
                <w:sz w:val="20"/>
                <w:szCs w:val="20"/>
                <w:color w:val="auto"/>
              </w:rPr>
            </w:pPr>
            <w:r>
              <w:rPr>
                <w:rFonts w:ascii="Arial" w:cs="Arial" w:eastAsia="Arial" w:hAnsi="Arial"/>
                <w:sz w:val="18"/>
                <w:szCs w:val="18"/>
                <w:color w:val="auto"/>
              </w:rPr>
              <w:t>New Windsor, MD</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Eatonton, GA</w:t>
            </w:r>
          </w:p>
        </w:tc>
        <w:tc>
          <w:tcPr>
            <w:tcW w:w="2840" w:type="dxa"/>
            <w:vAlign w:val="bottom"/>
          </w:tcPr>
          <w:p>
            <w:pPr>
              <w:ind w:left="440"/>
              <w:spacing w:after="0"/>
              <w:rPr>
                <w:sz w:val="20"/>
                <w:szCs w:val="20"/>
                <w:color w:val="auto"/>
              </w:rPr>
            </w:pPr>
            <w:r>
              <w:rPr>
                <w:rFonts w:ascii="Arial" w:cs="Arial" w:eastAsia="Arial" w:hAnsi="Arial"/>
                <w:sz w:val="18"/>
                <w:szCs w:val="18"/>
                <w:color w:val="auto"/>
              </w:rPr>
              <w:t>New York, NY</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Elizabeth City, NC</w:t>
            </w:r>
          </w:p>
        </w:tc>
        <w:tc>
          <w:tcPr>
            <w:tcW w:w="2840" w:type="dxa"/>
            <w:vAlign w:val="bottom"/>
          </w:tcPr>
          <w:p>
            <w:pPr>
              <w:ind w:left="440"/>
              <w:spacing w:after="0"/>
              <w:rPr>
                <w:sz w:val="20"/>
                <w:szCs w:val="20"/>
                <w:color w:val="auto"/>
              </w:rPr>
            </w:pPr>
            <w:r>
              <w:rPr>
                <w:rFonts w:ascii="Arial" w:cs="Arial" w:eastAsia="Arial" w:hAnsi="Arial"/>
                <w:sz w:val="18"/>
                <w:szCs w:val="18"/>
                <w:color w:val="auto"/>
              </w:rPr>
              <w:t>Ontario, CA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Elkhart, IN</w:t>
            </w:r>
          </w:p>
        </w:tc>
        <w:tc>
          <w:tcPr>
            <w:tcW w:w="2840" w:type="dxa"/>
            <w:vAlign w:val="bottom"/>
          </w:tcPr>
          <w:p>
            <w:pPr>
              <w:ind w:left="440"/>
              <w:spacing w:after="0"/>
              <w:rPr>
                <w:sz w:val="20"/>
                <w:szCs w:val="20"/>
                <w:color w:val="auto"/>
              </w:rPr>
            </w:pPr>
            <w:r>
              <w:rPr>
                <w:rFonts w:ascii="Arial" w:cs="Arial" w:eastAsia="Arial" w:hAnsi="Arial"/>
                <w:sz w:val="18"/>
                <w:szCs w:val="18"/>
                <w:color w:val="auto"/>
              </w:rPr>
              <w:t>Ooltewah, TN</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Elkwood, VA</w:t>
            </w:r>
          </w:p>
        </w:tc>
        <w:tc>
          <w:tcPr>
            <w:tcW w:w="2840" w:type="dxa"/>
            <w:vAlign w:val="bottom"/>
          </w:tcPr>
          <w:p>
            <w:pPr>
              <w:ind w:left="440"/>
              <w:spacing w:after="0"/>
              <w:rPr>
                <w:sz w:val="20"/>
                <w:szCs w:val="20"/>
                <w:color w:val="auto"/>
              </w:rPr>
            </w:pPr>
            <w:r>
              <w:rPr>
                <w:rFonts w:ascii="Arial" w:cs="Arial" w:eastAsia="Arial" w:hAnsi="Arial"/>
                <w:sz w:val="18"/>
                <w:szCs w:val="18"/>
                <w:color w:val="auto"/>
              </w:rPr>
              <w:t>Parker, PA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Embalaje, Mexico</w:t>
            </w:r>
          </w:p>
        </w:tc>
        <w:tc>
          <w:tcPr>
            <w:tcW w:w="2840" w:type="dxa"/>
            <w:vAlign w:val="bottom"/>
          </w:tcPr>
          <w:p>
            <w:pPr>
              <w:ind w:left="440"/>
              <w:spacing w:after="0"/>
              <w:rPr>
                <w:sz w:val="20"/>
                <w:szCs w:val="20"/>
                <w:color w:val="auto"/>
              </w:rPr>
            </w:pPr>
            <w:r>
              <w:rPr>
                <w:rFonts w:ascii="Arial" w:cs="Arial" w:eastAsia="Arial" w:hAnsi="Arial"/>
                <w:sz w:val="18"/>
                <w:szCs w:val="18"/>
                <w:color w:val="auto"/>
              </w:rPr>
              <w:t>Pearisburg, VA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Erskine Park, NSW, Australia</w:t>
            </w:r>
          </w:p>
        </w:tc>
        <w:tc>
          <w:tcPr>
            <w:tcW w:w="2840" w:type="dxa"/>
            <w:vAlign w:val="bottom"/>
          </w:tcPr>
          <w:p>
            <w:pPr>
              <w:ind w:left="440"/>
              <w:spacing w:after="0"/>
              <w:rPr>
                <w:sz w:val="20"/>
                <w:szCs w:val="20"/>
                <w:color w:val="auto"/>
              </w:rPr>
            </w:pPr>
            <w:r>
              <w:rPr>
                <w:rFonts w:ascii="Arial" w:cs="Arial" w:eastAsia="Arial" w:hAnsi="Arial"/>
                <w:sz w:val="18"/>
                <w:szCs w:val="18"/>
                <w:color w:val="auto"/>
              </w:rPr>
              <w:t>Peru, IL</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Folkston, GA</w:t>
            </w:r>
          </w:p>
        </w:tc>
        <w:tc>
          <w:tcPr>
            <w:tcW w:w="2840" w:type="dxa"/>
            <w:vAlign w:val="bottom"/>
          </w:tcPr>
          <w:p>
            <w:pPr>
              <w:ind w:left="440"/>
              <w:spacing w:after="0"/>
              <w:rPr>
                <w:sz w:val="20"/>
                <w:szCs w:val="20"/>
                <w:color w:val="auto"/>
              </w:rPr>
            </w:pPr>
            <w:r>
              <w:rPr>
                <w:rFonts w:ascii="Arial" w:cs="Arial" w:eastAsia="Arial" w:hAnsi="Arial"/>
                <w:sz w:val="18"/>
                <w:szCs w:val="18"/>
                <w:color w:val="auto"/>
              </w:rPr>
              <w:t>Plainville, MA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Franklinton, NC</w:t>
            </w:r>
          </w:p>
        </w:tc>
        <w:tc>
          <w:tcPr>
            <w:tcW w:w="2840" w:type="dxa"/>
            <w:vAlign w:val="bottom"/>
          </w:tcPr>
          <w:p>
            <w:pPr>
              <w:ind w:left="440"/>
              <w:spacing w:after="0"/>
              <w:rPr>
                <w:sz w:val="20"/>
                <w:szCs w:val="20"/>
                <w:color w:val="auto"/>
              </w:rPr>
            </w:pPr>
            <w:r>
              <w:rPr>
                <w:rFonts w:ascii="Arial" w:cs="Arial" w:eastAsia="Arial" w:hAnsi="Arial"/>
                <w:sz w:val="18"/>
                <w:szCs w:val="18"/>
                <w:color w:val="auto"/>
              </w:rPr>
              <w:t>Poulsbo, WA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Fredericksburg, VA</w:t>
            </w:r>
          </w:p>
        </w:tc>
        <w:tc>
          <w:tcPr>
            <w:tcW w:w="2840" w:type="dxa"/>
            <w:vAlign w:val="bottom"/>
          </w:tcPr>
          <w:p>
            <w:pPr>
              <w:ind w:left="440"/>
              <w:spacing w:after="0"/>
              <w:rPr>
                <w:sz w:val="20"/>
                <w:szCs w:val="20"/>
                <w:color w:val="auto"/>
              </w:rPr>
            </w:pPr>
            <w:r>
              <w:rPr>
                <w:rFonts w:ascii="Arial" w:cs="Arial" w:eastAsia="Arial" w:hAnsi="Arial"/>
                <w:sz w:val="18"/>
                <w:szCs w:val="18"/>
                <w:color w:val="auto"/>
              </w:rPr>
              <w:t>Prairie du Chien, WI</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Gainesville, GA</w:t>
            </w:r>
          </w:p>
        </w:tc>
        <w:tc>
          <w:tcPr>
            <w:tcW w:w="2840" w:type="dxa"/>
            <w:vAlign w:val="bottom"/>
          </w:tcPr>
          <w:p>
            <w:pPr>
              <w:ind w:left="440"/>
              <w:spacing w:after="0"/>
              <w:rPr>
                <w:sz w:val="20"/>
                <w:szCs w:val="20"/>
                <w:color w:val="auto"/>
              </w:rPr>
            </w:pPr>
            <w:r>
              <w:rPr>
                <w:rFonts w:ascii="Arial" w:cs="Arial" w:eastAsia="Arial" w:hAnsi="Arial"/>
                <w:sz w:val="18"/>
                <w:szCs w:val="18"/>
                <w:color w:val="auto"/>
              </w:rPr>
              <w:t>Puyallup, WA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Gilmer, TX</w:t>
            </w:r>
          </w:p>
        </w:tc>
        <w:tc>
          <w:tcPr>
            <w:tcW w:w="2840" w:type="dxa"/>
            <w:vAlign w:val="bottom"/>
          </w:tcPr>
          <w:p>
            <w:pPr>
              <w:ind w:left="440"/>
              <w:spacing w:after="0"/>
              <w:rPr>
                <w:sz w:val="20"/>
                <w:szCs w:val="20"/>
                <w:color w:val="auto"/>
              </w:rPr>
            </w:pPr>
            <w:r>
              <w:rPr>
                <w:rFonts w:ascii="Arial" w:cs="Arial" w:eastAsia="Arial" w:hAnsi="Arial"/>
                <w:sz w:val="18"/>
                <w:szCs w:val="18"/>
                <w:color w:val="auto"/>
              </w:rPr>
              <w:t>Ranson, WV</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Gordon, PA</w:t>
            </w:r>
          </w:p>
        </w:tc>
        <w:tc>
          <w:tcPr>
            <w:tcW w:w="2840" w:type="dxa"/>
            <w:vAlign w:val="bottom"/>
          </w:tcPr>
          <w:p>
            <w:pPr>
              <w:ind w:left="440"/>
              <w:spacing w:after="0"/>
              <w:rPr>
                <w:sz w:val="20"/>
                <w:szCs w:val="20"/>
                <w:color w:val="auto"/>
              </w:rPr>
            </w:pPr>
            <w:r>
              <w:rPr>
                <w:rFonts w:ascii="Arial" w:cs="Arial" w:eastAsia="Arial" w:hAnsi="Arial"/>
                <w:sz w:val="18"/>
                <w:szCs w:val="18"/>
                <w:color w:val="auto"/>
              </w:rPr>
              <w:t>Riverside, CA</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Grand Rapids, MI</w:t>
            </w:r>
          </w:p>
        </w:tc>
        <w:tc>
          <w:tcPr>
            <w:tcW w:w="2840" w:type="dxa"/>
            <w:vAlign w:val="bottom"/>
          </w:tcPr>
          <w:p>
            <w:pPr>
              <w:ind w:left="440"/>
              <w:spacing w:after="0"/>
              <w:rPr>
                <w:sz w:val="20"/>
                <w:szCs w:val="20"/>
                <w:color w:val="auto"/>
              </w:rPr>
            </w:pPr>
            <w:r>
              <w:rPr>
                <w:rFonts w:ascii="Arial" w:cs="Arial" w:eastAsia="Arial" w:hAnsi="Arial"/>
                <w:sz w:val="18"/>
                <w:szCs w:val="18"/>
                <w:color w:val="auto"/>
              </w:rPr>
              <w:t>Rockwell, NC</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Grandview, TX</w:t>
            </w:r>
          </w:p>
        </w:tc>
        <w:tc>
          <w:tcPr>
            <w:tcW w:w="2840" w:type="dxa"/>
            <w:vAlign w:val="bottom"/>
          </w:tcPr>
          <w:p>
            <w:pPr>
              <w:ind w:left="440"/>
              <w:spacing w:after="0"/>
              <w:rPr>
                <w:sz w:val="20"/>
                <w:szCs w:val="20"/>
                <w:color w:val="auto"/>
              </w:rPr>
            </w:pPr>
            <w:r>
              <w:rPr>
                <w:rFonts w:ascii="Arial" w:cs="Arial" w:eastAsia="Arial" w:hAnsi="Arial"/>
                <w:sz w:val="18"/>
                <w:szCs w:val="18"/>
                <w:color w:val="auto"/>
              </w:rPr>
              <w:t>Saginaw, MI</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Granger, IN</w:t>
            </w:r>
          </w:p>
        </w:tc>
        <w:tc>
          <w:tcPr>
            <w:tcW w:w="2840" w:type="dxa"/>
            <w:vAlign w:val="bottom"/>
          </w:tcPr>
          <w:p>
            <w:pPr>
              <w:ind w:left="440"/>
              <w:spacing w:after="0"/>
              <w:rPr>
                <w:sz w:val="20"/>
                <w:szCs w:val="20"/>
                <w:color w:val="auto"/>
              </w:rPr>
            </w:pPr>
            <w:r>
              <w:rPr>
                <w:rFonts w:ascii="Arial" w:cs="Arial" w:eastAsia="Arial" w:hAnsi="Arial"/>
                <w:sz w:val="18"/>
                <w:szCs w:val="18"/>
                <w:color w:val="auto"/>
              </w:rPr>
              <w:t>Saginaw, TX</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Greene, ME</w:t>
            </w:r>
          </w:p>
        </w:tc>
        <w:tc>
          <w:tcPr>
            <w:tcW w:w="2840" w:type="dxa"/>
            <w:vAlign w:val="bottom"/>
          </w:tcPr>
          <w:p>
            <w:pPr>
              <w:ind w:left="440"/>
              <w:spacing w:after="0"/>
              <w:rPr>
                <w:sz w:val="20"/>
                <w:szCs w:val="20"/>
                <w:color w:val="auto"/>
              </w:rPr>
            </w:pPr>
            <w:r>
              <w:rPr>
                <w:rFonts w:ascii="Arial" w:cs="Arial" w:eastAsia="Arial" w:hAnsi="Arial"/>
                <w:sz w:val="18"/>
                <w:szCs w:val="18"/>
                <w:color w:val="auto"/>
              </w:rPr>
              <w:t>Salina, KS</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Haleyville, AL</w:t>
            </w:r>
          </w:p>
        </w:tc>
        <w:tc>
          <w:tcPr>
            <w:tcW w:w="2840" w:type="dxa"/>
            <w:vAlign w:val="bottom"/>
          </w:tcPr>
          <w:p>
            <w:pPr>
              <w:ind w:left="440"/>
              <w:spacing w:after="0"/>
              <w:rPr>
                <w:sz w:val="20"/>
                <w:szCs w:val="20"/>
                <w:color w:val="auto"/>
              </w:rPr>
            </w:pPr>
            <w:r>
              <w:rPr>
                <w:rFonts w:ascii="Arial" w:cs="Arial" w:eastAsia="Arial" w:hAnsi="Arial"/>
                <w:sz w:val="18"/>
                <w:szCs w:val="18"/>
                <w:color w:val="auto"/>
              </w:rPr>
              <w:t>Salisbury, NC</w:t>
            </w:r>
          </w:p>
        </w:tc>
        <w:tc>
          <w:tcPr>
            <w:tcW w:w="3640" w:type="dxa"/>
            <w:vAlign w:val="bottom"/>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Hamilton, OH</w:t>
            </w:r>
          </w:p>
        </w:tc>
        <w:tc>
          <w:tcPr>
            <w:tcW w:w="2840" w:type="dxa"/>
            <w:vAlign w:val="bottom"/>
          </w:tcPr>
          <w:p>
            <w:pPr>
              <w:ind w:left="440"/>
              <w:spacing w:after="0"/>
              <w:rPr>
                <w:sz w:val="20"/>
                <w:szCs w:val="20"/>
                <w:color w:val="auto"/>
              </w:rPr>
            </w:pPr>
            <w:r>
              <w:rPr>
                <w:rFonts w:ascii="Arial" w:cs="Arial" w:eastAsia="Arial" w:hAnsi="Arial"/>
                <w:sz w:val="18"/>
                <w:szCs w:val="18"/>
                <w:color w:val="auto"/>
              </w:rPr>
              <w:t>San Antonio, TX</w:t>
            </w:r>
          </w:p>
        </w:tc>
        <w:tc>
          <w:tcPr>
            <w:tcW w:w="364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Harrisonville, MO</w:t>
            </w:r>
          </w:p>
        </w:tc>
        <w:tc>
          <w:tcPr>
            <w:tcW w:w="2840" w:type="dxa"/>
            <w:vAlign w:val="bottom"/>
          </w:tcPr>
          <w:p>
            <w:pPr>
              <w:ind w:left="440"/>
              <w:spacing w:after="0"/>
              <w:rPr>
                <w:sz w:val="20"/>
                <w:szCs w:val="20"/>
                <w:color w:val="auto"/>
              </w:rPr>
            </w:pPr>
            <w:r>
              <w:rPr>
                <w:rFonts w:ascii="Arial" w:cs="Arial" w:eastAsia="Arial" w:hAnsi="Arial"/>
                <w:sz w:val="18"/>
                <w:szCs w:val="18"/>
                <w:color w:val="auto"/>
              </w:rPr>
              <w:t>Sauk Rapids, MN</w:t>
            </w:r>
          </w:p>
        </w:tc>
        <w:tc>
          <w:tcPr>
            <w:tcW w:w="3640" w:type="dxa"/>
            <w:vAlign w:val="bottom"/>
          </w:tcPr>
          <w:p>
            <w:pPr>
              <w:spacing w:after="0"/>
              <w:rPr>
                <w:sz w:val="20"/>
                <w:szCs w:val="20"/>
                <w:color w:val="auto"/>
              </w:rPr>
            </w:pPr>
          </w:p>
        </w:tc>
      </w:tr>
      <w:tr>
        <w:trPr>
          <w:trHeight w:val="729"/>
        </w:trPr>
        <w:tc>
          <w:tcPr>
            <w:tcW w:w="2580" w:type="dxa"/>
            <w:vAlign w:val="bottom"/>
          </w:tcPr>
          <w:p>
            <w:pPr>
              <w:spacing w:after="0"/>
              <w:rPr>
                <w:sz w:val="24"/>
                <w:szCs w:val="24"/>
                <w:color w:val="auto"/>
              </w:rPr>
            </w:pPr>
          </w:p>
        </w:tc>
        <w:tc>
          <w:tcPr>
            <w:tcW w:w="2840" w:type="dxa"/>
            <w:vAlign w:val="bottom"/>
          </w:tcPr>
          <w:p>
            <w:pPr>
              <w:ind w:left="1860"/>
              <w:spacing w:after="0"/>
              <w:rPr>
                <w:sz w:val="20"/>
                <w:szCs w:val="20"/>
                <w:color w:val="auto"/>
              </w:rPr>
            </w:pPr>
            <w:r>
              <w:rPr>
                <w:rFonts w:ascii="Arial" w:cs="Arial" w:eastAsia="Arial" w:hAnsi="Arial"/>
                <w:sz w:val="18"/>
                <w:szCs w:val="18"/>
                <w:color w:val="auto"/>
              </w:rPr>
              <w:t>59</w:t>
            </w:r>
          </w:p>
        </w:tc>
        <w:tc>
          <w:tcPr>
            <w:tcW w:w="3640" w:type="dxa"/>
            <w:vAlign w:val="bottom"/>
          </w:tcPr>
          <w:p>
            <w:pPr>
              <w:spacing w:after="0"/>
              <w:rPr>
                <w:sz w:val="24"/>
                <w:szCs w:val="24"/>
                <w:color w:val="auto"/>
              </w:rPr>
            </w:pPr>
          </w:p>
        </w:tc>
      </w:tr>
      <w:tr>
        <w:trPr>
          <w:trHeight w:val="129"/>
        </w:trPr>
        <w:tc>
          <w:tcPr>
            <w:tcW w:w="258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7840" w:type="dxa"/>
            <w:vAlign w:val="bottom"/>
            <w:gridSpan w:val="5"/>
            <w:vMerge w:val="restart"/>
          </w:tcPr>
          <w:p>
            <w:pPr>
              <w:ind w:left="2040"/>
              <w:spacing w:after="0"/>
              <w:rPr>
                <w:sz w:val="20"/>
                <w:szCs w:val="20"/>
                <w:color w:val="auto"/>
              </w:rPr>
            </w:pPr>
            <w:r>
              <w:rPr>
                <w:rFonts w:ascii="Arial" w:cs="Arial" w:eastAsia="Arial" w:hAnsi="Arial"/>
                <w:sz w:val="18"/>
                <w:szCs w:val="18"/>
                <w:b w:val="1"/>
                <w:bCs w:val="1"/>
                <w:color w:val="auto"/>
              </w:rPr>
              <w:t>LIST OF REGISTRANT'S SUBSIDIARIES AND AFFILIATES</w:t>
            </w:r>
          </w:p>
        </w:tc>
        <w:tc>
          <w:tcPr>
            <w:tcW w:w="1260" w:type="dxa"/>
            <w:vAlign w:val="bottom"/>
            <w:gridSpan w:val="2"/>
          </w:tcPr>
          <w:p>
            <w:pPr>
              <w:ind w:left="20"/>
              <w:spacing w:after="0"/>
              <w:rPr>
                <w:sz w:val="20"/>
                <w:szCs w:val="20"/>
                <w:color w:val="auto"/>
              </w:rPr>
            </w:pPr>
            <w:r>
              <w:rPr>
                <w:rFonts w:ascii="Arial" w:cs="Arial" w:eastAsia="Arial" w:hAnsi="Arial"/>
                <w:sz w:val="22"/>
                <w:szCs w:val="22"/>
                <w:b w:val="1"/>
                <w:bCs w:val="1"/>
                <w:color w:val="auto"/>
              </w:rPr>
              <w:t>EXHIBIT 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4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11032 Tidewater Trail,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Gear,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234 Springs Rd., LLC</w:t>
            </w:r>
          </w:p>
        </w:tc>
        <w:tc>
          <w:tcPr>
            <w:tcW w:w="2040" w:type="dxa"/>
            <w:vAlign w:val="bottom"/>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Global Holdings Limited</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2875 Needmore Rd.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Gordon,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621 Hall St., LLC</w:t>
            </w:r>
          </w:p>
        </w:tc>
        <w:tc>
          <w:tcPr>
            <w:tcW w:w="2040" w:type="dxa"/>
            <w:vAlign w:val="bottom"/>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Grandview,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Aljoma Holding Company,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Granger,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Aljoma Lumber, Inc.</w:t>
            </w:r>
          </w:p>
        </w:tc>
        <w:tc>
          <w:tcPr>
            <w:tcW w:w="2040" w:type="dxa"/>
            <w:vAlign w:val="bottom"/>
          </w:tcPr>
          <w:p>
            <w:pPr>
              <w:ind w:left="40"/>
              <w:spacing w:after="0"/>
              <w:rPr>
                <w:sz w:val="20"/>
                <w:szCs w:val="20"/>
                <w:color w:val="auto"/>
              </w:rPr>
            </w:pPr>
            <w:r>
              <w:rPr>
                <w:rFonts w:ascii="Arial" w:cs="Arial" w:eastAsia="Arial" w:hAnsi="Arial"/>
                <w:sz w:val="16"/>
                <w:szCs w:val="16"/>
                <w:color w:val="auto"/>
              </w:rPr>
              <w:t>Florida</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Great Lakes,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Ardellis Insurance Ltd.</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Bermuda</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Gulf,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CA Truss, Inc.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Haleyville,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Caliper Building Systems,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Hamilton,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Eovations,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Harrisonville,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Gulf Coast Components,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Hillsboro,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Horizon Terra, Incorporated</w:t>
            </w:r>
          </w:p>
        </w:tc>
        <w:tc>
          <w:tcPr>
            <w:tcW w:w="2040" w:type="dxa"/>
            <w:vAlign w:val="bottom"/>
          </w:tcPr>
          <w:p>
            <w:pPr>
              <w:ind w:left="40"/>
              <w:spacing w:after="0"/>
              <w:rPr>
                <w:sz w:val="20"/>
                <w:szCs w:val="20"/>
                <w:color w:val="auto"/>
              </w:rPr>
            </w:pPr>
            <w:r>
              <w:rPr>
                <w:rFonts w:ascii="Arial" w:cs="Arial" w:eastAsia="Arial" w:hAnsi="Arial"/>
                <w:sz w:val="16"/>
                <w:szCs w:val="16"/>
                <w:color w:val="auto"/>
              </w:rPr>
              <w:t>Indiana</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International Employment Services,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Idaho Western, Inc.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Idaho</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International,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idX (China) Display System Co.,</w:t>
            </w:r>
          </w:p>
        </w:tc>
        <w:tc>
          <w:tcPr>
            <w:tcW w:w="20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gridSpan w:val="3"/>
          </w:tcPr>
          <w:p>
            <w:pPr>
              <w:spacing w:after="0"/>
              <w:rPr>
                <w:sz w:val="20"/>
                <w:szCs w:val="20"/>
                <w:color w:val="auto"/>
              </w:rPr>
            </w:pPr>
            <w:r>
              <w:rPr>
                <w:rFonts w:ascii="Arial" w:cs="Arial" w:eastAsia="Arial" w:hAnsi="Arial"/>
                <w:sz w:val="16"/>
                <w:szCs w:val="16"/>
                <w:color w:val="auto"/>
              </w:rPr>
              <w:t>Ltd.</w:t>
            </w:r>
          </w:p>
        </w:tc>
        <w:tc>
          <w:tcPr>
            <w:tcW w:w="2040" w:type="dxa"/>
            <w:vAlign w:val="bottom"/>
          </w:tcPr>
          <w:p>
            <w:pPr>
              <w:ind w:left="40"/>
              <w:spacing w:after="0"/>
              <w:rPr>
                <w:sz w:val="20"/>
                <w:szCs w:val="20"/>
                <w:color w:val="auto"/>
              </w:rPr>
            </w:pPr>
            <w:r>
              <w:rPr>
                <w:rFonts w:ascii="Arial" w:cs="Arial" w:eastAsia="Arial" w:hAnsi="Arial"/>
                <w:sz w:val="16"/>
                <w:szCs w:val="16"/>
                <w:color w:val="auto"/>
              </w:rPr>
              <w:t>China</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Janesville,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(India) Display Private Ltd.</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India</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Kyle,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idX Asia Fixtures Limited</w:t>
            </w:r>
          </w:p>
        </w:tc>
        <w:tc>
          <w:tcPr>
            <w:tcW w:w="2040" w:type="dxa"/>
            <w:vAlign w:val="bottom"/>
          </w:tcPr>
          <w:p>
            <w:pPr>
              <w:ind w:left="40"/>
              <w:spacing w:after="0"/>
              <w:rPr>
                <w:sz w:val="20"/>
                <w:szCs w:val="20"/>
                <w:color w:val="auto"/>
              </w:rPr>
            </w:pPr>
            <w:r>
              <w:rPr>
                <w:rFonts w:ascii="Arial" w:cs="Arial" w:eastAsia="Arial" w:hAnsi="Arial"/>
                <w:sz w:val="16"/>
                <w:szCs w:val="16"/>
                <w:color w:val="auto"/>
              </w:rPr>
              <w:t>Hong Kong</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Lafayette,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Asia Trading Limited</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Hong Kong</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Lansing,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idX Chicago, LLC</w:t>
            </w:r>
          </w:p>
        </w:tc>
        <w:tc>
          <w:tcPr>
            <w:tcW w:w="2040" w:type="dxa"/>
            <w:vAlign w:val="bottom"/>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Magna,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Corporation</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McMinnville,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idX Corporation London Limited</w:t>
            </w:r>
          </w:p>
        </w:tc>
        <w:tc>
          <w:tcPr>
            <w:tcW w:w="2040" w:type="dxa"/>
            <w:vAlign w:val="bottom"/>
          </w:tcPr>
          <w:p>
            <w:pPr>
              <w:ind w:left="40"/>
              <w:spacing w:after="0"/>
              <w:rPr>
                <w:sz w:val="20"/>
                <w:szCs w:val="20"/>
                <w:color w:val="auto"/>
              </w:rPr>
            </w:pPr>
            <w:r>
              <w:rPr>
                <w:rFonts w:ascii="Arial" w:cs="Arial" w:eastAsia="Arial" w:hAnsi="Arial"/>
                <w:sz w:val="16"/>
                <w:szCs w:val="16"/>
                <w:color w:val="auto"/>
                <w:w w:val="95"/>
              </w:rPr>
              <w:t>England and Wales ltd. Corp.</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w w:val="93"/>
              </w:rPr>
              <w:t>UFP Mexico Embalaje y Distribution, S. de R.L. de</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C. V.</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Dallas,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Mexico Investment,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idX Dayton, LLC</w:t>
            </w:r>
          </w:p>
        </w:tc>
        <w:tc>
          <w:tcPr>
            <w:tcW w:w="2040" w:type="dxa"/>
            <w:vAlign w:val="bottom"/>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Mid-Atlantic,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Holdings, Inc.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Minneota,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idX Impressions, LLC</w:t>
            </w:r>
          </w:p>
        </w:tc>
        <w:tc>
          <w:tcPr>
            <w:tcW w:w="2040" w:type="dxa"/>
            <w:vAlign w:val="bottom"/>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Morristown,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Los Angeles,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Moultrie,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idX Mexico, S. de R.L. de C.V.</w:t>
            </w:r>
          </w:p>
        </w:tc>
        <w:tc>
          <w:tcPr>
            <w:tcW w:w="2040" w:type="dxa"/>
            <w:vAlign w:val="bottom"/>
          </w:tcPr>
          <w:p>
            <w:pPr>
              <w:ind w:left="40"/>
              <w:spacing w:after="0"/>
              <w:rPr>
                <w:sz w:val="20"/>
                <w:szCs w:val="20"/>
                <w:color w:val="auto"/>
              </w:rPr>
            </w:pPr>
            <w:r>
              <w:rPr>
                <w:rFonts w:ascii="Arial" w:cs="Arial" w:eastAsia="Arial" w:hAnsi="Arial"/>
                <w:sz w:val="16"/>
                <w:szCs w:val="16"/>
                <w:color w:val="auto"/>
              </w:rPr>
              <w:t>Mexico</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Mountain West,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Shanghai Trading Company,</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China</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Nappanee,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Ltd.</w:t>
            </w:r>
          </w:p>
        </w:tc>
        <w:tc>
          <w:tcPr>
            <w:tcW w:w="20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Integra International Pty Ltd</w:t>
            </w:r>
          </w:p>
        </w:tc>
        <w:tc>
          <w:tcPr>
            <w:tcW w:w="2040" w:type="dxa"/>
            <w:vAlign w:val="bottom"/>
          </w:tcPr>
          <w:p>
            <w:pPr>
              <w:ind w:left="40"/>
              <w:spacing w:after="0"/>
              <w:rPr>
                <w:sz w:val="20"/>
                <w:szCs w:val="20"/>
                <w:color w:val="auto"/>
              </w:rPr>
            </w:pPr>
            <w:r>
              <w:rPr>
                <w:rFonts w:ascii="Arial" w:cs="Arial" w:eastAsia="Arial" w:hAnsi="Arial"/>
                <w:sz w:val="16"/>
                <w:szCs w:val="16"/>
                <w:color w:val="auto"/>
              </w:rPr>
              <w:t>Australia</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National Enterprises II, Inc.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Integra Packaging Pty Ltd</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Australia</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New London,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Landura, LLC</w:t>
            </w:r>
          </w:p>
        </w:tc>
        <w:tc>
          <w:tcPr>
            <w:tcW w:w="2040" w:type="dxa"/>
            <w:vAlign w:val="bottom"/>
          </w:tcPr>
          <w:p>
            <w:pPr>
              <w:ind w:left="40"/>
              <w:spacing w:after="0"/>
              <w:rPr>
                <w:sz w:val="20"/>
                <w:szCs w:val="20"/>
                <w:color w:val="auto"/>
              </w:rPr>
            </w:pPr>
            <w:r>
              <w:rPr>
                <w:rFonts w:ascii="Arial" w:cs="Arial" w:eastAsia="Arial" w:hAnsi="Arial"/>
                <w:sz w:val="16"/>
                <w:szCs w:val="16"/>
                <w:color w:val="auto"/>
              </w:rPr>
              <w:t>Texas</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New Waverly,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Maine Ornamental,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New Windsor,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Metaworld Technologies,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New York,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Mid-Atlantic Framing,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North Atlantic,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North Atlantic Framing,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Northeast,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Pacific Coast Showcase, Inc.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Orlando,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Pinelli Universal TKT, S de R.L.</w:t>
            </w:r>
          </w:p>
        </w:tc>
        <w:tc>
          <w:tcPr>
            <w:tcW w:w="20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gridSpan w:val="3"/>
          </w:tcPr>
          <w:p>
            <w:pPr>
              <w:spacing w:after="0"/>
              <w:rPr>
                <w:sz w:val="20"/>
                <w:szCs w:val="20"/>
                <w:color w:val="auto"/>
              </w:rPr>
            </w:pPr>
            <w:r>
              <w:rPr>
                <w:rFonts w:ascii="Arial" w:cs="Arial" w:eastAsia="Arial" w:hAnsi="Arial"/>
                <w:sz w:val="16"/>
                <w:szCs w:val="16"/>
                <w:color w:val="auto"/>
              </w:rPr>
              <w:t>de C.V.</w:t>
            </w:r>
          </w:p>
        </w:tc>
        <w:tc>
          <w:tcPr>
            <w:tcW w:w="2040" w:type="dxa"/>
            <w:vAlign w:val="bottom"/>
          </w:tcPr>
          <w:p>
            <w:pPr>
              <w:ind w:left="40"/>
              <w:spacing w:after="0"/>
              <w:rPr>
                <w:sz w:val="20"/>
                <w:szCs w:val="20"/>
                <w:color w:val="auto"/>
              </w:rPr>
            </w:pPr>
            <w:r>
              <w:rPr>
                <w:rFonts w:ascii="Arial" w:cs="Arial" w:eastAsia="Arial" w:hAnsi="Arial"/>
                <w:sz w:val="16"/>
                <w:szCs w:val="16"/>
                <w:color w:val="auto"/>
              </w:rPr>
              <w:t>Mexico</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Parker,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Pinelli Universal, S de R.L. de C.V.</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Mexico</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Purchasing, Inc.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PR Distribution, LLC</w:t>
            </w:r>
          </w:p>
        </w:tc>
        <w:tc>
          <w:tcPr>
            <w:tcW w:w="20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Ranson,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Shawnlee Construction,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Real Estate,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Shepardville Construction,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Riverside,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Store Fixtures Canada Holdings,</w:t>
            </w:r>
          </w:p>
        </w:tc>
        <w:tc>
          <w:tcPr>
            <w:tcW w:w="20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Rockwell,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The UBEECO Group Pty Ltd</w:t>
            </w:r>
          </w:p>
        </w:tc>
        <w:tc>
          <w:tcPr>
            <w:tcW w:w="2040" w:type="dxa"/>
            <w:vAlign w:val="bottom"/>
          </w:tcPr>
          <w:p>
            <w:pPr>
              <w:ind w:left="40"/>
              <w:spacing w:after="0"/>
              <w:rPr>
                <w:sz w:val="20"/>
                <w:szCs w:val="20"/>
                <w:color w:val="auto"/>
              </w:rPr>
            </w:pPr>
            <w:r>
              <w:rPr>
                <w:rFonts w:ascii="Arial" w:cs="Arial" w:eastAsia="Arial" w:hAnsi="Arial"/>
                <w:sz w:val="16"/>
                <w:szCs w:val="16"/>
                <w:color w:val="auto"/>
              </w:rPr>
              <w:t>Australia</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Saginaw,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TKT Real State, S. de R.L. de C.V.</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Mexico</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Salisbury,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Tresstar,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San Antonio,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Triangle Systems, Inc.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Sauk Rapids,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U.F.P. Mexico Holdings, S. de</w:t>
            </w:r>
          </w:p>
        </w:tc>
        <w:tc>
          <w:tcPr>
            <w:tcW w:w="20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gridSpan w:val="3"/>
          </w:tcPr>
          <w:p>
            <w:pPr>
              <w:spacing w:after="0"/>
              <w:rPr>
                <w:sz w:val="20"/>
                <w:szCs w:val="20"/>
                <w:color w:val="auto"/>
              </w:rPr>
            </w:pPr>
            <w:r>
              <w:rPr>
                <w:rFonts w:ascii="Arial" w:cs="Arial" w:eastAsia="Arial" w:hAnsi="Arial"/>
                <w:sz w:val="16"/>
                <w:szCs w:val="16"/>
                <w:color w:val="auto"/>
              </w:rPr>
              <w:t>R.L.de CV</w:t>
            </w:r>
          </w:p>
        </w:tc>
        <w:tc>
          <w:tcPr>
            <w:tcW w:w="2040" w:type="dxa"/>
            <w:vAlign w:val="bottom"/>
          </w:tcPr>
          <w:p>
            <w:pPr>
              <w:ind w:left="40"/>
              <w:spacing w:after="0"/>
              <w:rPr>
                <w:sz w:val="20"/>
                <w:szCs w:val="20"/>
                <w:color w:val="auto"/>
              </w:rPr>
            </w:pPr>
            <w:r>
              <w:rPr>
                <w:rFonts w:ascii="Arial" w:cs="Arial" w:eastAsia="Arial" w:hAnsi="Arial"/>
                <w:sz w:val="16"/>
                <w:szCs w:val="16"/>
                <w:color w:val="auto"/>
              </w:rPr>
              <w:t>Mexico</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Schertz,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Albuquerque,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Shawnee,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UFP Altoona,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Southeast,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Ashburn,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Southwest,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UFP Atlantic Division,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Stockertown,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Atlantic, LLC</w:t>
            </w:r>
          </w:p>
        </w:tc>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UFP Tampa, LLC</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UFP Auburndale, LLC</w:t>
            </w:r>
          </w:p>
        </w:tc>
        <w:tc>
          <w:tcPr>
            <w:tcW w:w="2040" w:type="dxa"/>
            <w:vAlign w:val="bottom"/>
          </w:tcPr>
          <w:p>
            <w:pPr>
              <w:ind w:left="40"/>
              <w:spacing w:after="0"/>
              <w:rPr>
                <w:sz w:val="20"/>
                <w:szCs w:val="20"/>
                <w:color w:val="auto"/>
              </w:rPr>
            </w:pPr>
            <w:r>
              <w:rPr>
                <w:rFonts w:ascii="Arial" w:cs="Arial" w:eastAsia="Arial" w:hAnsi="Arial"/>
                <w:sz w:val="16"/>
                <w:szCs w:val="16"/>
                <w:color w:val="auto"/>
              </w:rPr>
              <w:t>Michigan</w:t>
            </w:r>
          </w:p>
        </w:tc>
        <w:tc>
          <w:tcPr>
            <w:tcW w:w="3460" w:type="dxa"/>
            <w:vAlign w:val="bottom"/>
            <w:gridSpan w:val="2"/>
          </w:tcPr>
          <w:p>
            <w:pPr>
              <w:ind w:left="80"/>
              <w:spacing w:after="0"/>
              <w:rPr>
                <w:sz w:val="20"/>
                <w:szCs w:val="20"/>
                <w:color w:val="auto"/>
              </w:rPr>
            </w:pPr>
            <w:r>
              <w:rPr>
                <w:rFonts w:ascii="Arial" w:cs="Arial" w:eastAsia="Arial" w:hAnsi="Arial"/>
                <w:sz w:val="16"/>
                <w:szCs w:val="16"/>
                <w:color w:val="auto"/>
              </w:rPr>
              <w:t>UFP Thomaston, LLC</w:t>
            </w: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33"/>
        </w:trPr>
        <w:tc>
          <w:tcPr>
            <w:tcW w:w="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20" w:top="111" w:right="135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Aurora,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UFP Thornton, LLC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Australia Pty Ltd</w:t>
            </w:r>
          </w:p>
        </w:tc>
        <w:tc>
          <w:tcPr>
            <w:tcW w:w="1440" w:type="dxa"/>
            <w:vAlign w:val="bottom"/>
          </w:tcPr>
          <w:p>
            <w:pPr>
              <w:ind w:left="80"/>
              <w:spacing w:after="0"/>
              <w:rPr>
                <w:sz w:val="20"/>
                <w:szCs w:val="20"/>
                <w:color w:val="auto"/>
              </w:rPr>
            </w:pPr>
            <w:r>
              <w:rPr>
                <w:rFonts w:ascii="Arial" w:cs="Arial" w:eastAsia="Arial" w:hAnsi="Arial"/>
                <w:sz w:val="16"/>
                <w:szCs w:val="16"/>
                <w:color w:val="auto"/>
              </w:rPr>
              <w:t>Australia</w:t>
            </w:r>
          </w:p>
        </w:tc>
        <w:tc>
          <w:tcPr>
            <w:tcW w:w="4080" w:type="dxa"/>
            <w:vAlign w:val="bottom"/>
          </w:tcPr>
          <w:p>
            <w:pPr>
              <w:ind w:left="720"/>
              <w:spacing w:after="0"/>
              <w:rPr>
                <w:sz w:val="20"/>
                <w:szCs w:val="20"/>
                <w:color w:val="auto"/>
              </w:rPr>
            </w:pPr>
            <w:r>
              <w:rPr>
                <w:rFonts w:ascii="Arial" w:cs="Arial" w:eastAsia="Arial" w:hAnsi="Arial"/>
                <w:sz w:val="16"/>
                <w:szCs w:val="16"/>
                <w:color w:val="auto"/>
              </w:rPr>
              <w:t>UFP Transportation, Inc.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w w:val="95"/>
              </w:rPr>
              <w:t>UFP Australia Real Estate Pty Ltd</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Australia</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UFP Union City, LLC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Barnesville,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UFP Ventures II, Inc.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Belchertown,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UFP Warranty Corporation</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Berlin,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UFP Warrens, LLC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Biscoe,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UFP Washington, LLC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Blanchester,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UFP Western Division, Inc.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Caldwell,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UFP White Bear Lake, LLC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Canada, Inc.</w:t>
            </w:r>
          </w:p>
        </w:tc>
        <w:tc>
          <w:tcPr>
            <w:tcW w:w="1440" w:type="dxa"/>
            <w:vAlign w:val="bottom"/>
          </w:tcPr>
          <w:p>
            <w:pPr>
              <w:ind w:left="80"/>
              <w:spacing w:after="0"/>
              <w:rPr>
                <w:sz w:val="20"/>
                <w:szCs w:val="20"/>
                <w:color w:val="auto"/>
              </w:rPr>
            </w:pPr>
            <w:r>
              <w:rPr>
                <w:rFonts w:ascii="Arial" w:cs="Arial" w:eastAsia="Arial" w:hAnsi="Arial"/>
                <w:sz w:val="16"/>
                <w:szCs w:val="16"/>
                <w:color w:val="auto"/>
              </w:rPr>
              <w:t>Canada</w:t>
            </w:r>
          </w:p>
        </w:tc>
        <w:tc>
          <w:tcPr>
            <w:tcW w:w="4080" w:type="dxa"/>
            <w:vAlign w:val="bottom"/>
          </w:tcPr>
          <w:p>
            <w:pPr>
              <w:ind w:left="720"/>
              <w:spacing w:after="0"/>
              <w:rPr>
                <w:sz w:val="20"/>
                <w:szCs w:val="20"/>
                <w:color w:val="auto"/>
              </w:rPr>
            </w:pPr>
            <w:r>
              <w:rPr>
                <w:rFonts w:ascii="Arial" w:cs="Arial" w:eastAsia="Arial" w:hAnsi="Arial"/>
                <w:sz w:val="16"/>
                <w:szCs w:val="16"/>
                <w:color w:val="auto"/>
              </w:rPr>
              <w:t>UFP Windsor, LLC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Central Plains,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UFP Woodburn, LLC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Chandler,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United Lumber &amp; Reman, LLC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Alabama</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Chicago,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Universal Consumer Products, Inc.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Dallas,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Universal Forest Products RMS, LLC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Distribution,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Universal Forest Products Texas LLC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Eagan,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Universal Forest Products, Inc.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East Central,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Universal Showcase ULC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Alberta</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Eastern Division, Inc.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Upshur Forest Products, LLC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193"/>
        </w:trPr>
        <w:tc>
          <w:tcPr>
            <w:tcW w:w="2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Western Building Professionals of California II</w:t>
            </w: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2"/>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Eatonton,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Limited Partnership</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Elizabeth City,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w w:val="96"/>
              </w:rPr>
              <w:t>Western Building Professionals of California, Inc.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Elkwood,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Western Building Professionals, LLC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UFP Far West,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Yard &amp; Home, LLC</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Michigan</w:t>
            </w: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Folkston,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Pinelli Lumber, Inc.</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Texas</w:t>
            </w:r>
          </w:p>
        </w:tc>
      </w:tr>
      <w:tr>
        <w:trPr>
          <w:trHeight w:val="193"/>
        </w:trPr>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w w:val="97"/>
              </w:rPr>
              <w:t>TIBASA Universal Forest Products S. de R.L. de</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320" w:type="dxa"/>
            <w:vAlign w:val="bottom"/>
          </w:tcPr>
          <w:p>
            <w:pPr>
              <w:spacing w:after="0"/>
              <w:rPr>
                <w:sz w:val="20"/>
                <w:szCs w:val="20"/>
                <w:color w:val="auto"/>
              </w:rPr>
            </w:pPr>
            <w:r>
              <w:rPr>
                <w:rFonts w:ascii="Arial" w:cs="Arial" w:eastAsia="Arial" w:hAnsi="Arial"/>
                <w:sz w:val="16"/>
                <w:szCs w:val="16"/>
                <w:color w:val="auto"/>
              </w:rPr>
              <w:t>UFP Franklinton, LLC</w:t>
            </w:r>
          </w:p>
        </w:tc>
        <w:tc>
          <w:tcPr>
            <w:tcW w:w="1440" w:type="dxa"/>
            <w:vAlign w:val="bottom"/>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tcPr>
          <w:p>
            <w:pPr>
              <w:ind w:left="720"/>
              <w:spacing w:after="0"/>
              <w:rPr>
                <w:sz w:val="20"/>
                <w:szCs w:val="20"/>
                <w:color w:val="auto"/>
              </w:rPr>
            </w:pPr>
            <w:r>
              <w:rPr>
                <w:rFonts w:ascii="Arial" w:cs="Arial" w:eastAsia="Arial" w:hAnsi="Arial"/>
                <w:sz w:val="16"/>
                <w:szCs w:val="16"/>
                <w:color w:val="auto"/>
              </w:rPr>
              <w:t>C.V.</w:t>
            </w: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Mexico</w:t>
            </w:r>
          </w:p>
        </w:tc>
      </w:tr>
      <w:tr>
        <w:trPr>
          <w:trHeight w:val="209"/>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UFP Gainesville, LLC</w:t>
            </w: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Michigan</w:t>
            </w:r>
          </w:p>
        </w:tc>
        <w:tc>
          <w:tcPr>
            <w:tcW w:w="4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idX Amsterdam B.V.</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Amsterdam</w:t>
            </w:r>
          </w:p>
        </w:tc>
      </w:tr>
      <w:tr>
        <w:trPr>
          <w:trHeight w:val="655"/>
        </w:trPr>
        <w:tc>
          <w:tcPr>
            <w:tcW w:w="2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120"/>
          </w:cols>
          <w:pgMar w:left="1420" w:top="140" w:right="1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Registration Statement Form S-8 for various employee option and incentive stock plans (Registration Statement Nos. 33-81128, 333-60630, 333-150345, 333-156596, and 33-84632) of our reports dated February 28, 2018, relating to the consolidated financial statements of Universal Forest Products, Inc. and subsidiaries (the “Company”), and the effectiveness of the Company’s internal control over financial reporting, appearing in this Annual Report on Form 10-K of the Company for the year ended December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171" w:lineRule="exact"/>
        <w:rPr>
          <w:sz w:val="20"/>
          <w:szCs w:val="20"/>
          <w:color w:val="auto"/>
        </w:rPr>
      </w:pPr>
    </w:p>
    <w:p>
      <w:pPr>
        <w:ind w:left="640" w:hanging="637"/>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71" w:lineRule="exact"/>
        <w:rPr>
          <w:rFonts w:ascii="Arial" w:cs="Arial" w:eastAsia="Arial" w:hAnsi="Arial"/>
          <w:sz w:val="18"/>
          <w:szCs w:val="18"/>
          <w:color w:val="auto"/>
        </w:rPr>
      </w:pPr>
    </w:p>
    <w:p>
      <w:pPr>
        <w:ind w:left="660" w:right="380" w:hanging="657"/>
        <w:spacing w:after="0" w:line="264" w:lineRule="auto"/>
        <w:tabs>
          <w:tab w:leader="none" w:pos="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80" w:hanging="657"/>
        <w:spacing w:after="0" w:line="264" w:lineRule="auto"/>
        <w:tabs>
          <w:tab w:leader="none" w:pos="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20" w:hanging="657"/>
        <w:spacing w:after="0" w:line="286" w:lineRule="auto"/>
        <w:tabs>
          <w:tab w:leader="none" w:pos="63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ind w:left="1300" w:right="100" w:hanging="649"/>
        <w:spacing w:after="0" w:line="259" w:lineRule="auto"/>
        <w:tabs>
          <w:tab w:leader="none" w:pos="12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1300" w:right="300" w:hanging="649"/>
        <w:spacing w:after="0" w:line="259" w:lineRule="auto"/>
        <w:tabs>
          <w:tab w:leader="none" w:pos="12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color w:val="auto"/>
        </w:rPr>
      </w:pPr>
    </w:p>
    <w:p>
      <w:pPr>
        <w:ind w:left="1300" w:hanging="649"/>
        <w:spacing w:after="0" w:line="264" w:lineRule="auto"/>
        <w:tabs>
          <w:tab w:leader="none" w:pos="12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300" w:right="80" w:hanging="649"/>
        <w:spacing w:after="0" w:line="259" w:lineRule="auto"/>
        <w:tabs>
          <w:tab w:leader="none" w:pos="12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100" w:hanging="657"/>
        <w:spacing w:after="0" w:line="264" w:lineRule="auto"/>
        <w:tabs>
          <w:tab w:leader="none" w:pos="6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7" w:lineRule="exact"/>
        <w:rPr>
          <w:rFonts w:ascii="Arial" w:cs="Arial" w:eastAsia="Arial" w:hAnsi="Arial"/>
          <w:sz w:val="18"/>
          <w:szCs w:val="18"/>
          <w:color w:val="auto"/>
        </w:rPr>
      </w:pPr>
    </w:p>
    <w:p>
      <w:pPr>
        <w:ind w:left="1300" w:right="60" w:hanging="649"/>
        <w:spacing w:after="0" w:line="264" w:lineRule="auto"/>
        <w:tabs>
          <w:tab w:leader="none" w:pos="126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1300" w:right="200" w:hanging="649"/>
        <w:spacing w:after="0" w:line="277" w:lineRule="auto"/>
        <w:tabs>
          <w:tab w:leader="none" w:pos="12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gridSpan w:val="3"/>
          </w:tcPr>
          <w:p>
            <w:pPr>
              <w:ind w:left="300"/>
              <w:spacing w:after="0"/>
              <w:rPr>
                <w:sz w:val="20"/>
                <w:szCs w:val="20"/>
                <w:color w:val="auto"/>
              </w:rPr>
            </w:pPr>
            <w:r>
              <w:rPr>
                <w:rFonts w:ascii="Arial" w:cs="Arial" w:eastAsia="Arial" w:hAnsi="Arial"/>
                <w:sz w:val="18"/>
                <w:szCs w:val="18"/>
                <w:color w:val="auto"/>
              </w:rPr>
              <w:t>February 28, 2018</w:t>
            </w:r>
          </w:p>
        </w:tc>
        <w:tc>
          <w:tcPr>
            <w:tcW w:w="35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195"/>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3"/>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640" w:hanging="637"/>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98" w:lineRule="exact"/>
        <w:rPr>
          <w:rFonts w:ascii="Arial" w:cs="Arial" w:eastAsia="Arial" w:hAnsi="Arial"/>
          <w:sz w:val="18"/>
          <w:szCs w:val="18"/>
          <w:color w:val="auto"/>
        </w:rPr>
      </w:pPr>
    </w:p>
    <w:p>
      <w:pPr>
        <w:ind w:left="660" w:right="380" w:hanging="657"/>
        <w:spacing w:after="0" w:line="264" w:lineRule="auto"/>
        <w:tabs>
          <w:tab w:leader="none" w:pos="6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80" w:hanging="657"/>
        <w:spacing w:after="0" w:line="264" w:lineRule="auto"/>
        <w:tabs>
          <w:tab w:leader="none" w:pos="6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660" w:right="20" w:hanging="657"/>
        <w:spacing w:after="0" w:line="286" w:lineRule="auto"/>
        <w:tabs>
          <w:tab w:leader="none" w:pos="639"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7"/>
          <w:szCs w:val="17"/>
          <w:color w:val="auto"/>
        </w:rPr>
      </w:pPr>
    </w:p>
    <w:p>
      <w:pPr>
        <w:ind w:left="1300" w:right="100" w:hanging="649"/>
        <w:spacing w:after="0" w:line="259" w:lineRule="auto"/>
        <w:tabs>
          <w:tab w:leader="none" w:pos="1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300" w:right="300" w:hanging="649"/>
        <w:spacing w:after="0" w:line="259" w:lineRule="auto"/>
        <w:tabs>
          <w:tab w:leader="none" w:pos="128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ind w:left="1300" w:hanging="649"/>
        <w:spacing w:after="0" w:line="264" w:lineRule="auto"/>
        <w:tabs>
          <w:tab w:leader="none" w:pos="1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300" w:right="80" w:hanging="649"/>
        <w:spacing w:after="0" w:line="259" w:lineRule="auto"/>
        <w:tabs>
          <w:tab w:leader="none" w:pos="128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660" w:right="100" w:hanging="657"/>
        <w:spacing w:after="0" w:line="264" w:lineRule="auto"/>
        <w:tabs>
          <w:tab w:leader="none" w:pos="6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ind w:left="1300" w:right="60" w:hanging="649"/>
        <w:spacing w:after="0" w:line="264" w:lineRule="auto"/>
        <w:tabs>
          <w:tab w:leader="none" w:pos="126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300" w:right="200" w:hanging="649"/>
        <w:spacing w:after="0" w:line="277" w:lineRule="auto"/>
        <w:tabs>
          <w:tab w:leader="none" w:pos="1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gridSpan w:val="3"/>
          </w:tcPr>
          <w:p>
            <w:pPr>
              <w:ind w:left="300"/>
              <w:spacing w:after="0"/>
              <w:rPr>
                <w:sz w:val="20"/>
                <w:szCs w:val="20"/>
                <w:color w:val="auto"/>
              </w:rPr>
            </w:pPr>
            <w:r>
              <w:rPr>
                <w:rFonts w:ascii="Arial" w:cs="Arial" w:eastAsia="Arial" w:hAnsi="Arial"/>
                <w:sz w:val="18"/>
                <w:szCs w:val="18"/>
                <w:color w:val="auto"/>
              </w:rPr>
              <w:t>February 28, 2018</w:t>
            </w:r>
          </w:p>
        </w:tc>
        <w:tc>
          <w:tcPr>
            <w:tcW w:w="35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763"/>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firstLine="651"/>
        <w:spacing w:after="0" w:line="308" w:lineRule="auto"/>
        <w:tabs>
          <w:tab w:leader="none" w:pos="1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report on Form 10-K for the year ended December 30, 2017,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firstLine="651"/>
        <w:spacing w:after="0" w:line="308" w:lineRule="auto"/>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this report on Form 10-K for the period ended December 30, 2017 fairly presents, in all material respects, the financial condition and results of operations of Universal Forest Products, Inc.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920" w:type="dxa"/>
            <w:vAlign w:val="bottom"/>
            <w:gridSpan w:val="2"/>
          </w:tcPr>
          <w:p>
            <w:pPr>
              <w:ind w:left="82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Date:  February 28, 2018</w:t>
            </w:r>
          </w:p>
        </w:tc>
        <w:tc>
          <w:tcPr>
            <w:tcW w:w="4920" w:type="dxa"/>
            <w:vAlign w:val="bottom"/>
            <w:gridSpan w:val="2"/>
          </w:tcPr>
          <w:p>
            <w:pPr>
              <w:ind w:left="820"/>
              <w:spacing w:after="0"/>
              <w:rPr>
                <w:sz w:val="20"/>
                <w:szCs w:val="20"/>
                <w:color w:val="auto"/>
              </w:rPr>
            </w:pPr>
            <w:r>
              <w:rPr>
                <w:rFonts w:ascii="Arial" w:cs="Arial" w:eastAsia="Arial" w:hAnsi="Arial"/>
                <w:sz w:val="18"/>
                <w:szCs w:val="18"/>
                <w:color w:val="auto"/>
              </w:rPr>
              <w:t>By: /s/ Matthew J. Missad</w:t>
            </w:r>
          </w:p>
        </w:tc>
      </w:tr>
      <w:tr>
        <w:trPr>
          <w:trHeight w:val="195"/>
        </w:trPr>
        <w:tc>
          <w:tcPr>
            <w:tcW w:w="600" w:type="dxa"/>
            <w:vAlign w:val="bottom"/>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16"/>
        </w:trPr>
        <w:tc>
          <w:tcPr>
            <w:tcW w:w="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20" w:type="dxa"/>
            <w:vAlign w:val="bottom"/>
            <w:gridSpan w:val="2"/>
          </w:tcPr>
          <w:p>
            <w:pPr>
              <w:ind w:left="820"/>
              <w:spacing w:after="0"/>
              <w:rPr>
                <w:sz w:val="20"/>
                <w:szCs w:val="20"/>
                <w:color w:val="auto"/>
              </w:rPr>
            </w:pPr>
            <w:r>
              <w:rPr>
                <w:rFonts w:ascii="Arial" w:cs="Arial" w:eastAsia="Arial" w:hAnsi="Arial"/>
                <w:sz w:val="18"/>
                <w:szCs w:val="18"/>
                <w:color w:val="auto"/>
              </w:rPr>
              <w:t>Its:  Chief Executive Officer and</w:t>
            </w:r>
          </w:p>
        </w:tc>
      </w:tr>
      <w:tr>
        <w:trPr>
          <w:trHeight w:val="230"/>
        </w:trPr>
        <w:tc>
          <w:tcPr>
            <w:tcW w:w="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firstLine="651"/>
        <w:spacing w:after="0" w:line="308" w:lineRule="auto"/>
        <w:tabs>
          <w:tab w:leader="none" w:pos="12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on Form 10-K for the period ended December 30, 2017,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firstLine="651"/>
        <w:spacing w:after="0" w:line="308" w:lineRule="auto"/>
        <w:tabs>
          <w:tab w:leader="none" w:pos="14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this report on Form 10-K for the period ended December 30, 2017 fairly presents, in all material respects, the financial condition and results of operations of Universal Forest Products, Inc.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920" w:type="dxa"/>
            <w:vAlign w:val="bottom"/>
            <w:gridSpan w:val="2"/>
          </w:tcPr>
          <w:p>
            <w:pPr>
              <w:ind w:left="80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Date:  February 28, 2018</w:t>
            </w:r>
          </w:p>
        </w:tc>
        <w:tc>
          <w:tcPr>
            <w:tcW w:w="4920" w:type="dxa"/>
            <w:vAlign w:val="bottom"/>
            <w:gridSpan w:val="2"/>
          </w:tcPr>
          <w:p>
            <w:pPr>
              <w:ind w:left="800"/>
              <w:spacing w:after="0"/>
              <w:rPr>
                <w:sz w:val="20"/>
                <w:szCs w:val="20"/>
                <w:color w:val="auto"/>
              </w:rPr>
            </w:pPr>
            <w:r>
              <w:rPr>
                <w:rFonts w:ascii="Arial" w:cs="Arial" w:eastAsia="Arial" w:hAnsi="Arial"/>
                <w:sz w:val="18"/>
                <w:szCs w:val="18"/>
                <w:color w:val="auto"/>
              </w:rPr>
              <w:t>By: /s/ Michael R. Cole</w:t>
            </w:r>
          </w:p>
        </w:tc>
      </w:tr>
      <w:tr>
        <w:trPr>
          <w:trHeight w:val="195"/>
        </w:trPr>
        <w:tc>
          <w:tcPr>
            <w:tcW w:w="520" w:type="dxa"/>
            <w:vAlign w:val="bottom"/>
          </w:tcPr>
          <w:p>
            <w:pPr>
              <w:spacing w:after="0"/>
              <w:rPr>
                <w:sz w:val="16"/>
                <w:szCs w:val="16"/>
                <w:color w:val="auto"/>
              </w:rPr>
            </w:pPr>
          </w:p>
        </w:tc>
        <w:tc>
          <w:tcPr>
            <w:tcW w:w="3620" w:type="dxa"/>
            <w:vAlign w:val="bottom"/>
            <w:tcBorders>
              <w:top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5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920" w:type="dxa"/>
            <w:vAlign w:val="bottom"/>
            <w:gridSpan w:val="2"/>
          </w:tcPr>
          <w:p>
            <w:pPr>
              <w:ind w:left="800"/>
              <w:spacing w:after="0"/>
              <w:rPr>
                <w:sz w:val="20"/>
                <w:szCs w:val="20"/>
                <w:color w:val="auto"/>
              </w:rPr>
            </w:pPr>
            <w:r>
              <w:rPr>
                <w:rFonts w:ascii="Arial" w:cs="Arial" w:eastAsia="Arial" w:hAnsi="Arial"/>
                <w:sz w:val="18"/>
                <w:szCs w:val="18"/>
                <w:color w:val="auto"/>
              </w:rPr>
              <w:t>Its:  Chief Financial Officer,</w:t>
            </w:r>
          </w:p>
        </w:tc>
      </w:tr>
      <w:tr>
        <w:trPr>
          <w:trHeight w:val="216"/>
        </w:trPr>
        <w:tc>
          <w:tcPr>
            <w:tcW w:w="5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lowerLetter"/>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lowerLetter"/>
      <w:start w:val="1"/>
    </w:lvl>
  </w:abstractNum>
  <w:abstractNum w:abstractNumId="8">
    <w:nsid w:val="2463B9EA"/>
    <w:multiLevelType w:val="hybridMultilevel"/>
    <w:lvl w:ilvl="0">
      <w:lvlJc w:val="left"/>
      <w:lvlText w:val="(%1)"/>
      <w:numFmt w:val="lowerLetter"/>
      <w:start w:val="2"/>
    </w:lvl>
  </w:abstractNum>
  <w:abstractNum w:abstractNumId="9">
    <w:nsid w:val="5E884ADC"/>
    <w:multiLevelType w:val="hybridMultilevel"/>
    <w:lvl w:ilvl="0">
      <w:lvlJc w:val="left"/>
      <w:lvlText w:val="3"/>
      <w:numFmt w:val="bullet"/>
      <w:start w:val="1"/>
    </w:lvl>
    <w:lvl w:ilvl="1">
      <w:lvlJc w:val="left"/>
      <w:lvlText w:val="(%2)"/>
      <w:numFmt w:val="lowerLetter"/>
      <w:start w:val="1"/>
    </w:lvl>
  </w:abstractNum>
  <w:abstractNum w:abstractNumId="10">
    <w:nsid w:val="51EAD36B"/>
    <w:multiLevelType w:val="hybridMultilevel"/>
    <w:lvl w:ilvl="0">
      <w:lvlJc w:val="left"/>
      <w:lvlText w:val="4"/>
      <w:numFmt w:val="bullet"/>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decimal"/>
      <w:start w:val="10"/>
    </w:lvl>
  </w:abstractNum>
  <w:abstractNum w:abstractNumId="13">
    <w:nsid w:val="153EA438"/>
    <w:multiLevelType w:val="hybridMultilevel"/>
    <w:lvl w:ilvl="0">
      <w:lvlJc w:val="left"/>
      <w:lvlText w:val="(%1)"/>
      <w:numFmt w:val="lowerLetter"/>
      <w:start w:val="2"/>
    </w:lvl>
  </w:abstractNum>
  <w:abstractNum w:abstractNumId="14">
    <w:nsid w:val="3855585C"/>
    <w:multiLevelType w:val="hybridMultilevel"/>
    <w:lvl w:ilvl="0">
      <w:lvlJc w:val="left"/>
      <w:lvlText w:val="(%1)"/>
      <w:numFmt w:val="lowerLetter"/>
      <w:start w:val="11"/>
    </w:lvl>
  </w:abstractNum>
  <w:abstractNum w:abstractNumId="15">
    <w:nsid w:val="70A64E2A"/>
    <w:multiLevelType w:val="hybridMultilevel"/>
    <w:lvl w:ilvl="0">
      <w:lvlJc w:val="left"/>
      <w:lvlText w:val="(%1)"/>
      <w:numFmt w:val="lowerLetter"/>
      <w:start w:val="12"/>
    </w:lvl>
  </w:abstractNum>
  <w:abstractNum w:abstractNumId="16">
    <w:nsid w:val="6A2342EC"/>
    <w:multiLevelType w:val="hybridMultilevel"/>
    <w:lvl w:ilvl="0">
      <w:lvlJc w:val="left"/>
      <w:lvlText w:val="%1"/>
      <w:numFmt w:val="decimal"/>
      <w:start w:val="13"/>
    </w:lvl>
  </w:abstractNum>
  <w:abstractNum w:abstractNumId="17">
    <w:nsid w:val="2A487CB0"/>
    <w:multiLevelType w:val="hybridMultilevel"/>
    <w:lvl w:ilvl="0">
      <w:lvlJc w:val="left"/>
      <w:lvlText w:val="(%1)"/>
      <w:numFmt w:val="lowerLetter"/>
      <w:start w:val="1"/>
    </w:lvl>
  </w:abstractNum>
  <w:abstractNum w:abstractNumId="18">
    <w:nsid w:val="1D4ED43B"/>
    <w:multiLevelType w:val="hybridMultilevel"/>
    <w:lvl w:ilvl="0">
      <w:lvlJc w:val="left"/>
      <w:lvlText w:val="%1"/>
      <w:numFmt w:val="decimal"/>
      <w:start w:val="21"/>
    </w:lvl>
  </w:abstractNum>
  <w:abstractNum w:abstractNumId="19">
    <w:nsid w:val="725A06FB"/>
    <w:multiLevelType w:val="hybridMultilevel"/>
    <w:lvl w:ilvl="0">
      <w:lvlJc w:val="left"/>
      <w:lvlText w:val="%1"/>
      <w:numFmt w:val="decimal"/>
      <w:start w:val="23"/>
    </w:lvl>
  </w:abstractNum>
  <w:abstractNum w:abstractNumId="20">
    <w:nsid w:val="2CD89A32"/>
    <w:multiLevelType w:val="hybridMultilevel"/>
    <w:lvl w:ilvl="0">
      <w:lvlJc w:val="left"/>
      <w:lvlText w:val="%1"/>
      <w:numFmt w:val="decimal"/>
      <w:start w:val="31"/>
    </w:lvl>
    <w:lvl w:ilvl="1">
      <w:lvlJc w:val="left"/>
      <w:lvlText w:val="(%2)"/>
      <w:numFmt w:val="lowerLetter"/>
      <w:start w:val="1"/>
    </w:lvl>
  </w:abstractNum>
  <w:abstractNum w:abstractNumId="21">
    <w:nsid w:val="57E4CCAF"/>
    <w:multiLevelType w:val="hybridMultilevel"/>
    <w:lvl w:ilvl="0">
      <w:lvlJc w:val="left"/>
      <w:lvlText w:val="%1"/>
      <w:numFmt w:val="decimal"/>
      <w:start w:val="10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upperLetter"/>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1."/>
      <w:numFmt w:val="upperLetter"/>
      <w:start w:val="2"/>
    </w:lvl>
  </w:abstractNum>
  <w:abstractNum w:abstractNumId="50">
    <w:nsid w:val="15B5AF5C"/>
    <w:multiLevelType w:val="hybridMultilevel"/>
    <w:lvl w:ilvl="0">
      <w:lvlJc w:val="left"/>
      <w:lvlText w:val="%1."/>
      <w:numFmt w:val="upperLetter"/>
      <w:start w:val="3"/>
    </w:lvl>
  </w:abstractNum>
  <w:abstractNum w:abstractNumId="51">
    <w:nsid w:val="741226BB"/>
    <w:multiLevelType w:val="hybridMultilevel"/>
    <w:lvl w:ilvl="0">
      <w:lvlJc w:val="left"/>
      <w:lvlText w:val="%1."/>
      <w:numFmt w:val="upperLetter"/>
      <w:start w:val="5"/>
    </w:lvl>
  </w:abstractNum>
  <w:abstractNum w:abstractNumId="52">
    <w:nsid w:val="D34B6A8"/>
    <w:multiLevelType w:val="hybridMultilevel"/>
    <w:lvl w:ilvl="0">
      <w:lvlJc w:val="left"/>
      <w:lvlText w:val="%1."/>
      <w:numFmt w:val="upperLetter"/>
      <w:start w:val="6"/>
    </w:lvl>
  </w:abstractNum>
  <w:abstractNum w:abstractNumId="53">
    <w:nsid w:val="10233C99"/>
    <w:multiLevelType w:val="hybridMultilevel"/>
    <w:lvl w:ilvl="0">
      <w:lvlJc w:val="left"/>
      <w:lvlText w:val="%1."/>
      <w:numFmt w:val="upperLetter"/>
      <w:start w:val="7"/>
    </w:lvl>
  </w:abstractNum>
  <w:abstractNum w:abstractNumId="54">
    <w:nsid w:val="3F6AB60F"/>
    <w:multiLevelType w:val="hybridMultilevel"/>
    <w:lvl w:ilvl="0">
      <w:lvlJc w:val="left"/>
      <w:lvlText w:val="%1."/>
      <w:numFmt w:val="upperLetter"/>
      <w:start w:val="8"/>
    </w:lvl>
  </w:abstractNum>
  <w:abstractNum w:abstractNumId="55">
    <w:nsid w:val="61574095"/>
    <w:multiLevelType w:val="hybridMultilevel"/>
    <w:lvl w:ilvl="0">
      <w:lvlJc w:val="left"/>
      <w:lvlText w:val="%1."/>
      <w:numFmt w:val="upperLetter"/>
      <w:start w:val="9"/>
    </w:lvl>
  </w:abstractNum>
  <w:abstractNum w:abstractNumId="56">
    <w:nsid w:val="7E0C57B1"/>
    <w:multiLevelType w:val="hybridMultilevel"/>
    <w:lvl w:ilvl="0">
      <w:lvlJc w:val="left"/>
      <w:lvlText w:val="%1."/>
      <w:numFmt w:val="upperLetter"/>
      <w:start w:val="10"/>
    </w:lvl>
  </w:abstractNum>
  <w:abstractNum w:abstractNumId="57">
    <w:nsid w:val="77AE35EB"/>
    <w:multiLevelType w:val="hybridMultilevel"/>
    <w:lvl w:ilvl="0">
      <w:lvlJc w:val="left"/>
      <w:lvlText w:val="%1."/>
      <w:numFmt w:val="upperLetter"/>
      <w:start w:val="11"/>
    </w:lvl>
  </w:abstractNum>
  <w:abstractNum w:abstractNumId="58">
    <w:nsid w:val="579BE4F1"/>
    <w:multiLevelType w:val="hybridMultilevel"/>
    <w:lvl w:ilvl="0">
      <w:lvlJc w:val="left"/>
      <w:lvlText w:val="%1."/>
      <w:numFmt w:val="upperLetter"/>
      <w:start w:val="12"/>
    </w:lvl>
  </w:abstractNum>
  <w:abstractNum w:abstractNumId="59">
    <w:nsid w:val="310C50B3"/>
    <w:multiLevelType w:val="hybridMultilevel"/>
    <w:lvl w:ilvl="0">
      <w:lvlJc w:val="left"/>
      <w:lvlText w:val="%1."/>
      <w:numFmt w:val="upperLetter"/>
      <w:start w:val="13"/>
    </w:lvl>
  </w:abstractNum>
  <w:abstractNum w:abstractNumId="60">
    <w:nsid w:val="5FF87E05"/>
    <w:multiLevelType w:val="hybridMultilevel"/>
    <w:lvl w:ilvl="0">
      <w:lvlJc w:val="left"/>
      <w:lvlText w:val="%1."/>
      <w:numFmt w:val="upperLetter"/>
      <w:start w:val="14"/>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upperLetter"/>
      <w:start w:val="15"/>
    </w:lvl>
  </w:abstractNum>
  <w:abstractNum w:abstractNumId="63">
    <w:nsid w:val="1DBABF00"/>
    <w:multiLevelType w:val="hybridMultilevel"/>
    <w:lvl w:ilvl="0">
      <w:lvlJc w:val="left"/>
      <w:lvlText w:val="%1."/>
      <w:numFmt w:val="upperLetter"/>
      <w:start w:val="16"/>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2"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jpe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26" Type="http://schemas.openxmlformats.org/officeDocument/2006/relationships/hyperlink" Target="http://www.sec.gov/Archives/edgar/data/912767/000095012311016476/c12957exv10waw6.txt" TargetMode="External"/><Relationship Id="rId27" Type="http://schemas.openxmlformats.org/officeDocument/2006/relationships/hyperlink" Target="http://www.sec.gov/Archives/edgar/data/912767/000095012311016476/c12957exv10wf.htm" TargetMode="External"/><Relationship Id="rId28" Type="http://schemas.openxmlformats.org/officeDocument/2006/relationships/hyperlink" Target="http://www.sec.gov/Archives/edgar/data/912767/000114036112015431/ex10g.htm" TargetMode="External"/><Relationship Id="rId29" Type="http://schemas.openxmlformats.org/officeDocument/2006/relationships/hyperlink" Target="http://www.sec.gov/Archives/edgar/data/912767/000114036112015431/ex10h.htm" TargetMode="External"/><Relationship Id="rId30" Type="http://schemas.openxmlformats.org/officeDocument/2006/relationships/hyperlink" Target="http://www.sec.gov/Archives/edgar/data/912767/000114036114040661/ex10_1.htm" TargetMode="External"/><Relationship Id="rId31" Type="http://schemas.openxmlformats.org/officeDocument/2006/relationships/hyperlink" Target="http://www.sec.gov/Archives/edgar/data/912767/000114036112051611/ex10_k.htm" TargetMode="External"/><Relationship Id="rId33" Type="http://schemas.openxmlformats.org/officeDocument/2006/relationships/hyperlink" Target="http://www.sec.gov/Archives/edgar/data/912767/000114036115008949/ex10_l.htm" TargetMode="External"/><Relationship Id="rId34" Type="http://schemas.openxmlformats.org/officeDocument/2006/relationships/hyperlink" Target="http://www.sec.gov/Archives/edgar/data/912767/000091276717000007/ufpi-20161231xexhibit10m.htm" TargetMode="External"/><Relationship Id="rId35" Type="http://schemas.openxmlformats.org/officeDocument/2006/relationships/hyperlink" Target="http://www.sec.gov/Archives/edgar/data/912767/000114036112013332/formdef14a.htm" TargetMode="External"/><Relationship Id="rId36" Type="http://schemas.openxmlformats.org/officeDocument/2006/relationships/hyperlink" Target="http://www.sec.gov/Archives/edgar/data/912767/000091276716000068/exhibit10o3q2016.htm" TargetMode="External"/><Relationship Id="rId37" Type="http://schemas.openxmlformats.org/officeDocument/2006/relationships/hyperlink" Target="http://www.sec.gov/Archives/edgar/data/912767/000095012311016476/c12957exv14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2019-12-29T00:45:12Z</dcterms:created>
  <dcterms:modified xsi:type="dcterms:W3CDTF">2019-12-29T00:45:12Z</dcterms:modified>
</cp:coreProperties>
</file>