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3124835</wp:posOffset>
            </wp:positionH>
            <wp:positionV relativeFrom="page">
              <wp:posOffset>294640</wp:posOffset>
            </wp:positionV>
            <wp:extent cx="132080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Bridgewater Place w Post Office Box 352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Grand Rapids, Michigan 49501-0352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616 / 336-6000 w Fax 616 / 336-7000 w www.varnumlaw.com</w:t>
      </w:r>
    </w:p>
    <w:p>
      <w:pPr>
        <w:spacing w:after="0" w:line="200" w:lineRule="exact"/>
        <w:rPr>
          <w:sz w:val="24"/>
          <w:szCs w:val="24"/>
          <w:color w:val="auto"/>
        </w:rPr>
      </w:pPr>
    </w:p>
    <w:p>
      <w:pPr>
        <w:spacing w:after="0" w:line="213" w:lineRule="exact"/>
        <w:rPr>
          <w:sz w:val="24"/>
          <w:szCs w:val="24"/>
          <w:color w:val="auto"/>
        </w:rPr>
      </w:pPr>
    </w:p>
    <w:p>
      <w:pPr>
        <w:ind w:left="220"/>
        <w:spacing w:after="0"/>
        <w:tabs>
          <w:tab w:leader="none" w:pos="9900" w:val="left"/>
        </w:tabs>
        <w:rPr>
          <w:sz w:val="20"/>
          <w:szCs w:val="20"/>
          <w:color w:val="auto"/>
        </w:rPr>
      </w:pPr>
      <w:r>
        <w:rPr>
          <w:rFonts w:ascii="Times New Roman" w:cs="Times New Roman" w:eastAsia="Times New Roman" w:hAnsi="Times New Roman"/>
          <w:sz w:val="16"/>
          <w:szCs w:val="16"/>
          <w:b w:val="1"/>
          <w:bCs w:val="1"/>
          <w:color w:val="auto"/>
        </w:rPr>
        <w:t>Michael G. Wooldridge</w:t>
      </w:r>
      <w:r>
        <w:rPr>
          <w:sz w:val="20"/>
          <w:szCs w:val="20"/>
          <w:color w:val="auto"/>
        </w:rPr>
        <w:tab/>
      </w:r>
      <w:r>
        <w:rPr>
          <w:rFonts w:ascii="Times New Roman" w:cs="Times New Roman" w:eastAsia="Times New Roman" w:hAnsi="Times New Roman"/>
          <w:sz w:val="16"/>
          <w:szCs w:val="16"/>
          <w:color w:val="auto"/>
        </w:rPr>
        <w:t>Direct: 616 / 336-6903</w:t>
      </w:r>
    </w:p>
    <w:p>
      <w:pPr>
        <w:spacing w:after="0" w:line="8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color w:val="auto"/>
        </w:rPr>
        <w:t>mgwooldridge@varnumlaw.com</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6, 2015</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Filed Via Edgar</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Ms. Melissa N. Rocha</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2" w:lineRule="exact"/>
        <w:rPr>
          <w:sz w:val="24"/>
          <w:szCs w:val="24"/>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b w:val="1"/>
          <w:bCs w:val="1"/>
          <w:color w:val="auto"/>
        </w:rPr>
        <w:t>Universal Forest Products, Inc.</w:t>
      </w:r>
    </w:p>
    <w:p>
      <w:pPr>
        <w:spacing w:after="0" w:line="3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Filed February 25, 2015</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File No. 0-22684</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Rocha:</w:t>
      </w:r>
    </w:p>
    <w:p>
      <w:pPr>
        <w:spacing w:after="0" w:line="220"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On behalf of Universal Forest Products, Inc., a Michigan corporation (the "Company"), we are responding to your most recent letter dated September 4, 2015, with respect to the above-referenced filing. The comments from your September 4, 2015, letter are set forth in bold font below and are followed by our response.</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10-Q for the period ended June 27, 2015</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 Segment Reporting, page 11</w:t>
      </w:r>
    </w:p>
    <w:p>
      <w:pPr>
        <w:spacing w:after="0" w:line="220" w:lineRule="exact"/>
        <w:rPr>
          <w:sz w:val="24"/>
          <w:szCs w:val="24"/>
          <w:color w:val="auto"/>
        </w:rPr>
      </w:pPr>
    </w:p>
    <w:p>
      <w:pPr>
        <w:jc w:val="both"/>
        <w:ind w:left="1300" w:hanging="644"/>
        <w:spacing w:after="0" w:line="254" w:lineRule="auto"/>
        <w:tabs>
          <w:tab w:leader="none" w:pos="13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have read your response to comment 1 in our letter dated August 4, 2015. Please consider providing clarifying information included in your response in your future disclosures. We note, for example, the penultimate paragraph of your response appears to contain relevant and pertinent information necessary for an enhanced understanding of the change in management/ organization structure.</w:t>
      </w:r>
    </w:p>
    <w:p>
      <w:pPr>
        <w:spacing w:after="0" w:line="176" w:lineRule="exact"/>
        <w:rPr>
          <w:sz w:val="24"/>
          <w:szCs w:val="24"/>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22"/>
          <w:szCs w:val="22"/>
          <w:color w:val="auto"/>
        </w:rPr>
        <w:t>The Company will include, in future filings, information relevant to the manner in which the Company's reportable segments are identified as well as information that clarifies the most recent changes to its operating and reportable segments.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Attached to this letter is the Company's signed Acknowledgement to the above statements.</w:t>
      </w:r>
    </w:p>
    <w:p>
      <w:pPr>
        <w:spacing w:after="0" w:line="220" w:lineRule="exact"/>
        <w:rPr>
          <w:sz w:val="24"/>
          <w:szCs w:val="24"/>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We hope that we have sufficiently responded to your comments. If you have additional questions or comments, please contact me directly.</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VARNUM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11430</wp:posOffset>
            </wp:positionV>
            <wp:extent cx="267589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Michael G. Wooldridge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MGW/jmn</w:t>
      </w:r>
    </w:p>
    <w:p>
      <w:pPr>
        <w:sectPr>
          <w:pgSz w:w="11900" w:h="16877" w:orient="portrait"/>
          <w:cols w:equalWidth="0" w:num="1">
            <w:col w:w="11420"/>
          </w:cols>
          <w:pgMar w:left="240" w:top="1206" w:right="239" w:bottom="0" w:gutter="0" w:footer="0" w:header="0"/>
        </w:sectPr>
      </w:pPr>
    </w:p>
    <w:bookmarkStart w:id="1" w:name="page2"/>
    <w:bookmarkEnd w:id="1"/>
    <w:p>
      <w:pPr>
        <w:spacing w:after="0"/>
        <w:tabs>
          <w:tab w:leader="none" w:pos="460" w:val="left"/>
        </w:tabs>
        <w:rPr>
          <w:sz w:val="20"/>
          <w:szCs w:val="20"/>
          <w:color w:val="auto"/>
        </w:rPr>
      </w:pPr>
      <w:r>
        <w:rPr>
          <w:rFonts w:ascii="Times New Roman" w:cs="Times New Roman" w:eastAsia="Times New Roman" w:hAnsi="Times New Roman"/>
          <w:sz w:val="22"/>
          <w:szCs w:val="22"/>
          <w:color w:val="auto"/>
        </w:rPr>
        <w:t>cc:</w:t>
      </w:r>
      <w:r>
        <w:rPr>
          <w:sz w:val="20"/>
          <w:szCs w:val="20"/>
          <w:color w:val="auto"/>
        </w:rPr>
        <w:tab/>
      </w:r>
      <w:r>
        <w:rPr>
          <w:rFonts w:ascii="Times New Roman" w:cs="Times New Roman" w:eastAsia="Times New Roman" w:hAnsi="Times New Roman"/>
          <w:sz w:val="21"/>
          <w:szCs w:val="21"/>
          <w:color w:val="auto"/>
        </w:rPr>
        <w:t>Mr. Michael Cole, Chief Financial Officer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9817438_1</w:t>
      </w:r>
    </w:p>
    <w:p>
      <w:pPr>
        <w:spacing w:after="0" w:line="228"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4"/>
          <w:szCs w:val="14"/>
          <w:color w:val="auto"/>
        </w:rPr>
        <w:t>Grand Haven w Grand Rapids w Kalamazoo w Lansing w Metro Detroit</w:t>
      </w:r>
    </w:p>
    <w:p>
      <w:pPr>
        <w:sectPr>
          <w:pgSz w:w="11900" w:h="16838" w:orient="portrait"/>
          <w:cols w:equalWidth="0" w:num="1">
            <w:col w:w="10219"/>
          </w:cols>
          <w:pgMar w:left="240" w:top="12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Ms. Melissa N. Rocha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2015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acknowledge the following:</w:t>
      </w:r>
    </w:p>
    <w:p>
      <w:pPr>
        <w:spacing w:after="0" w:line="260"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responsible for the adequacy and accuracy of the disclosure in its filings;</w:t>
      </w:r>
    </w:p>
    <w:p>
      <w:pPr>
        <w:spacing w:after="0" w:line="260" w:lineRule="exact"/>
        <w:rPr>
          <w:rFonts w:ascii="Times New Roman" w:cs="Times New Roman" w:eastAsia="Times New Roman" w:hAnsi="Times New Roman"/>
          <w:sz w:val="22"/>
          <w:szCs w:val="22"/>
          <w:color w:val="auto"/>
        </w:rPr>
      </w:pPr>
    </w:p>
    <w:p>
      <w:pPr>
        <w:ind w:left="340" w:hanging="332"/>
        <w:spacing w:after="0" w:line="271" w:lineRule="auto"/>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Staff comments or changes to disclosure in response to SEC Staff comments in the Company's filings reviewed by the SEC Staff do not foreclose the SEC from taking any action with respect to the Company's filings; and</w:t>
      </w:r>
    </w:p>
    <w:p>
      <w:pPr>
        <w:spacing w:after="0" w:line="198" w:lineRule="exact"/>
        <w:rPr>
          <w:rFonts w:ascii="Times New Roman" w:cs="Times New Roman" w:eastAsia="Times New Roman" w:hAnsi="Times New Roman"/>
          <w:sz w:val="22"/>
          <w:szCs w:val="22"/>
          <w:color w:val="auto"/>
        </w:rPr>
      </w:pPr>
    </w:p>
    <w:p>
      <w:pPr>
        <w:ind w:left="340" w:right="20" w:hanging="332"/>
        <w:spacing w:after="0" w:line="271" w:lineRule="auto"/>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not assert SEC staff comments as a defense in any proceeding initiated by the SEC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October 6, 2015</w:t>
      </w:r>
      <w:r>
        <w:rPr>
          <w:sz w:val="20"/>
          <w:szCs w:val="20"/>
          <w:color w:val="auto"/>
        </w:rPr>
        <w:tab/>
      </w:r>
      <w:r>
        <w:rPr>
          <w:rFonts w:ascii="Times New Roman" w:cs="Times New Roman" w:eastAsia="Times New Roman" w:hAnsi="Times New Roman"/>
          <w:sz w:val="21"/>
          <w:szCs w:val="21"/>
          <w:color w:val="auto"/>
        </w:rPr>
        <w:t>/s/ Michael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28575</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b w:val="1"/>
          <w:bCs w:val="1"/>
          <w:color w:val="auto"/>
        </w:rPr>
        <w:t>Michael Cole, Chief Financial Officer,</w:t>
      </w:r>
    </w:p>
    <w:p>
      <w:pPr>
        <w:spacing w:after="0" w:line="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b w:val="1"/>
          <w:bCs w:val="1"/>
          <w:color w:val="auto"/>
        </w:rPr>
        <w:t>Universal Forest Products, Inc.</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2019-12-06T10:04:04Z</dcterms:created>
  <dcterms:modified xsi:type="dcterms:W3CDTF">2019-12-06T10:04:04Z</dcterms:modified>
</cp:coreProperties>
</file>