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4"/>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54875" cy="102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10287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4"/>
        <w:spacing w:after="0"/>
        <w:rPr>
          <w:sz w:val="20"/>
          <w:szCs w:val="20"/>
          <w:color w:val="auto"/>
        </w:rPr>
      </w:pPr>
      <w:r>
        <w:rPr>
          <w:rFonts w:ascii="Arial" w:cs="Arial" w:eastAsia="Arial" w:hAnsi="Arial"/>
          <w:sz w:val="22"/>
          <w:szCs w:val="22"/>
          <w:color w:val="auto"/>
        </w:rPr>
        <w:t>Washington, D.C. 20549</w:t>
      </w:r>
    </w:p>
    <w:p>
      <w:pPr>
        <w:spacing w:after="0" w:line="184" w:lineRule="exact"/>
        <w:rPr>
          <w:sz w:val="24"/>
          <w:szCs w:val="24"/>
          <w:color w:val="auto"/>
        </w:rPr>
      </w:pPr>
    </w:p>
    <w:p>
      <w:pPr>
        <w:ind w:left="4805"/>
        <w:spacing w:after="0"/>
        <w:rPr>
          <w:sz w:val="20"/>
          <w:szCs w:val="20"/>
          <w:color w:val="auto"/>
        </w:rPr>
      </w:pPr>
      <w:r>
        <w:rPr>
          <w:rFonts w:ascii="Arial" w:cs="Arial" w:eastAsia="Arial" w:hAnsi="Arial"/>
          <w:sz w:val="32"/>
          <w:szCs w:val="32"/>
          <w:b w:val="1"/>
          <w:bCs w:val="1"/>
          <w:color w:val="auto"/>
        </w:rPr>
        <w:t>FORM 11-K</w:t>
      </w:r>
    </w:p>
    <w:p>
      <w:pPr>
        <w:spacing w:after="0" w:line="200" w:lineRule="exact"/>
        <w:rPr>
          <w:sz w:val="24"/>
          <w:szCs w:val="24"/>
          <w:color w:val="auto"/>
        </w:rPr>
      </w:pPr>
    </w:p>
    <w:p>
      <w:pPr>
        <w:spacing w:after="0" w:line="202" w:lineRule="exact"/>
        <w:rPr>
          <w:sz w:val="24"/>
          <w:szCs w:val="24"/>
          <w:color w:val="auto"/>
        </w:rPr>
      </w:pPr>
    </w:p>
    <w:p>
      <w:pPr>
        <w:ind w:left="4065" w:right="320" w:hanging="4065"/>
        <w:spacing w:after="0" w:line="516" w:lineRule="auto"/>
        <w:tabs>
          <w:tab w:leader="none" w:pos="35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15(d) OF THE SECURITIES EXCHANGE ACT OF 1934 [NO FEE REQUIRED]. For the fiscal year ended December 31, 2015</w:t>
      </w:r>
    </w:p>
    <w:p>
      <w:pPr>
        <w:spacing w:after="0" w:line="1" w:lineRule="exact"/>
        <w:rPr>
          <w:rFonts w:ascii="MS PGothic" w:cs="MS PGothic" w:eastAsia="MS PGothic" w:hAnsi="MS PGothic"/>
          <w:sz w:val="18"/>
          <w:szCs w:val="18"/>
          <w:color w:val="auto"/>
        </w:rPr>
      </w:pPr>
    </w:p>
    <w:p>
      <w:pPr>
        <w:ind w:left="5545"/>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387" w:lineRule="exact"/>
        <w:rPr>
          <w:sz w:val="24"/>
          <w:szCs w:val="24"/>
          <w:color w:val="auto"/>
        </w:rPr>
      </w:pPr>
    </w:p>
    <w:p>
      <w:pPr>
        <w:ind w:left="-35" w:firstLine="35"/>
        <w:spacing w:after="0" w:line="514" w:lineRule="auto"/>
        <w:tabs>
          <w:tab w:leader="none" w:pos="343"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15(d) OF THE SECURITIES EXCHANGE ACT OF 1934 [NO FEE REQUIRED]. Commission file number: 0-22684</w:t>
      </w:r>
    </w:p>
    <w:p>
      <w:pPr>
        <w:spacing w:after="0" w:line="1" w:lineRule="exact"/>
        <w:rPr>
          <w:sz w:val="24"/>
          <w:szCs w:val="24"/>
          <w:color w:val="auto"/>
        </w:rPr>
      </w:pPr>
    </w:p>
    <w:p>
      <w:pPr>
        <w:jc w:val="center"/>
        <w:ind w:right="-1044"/>
        <w:spacing w:after="0"/>
        <w:rPr>
          <w:sz w:val="20"/>
          <w:szCs w:val="20"/>
          <w:color w:val="auto"/>
        </w:rPr>
      </w:pPr>
      <w:r>
        <w:rPr>
          <w:rFonts w:ascii="Arial" w:cs="Arial" w:eastAsia="Arial" w:hAnsi="Arial"/>
          <w:sz w:val="18"/>
          <w:szCs w:val="18"/>
          <w:b w:val="1"/>
          <w:bCs w:val="1"/>
          <w:color w:val="auto"/>
        </w:rPr>
        <w:t>Shawnlee Construction LLC 401(k) Plan</w:t>
      </w:r>
    </w:p>
    <w:p>
      <w:pPr>
        <w:spacing w:after="0" w:line="27" w:lineRule="exact"/>
        <w:rPr>
          <w:sz w:val="24"/>
          <w:szCs w:val="24"/>
          <w:color w:val="auto"/>
        </w:rPr>
      </w:pPr>
    </w:p>
    <w:p>
      <w:pPr>
        <w:jc w:val="center"/>
        <w:ind w:right="-1044"/>
        <w:spacing w:after="0"/>
        <w:rPr>
          <w:sz w:val="20"/>
          <w:szCs w:val="20"/>
          <w:color w:val="auto"/>
        </w:rPr>
      </w:pPr>
      <w:r>
        <w:rPr>
          <w:rFonts w:ascii="Arial" w:cs="Arial" w:eastAsia="Arial" w:hAnsi="Arial"/>
          <w:sz w:val="18"/>
          <w:szCs w:val="18"/>
          <w:b w:val="1"/>
          <w:bCs w:val="1"/>
          <w:color w:val="auto"/>
        </w:rPr>
        <w:t>74A Taunton Street</w:t>
      </w:r>
    </w:p>
    <w:p>
      <w:pPr>
        <w:spacing w:after="0" w:line="9" w:lineRule="exact"/>
        <w:rPr>
          <w:sz w:val="24"/>
          <w:szCs w:val="24"/>
          <w:color w:val="auto"/>
        </w:rPr>
      </w:pPr>
    </w:p>
    <w:p>
      <w:pPr>
        <w:jc w:val="center"/>
        <w:ind w:right="-1044"/>
        <w:spacing w:after="0"/>
        <w:rPr>
          <w:sz w:val="20"/>
          <w:szCs w:val="20"/>
          <w:color w:val="auto"/>
        </w:rPr>
      </w:pPr>
      <w:r>
        <w:rPr>
          <w:rFonts w:ascii="Arial" w:cs="Arial" w:eastAsia="Arial" w:hAnsi="Arial"/>
          <w:sz w:val="18"/>
          <w:szCs w:val="18"/>
          <w:b w:val="1"/>
          <w:bCs w:val="1"/>
          <w:color w:val="auto"/>
        </w:rPr>
        <w:t>Plainville, MA 02762</w:t>
      </w:r>
    </w:p>
    <w:p>
      <w:pPr>
        <w:spacing w:after="0" w:line="211" w:lineRule="exact"/>
        <w:rPr>
          <w:sz w:val="24"/>
          <w:szCs w:val="24"/>
          <w:color w:val="auto"/>
        </w:rPr>
      </w:pPr>
    </w:p>
    <w:p>
      <w:pPr>
        <w:jc w:val="center"/>
        <w:ind w:right="-1044"/>
        <w:spacing w:after="0"/>
        <w:rPr>
          <w:sz w:val="20"/>
          <w:szCs w:val="20"/>
          <w:color w:val="auto"/>
        </w:rPr>
      </w:pPr>
      <w:r>
        <w:rPr>
          <w:rFonts w:ascii="Arial" w:cs="Arial" w:eastAsia="Arial" w:hAnsi="Arial"/>
          <w:sz w:val="18"/>
          <w:szCs w:val="18"/>
          <w:color w:val="auto"/>
        </w:rPr>
        <w:t>(Full title of the plan and the address of the plan, if different from that of issuer named below)</w:t>
      </w:r>
    </w:p>
    <w:p>
      <w:pPr>
        <w:spacing w:after="0" w:line="210" w:lineRule="exact"/>
        <w:rPr>
          <w:sz w:val="24"/>
          <w:szCs w:val="24"/>
          <w:color w:val="auto"/>
        </w:rPr>
      </w:pPr>
    </w:p>
    <w:p>
      <w:pPr>
        <w:jc w:val="center"/>
        <w:ind w:right="-1044"/>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jc w:val="center"/>
        <w:ind w:right="-1044"/>
        <w:spacing w:after="0"/>
        <w:rPr>
          <w:sz w:val="20"/>
          <w:szCs w:val="20"/>
          <w:color w:val="auto"/>
        </w:rPr>
      </w:pPr>
      <w:r>
        <w:rPr>
          <w:rFonts w:ascii="Arial" w:cs="Arial" w:eastAsia="Arial" w:hAnsi="Arial"/>
          <w:sz w:val="18"/>
          <w:szCs w:val="18"/>
          <w:b w:val="1"/>
          <w:bCs w:val="1"/>
          <w:color w:val="auto"/>
        </w:rPr>
        <w:t>2801 East Beltline NE</w:t>
      </w:r>
    </w:p>
    <w:p>
      <w:pPr>
        <w:spacing w:after="0" w:line="7" w:lineRule="exact"/>
        <w:rPr>
          <w:sz w:val="24"/>
          <w:szCs w:val="24"/>
          <w:color w:val="auto"/>
        </w:rPr>
      </w:pPr>
    </w:p>
    <w:p>
      <w:pPr>
        <w:jc w:val="center"/>
        <w:ind w:right="-1044"/>
        <w:spacing w:after="0"/>
        <w:rPr>
          <w:sz w:val="20"/>
          <w:szCs w:val="20"/>
          <w:color w:val="auto"/>
        </w:rPr>
      </w:pPr>
      <w:r>
        <w:rPr>
          <w:rFonts w:ascii="Arial" w:cs="Arial" w:eastAsia="Arial" w:hAnsi="Arial"/>
          <w:sz w:val="18"/>
          <w:szCs w:val="18"/>
          <w:b w:val="1"/>
          <w:bCs w:val="1"/>
          <w:color w:val="auto"/>
        </w:rPr>
        <w:t>Grand Rapids, Michigan 49525-9736</w:t>
      </w:r>
    </w:p>
    <w:p>
      <w:pPr>
        <w:spacing w:after="0" w:line="9" w:lineRule="exact"/>
        <w:rPr>
          <w:sz w:val="24"/>
          <w:szCs w:val="24"/>
          <w:color w:val="auto"/>
        </w:rPr>
      </w:pPr>
    </w:p>
    <w:p>
      <w:pPr>
        <w:jc w:val="center"/>
        <w:ind w:right="-1044"/>
        <w:spacing w:after="0"/>
        <w:rPr>
          <w:sz w:val="20"/>
          <w:szCs w:val="20"/>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228600</wp:posOffset>
            </wp:positionV>
            <wp:extent cx="7254875" cy="102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02870"/>
                    </a:xfrm>
                    <a:prstGeom prst="rect">
                      <a:avLst/>
                    </a:prstGeom>
                    <a:noFill/>
                  </pic:spPr>
                </pic:pic>
              </a:graphicData>
            </a:graphic>
          </wp:anchor>
        </w:drawing>
      </w:r>
    </w:p>
    <w:p>
      <w:pPr>
        <w:sectPr>
          <w:pgSz w:w="11900" w:h="16838" w:orient="portrait"/>
          <w:cols w:equalWidth="0" w:num="1">
            <w:col w:w="10325"/>
          </w:cols>
          <w:pgMar w:left="275" w:top="1068" w:right="12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Shawnlee Construction LLC 401(k)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Statements and Supplemental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2015 and 2014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gridSpan w:val="7"/>
            <w:shd w:val="clear" w:color="auto" w:fill="CCEEFF"/>
          </w:tcPr>
          <w:p>
            <w:pPr>
              <w:ind w:left="40"/>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2140" w:type="dxa"/>
            <w:vAlign w:val="bottom"/>
            <w:tcBorders>
              <w:top w:val="single" w:sz="8" w:color="0000EE"/>
            </w:tcBorders>
          </w:tcPr>
          <w:p>
            <w:pPr>
              <w:spacing w:after="0"/>
              <w:rPr>
                <w:sz w:val="23"/>
                <w:szCs w:val="23"/>
                <w:color w:val="auto"/>
              </w:rPr>
            </w:pPr>
          </w:p>
        </w:tc>
        <w:tc>
          <w:tcPr>
            <w:tcW w:w="1300" w:type="dxa"/>
            <w:vAlign w:val="bottom"/>
            <w:tcBorders>
              <w:top w:val="single" w:sz="8" w:color="0000EE"/>
            </w:tcBorders>
          </w:tcPr>
          <w:p>
            <w:pPr>
              <w:spacing w:after="0"/>
              <w:rPr>
                <w:sz w:val="23"/>
                <w:szCs w:val="23"/>
                <w:color w:val="auto"/>
              </w:rPr>
            </w:pPr>
          </w:p>
        </w:tc>
        <w:tc>
          <w:tcPr>
            <w:tcW w:w="7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6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Financial Statements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3"/>
        </w:trPr>
        <w:tc>
          <w:tcPr>
            <w:tcW w:w="1122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0000EE"/>
            </w:tcBorders>
            <w:shd w:val="clear" w:color="auto" w:fill="CCEEFF"/>
          </w:tcPr>
          <w:p>
            <w:pPr>
              <w:spacing w:after="0"/>
              <w:rPr>
                <w:sz w:val="4"/>
                <w:szCs w:val="4"/>
                <w:color w:val="auto"/>
              </w:rPr>
            </w:pPr>
          </w:p>
        </w:tc>
        <w:tc>
          <w:tcPr>
            <w:tcW w:w="130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6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20" w:type="dxa"/>
            <w:vAlign w:val="bottom"/>
            <w:gridSpan w:val="7"/>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Statements of Changes in Net Assets Available for Benefits</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8"/>
        </w:trPr>
        <w:tc>
          <w:tcPr>
            <w:tcW w:w="40" w:type="dxa"/>
            <w:vAlign w:val="bottom"/>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130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6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2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70"/>
        </w:trPr>
        <w:tc>
          <w:tcPr>
            <w:tcW w:w="40" w:type="dxa"/>
            <w:vAlign w:val="bottom"/>
            <w:tcBorders>
              <w:top w:val="single" w:sz="8" w:color="CCEEFF"/>
            </w:tcBorders>
          </w:tcPr>
          <w:p>
            <w:pPr>
              <w:spacing w:after="0"/>
              <w:rPr>
                <w:sz w:val="23"/>
                <w:szCs w:val="23"/>
                <w:color w:val="auto"/>
              </w:rPr>
            </w:pPr>
          </w:p>
        </w:tc>
        <w:tc>
          <w:tcPr>
            <w:tcW w:w="2140" w:type="dxa"/>
            <w:vAlign w:val="bottom"/>
            <w:tcBorders>
              <w:top w:val="single" w:sz="8" w:color="0000EE"/>
            </w:tcBorders>
          </w:tcPr>
          <w:p>
            <w:pPr>
              <w:spacing w:after="0"/>
              <w:rPr>
                <w:sz w:val="23"/>
                <w:szCs w:val="23"/>
                <w:color w:val="auto"/>
              </w:rPr>
            </w:pPr>
          </w:p>
        </w:tc>
        <w:tc>
          <w:tcPr>
            <w:tcW w:w="130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6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Supplemental Schedule</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3"/>
        </w:trPr>
        <w:tc>
          <w:tcPr>
            <w:tcW w:w="1122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Schedule H, Line 4i—Schedule of Assets (Held at End of Year)</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0000EE"/>
            </w:tcBorders>
            <w:shd w:val="clear" w:color="auto" w:fill="CCEEFF"/>
          </w:tcPr>
          <w:p>
            <w:pPr>
              <w:spacing w:after="0"/>
              <w:rPr>
                <w:sz w:val="4"/>
                <w:szCs w:val="4"/>
                <w:color w:val="auto"/>
              </w:rPr>
            </w:pPr>
          </w:p>
        </w:tc>
        <w:tc>
          <w:tcPr>
            <w:tcW w:w="130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66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368" w:right="23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To the Plan Administrator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Shawnlee Construction LLC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Plainville, Massachusetts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Shawnlee Construction LLC 401(k) Plan (the “Plan”) as of December 31, 2015 and 2014,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2015 and 2014, and the changes in net assets available for benefits for the years then ended, in conformity with accounting principles generally accepted in the United States of America.</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supplemental Schedule of Assets (Held at End of Year) as of December 31, 2015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conformity with the Department of Labor’s Rules and Regulations for Reporting and Disclosure under the Employee Retirement Income Security Act of 1974. In our opinion, the supplemental schedule is fairly stated, in all material respects, in relation to the financial statements as a whole.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22,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5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5820" w:type="dxa"/>
            <w:vAlign w:val="bottom"/>
            <w:gridSpan w:val="2"/>
          </w:tcPr>
          <w:p>
            <w:pPr>
              <w:jc w:val="right"/>
              <w:ind w:right="1810"/>
              <w:spacing w:after="0"/>
              <w:rPr>
                <w:sz w:val="20"/>
                <w:szCs w:val="20"/>
                <w:color w:val="auto"/>
              </w:rPr>
            </w:pPr>
            <w:r>
              <w:rPr>
                <w:rFonts w:ascii="Arial" w:cs="Arial" w:eastAsia="Arial" w:hAnsi="Arial"/>
                <w:sz w:val="18"/>
                <w:szCs w:val="18"/>
                <w:color w:val="auto"/>
              </w:rPr>
              <w:t>Shawnlee Construction LLC 401(k) Plan</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20" w:type="dxa"/>
            <w:vAlign w:val="bottom"/>
            <w:gridSpan w:val="2"/>
          </w:tcPr>
          <w:p>
            <w:pPr>
              <w:jc w:val="right"/>
              <w:ind w:right="1550"/>
              <w:spacing w:after="0"/>
              <w:rPr>
                <w:sz w:val="20"/>
                <w:szCs w:val="20"/>
                <w:color w:val="auto"/>
              </w:rPr>
            </w:pPr>
            <w:r>
              <w:rPr>
                <w:rFonts w:ascii="Arial" w:cs="Arial" w:eastAsia="Arial" w:hAnsi="Arial"/>
                <w:sz w:val="18"/>
                <w:szCs w:val="18"/>
                <w:color w:val="auto"/>
              </w:rPr>
              <w:t>Statements of Net Assets Available for Benefits</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4"/>
        </w:trPr>
        <w:tc>
          <w:tcPr>
            <w:tcW w:w="32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5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60" w:type="dxa"/>
            <w:vAlign w:val="bottom"/>
            <w:gridSpan w:val="2"/>
            <w:vMerge w:val="continue"/>
          </w:tcPr>
          <w:p>
            <w:pPr>
              <w:spacing w:after="0"/>
              <w:rPr>
                <w:sz w:val="19"/>
                <w:szCs w:val="19"/>
                <w:color w:val="auto"/>
              </w:rPr>
            </w:pPr>
          </w:p>
        </w:tc>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Investments, at fair value</w:t>
            </w:r>
          </w:p>
        </w:tc>
        <w:tc>
          <w:tcPr>
            <w:tcW w:w="58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7,770,116</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7,394,292</w:t>
            </w:r>
          </w:p>
        </w:tc>
        <w:tc>
          <w:tcPr>
            <w:tcW w:w="0" w:type="dxa"/>
            <w:vAlign w:val="bottom"/>
          </w:tcPr>
          <w:p>
            <w:pPr>
              <w:spacing w:after="0"/>
              <w:rPr>
                <w:sz w:val="1"/>
                <w:szCs w:val="1"/>
                <w:color w:val="auto"/>
              </w:rPr>
            </w:pP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Notes receivable from participants</w:t>
            </w:r>
          </w:p>
        </w:tc>
        <w:tc>
          <w:tcPr>
            <w:tcW w:w="5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262,248</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303,625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Employer contribution receivable</w:t>
            </w:r>
          </w:p>
        </w:tc>
        <w:tc>
          <w:tcPr>
            <w:tcW w:w="55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17,450</w:t>
            </w:r>
          </w:p>
        </w:tc>
        <w:tc>
          <w:tcPr>
            <w:tcW w:w="3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13,317</w:t>
            </w:r>
          </w:p>
        </w:tc>
        <w:tc>
          <w:tcPr>
            <w:tcW w:w="0" w:type="dxa"/>
            <w:vAlign w:val="bottom"/>
          </w:tcPr>
          <w:p>
            <w:pPr>
              <w:spacing w:after="0"/>
              <w:rPr>
                <w:sz w:val="1"/>
                <w:szCs w:val="1"/>
                <w:color w:val="auto"/>
              </w:rPr>
            </w:pPr>
          </w:p>
        </w:tc>
      </w:tr>
      <w:tr>
        <w:trPr>
          <w:trHeight w:val="243"/>
        </w:trPr>
        <w:tc>
          <w:tcPr>
            <w:tcW w:w="326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Net assets available for benefits</w:t>
            </w:r>
          </w:p>
        </w:tc>
        <w:tc>
          <w:tcPr>
            <w:tcW w:w="554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8,049,814</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7,711,234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80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7520" w:type="dxa"/>
            <w:vAlign w:val="bottom"/>
          </w:tcPr>
          <w:p>
            <w:pPr>
              <w:jc w:val="center"/>
              <w:ind w:left="1250"/>
              <w:spacing w:after="0"/>
              <w:rPr>
                <w:sz w:val="20"/>
                <w:szCs w:val="20"/>
                <w:color w:val="auto"/>
              </w:rPr>
            </w:pPr>
            <w:r>
              <w:rPr>
                <w:rFonts w:ascii="Arial" w:cs="Arial" w:eastAsia="Arial" w:hAnsi="Arial"/>
                <w:sz w:val="18"/>
                <w:szCs w:val="18"/>
                <w:color w:val="auto"/>
                <w:w w:val="91"/>
              </w:rPr>
              <w:t>Shawnlee Construction LLC 401(k) Plan</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7520" w:type="dxa"/>
            <w:vAlign w:val="bottom"/>
          </w:tcPr>
          <w:p>
            <w:pPr>
              <w:jc w:val="center"/>
              <w:ind w:left="1270"/>
              <w:spacing w:after="0"/>
              <w:rPr>
                <w:sz w:val="20"/>
                <w:szCs w:val="20"/>
                <w:color w:val="auto"/>
              </w:rPr>
            </w:pPr>
            <w:r>
              <w:rPr>
                <w:rFonts w:ascii="Arial" w:cs="Arial" w:eastAsia="Arial" w:hAnsi="Arial"/>
                <w:sz w:val="18"/>
                <w:szCs w:val="18"/>
                <w:color w:val="auto"/>
                <w:w w:val="90"/>
              </w:rPr>
              <w:t>Statements of Changes in Net Assets Available for Benefits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2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w w:val="92"/>
              </w:rPr>
              <w:t>Years Ended December 31</w:t>
            </w: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7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4"/>
        </w:trPr>
        <w:tc>
          <w:tcPr>
            <w:tcW w:w="88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Additions</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Investment income:</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 and interest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108,282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93,846</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Net appreciation in fair value of common stocks</w:t>
            </w: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182,193</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16,059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appreciation in fair value of common collective trust funds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2,260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Net (depreciation) appreciation in fair value of mutual funds</w:t>
            </w: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(138,473)</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216,235</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154,262</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327,997</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Participant contributions</w:t>
            </w: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450,448</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466,367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Employer contributions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95,660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98,342</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Interest from notes receivable from participants</w:t>
            </w: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13,021</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17,872</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Additions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713,391</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910,578</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Deductions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Distributions to participants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(326,673)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(761,413)</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Administrative expenses</w:t>
            </w: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(26,212)</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(23,825)</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Deductions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(352,885)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(785,238)</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Net increase</w:t>
            </w: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360,506</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125,340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Transfers out (Note 3)</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(21,926)</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(35,768)</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Net assets available for benefits at beginning of year</w:t>
            </w: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7,711,234</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7,621,662</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assets available for benefits at end of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8,049,814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7,711,234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Shawnlee Construction LLC 401(k)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1" w:lineRule="exact"/>
        <w:rPr>
          <w:sz w:val="20"/>
          <w:szCs w:val="20"/>
          <w:color w:val="auto"/>
        </w:rPr>
      </w:pPr>
    </w:p>
    <w:p>
      <w:pPr>
        <w:ind w:right="8540" w:firstLine="8"/>
        <w:spacing w:after="0" w:line="566" w:lineRule="auto"/>
        <w:tabs>
          <w:tab w:leader="none" w:pos="48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Recent Accounting Pronouncements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2015, the Financial Accounting Standards Board ("FASB") issued Accounting Standards Update 2015-07 “Disclosures for Investments in Certain Entities that Calculate Net Asset Value Per Share (or its Equivalent),” (“ASU 2015-07”). ASU 2015-07 removes the requirement to categorize within the fair value hierarchy investments for which fair values are estimated using the net asset value practical expedient provided by Accounting Standards Codification 820, Fair Value Measurement. Disclosures about investments in certain entities that calculate net asset value per share are limited under ASU 2015-07 to those investments for which the entity has elected to estimate the fair value using the net asset value practical expedient. ASU 2015-07 is effective for fiscal years beginning after December 15, 2015, with early adoption permitted.</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July 2015, the FASB issued Accounting Standards Update 2015-12 “Plan Accounting: Defined Benefit Pension Plans (Topic 960), Defined Contribution Plans (Topic 962), Health and Welfare Benefit Plans (Topic 965)” (“ASU 2015-12”). The amendments in Part I of ASU 2015-12 eliminated the requirements that employee benefit plans measure the fair value of fully benefit-responsive investment contracts and provide the related fair value disclosures, rather these contracts will be measured and disclosed only at contract value. The amendments in Part II of ASU 2015-12 will require plans to disaggregate their investments measured using fair value only by general type, either on the financial statements or in the notes. Part II also eliminated the requirement to disclose the net appreciation/depreciation in fair value of investments by general type and the requirements to disclose individual investments that represent 5% or more of net assets available for benefits. The amendments in Part III of ASU 2015-12 provide a practical expedient to permit plans to measure its investments and investment related accounts as of a month-end date closest to its fiscal year for a plan with a fiscal year end that does not coincide with the end of a calendar month. The amendments in ASU 2015-12 are effective for reporting periods beginning after December 15, 2015, with early adoption permitted. As such, the accounting and disclosures in these financial statements and notes follow ASU 2015-07 and ASU 2015-12.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of the Shawnlee Construction LLC (Plan Sponsor) 401(k) Plan (the Plan) are presented on the accrual method of accounting.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reported amounts. Although actual results could differ from these estimates, management believes estimated amounts recorded are reasonable and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utilizes various investment instruments.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and Income Recognition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Plan’s investments are stated at fair value. Fair value is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Inputs to valuation techniques refer to the assumptions that market participants would use in pricing the asset or liability. The Plan utilizes a fair value hierarchy for valuation inputs that gives the highest priority to quoted prices in active markets for identical assets (Level 1 measurements) and the lowest priority to unobservable inputs (Level 3 measurements). A financial instrument’s level within the fair value hierarchy is based on the lowest level of any input that is significant to the fair value measurement. The following provides a description of the three levels of inputs that may be used to measure fair value: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Shawnlee Construction LLC 401(k)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that are accessible at the measurement date for identical, unrestricted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Significant observable inputs such as quoted prices for similar assets or liabilities in active markets,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inputs other than quoted prices that are observable or can be derived from or corroborated by observable market data by correlation or other means.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Prices or valuations that require inputs that are both significant to the fair value measurement and unobservable.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valuation methodologies were used to measure the fair value of the Plan’s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Valued at quoted market prices in an exchange and active market in which the securities are traded.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Mutual Funds: </w:t>
      </w:r>
      <w:r>
        <w:rPr>
          <w:rFonts w:ascii="Arial" w:cs="Arial" w:eastAsia="Arial" w:hAnsi="Arial"/>
          <w:sz w:val="17"/>
          <w:szCs w:val="17"/>
          <w:color w:val="auto"/>
        </w:rPr>
        <w:t>Valued at quoted market prices in an exchange and active market, which represent the net asset values of shares held by the Plan.</w:t>
      </w:r>
    </w:p>
    <w:p>
      <w:pPr>
        <w:spacing w:after="0" w:line="2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Common Collective Trust Funds: </w:t>
      </w:r>
      <w:r>
        <w:rPr>
          <w:rFonts w:ascii="Arial" w:cs="Arial" w:eastAsia="Arial" w:hAnsi="Arial"/>
          <w:sz w:val="16"/>
          <w:szCs w:val="16"/>
          <w:color w:val="auto"/>
        </w:rPr>
        <w:t>The fair value of participation units held in Union Bond &amp; Trust Company Stable Value Fund, often referred to as "Morley</w:t>
      </w:r>
      <w:r>
        <w:rPr>
          <w:rFonts w:ascii="Arial" w:cs="Arial" w:eastAsia="Arial" w:hAnsi="Arial"/>
          <w:sz w:val="16"/>
          <w:szCs w:val="16"/>
          <w:i w:val="1"/>
          <w:iCs w:val="1"/>
          <w:color w:val="auto"/>
        </w:rPr>
        <w:t xml:space="preserve"> </w:t>
      </w:r>
      <w:r>
        <w:rPr>
          <w:rFonts w:ascii="Arial" w:cs="Arial" w:eastAsia="Arial" w:hAnsi="Arial"/>
          <w:sz w:val="16"/>
          <w:szCs w:val="16"/>
          <w:color w:val="auto"/>
        </w:rPr>
        <w:t>Stable Value Fund", are based on net asset value, which is obtained on audited information reported by the issuer of the common collective trust at year-end.</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investment objective of the Morley Stable Value Fund is to provide preservation of capital, relatively stable returns consistent with its comparatively low risk profile, and liquidity for benefit-responsive payments. Withdrawals from the Fund for benefit payments and participant transfers to noncompeting options are made to plan participants promptly upon request but in all cases within 30 days after written notification has been received. All plan sponsor-directed full or partial withdrawals are subject to a twelve month advance written notice requirement, though the Fund may waive this requirement at its discretion.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Plan’s valuation methods may result in a fair value calculation that may not be indicative of net realizable value or reflective of future fair values. Although Plan management believes the valuation methods are appropriate and consistent with those participating in the market, the use of different methodologies or assumptions to determine the fair value of certain financial instruments could result in a different fair value measurement at the reporting date.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Purchases and sales of securities are recorded on a trade date basis. Interest income is recorded on the accrual basis. Dividends are recorded on the ex-dividend date. Net appreciation includes the Plan’s gains and losses on investments bought or sold as well as held during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Notes receivables from participants are measured at their unpaid principal balance plus any accrued but unpaid interest. Delinquent notes receivable from participants are deemed distributions based upon the terms of the Plan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Shawnlee Construction LLC 401(k)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Administrative expenses incurred in connection with the operations of the Plan are paid via certain investment and transactional fees which are borne by the Plan and applied to applicable participant balances. These fees are disclosed in the annual Fee Disclosure Notice and on individual account statements sent to all Plan participants. Substantially all of these expenses are paid to parties-in-interest of the Plan and are based on reasonable and customary rates for the related services. Certain administrative expenses not reflected in this report are paid directly by the Plan Sponsor.</w:t>
      </w:r>
    </w:p>
    <w:p>
      <w:pPr>
        <w:spacing w:after="0" w:line="167" w:lineRule="exact"/>
        <w:rPr>
          <w:sz w:val="20"/>
          <w:szCs w:val="20"/>
          <w:color w:val="auto"/>
        </w:rPr>
      </w:pPr>
    </w:p>
    <w:p>
      <w:pPr>
        <w:ind w:right="9160" w:firstLine="8"/>
        <w:spacing w:after="0" w:line="503" w:lineRule="auto"/>
        <w:tabs>
          <w:tab w:leader="none" w:pos="48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Plan General</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description of the Plan provides only general information. Participants should refer to the Plan Document and Summary Plan Description, as amended, for a more complete description of the Plan’s provisions.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Plan is a defined-contribution, profit sharing and 401(k) plan that provides tax-deferred benefits for substantially all eligible employees of the Plan Sponsor. The Plan is subject to the provisions of the Employee Retirement Security Act of 1974 (ERISA).</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Eligible employees are those who are 18 years or older and have completed six months of employment. All newly eligible employees are automatically enrolled in the Plan at a deferral level of 3% of eligible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Participants may voluntarily contribute up to 75% of their eligible compensation as a 401(k) contribution subject to certain regulatory limitations. Participant contributions to the Plan vest immediately.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Plan Sponsor contributes a regular discretionary matching contribution. The regular matching contribution is made quarterly and was 25% of participant deferrals in 2015 and 2014, on the first 8% of each participant’s compensation.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Plan Sponsor may also contribute a discretionary, non-elective contribution annually as determined and approved by management. No discretionary profit sharing contributions were made in 2015 or 2014.</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Plan Sponsor may make Employer Davis-Bacon Contributions for any participant who is a Non-Highly Compensated Employee and who performed service in Davis-Bacon covered work during the calendar year. Davis-Bacon contributions vest immediately.</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Certain participants whose services are covered by the federal, state, or municipal prevailing wage law or Davis-Bacon Act, as amended, may receive employer prevailing wage law contributions. No Davis-Bacon Act contributions were made for the years ended December 31,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Shawnlee Construction LLC 401(k)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Employer contributions, with the exception of Davis-Bacon contributions, which are immediately 100% vested, are subject to a vesting schedule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ind w:left="3960"/>
              <w:spacing w:after="0"/>
              <w:rPr>
                <w:sz w:val="20"/>
                <w:szCs w:val="20"/>
                <w:color w:val="auto"/>
              </w:rPr>
            </w:pPr>
            <w:r>
              <w:rPr>
                <w:rFonts w:ascii="Arial" w:cs="Arial" w:eastAsia="Arial" w:hAnsi="Arial"/>
                <w:sz w:val="18"/>
                <w:szCs w:val="18"/>
                <w:b w:val="1"/>
                <w:bCs w:val="1"/>
                <w:color w:val="auto"/>
              </w:rPr>
              <w:t>Years of Service</w:t>
            </w:r>
          </w:p>
        </w:tc>
        <w:tc>
          <w:tcPr>
            <w:tcW w:w="4060" w:type="dxa"/>
            <w:vAlign w:val="bottom"/>
          </w:tcPr>
          <w:p>
            <w:pPr>
              <w:ind w:left="2200"/>
              <w:spacing w:after="0"/>
              <w:rPr>
                <w:sz w:val="20"/>
                <w:szCs w:val="20"/>
                <w:color w:val="auto"/>
              </w:rPr>
            </w:pPr>
            <w:r>
              <w:rPr>
                <w:rFonts w:ascii="Arial" w:cs="Arial" w:eastAsia="Arial" w:hAnsi="Arial"/>
                <w:sz w:val="18"/>
                <w:szCs w:val="18"/>
                <w:b w:val="1"/>
                <w:bCs w:val="1"/>
                <w:color w:val="auto"/>
              </w:rPr>
              <w:t>Vesting Percentage</w:t>
            </w:r>
          </w:p>
        </w:tc>
      </w:tr>
      <w:tr>
        <w:trPr>
          <w:trHeight w:val="34"/>
        </w:trPr>
        <w:tc>
          <w:tcPr>
            <w:tcW w:w="736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70"/>
        </w:trPr>
        <w:tc>
          <w:tcPr>
            <w:tcW w:w="7360" w:type="dxa"/>
            <w:vAlign w:val="bottom"/>
          </w:tcPr>
          <w:p>
            <w:pPr>
              <w:spacing w:after="0"/>
              <w:rPr>
                <w:sz w:val="23"/>
                <w:szCs w:val="23"/>
                <w:color w:val="auto"/>
              </w:rPr>
            </w:pPr>
          </w:p>
        </w:tc>
        <w:tc>
          <w:tcPr>
            <w:tcW w:w="4060" w:type="dxa"/>
            <w:vAlign w:val="bottom"/>
          </w:tcPr>
          <w:p>
            <w:pPr>
              <w:spacing w:after="0"/>
              <w:rPr>
                <w:sz w:val="23"/>
                <w:szCs w:val="23"/>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2</w:t>
            </w:r>
          </w:p>
        </w:tc>
        <w:tc>
          <w:tcPr>
            <w:tcW w:w="4060" w:type="dxa"/>
            <w:vAlign w:val="bottom"/>
            <w:tcBorders>
              <w:bottom w:val="single" w:sz="8" w:color="CCEE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2"/>
              </w:rPr>
              <w:t>0%</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2 but less than 3</w:t>
            </w:r>
          </w:p>
        </w:tc>
        <w:tc>
          <w:tcPr>
            <w:tcW w:w="4060" w:type="dxa"/>
            <w:vAlign w:val="bottom"/>
          </w:tcPr>
          <w:p>
            <w:pPr>
              <w:jc w:val="center"/>
              <w:ind w:left="1670"/>
              <w:spacing w:after="0"/>
              <w:rPr>
                <w:sz w:val="20"/>
                <w:szCs w:val="20"/>
                <w:color w:val="auto"/>
              </w:rPr>
            </w:pPr>
            <w:r>
              <w:rPr>
                <w:rFonts w:ascii="Arial" w:cs="Arial" w:eastAsia="Arial" w:hAnsi="Arial"/>
                <w:sz w:val="18"/>
                <w:szCs w:val="18"/>
                <w:color w:val="auto"/>
                <w:w w:val="89"/>
              </w:rPr>
              <w:t>20</w:t>
            </w:r>
          </w:p>
        </w:tc>
      </w:tr>
      <w:tr>
        <w:trPr>
          <w:trHeight w:val="27"/>
        </w:trPr>
        <w:tc>
          <w:tcPr>
            <w:tcW w:w="7360" w:type="dxa"/>
            <w:vAlign w:val="bottom"/>
          </w:tcPr>
          <w:p>
            <w:pPr>
              <w:spacing w:after="0"/>
              <w:rPr>
                <w:sz w:val="2"/>
                <w:szCs w:val="2"/>
                <w:color w:val="auto"/>
              </w:rPr>
            </w:pPr>
          </w:p>
        </w:tc>
        <w:tc>
          <w:tcPr>
            <w:tcW w:w="40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 but less than 4</w:t>
            </w:r>
          </w:p>
        </w:tc>
        <w:tc>
          <w:tcPr>
            <w:tcW w:w="4060" w:type="dxa"/>
            <w:vAlign w:val="bottom"/>
            <w:tcBorders>
              <w:bottom w:val="single" w:sz="8" w:color="CCEEFF"/>
            </w:tcBorders>
            <w:shd w:val="clear" w:color="auto" w:fill="CCEEFF"/>
          </w:tcPr>
          <w:p>
            <w:pPr>
              <w:jc w:val="center"/>
              <w:ind w:left="1670"/>
              <w:spacing w:after="0"/>
              <w:rPr>
                <w:sz w:val="20"/>
                <w:szCs w:val="20"/>
                <w:color w:val="auto"/>
              </w:rPr>
            </w:pPr>
            <w:r>
              <w:rPr>
                <w:rFonts w:ascii="Arial" w:cs="Arial" w:eastAsia="Arial" w:hAnsi="Arial"/>
                <w:sz w:val="18"/>
                <w:szCs w:val="18"/>
                <w:color w:val="auto"/>
                <w:w w:val="89"/>
              </w:rPr>
              <w:t>40</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4 but less than 5</w:t>
            </w:r>
          </w:p>
        </w:tc>
        <w:tc>
          <w:tcPr>
            <w:tcW w:w="4060" w:type="dxa"/>
            <w:vAlign w:val="bottom"/>
          </w:tcPr>
          <w:p>
            <w:pPr>
              <w:jc w:val="center"/>
              <w:ind w:left="1670"/>
              <w:spacing w:after="0"/>
              <w:rPr>
                <w:sz w:val="20"/>
                <w:szCs w:val="20"/>
                <w:color w:val="auto"/>
              </w:rPr>
            </w:pPr>
            <w:r>
              <w:rPr>
                <w:rFonts w:ascii="Arial" w:cs="Arial" w:eastAsia="Arial" w:hAnsi="Arial"/>
                <w:sz w:val="18"/>
                <w:szCs w:val="18"/>
                <w:color w:val="auto"/>
                <w:w w:val="89"/>
              </w:rPr>
              <w:t>60</w:t>
            </w:r>
          </w:p>
        </w:tc>
      </w:tr>
      <w:tr>
        <w:trPr>
          <w:trHeight w:val="27"/>
        </w:trPr>
        <w:tc>
          <w:tcPr>
            <w:tcW w:w="7360" w:type="dxa"/>
            <w:vAlign w:val="bottom"/>
          </w:tcPr>
          <w:p>
            <w:pPr>
              <w:spacing w:after="0"/>
              <w:rPr>
                <w:sz w:val="2"/>
                <w:szCs w:val="2"/>
                <w:color w:val="auto"/>
              </w:rPr>
            </w:pPr>
          </w:p>
        </w:tc>
        <w:tc>
          <w:tcPr>
            <w:tcW w:w="40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 but less than 6</w:t>
            </w:r>
          </w:p>
        </w:tc>
        <w:tc>
          <w:tcPr>
            <w:tcW w:w="4060" w:type="dxa"/>
            <w:vAlign w:val="bottom"/>
            <w:tcBorders>
              <w:bottom w:val="single" w:sz="8" w:color="CCEEFF"/>
            </w:tcBorders>
            <w:shd w:val="clear" w:color="auto" w:fill="CCEEFF"/>
          </w:tcPr>
          <w:p>
            <w:pPr>
              <w:jc w:val="center"/>
              <w:ind w:left="1670"/>
              <w:spacing w:after="0"/>
              <w:rPr>
                <w:sz w:val="20"/>
                <w:szCs w:val="20"/>
                <w:color w:val="auto"/>
              </w:rPr>
            </w:pPr>
            <w:r>
              <w:rPr>
                <w:rFonts w:ascii="Arial" w:cs="Arial" w:eastAsia="Arial" w:hAnsi="Arial"/>
                <w:sz w:val="18"/>
                <w:szCs w:val="18"/>
                <w:color w:val="auto"/>
                <w:w w:val="89"/>
              </w:rPr>
              <w:t>80</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6 or more</w:t>
            </w:r>
          </w:p>
        </w:tc>
        <w:tc>
          <w:tcPr>
            <w:tcW w:w="4060" w:type="dxa"/>
            <w:vAlign w:val="bottom"/>
          </w:tcPr>
          <w:p>
            <w:pPr>
              <w:jc w:val="center"/>
              <w:ind w:left="1690"/>
              <w:spacing w:after="0"/>
              <w:rPr>
                <w:sz w:val="20"/>
                <w:szCs w:val="20"/>
                <w:color w:val="auto"/>
              </w:rPr>
            </w:pPr>
            <w:r>
              <w:rPr>
                <w:rFonts w:ascii="Arial" w:cs="Arial" w:eastAsia="Arial" w:hAnsi="Arial"/>
                <w:sz w:val="18"/>
                <w:szCs w:val="18"/>
                <w:color w:val="auto"/>
                <w:w w:val="93"/>
              </w:rPr>
              <w:t>100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Participants may select from various investment options made available by the Plan. Each participant’s account is credited with the participant’s contribution, an allocation of the Plan Sponsor’s contribution, if any, Plan earnings and losses and certain administrative expenses. Earnings allocations are based on account balances, as defined in the Plan agreement.</w:t>
      </w:r>
    </w:p>
    <w:p>
      <w:pPr>
        <w:spacing w:after="0" w:line="3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vested portion of terminated and retired participants’ accounts are available for distribution following a separation from service. Forfeitures may be used to offset the Plan Sponsor’s matching contributions or administrative expenses of the Plan. During 2015 and 2014, forfeitures of approximately $11,800 and $15,800, respectively, were used to offset the Plan Sponsor’s matching contributions.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Loans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Participants may borrow from their account a minimum amount of $1,000 up to a maximum equal to the lesser of $50,000 or 50% of their vested account balance. Loan terms range from one to five years, or up to 25 years for purchase of a principal residence. The loans bear interest at a rate equal to the prime rate (3.50% at December 31, 2015) plus 2% calculated on a daily basis. Interest rates on outstanding loans ranged from 5.25% to 5.50% at December 31, 2015. A participant may only have two loans outstanding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Before attainment of age 59½, participants may request in-service withdrawals from the Rollover balance within their account. Participants may also request an in-service withdrawal from their Salary Deferral balance in the event of a financial hardship, subject to certain limitations as defined by the Plan. Once a participant attains age 59½, in-service withdrawals may be made from all contribution sources.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separation from service, a participant is eligible for a lump sum distribution of their full, vested account balance. Participants may elect to receive the distribution in a lump sum amount, a qualified rollover to another plan, or may defer their distribution until a later date. However, in the absence of an election, if the vested portion of a participant’s account is $1,000 or less, this amount will be paid as a lump sum distribution as soon as administratively allowable. Participants who incur a separation from service as a result of their death, Total Disability, or Retirement will be vested at 100% prior to their distribution.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Participant whose initial Date of Employment is on or before December 31, 2009, and who is fully vested in his Discretionary and Matching Contribution Accounts may withdraw all or any part of his Discretionary and Matching Contribution Accounts by making a request to the Plan Administrator at least 30 days before the applicable withdrawal date. No distribution shall be made of an Employer Discretionary or Matching Contribution until two years have elapsed since the contribution was made unless the Participant has completed at least five years of Vested Service. The Participant shall specify the particular Account from which a withdrawal is made.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Shawnlee Construction LLC 401(k)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Plan Sponsor intends to continue the Plan indefinitely, but reserves the right to terminate or amend the Plan at any time. In the event of termination of the Plan, all participants are automatically fully vested in the value of their accounts and will be paid in full.</w:t>
      </w:r>
    </w:p>
    <w:p>
      <w:pPr>
        <w:spacing w:after="0" w:line="166"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Transfers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permitted by the plan, funds totaling $21,926 were transferred to the Universal Forest Products, Inc. Employees’ Profit Sharing 401(k) Plan (an affiliated plan) during 2015, due to employee transfers. During 2014, funds totaling $45,602 were transferred to the Universal Forest Products, Inc. Employees’ Profit Sharing 401(k) Plan (an affiliated plan) and $9,834 were transferred from the Universal Forest Products, Inc. Employees’ Profit Sharing 401(k) Plan, due to employee transfers.</w:t>
      </w:r>
    </w:p>
    <w:p>
      <w:pPr>
        <w:spacing w:after="0" w:line="399"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set forth by level within the fair value hierarchy the Plan’s investments as of December 31, 2015 and 2014.</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89"/>
              </w:rPr>
              <w:t>Investment Assets at Fair Value</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88"/>
              </w:rPr>
              <w:t>as of December 31, 2015</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4"/>
        </w:trPr>
        <w:tc>
          <w:tcPr>
            <w:tcW w:w="5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1"/>
                <w:szCs w:val="21"/>
                <w:color w:val="auto"/>
              </w:rPr>
            </w:pPr>
          </w:p>
        </w:tc>
        <w:tc>
          <w:tcPr>
            <w:tcW w:w="1200" w:type="dxa"/>
            <w:vAlign w:val="bottom"/>
          </w:tcPr>
          <w:p>
            <w:pPr>
              <w:ind w:left="220"/>
              <w:spacing w:after="0"/>
              <w:rPr>
                <w:sz w:val="20"/>
                <w:szCs w:val="20"/>
                <w:color w:val="auto"/>
              </w:rPr>
            </w:pPr>
            <w:r>
              <w:rPr>
                <w:rFonts w:ascii="Arial" w:cs="Arial" w:eastAsia="Arial" w:hAnsi="Arial"/>
                <w:sz w:val="18"/>
                <w:szCs w:val="18"/>
                <w:b w:val="1"/>
                <w:bCs w:val="1"/>
                <w:color w:val="auto"/>
              </w:rPr>
              <w:t>Level 2</w:t>
            </w:r>
          </w:p>
        </w:tc>
        <w:tc>
          <w:tcPr>
            <w:tcW w:w="360" w:type="dxa"/>
            <w:vAlign w:val="bottom"/>
          </w:tcPr>
          <w:p>
            <w:pPr>
              <w:spacing w:after="0"/>
              <w:rPr>
                <w:sz w:val="21"/>
                <w:szCs w:val="21"/>
                <w:color w:val="auto"/>
              </w:rPr>
            </w:pPr>
          </w:p>
        </w:tc>
        <w:tc>
          <w:tcPr>
            <w:tcW w:w="112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c>
          <w:tcPr>
            <w:tcW w:w="4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34"/>
        </w:trPr>
        <w:tc>
          <w:tcPr>
            <w:tcW w:w="5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601,724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601,724</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6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6,943,686</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6,943,686</w:t>
            </w:r>
          </w:p>
        </w:tc>
      </w:tr>
      <w:tr>
        <w:trPr>
          <w:trHeight w:val="27"/>
        </w:trPr>
        <w:tc>
          <w:tcPr>
            <w:tcW w:w="5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in fair value hierarchy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7,545,410</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7,545,410</w:t>
            </w:r>
          </w:p>
        </w:tc>
      </w:tr>
      <w:tr>
        <w:trPr>
          <w:trHeight w:val="304"/>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measured at net asset value *</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224,706</w:t>
            </w:r>
          </w:p>
        </w:tc>
      </w:tr>
      <w:tr>
        <w:trPr>
          <w:trHeight w:val="251"/>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 at fair value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7,545,410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7,770,116</w:t>
            </w: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89"/>
              </w:rPr>
              <w:t>Investment Assets at Fair Value</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88"/>
              </w:rPr>
              <w:t>as of December 31, 2014</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1"/>
                <w:szCs w:val="21"/>
                <w:color w:val="auto"/>
              </w:rPr>
            </w:pPr>
          </w:p>
        </w:tc>
        <w:tc>
          <w:tcPr>
            <w:tcW w:w="1200" w:type="dxa"/>
            <w:vAlign w:val="bottom"/>
          </w:tcPr>
          <w:p>
            <w:pPr>
              <w:ind w:left="220"/>
              <w:spacing w:after="0"/>
              <w:rPr>
                <w:sz w:val="20"/>
                <w:szCs w:val="20"/>
                <w:color w:val="auto"/>
              </w:rPr>
            </w:pPr>
            <w:r>
              <w:rPr>
                <w:rFonts w:ascii="Arial" w:cs="Arial" w:eastAsia="Arial" w:hAnsi="Arial"/>
                <w:sz w:val="18"/>
                <w:szCs w:val="18"/>
                <w:b w:val="1"/>
                <w:bCs w:val="1"/>
                <w:color w:val="auto"/>
              </w:rPr>
              <w:t>Level 2</w:t>
            </w:r>
          </w:p>
        </w:tc>
        <w:tc>
          <w:tcPr>
            <w:tcW w:w="360" w:type="dxa"/>
            <w:vAlign w:val="bottom"/>
          </w:tcPr>
          <w:p>
            <w:pPr>
              <w:spacing w:after="0"/>
              <w:rPr>
                <w:sz w:val="21"/>
                <w:szCs w:val="21"/>
                <w:color w:val="auto"/>
              </w:rPr>
            </w:pPr>
          </w:p>
        </w:tc>
        <w:tc>
          <w:tcPr>
            <w:tcW w:w="112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c>
          <w:tcPr>
            <w:tcW w:w="4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463,266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463,266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6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6,712,398</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6,712,398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in fair value hierarchy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7,175,664</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7,175,664</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measured at net asset value *</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218,628</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 at fair value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7,175,664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7,394,292</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*Common/collective trust fund</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760"/>
        <w:spacing w:after="0" w:line="263" w:lineRule="auto"/>
        <w:rPr>
          <w:sz w:val="20"/>
          <w:szCs w:val="20"/>
          <w:color w:val="auto"/>
        </w:rPr>
      </w:pPr>
      <w:r>
        <w:rPr>
          <w:rFonts w:ascii="Arial" w:cs="Arial" w:eastAsia="Arial" w:hAnsi="Arial"/>
          <w:sz w:val="22"/>
          <w:szCs w:val="22"/>
          <w:color w:val="auto"/>
        </w:rPr>
        <w:t>There have been no changes in the methodologies used at December 31, 2015 and 2014, and there have been no significant transfers in or out of Levels 1, 2 or 3</w:t>
      </w:r>
      <w:r>
        <w:rPr>
          <w:rFonts w:ascii="Arial" w:cs="Arial" w:eastAsia="Arial" w:hAnsi="Arial"/>
          <w:sz w:val="22"/>
          <w:szCs w:val="22"/>
          <w:color w:val="FF0000"/>
        </w:rPr>
        <w: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Shawnlee Construction LLC 401(k)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Status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Plan was amended and restated as an individually designed plan effective January 1, 2014. The Plan has received a determination letter from the Internal Revenue Service dated September 8, 2015, stating that the Plan is qualified under section 401(a) of the Internal Revenue Code (IRC), and, therefore, the related trust is exempt from taxation. The Plan Administrator believes that the Plan is designed and is currently being operated in compliance with applicable requirements of the IRC. Therefore, no provision for income taxes has been included in the Plan’s financial statements.</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the Internal Revenue Service. The Plan administrator has analyzed the tax positions taken by the Plan and has concluded that as of December 31, 2015,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w:t>
      </w:r>
    </w:p>
    <w:p>
      <w:pPr>
        <w:spacing w:after="0" w:line="385"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Difference Between Financial Statements and Form 5500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assets available for benefits per the financial statements to the Form 5500:</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34"/>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available for benefits from the financial statements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8,049,814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7,711,234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adjustment to fair value for fully benefit responsive investment contracts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1,898</w:t>
            </w:r>
          </w:p>
        </w:tc>
      </w:tr>
      <w:tr>
        <w:trPr>
          <w:trHeight w:val="34"/>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available for benefits from the Form 5500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8,049,814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7,713,132</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net increase in net assets per the financial statements to the net income from the Form 5500:</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4"/>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net assets from the financial statements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360,506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125,340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2014 Net adjustment to fair value for fully benefit responsive investment contracts</w:t>
            </w: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(1,898)</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 Net adjustment to fair value for fully benefit responsive investment contracts</w:t>
            </w:r>
          </w:p>
        </w:tc>
        <w:tc>
          <w:tcPr>
            <w:tcW w:w="1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30"/>
        </w:trPr>
        <w:tc>
          <w:tcPr>
            <w:tcW w:w="858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Net income from the Form 5500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358,608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126,406</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562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8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4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80"/>
        </w:trPr>
        <w:tc>
          <w:tcPr>
            <w:tcW w:w="7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880" w:type="dxa"/>
            <w:vAlign w:val="bottom"/>
            <w:gridSpan w:val="2"/>
          </w:tcPr>
          <w:p>
            <w:pPr>
              <w:jc w:val="center"/>
              <w:spacing w:after="0"/>
              <w:rPr>
                <w:sz w:val="20"/>
                <w:szCs w:val="20"/>
                <w:color w:val="auto"/>
              </w:rPr>
            </w:pPr>
            <w:r>
              <w:rPr>
                <w:rFonts w:ascii="Arial" w:cs="Arial" w:eastAsia="Arial" w:hAnsi="Arial"/>
                <w:sz w:val="18"/>
                <w:szCs w:val="18"/>
                <w:color w:val="auto"/>
                <w:w w:val="91"/>
              </w:rPr>
              <w:t>Shawnlee Construction LLC 401(k) Plan</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80" w:type="dxa"/>
            <w:vAlign w:val="bottom"/>
            <w:gridSpan w:val="2"/>
          </w:tcPr>
          <w:p>
            <w:pPr>
              <w:jc w:val="center"/>
              <w:spacing w:after="0"/>
              <w:rPr>
                <w:sz w:val="20"/>
                <w:szCs w:val="20"/>
                <w:color w:val="auto"/>
              </w:rPr>
            </w:pPr>
            <w:r>
              <w:rPr>
                <w:rFonts w:ascii="Arial" w:cs="Arial" w:eastAsia="Arial" w:hAnsi="Arial"/>
                <w:sz w:val="18"/>
                <w:szCs w:val="18"/>
                <w:color w:val="auto"/>
                <w:w w:val="90"/>
              </w:rPr>
              <w:t>Schedule H, Line 4i – Schedule of Assets (Held at End of Year)</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80" w:type="dxa"/>
            <w:vAlign w:val="bottom"/>
            <w:gridSpan w:val="2"/>
          </w:tcPr>
          <w:p>
            <w:pPr>
              <w:jc w:val="center"/>
              <w:spacing w:after="0"/>
              <w:rPr>
                <w:sz w:val="20"/>
                <w:szCs w:val="20"/>
                <w:color w:val="auto"/>
              </w:rPr>
            </w:pPr>
            <w:r>
              <w:rPr>
                <w:rFonts w:ascii="Arial" w:cs="Arial" w:eastAsia="Arial" w:hAnsi="Arial"/>
                <w:sz w:val="18"/>
                <w:szCs w:val="18"/>
                <w:color w:val="auto"/>
                <w:w w:val="95"/>
              </w:rPr>
              <w:t>EIN #03-0537439  Plan #001</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80" w:type="dxa"/>
            <w:vAlign w:val="bottom"/>
            <w:gridSpan w:val="2"/>
          </w:tcPr>
          <w:p>
            <w:pPr>
              <w:jc w:val="center"/>
              <w:spacing w:after="0"/>
              <w:rPr>
                <w:sz w:val="20"/>
                <w:szCs w:val="20"/>
                <w:color w:val="auto"/>
              </w:rPr>
            </w:pPr>
            <w:r>
              <w:rPr>
                <w:rFonts w:ascii="Arial" w:cs="Arial" w:eastAsia="Arial" w:hAnsi="Arial"/>
                <w:sz w:val="18"/>
                <w:szCs w:val="18"/>
                <w:color w:val="auto"/>
                <w:w w:val="89"/>
              </w:rPr>
              <w:t>December 31, 2015</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70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80" w:type="dxa"/>
            <w:vAlign w:val="bottom"/>
          </w:tcPr>
          <w:p>
            <w:pPr>
              <w:spacing w:after="0"/>
              <w:rPr>
                <w:sz w:val="24"/>
                <w:szCs w:val="24"/>
                <w:color w:val="auto"/>
              </w:rPr>
            </w:pPr>
          </w:p>
        </w:tc>
        <w:tc>
          <w:tcPr>
            <w:tcW w:w="4220" w:type="dxa"/>
            <w:vAlign w:val="bottom"/>
          </w:tcPr>
          <w:p>
            <w:pPr>
              <w:jc w:val="center"/>
              <w:ind w:right="270"/>
              <w:spacing w:after="0"/>
              <w:rPr>
                <w:sz w:val="20"/>
                <w:szCs w:val="20"/>
                <w:color w:val="auto"/>
              </w:rPr>
            </w:pPr>
            <w:r>
              <w:rPr>
                <w:rFonts w:ascii="Arial" w:cs="Arial" w:eastAsia="Arial" w:hAnsi="Arial"/>
                <w:sz w:val="18"/>
                <w:szCs w:val="18"/>
                <w:color w:val="auto"/>
                <w:w w:val="99"/>
              </w:rPr>
              <w:t>(b)</w:t>
            </w:r>
          </w:p>
        </w:tc>
        <w:tc>
          <w:tcPr>
            <w:tcW w:w="4660" w:type="dxa"/>
            <w:vAlign w:val="bottom"/>
          </w:tcPr>
          <w:p>
            <w:pPr>
              <w:jc w:val="center"/>
              <w:ind w:left="130"/>
              <w:spacing w:after="0"/>
              <w:rPr>
                <w:sz w:val="20"/>
                <w:szCs w:val="20"/>
                <w:color w:val="auto"/>
              </w:rPr>
            </w:pPr>
            <w:r>
              <w:rPr>
                <w:rFonts w:ascii="Arial" w:cs="Arial" w:eastAsia="Arial" w:hAnsi="Arial"/>
                <w:sz w:val="18"/>
                <w:szCs w:val="18"/>
                <w:color w:val="auto"/>
                <w:w w:val="95"/>
              </w:rPr>
              <w:t>(c)</w:t>
            </w:r>
          </w:p>
        </w:tc>
        <w:tc>
          <w:tcPr>
            <w:tcW w:w="280" w:type="dxa"/>
            <w:vAlign w:val="bottom"/>
          </w:tcPr>
          <w:p>
            <w:pPr>
              <w:spacing w:after="0"/>
              <w:rPr>
                <w:sz w:val="24"/>
                <w:szCs w:val="24"/>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(e)</w:t>
            </w:r>
          </w:p>
        </w:tc>
      </w:tr>
      <w:tr>
        <w:trPr>
          <w:trHeight w:val="270"/>
        </w:trPr>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466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Description of Investment Including, Maturity Date,</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700" w:type="dxa"/>
            <w:vAlign w:val="bottom"/>
          </w:tcPr>
          <w:p>
            <w:pPr>
              <w:spacing w:after="0"/>
              <w:rPr>
                <w:sz w:val="23"/>
                <w:szCs w:val="23"/>
                <w:color w:val="auto"/>
              </w:rPr>
            </w:pPr>
          </w:p>
        </w:tc>
        <w:tc>
          <w:tcPr>
            <w:tcW w:w="48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0"/>
              </w:rPr>
              <w:t>Identity of Issuer, Borrower, Lessor, or Similar Party</w:t>
            </w:r>
          </w:p>
        </w:tc>
        <w:tc>
          <w:tcPr>
            <w:tcW w:w="4660" w:type="dxa"/>
            <w:vAlign w:val="bottom"/>
          </w:tcPr>
          <w:p>
            <w:pPr>
              <w:jc w:val="center"/>
              <w:ind w:left="130"/>
              <w:spacing w:after="0"/>
              <w:rPr>
                <w:sz w:val="20"/>
                <w:szCs w:val="20"/>
                <w:color w:val="auto"/>
              </w:rPr>
            </w:pPr>
            <w:r>
              <w:rPr>
                <w:rFonts w:ascii="Arial" w:cs="Arial" w:eastAsia="Arial" w:hAnsi="Arial"/>
                <w:sz w:val="18"/>
                <w:szCs w:val="18"/>
                <w:b w:val="1"/>
                <w:bCs w:val="1"/>
                <w:color w:val="auto"/>
                <w:w w:val="92"/>
              </w:rPr>
              <w:t>Rate of Interest, Collateral, Par, or Maturity Value</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Current Value</w:t>
            </w:r>
          </w:p>
        </w:tc>
      </w:tr>
      <w:tr>
        <w:trPr>
          <w:trHeight w:val="34"/>
        </w:trPr>
        <w:tc>
          <w:tcPr>
            <w:tcW w:w="7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0"/>
        </w:trPr>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4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Universal Forest Products, Inc.</w:t>
            </w:r>
          </w:p>
        </w:tc>
        <w:tc>
          <w:tcPr>
            <w:tcW w:w="4660" w:type="dxa"/>
            <w:vAlign w:val="bottom"/>
          </w:tcPr>
          <w:p>
            <w:pPr>
              <w:ind w:left="240"/>
              <w:spacing w:after="0"/>
              <w:rPr>
                <w:sz w:val="20"/>
                <w:szCs w:val="20"/>
                <w:color w:val="auto"/>
              </w:rPr>
            </w:pPr>
            <w:r>
              <w:rPr>
                <w:rFonts w:ascii="Arial" w:cs="Arial" w:eastAsia="Arial" w:hAnsi="Arial"/>
                <w:sz w:val="18"/>
                <w:szCs w:val="18"/>
                <w:color w:val="auto"/>
              </w:rPr>
              <w:t>Universal Forest Products Common Stock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601,724</w:t>
            </w:r>
          </w:p>
        </w:tc>
      </w:tr>
      <w:tr>
        <w:trPr>
          <w:trHeight w:val="27"/>
        </w:trPr>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220" w:type="dxa"/>
            <w:vAlign w:val="bottom"/>
            <w:shd w:val="clear" w:color="auto" w:fill="CCEEFF"/>
          </w:tcPr>
          <w:p>
            <w:pPr>
              <w:spacing w:after="0"/>
              <w:rPr>
                <w:sz w:val="23"/>
                <w:szCs w:val="23"/>
                <w:color w:val="auto"/>
              </w:rPr>
            </w:pPr>
          </w:p>
        </w:tc>
        <w:tc>
          <w:tcPr>
            <w:tcW w:w="46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70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Common collective trust funds:</w:t>
            </w:r>
          </w:p>
        </w:tc>
        <w:tc>
          <w:tcPr>
            <w:tcW w:w="4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Union Bond &amp; Trust Company</w:t>
            </w:r>
          </w:p>
        </w:tc>
        <w:tc>
          <w:tcPr>
            <w:tcW w:w="4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Stable Value Fund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224,706</w:t>
            </w:r>
          </w:p>
        </w:tc>
      </w:tr>
      <w:tr>
        <w:trPr>
          <w:trHeight w:val="270"/>
        </w:trPr>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4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00" w:type="dxa"/>
            <w:vAlign w:val="bottom"/>
          </w:tcPr>
          <w:p>
            <w:pPr>
              <w:spacing w:after="0"/>
              <w:rPr>
                <w:sz w:val="21"/>
                <w:szCs w:val="21"/>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JP Morgan</w:t>
            </w:r>
          </w:p>
        </w:tc>
        <w:tc>
          <w:tcPr>
            <w:tcW w:w="4660" w:type="dxa"/>
            <w:vAlign w:val="bottom"/>
          </w:tcPr>
          <w:p>
            <w:pPr>
              <w:ind w:left="240"/>
              <w:spacing w:after="0"/>
              <w:rPr>
                <w:sz w:val="20"/>
                <w:szCs w:val="20"/>
                <w:color w:val="auto"/>
              </w:rPr>
            </w:pPr>
            <w:r>
              <w:rPr>
                <w:rFonts w:ascii="Arial" w:cs="Arial" w:eastAsia="Arial" w:hAnsi="Arial"/>
                <w:sz w:val="18"/>
                <w:szCs w:val="18"/>
                <w:color w:val="auto"/>
              </w:rPr>
              <w:t>Large Cap Growth Fund</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1,982,688</w:t>
            </w:r>
          </w:p>
        </w:tc>
      </w:tr>
      <w:tr>
        <w:trPr>
          <w:trHeight w:val="27"/>
        </w:trPr>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Vanguard</w:t>
            </w:r>
          </w:p>
        </w:tc>
        <w:tc>
          <w:tcPr>
            <w:tcW w:w="4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Mid Cap Index Fund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160,876</w:t>
            </w:r>
          </w:p>
        </w:tc>
      </w:tr>
      <w:tr>
        <w:trPr>
          <w:trHeight w:val="243"/>
        </w:trPr>
        <w:tc>
          <w:tcPr>
            <w:tcW w:w="700" w:type="dxa"/>
            <w:vAlign w:val="bottom"/>
          </w:tcPr>
          <w:p>
            <w:pPr>
              <w:spacing w:after="0"/>
              <w:rPr>
                <w:sz w:val="21"/>
                <w:szCs w:val="21"/>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Vanguard</w:t>
            </w:r>
          </w:p>
        </w:tc>
        <w:tc>
          <w:tcPr>
            <w:tcW w:w="4660" w:type="dxa"/>
            <w:vAlign w:val="bottom"/>
          </w:tcPr>
          <w:p>
            <w:pPr>
              <w:ind w:left="240"/>
              <w:spacing w:after="0"/>
              <w:rPr>
                <w:sz w:val="20"/>
                <w:szCs w:val="20"/>
                <w:color w:val="auto"/>
              </w:rPr>
            </w:pPr>
            <w:r>
              <w:rPr>
                <w:rFonts w:ascii="Arial" w:cs="Arial" w:eastAsia="Arial" w:hAnsi="Arial"/>
                <w:sz w:val="18"/>
                <w:szCs w:val="18"/>
                <w:color w:val="auto"/>
              </w:rPr>
              <w:t>Small Cap Index Fund</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57,962</w:t>
            </w:r>
          </w:p>
        </w:tc>
      </w:tr>
      <w:tr>
        <w:trPr>
          <w:trHeight w:val="27"/>
        </w:trPr>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Vanguard</w:t>
            </w:r>
          </w:p>
        </w:tc>
        <w:tc>
          <w:tcPr>
            <w:tcW w:w="4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500 Index Fund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838,024</w:t>
            </w:r>
          </w:p>
        </w:tc>
      </w:tr>
      <w:tr>
        <w:trPr>
          <w:trHeight w:val="243"/>
        </w:trPr>
        <w:tc>
          <w:tcPr>
            <w:tcW w:w="700" w:type="dxa"/>
            <w:vAlign w:val="bottom"/>
          </w:tcPr>
          <w:p>
            <w:pPr>
              <w:spacing w:after="0"/>
              <w:rPr>
                <w:sz w:val="21"/>
                <w:szCs w:val="21"/>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Vanguard</w:t>
            </w:r>
          </w:p>
        </w:tc>
        <w:tc>
          <w:tcPr>
            <w:tcW w:w="4660" w:type="dxa"/>
            <w:vAlign w:val="bottom"/>
          </w:tcPr>
          <w:p>
            <w:pPr>
              <w:ind w:left="240"/>
              <w:spacing w:after="0"/>
              <w:rPr>
                <w:sz w:val="20"/>
                <w:szCs w:val="20"/>
                <w:color w:val="auto"/>
              </w:rPr>
            </w:pPr>
            <w:r>
              <w:rPr>
                <w:rFonts w:ascii="Arial" w:cs="Arial" w:eastAsia="Arial" w:hAnsi="Arial"/>
                <w:sz w:val="18"/>
                <w:szCs w:val="18"/>
                <w:color w:val="auto"/>
              </w:rPr>
              <w:t>International Stock Index</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818</w:t>
            </w:r>
          </w:p>
        </w:tc>
      </w:tr>
      <w:tr>
        <w:trPr>
          <w:trHeight w:val="27"/>
        </w:trPr>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Neuberger Berman</w:t>
            </w:r>
          </w:p>
        </w:tc>
        <w:tc>
          <w:tcPr>
            <w:tcW w:w="4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Genesis Fund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613,651</w:t>
            </w:r>
          </w:p>
        </w:tc>
      </w:tr>
      <w:tr>
        <w:trPr>
          <w:trHeight w:val="243"/>
        </w:trPr>
        <w:tc>
          <w:tcPr>
            <w:tcW w:w="700" w:type="dxa"/>
            <w:vAlign w:val="bottom"/>
          </w:tcPr>
          <w:p>
            <w:pPr>
              <w:spacing w:after="0"/>
              <w:rPr>
                <w:sz w:val="21"/>
                <w:szCs w:val="21"/>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Invesco</w:t>
            </w:r>
          </w:p>
        </w:tc>
        <w:tc>
          <w:tcPr>
            <w:tcW w:w="4660" w:type="dxa"/>
            <w:vAlign w:val="bottom"/>
          </w:tcPr>
          <w:p>
            <w:pPr>
              <w:ind w:left="240"/>
              <w:spacing w:after="0"/>
              <w:rPr>
                <w:sz w:val="20"/>
                <w:szCs w:val="20"/>
                <w:color w:val="auto"/>
              </w:rPr>
            </w:pPr>
            <w:r>
              <w:rPr>
                <w:rFonts w:ascii="Arial" w:cs="Arial" w:eastAsia="Arial" w:hAnsi="Arial"/>
                <w:sz w:val="18"/>
                <w:szCs w:val="18"/>
                <w:color w:val="auto"/>
              </w:rPr>
              <w:t>Growth and Income Fund</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587,642</w:t>
            </w:r>
          </w:p>
        </w:tc>
      </w:tr>
      <w:tr>
        <w:trPr>
          <w:trHeight w:val="27"/>
        </w:trPr>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Dodge &amp; Cox</w:t>
            </w:r>
          </w:p>
        </w:tc>
        <w:tc>
          <w:tcPr>
            <w:tcW w:w="4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Fund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149,073</w:t>
            </w:r>
          </w:p>
        </w:tc>
      </w:tr>
      <w:tr>
        <w:trPr>
          <w:trHeight w:val="243"/>
        </w:trPr>
        <w:tc>
          <w:tcPr>
            <w:tcW w:w="700" w:type="dxa"/>
            <w:vAlign w:val="bottom"/>
          </w:tcPr>
          <w:p>
            <w:pPr>
              <w:spacing w:after="0"/>
              <w:rPr>
                <w:sz w:val="21"/>
                <w:szCs w:val="21"/>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Dodge &amp; Cox</w:t>
            </w:r>
          </w:p>
        </w:tc>
        <w:tc>
          <w:tcPr>
            <w:tcW w:w="4660" w:type="dxa"/>
            <w:vAlign w:val="bottom"/>
          </w:tcPr>
          <w:p>
            <w:pPr>
              <w:ind w:left="240"/>
              <w:spacing w:after="0"/>
              <w:rPr>
                <w:sz w:val="20"/>
                <w:szCs w:val="20"/>
                <w:color w:val="auto"/>
              </w:rPr>
            </w:pPr>
            <w:r>
              <w:rPr>
                <w:rFonts w:ascii="Arial" w:cs="Arial" w:eastAsia="Arial" w:hAnsi="Arial"/>
                <w:sz w:val="18"/>
                <w:szCs w:val="18"/>
                <w:color w:val="auto"/>
              </w:rPr>
              <w:t>International Stock Fund</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1,548,890</w:t>
            </w:r>
          </w:p>
        </w:tc>
      </w:tr>
      <w:tr>
        <w:trPr>
          <w:trHeight w:val="27"/>
        </w:trPr>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 Rowe Price</w:t>
            </w:r>
          </w:p>
        </w:tc>
        <w:tc>
          <w:tcPr>
            <w:tcW w:w="4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Retirement 2050 Fund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220,243</w:t>
            </w:r>
          </w:p>
        </w:tc>
      </w:tr>
      <w:tr>
        <w:trPr>
          <w:trHeight w:val="243"/>
        </w:trPr>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4660" w:type="dxa"/>
            <w:vAlign w:val="bottom"/>
          </w:tcPr>
          <w:p>
            <w:pPr>
              <w:ind w:left="240"/>
              <w:spacing w:after="0"/>
              <w:rPr>
                <w:sz w:val="20"/>
                <w:szCs w:val="20"/>
                <w:color w:val="auto"/>
              </w:rPr>
            </w:pPr>
            <w:r>
              <w:rPr>
                <w:rFonts w:ascii="Arial" w:cs="Arial" w:eastAsia="Arial" w:hAnsi="Arial"/>
                <w:sz w:val="18"/>
                <w:szCs w:val="18"/>
                <w:color w:val="auto"/>
              </w:rPr>
              <w:t>Retirement 2040 Fund</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269,680</w:t>
            </w:r>
          </w:p>
        </w:tc>
      </w:tr>
      <w:tr>
        <w:trPr>
          <w:trHeight w:val="27"/>
        </w:trPr>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Retirement 2030 Fund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161,851</w:t>
            </w:r>
          </w:p>
        </w:tc>
      </w:tr>
      <w:tr>
        <w:trPr>
          <w:trHeight w:val="243"/>
        </w:trPr>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4660" w:type="dxa"/>
            <w:vAlign w:val="bottom"/>
          </w:tcPr>
          <w:p>
            <w:pPr>
              <w:ind w:left="240"/>
              <w:spacing w:after="0"/>
              <w:rPr>
                <w:sz w:val="20"/>
                <w:szCs w:val="20"/>
                <w:color w:val="auto"/>
              </w:rPr>
            </w:pPr>
            <w:r>
              <w:rPr>
                <w:rFonts w:ascii="Arial" w:cs="Arial" w:eastAsia="Arial" w:hAnsi="Arial"/>
                <w:sz w:val="18"/>
                <w:szCs w:val="18"/>
                <w:color w:val="auto"/>
              </w:rPr>
              <w:t>Retirement 2020 Fund</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46,583</w:t>
            </w:r>
          </w:p>
        </w:tc>
      </w:tr>
      <w:tr>
        <w:trPr>
          <w:trHeight w:val="27"/>
        </w:trPr>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2"/>
        </w:trPr>
        <w:tc>
          <w:tcPr>
            <w:tcW w:w="7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4220" w:type="dxa"/>
            <w:vAlign w:val="bottom"/>
            <w:tcBorders>
              <w:bottom w:val="single" w:sz="8" w:color="CCEEFF"/>
            </w:tcBorders>
            <w:shd w:val="clear" w:color="auto" w:fill="CCEEFF"/>
          </w:tcPr>
          <w:p>
            <w:pPr>
              <w:spacing w:after="0"/>
              <w:rPr>
                <w:sz w:val="24"/>
                <w:szCs w:val="24"/>
                <w:color w:val="auto"/>
              </w:rPr>
            </w:pPr>
          </w:p>
        </w:tc>
        <w:tc>
          <w:tcPr>
            <w:tcW w:w="4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Retirement Balance Fund</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305,705</w:t>
            </w:r>
          </w:p>
        </w:tc>
      </w:tr>
      <w:tr>
        <w:trPr>
          <w:trHeight w:val="243"/>
        </w:trPr>
        <w:tc>
          <w:tcPr>
            <w:tcW w:w="70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20" w:type="dxa"/>
            <w:vAlign w:val="bottom"/>
            <w:tcBorders>
              <w:top w:val="single" w:sz="8" w:color="CCEEFF"/>
            </w:tcBorders>
          </w:tcPr>
          <w:p>
            <w:pPr>
              <w:spacing w:after="0"/>
              <w:rPr>
                <w:sz w:val="21"/>
                <w:szCs w:val="21"/>
                <w:color w:val="auto"/>
              </w:rPr>
            </w:pPr>
          </w:p>
        </w:tc>
        <w:tc>
          <w:tcPr>
            <w:tcW w:w="466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6,943,686</w:t>
            </w:r>
          </w:p>
        </w:tc>
      </w:tr>
      <w:tr>
        <w:trPr>
          <w:trHeight w:val="34"/>
        </w:trPr>
        <w:tc>
          <w:tcPr>
            <w:tcW w:w="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20" w:type="dxa"/>
            <w:vAlign w:val="bottom"/>
            <w:shd w:val="clear" w:color="auto" w:fill="CCEEFF"/>
          </w:tcPr>
          <w:p>
            <w:pPr>
              <w:spacing w:after="0"/>
              <w:rPr>
                <w:sz w:val="21"/>
                <w:szCs w:val="21"/>
                <w:color w:val="auto"/>
              </w:rPr>
            </w:pPr>
          </w:p>
        </w:tc>
        <w:tc>
          <w:tcPr>
            <w:tcW w:w="4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7,770,116</w:t>
            </w:r>
          </w:p>
        </w:tc>
      </w:tr>
      <w:tr>
        <w:trPr>
          <w:trHeight w:val="27"/>
        </w:trPr>
        <w:tc>
          <w:tcPr>
            <w:tcW w:w="7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108" w:right="239" w:bottom="1440" w:gutter="0" w:footer="0" w:header="0"/>
        </w:sectPr>
      </w:pPr>
    </w:p>
    <w:p>
      <w:pPr>
        <w:ind w:left="300"/>
        <w:spacing w:after="0"/>
        <w:tabs>
          <w:tab w:leader="none" w:pos="700" w:val="left"/>
          <w:tab w:leader="none" w:pos="5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Notes receivable from participants</w:t>
      </w:r>
      <w:r>
        <w:rPr>
          <w:sz w:val="20"/>
          <w:szCs w:val="20"/>
          <w:color w:val="auto"/>
        </w:rPr>
        <w:tab/>
      </w:r>
      <w:r>
        <w:rPr>
          <w:rFonts w:ascii="Arial" w:cs="Arial" w:eastAsia="Arial" w:hAnsi="Arial"/>
          <w:sz w:val="16"/>
          <w:szCs w:val="16"/>
          <w:color w:val="auto"/>
        </w:rPr>
        <w:t>Collateralized by vested account balances, payable in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monthly installments with an interest rates ranging from</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5.25% to 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97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262,248</w:t>
      </w:r>
    </w:p>
    <w:p>
      <w:pPr>
        <w:spacing w:after="0" w:line="90" w:lineRule="exact"/>
        <w:rPr>
          <w:sz w:val="20"/>
          <w:szCs w:val="20"/>
          <w:color w:val="auto"/>
        </w:rPr>
      </w:pPr>
    </w:p>
    <w:p>
      <w:pPr>
        <w:ind w:left="409" w:hanging="409"/>
        <w:spacing w:after="0"/>
        <w:tabs>
          <w:tab w:leader="none" w:pos="409" w:val="left"/>
        </w:tabs>
        <w:numPr>
          <w:ilvl w:val="0"/>
          <w:numId w:val="9"/>
        </w:numPr>
        <w:rPr>
          <w:rFonts w:ascii="Arial" w:cs="Arial" w:eastAsia="Arial" w:hAnsi="Arial"/>
          <w:sz w:val="16"/>
          <w:szCs w:val="16"/>
          <w:color w:val="auto"/>
        </w:rPr>
      </w:pPr>
      <w:r>
        <w:rPr>
          <w:rFonts w:ascii="Arial" w:cs="Arial" w:eastAsia="Arial" w:hAnsi="Arial"/>
          <w:sz w:val="16"/>
          <w:szCs w:val="16"/>
          <w:color w:val="auto"/>
        </w:rPr>
        <w:t>8,032,364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97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9800" w:space="391"/>
            <w:col w:w="1229"/>
          </w:cols>
          <w:pgMar w:left="240" w:top="108" w:right="239" w:bottom="1440" w:gutter="0" w:footer="0" w:header="0"/>
          <w:type w:val="continuous"/>
        </w:sectPr>
      </w:pPr>
    </w:p>
    <w:p>
      <w:pPr>
        <w:ind w:left="720" w:hanging="413"/>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Indicates a party-in-interest to the Plan.</w:t>
      </w:r>
    </w:p>
    <w:p>
      <w:pPr>
        <w:spacing w:after="0" w:line="346"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6"/>
          <w:szCs w:val="16"/>
          <w:color w:val="auto"/>
        </w:rPr>
        <w:t>Note: Column (d), cost, is not applicable, as all investments are participant-directed.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8" w:right="239" w:bottom="1440" w:gutter="0" w:footer="0" w:header="0"/>
          <w:type w:val="continuous"/>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Shawnlee Construction LLC, as Plan Administrator, has duly caused this annual report to be signed on its behalf by the undersigned hereunto duly authorized.</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Shawnlee Construction LLC 401(k) Plan</w:t>
            </w: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June 22, 2016</w:t>
            </w:r>
          </w:p>
        </w:tc>
        <w:tc>
          <w:tcPr>
            <w:tcW w:w="4340" w:type="dxa"/>
            <w:vAlign w:val="bottom"/>
          </w:tcPr>
          <w:p>
            <w:pPr>
              <w:ind w:left="40"/>
              <w:spacing w:after="0"/>
              <w:rPr>
                <w:sz w:val="20"/>
                <w:szCs w:val="20"/>
                <w:color w:val="auto"/>
              </w:rPr>
            </w:pPr>
            <w:r>
              <w:rPr>
                <w:rFonts w:ascii="Arial" w:cs="Arial" w:eastAsia="Arial" w:hAnsi="Arial"/>
                <w:sz w:val="18"/>
                <w:szCs w:val="18"/>
                <w:color w:val="auto"/>
              </w:rPr>
              <w:t>/s/ Gerald Simmer</w:t>
            </w:r>
          </w:p>
        </w:tc>
      </w:tr>
      <w:tr>
        <w:trPr>
          <w:trHeight w:val="34"/>
        </w:trPr>
        <w:tc>
          <w:tcPr>
            <w:tcW w:w="66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Gerald Simmer,</w:t>
            </w:r>
          </w:p>
        </w:tc>
      </w:tr>
      <w:tr>
        <w:trPr>
          <w:trHeight w:val="270"/>
        </w:trPr>
        <w:tc>
          <w:tcPr>
            <w:tcW w:w="66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Shawnlee Construction LLC, Plan Administrator</w:t>
            </w:r>
          </w:p>
        </w:tc>
      </w:tr>
      <w:tr>
        <w:trPr>
          <w:trHeight w:val="486"/>
        </w:trPr>
        <w:tc>
          <w:tcPr>
            <w:tcW w:w="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INDEX</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Exhibit No.</w:t>
            </w:r>
          </w:p>
        </w:tc>
        <w:tc>
          <w:tcPr>
            <w:tcW w:w="10340" w:type="dxa"/>
            <w:vAlign w:val="bottom"/>
            <w:gridSpan w:val="3"/>
          </w:tcPr>
          <w:p>
            <w:pPr>
              <w:ind w:left="220"/>
              <w:spacing w:after="0"/>
              <w:rPr>
                <w:sz w:val="20"/>
                <w:szCs w:val="20"/>
                <w:color w:val="auto"/>
              </w:rPr>
            </w:pPr>
            <w:r>
              <w:rPr>
                <w:rFonts w:ascii="Arial" w:cs="Arial" w:eastAsia="Arial" w:hAnsi="Arial"/>
                <w:sz w:val="18"/>
                <w:szCs w:val="18"/>
                <w:color w:val="auto"/>
              </w:rPr>
              <w:t>Description</w:t>
            </w:r>
          </w:p>
        </w:tc>
      </w:tr>
      <w:tr>
        <w:trPr>
          <w:trHeight w:val="318"/>
        </w:trPr>
        <w:tc>
          <w:tcPr>
            <w:tcW w:w="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9280" w:type="dxa"/>
            <w:vAlign w:val="bottom"/>
          </w:tcPr>
          <w:p>
            <w:pPr>
              <w:spacing w:after="0"/>
              <w:rPr>
                <w:sz w:val="24"/>
                <w:szCs w:val="24"/>
                <w:color w:val="auto"/>
              </w:rPr>
            </w:pPr>
          </w:p>
        </w:tc>
      </w:tr>
      <w:tr>
        <w:trPr>
          <w:trHeight w:val="243"/>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21"/>
                <w:szCs w:val="21"/>
                <w:color w:val="auto"/>
              </w:rPr>
            </w:pPr>
          </w:p>
        </w:tc>
        <w:tc>
          <w:tcPr>
            <w:tcW w:w="10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Consent of BDO USA, LLP</w:t>
            </w:r>
          </w:p>
        </w:tc>
      </w:tr>
      <w:tr>
        <w:trPr>
          <w:trHeight w:val="27"/>
        </w:trPr>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9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102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t>Exhibit 23</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Shawnlee Construction, LLC 401(k)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Plainville, Massachusetts</w:t>
      </w:r>
    </w:p>
    <w:p>
      <w:pPr>
        <w:spacing w:after="0" w:line="211"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We hereby consent to the incorporation by reference in the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8 (333-156596) of Shawnlee Construction LLC of our report dated June 22, 2016, relating to the financial statements and supplemental schedule of Shawnlee Construction LLC 401(k) Plan which appears in this Form 11-K for the year ended December 31, 2015.</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246620" cy="77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sectPr>
      <w:pgSz w:w="11900" w:h="16838" w:orient="portrait"/>
      <w:cols w:equalWidth="0" w:num="1">
        <w:col w:w="11420"/>
      </w:cols>
      <w:pgMar w:left="240" w:top="13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1."/>
      <w:numFmt w:val="decimal"/>
      <w:start w:val="4"/>
    </w:lvl>
  </w:abstractNum>
  <w:abstractNum w:abstractNumId="6">
    <w:nsid w:val="515F007C"/>
    <w:multiLevelType w:val="hybridMultilevel"/>
    <w:lvl w:ilvl="0">
      <w:lvlJc w:val="left"/>
      <w:lvlText w:val="%1."/>
      <w:numFmt w:val="decimal"/>
      <w:start w:val="5"/>
    </w:lvl>
  </w:abstractNum>
  <w:abstractNum w:abstractNumId="7">
    <w:nsid w:val="5BD062C2"/>
    <w:multiLevelType w:val="hybridMultilevel"/>
    <w:lvl w:ilvl="0">
      <w:lvlJc w:val="left"/>
      <w:lvlText w:val="%1."/>
      <w:numFmt w:val="decimal"/>
      <w:start w:val="6"/>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2019-12-06T04:18:50Z</dcterms:created>
  <dcterms:modified xsi:type="dcterms:W3CDTF">2019-12-06T04:18:50Z</dcterms:modified>
</cp:coreProperties>
</file>