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377190</wp:posOffset>
            </wp:positionV>
            <wp:extent cx="6497955" cy="857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857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7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2" w:lineRule="exact"/>
        <w:rPr>
          <w:sz w:val="24"/>
          <w:szCs w:val="24"/>
          <w:color w:val="auto"/>
        </w:rPr>
      </w:pPr>
    </w:p>
    <w:p>
      <w:pPr>
        <w:ind w:left="280" w:hanging="270"/>
        <w:spacing w:after="0"/>
        <w:tabs>
          <w:tab w:leader="none" w:pos="28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u w:val="single" w:color="auto"/>
          <w:color w:val="auto"/>
        </w:rPr>
        <w:t>September 28, 2024</w:t>
      </w:r>
    </w:p>
    <w:p>
      <w:pPr>
        <w:spacing w:after="0" w:line="18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OR</w:t>
      </w:r>
    </w:p>
    <w:p>
      <w:pPr>
        <w:spacing w:after="0" w:line="239" w:lineRule="exact"/>
        <w:rPr>
          <w:sz w:val="24"/>
          <w:szCs w:val="24"/>
          <w:color w:val="auto"/>
        </w:rPr>
      </w:pPr>
    </w:p>
    <w:p>
      <w:pPr>
        <w:ind w:left="3860" w:right="1280" w:hanging="3850"/>
        <w:spacing w:after="0" w:line="396" w:lineRule="auto"/>
        <w:tabs>
          <w:tab w:leader="none" w:pos="273"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 xml:space="preserve">TRANSITION REPORT PURSUANT TO SECTION 13 OR 15(d) OF THE SECURITIES EXCHANGE ACT OF 1934 Commission File Number </w:t>
      </w:r>
      <w:r>
        <w:rPr>
          <w:rFonts w:ascii="Times New Roman" w:cs="Times New Roman" w:eastAsia="Times New Roman" w:hAnsi="Times New Roman"/>
          <w:sz w:val="18"/>
          <w:szCs w:val="18"/>
          <w:u w:val="single" w:color="auto"/>
          <w:color w:val="auto"/>
        </w:rPr>
        <w:t>0-22684</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7"/>
          <w:szCs w:val="27"/>
          <w:b w:val="1"/>
          <w:bCs w:val="1"/>
          <w:color w:val="auto"/>
        </w:rPr>
        <w:t>UFP INDUSTRIES, INC.</w:t>
      </w:r>
    </w:p>
    <w:p>
      <w:pPr>
        <w:spacing w:after="0" w:line="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9" w:lineRule="exact"/>
        <w:rPr>
          <w:sz w:val="24"/>
          <w:szCs w:val="24"/>
          <w:color w:val="auto"/>
        </w:rPr>
      </w:pPr>
    </w:p>
    <w:tbl>
      <w:tblPr>
        <w:tblLayout w:type="fixed"/>
        <w:tblInd w:w="520" w:type="dxa"/>
        <w:tblCellMar>
          <w:top w:w="0" w:type="dxa"/>
          <w:left w:w="0" w:type="dxa"/>
          <w:bottom w:w="0" w:type="dxa"/>
          <w:right w:w="0" w:type="dxa"/>
        </w:tblCellMar>
      </w:tblPr>
      <w:tr>
        <w:trPr>
          <w:trHeight w:val="241"/>
        </w:trPr>
        <w:tc>
          <w:tcPr>
            <w:tcW w:w="5320" w:type="dxa"/>
            <w:vAlign w:val="bottom"/>
            <w:gridSpan w:val="4"/>
          </w:tcPr>
          <w:p>
            <w:pPr>
              <w:jc w:val="center"/>
              <w:ind w:right="1260"/>
              <w:spacing w:after="0"/>
              <w:rPr>
                <w:sz w:val="20"/>
                <w:szCs w:val="20"/>
                <w:color w:val="auto"/>
              </w:rPr>
            </w:pPr>
            <w:r>
              <w:rPr>
                <w:rFonts w:ascii="Times New Roman" w:cs="Times New Roman" w:eastAsia="Times New Roman" w:hAnsi="Times New Roman"/>
                <w:sz w:val="18"/>
                <w:szCs w:val="18"/>
                <w:color w:val="auto"/>
              </w:rPr>
              <w:t>Michigan</w:t>
            </w:r>
          </w:p>
        </w:tc>
        <w:tc>
          <w:tcPr>
            <w:tcW w:w="392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rPr>
              <w:t>38-1465835</w:t>
            </w:r>
          </w:p>
        </w:tc>
      </w:tr>
      <w:tr>
        <w:trPr>
          <w:trHeight w:val="198"/>
        </w:trPr>
        <w:tc>
          <w:tcPr>
            <w:tcW w:w="41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920" w:type="dxa"/>
            <w:vAlign w:val="bottom"/>
            <w:tcBorders>
              <w:top w:val="single" w:sz="8" w:color="auto"/>
            </w:tcBorders>
          </w:tcPr>
          <w:p>
            <w:pPr>
              <w:jc w:val="center"/>
              <w:ind w:right="210"/>
              <w:spacing w:after="0" w:line="198" w:lineRule="exact"/>
              <w:rPr>
                <w:sz w:val="20"/>
                <w:szCs w:val="20"/>
                <w:color w:val="auto"/>
              </w:rPr>
            </w:pPr>
            <w:r>
              <w:rPr>
                <w:rFonts w:ascii="Times New Roman" w:cs="Times New Roman" w:eastAsia="Times New Roman" w:hAnsi="Times New Roman"/>
                <w:sz w:val="18"/>
                <w:szCs w:val="18"/>
                <w:color w:val="auto"/>
                <w:w w:val="99"/>
              </w:rPr>
              <w:t>(I.R.S. Employer Identification Number)</w:t>
            </w:r>
          </w:p>
        </w:tc>
      </w:tr>
      <w:tr>
        <w:trPr>
          <w:trHeight w:val="234"/>
        </w:trPr>
        <w:tc>
          <w:tcPr>
            <w:tcW w:w="5320" w:type="dxa"/>
            <w:vAlign w:val="bottom"/>
            <w:gridSpan w:val="4"/>
          </w:tcPr>
          <w:p>
            <w:pPr>
              <w:jc w:val="center"/>
              <w:ind w:right="1280"/>
              <w:spacing w:after="0"/>
              <w:rPr>
                <w:sz w:val="20"/>
                <w:szCs w:val="20"/>
                <w:color w:val="auto"/>
              </w:rPr>
            </w:pPr>
            <w:r>
              <w:rPr>
                <w:rFonts w:ascii="Times New Roman" w:cs="Times New Roman" w:eastAsia="Times New Roman" w:hAnsi="Times New Roman"/>
                <w:sz w:val="18"/>
                <w:szCs w:val="18"/>
                <w:color w:val="auto"/>
                <w:w w:val="99"/>
              </w:rPr>
              <w:t>organization)</w:t>
            </w:r>
          </w:p>
        </w:tc>
        <w:tc>
          <w:tcPr>
            <w:tcW w:w="3920" w:type="dxa"/>
            <w:vAlign w:val="bottom"/>
          </w:tcPr>
          <w:p>
            <w:pPr>
              <w:spacing w:after="0"/>
              <w:rPr>
                <w:sz w:val="20"/>
                <w:szCs w:val="20"/>
                <w:color w:val="auto"/>
              </w:rPr>
            </w:pPr>
          </w:p>
        </w:tc>
      </w:tr>
      <w:tr>
        <w:trPr>
          <w:trHeight w:val="439"/>
        </w:trPr>
        <w:tc>
          <w:tcPr>
            <w:tcW w:w="5320" w:type="dxa"/>
            <w:vAlign w:val="bottom"/>
            <w:gridSpan w:val="4"/>
          </w:tcPr>
          <w:p>
            <w:pPr>
              <w:jc w:val="center"/>
              <w:ind w:right="1280"/>
              <w:spacing w:after="0"/>
              <w:rPr>
                <w:sz w:val="20"/>
                <w:szCs w:val="20"/>
                <w:color w:val="auto"/>
              </w:rPr>
            </w:pPr>
            <w:r>
              <w:rPr>
                <w:rFonts w:ascii="Times New Roman" w:cs="Times New Roman" w:eastAsia="Times New Roman" w:hAnsi="Times New Roman"/>
                <w:sz w:val="18"/>
                <w:szCs w:val="18"/>
                <w:color w:val="auto"/>
                <w:w w:val="99"/>
              </w:rPr>
              <w:t>2801 East Beltline NE, Grand Rapids, Michigan</w:t>
            </w:r>
          </w:p>
        </w:tc>
        <w:tc>
          <w:tcPr>
            <w:tcW w:w="392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49525</w:t>
            </w:r>
          </w:p>
        </w:tc>
      </w:tr>
      <w:tr>
        <w:trPr>
          <w:trHeight w:val="234"/>
        </w:trPr>
        <w:tc>
          <w:tcPr>
            <w:tcW w:w="4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920" w:type="dxa"/>
            <w:vAlign w:val="bottom"/>
            <w:tcBorders>
              <w:top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(Zip Code)</w:t>
            </w:r>
          </w:p>
        </w:tc>
      </w:tr>
      <w:tr>
        <w:trPr>
          <w:trHeight w:val="360"/>
        </w:trPr>
        <w:tc>
          <w:tcPr>
            <w:tcW w:w="532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 (616) 364-6161</w:t>
            </w:r>
          </w:p>
        </w:tc>
        <w:tc>
          <w:tcPr>
            <w:tcW w:w="3920" w:type="dxa"/>
            <w:vAlign w:val="bottom"/>
          </w:tcPr>
          <w:p>
            <w:pPr>
              <w:spacing w:after="0"/>
              <w:rPr>
                <w:sz w:val="24"/>
                <w:szCs w:val="24"/>
                <w:color w:val="auto"/>
              </w:rPr>
            </w:pPr>
          </w:p>
        </w:tc>
      </w:tr>
      <w:tr>
        <w:trPr>
          <w:trHeight w:val="20"/>
        </w:trPr>
        <w:tc>
          <w:tcPr>
            <w:tcW w:w="4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bl>
    <w:p>
      <w:pPr>
        <w:spacing w:after="0" w:line="22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17145</wp:posOffset>
            </wp:positionV>
            <wp:extent cx="29743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74340" cy="17145"/>
                    </a:xfrm>
                    <a:prstGeom prst="rect">
                      <a:avLst/>
                    </a:prstGeom>
                    <a:noFill/>
                  </pic:spPr>
                </pic:pic>
              </a:graphicData>
            </a:graphic>
          </wp:anchor>
        </w:drawing>
      </w:r>
    </w:p>
    <w:p>
      <w:pPr>
        <w:spacing w:after="0" w:line="1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223"/>
        </w:trPr>
        <w:tc>
          <w:tcPr>
            <w:tcW w:w="2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Title of Each Class</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5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6"/>
        </w:trPr>
        <w:tc>
          <w:tcPr>
            <w:tcW w:w="2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$1 par value</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UFPI</w:t>
            </w:r>
          </w:p>
        </w:tc>
        <w:tc>
          <w:tcPr>
            <w:tcW w:w="5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tc>
      </w:tr>
    </w:tbl>
    <w:p>
      <w:pPr>
        <w:spacing w:after="0" w:line="198" w:lineRule="exact"/>
        <w:rPr>
          <w:sz w:val="24"/>
          <w:szCs w:val="24"/>
          <w:color w:val="auto"/>
        </w:rPr>
      </w:pPr>
    </w:p>
    <w:p>
      <w:pPr>
        <w:jc w:val="both"/>
        <w:ind w:left="20" w:right="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63" w:lineRule="exact"/>
        <w:rPr>
          <w:sz w:val="24"/>
          <w:szCs w:val="24"/>
          <w:color w:val="auto"/>
        </w:rPr>
      </w:pPr>
    </w:p>
    <w:p>
      <w:pPr>
        <w:jc w:val="both"/>
        <w:ind w:left="20" w:right="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63" w:lineRule="exact"/>
        <w:rPr>
          <w:sz w:val="24"/>
          <w:szCs w:val="24"/>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60"/>
          </w:cols>
          <w:pgMar w:left="820" w:top="688" w:right="819" w:bottom="1440" w:gutter="0" w:footer="0" w:header="0"/>
        </w:sectPr>
      </w:pPr>
    </w:p>
    <w:p>
      <w:pPr>
        <w:spacing w:after="0" w:line="41" w:lineRule="exact"/>
        <w:rPr>
          <w:sz w:val="24"/>
          <w:szCs w:val="24"/>
          <w:color w:val="auto"/>
        </w:rPr>
      </w:pPr>
    </w:p>
    <w:p>
      <w:pPr>
        <w:ind w:left="540"/>
        <w:spacing w:after="0" w:line="242"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ind w:right="800"/>
        <w:spacing w:after="0" w:line="245"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Emerging Growth Company</w:t>
      </w:r>
    </w:p>
    <w:p>
      <w:pPr>
        <w:spacing w:after="0" w:line="51" w:lineRule="exact"/>
        <w:rPr>
          <w:sz w:val="24"/>
          <w:szCs w:val="24"/>
          <w:color w:val="auto"/>
        </w:rPr>
      </w:pPr>
    </w:p>
    <w:p>
      <w:pPr>
        <w:sectPr>
          <w:pgSz w:w="11900" w:h="16838" w:orient="portrait"/>
          <w:cols w:equalWidth="0" w:num="4">
            <w:col w:w="2500" w:space="660"/>
            <w:col w:w="1440" w:space="280"/>
            <w:col w:w="1820" w:space="480"/>
            <w:col w:w="3080"/>
          </w:cols>
          <w:pgMar w:left="820" w:top="688" w:right="819" w:bottom="1440" w:gutter="0" w:footer="0" w:header="0"/>
          <w:type w:val="continuous"/>
        </w:sectPr>
      </w:pPr>
    </w:p>
    <w:p>
      <w:pPr>
        <w:ind w:left="20" w:right="200"/>
        <w:spacing w:after="0" w:line="24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21" w:lineRule="exact"/>
        <w:rPr>
          <w:sz w:val="24"/>
          <w:szCs w:val="24"/>
          <w:color w:val="auto"/>
        </w:rPr>
      </w:pPr>
    </w:p>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is a shell company (as defined by Rule 12b-2 of the Exchange Act).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12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Class</w:t>
            </w:r>
          </w:p>
        </w:tc>
        <w:tc>
          <w:tcPr>
            <w:tcW w:w="506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color w:val="auto"/>
                <w:w w:val="99"/>
              </w:rPr>
              <w:t>Outstanding as of September 28, 2024</w:t>
            </w:r>
          </w:p>
        </w:tc>
      </w:tr>
      <w:tr>
        <w:trPr>
          <w:trHeight w:val="234"/>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$1 par value</w:t>
            </w:r>
          </w:p>
        </w:tc>
        <w:tc>
          <w:tcPr>
            <w:tcW w:w="200" w:type="dxa"/>
            <w:vAlign w:val="bottom"/>
          </w:tcPr>
          <w:p>
            <w:pPr>
              <w:spacing w:after="0"/>
              <w:rPr>
                <w:sz w:val="20"/>
                <w:szCs w:val="20"/>
                <w:color w:val="auto"/>
              </w:rPr>
            </w:pPr>
          </w:p>
        </w:tc>
        <w:tc>
          <w:tcPr>
            <w:tcW w:w="4000" w:type="dxa"/>
            <w:vAlign w:val="bottom"/>
            <w:tcBorders>
              <w:top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color w:val="auto"/>
              </w:rPr>
              <w:t>60,724,664</w:t>
            </w:r>
          </w:p>
        </w:tc>
        <w:tc>
          <w:tcPr>
            <w:tcW w:w="1060" w:type="dxa"/>
            <w:vAlign w:val="bottom"/>
          </w:tcPr>
          <w:p>
            <w:pPr>
              <w:spacing w:after="0"/>
              <w:rPr>
                <w:sz w:val="20"/>
                <w:szCs w:val="20"/>
                <w:color w:val="auto"/>
              </w:rPr>
            </w:pPr>
          </w:p>
        </w:tc>
      </w:tr>
      <w:tr>
        <w:trPr>
          <w:trHeight w:val="130"/>
        </w:trPr>
        <w:tc>
          <w:tcPr>
            <w:tcW w:w="4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39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r>
      <w:tr>
        <w:trPr>
          <w:trHeight w:val="95"/>
        </w:trPr>
        <w:tc>
          <w:tcPr>
            <w:tcW w:w="40" w:type="dxa"/>
            <w:vAlign w:val="bottom"/>
            <w:tcBorders>
              <w:right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9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00" w:type="dxa"/>
            <w:vAlign w:val="bottom"/>
            <w:tcBorders>
              <w:bottom w:val="single" w:sz="8" w:color="auto"/>
            </w:tcBorders>
          </w:tcPr>
          <w:p>
            <w:pPr>
              <w:spacing w:after="0"/>
              <w:rPr>
                <w:sz w:val="8"/>
                <w:szCs w:val="8"/>
                <w:color w:val="auto"/>
              </w:rPr>
            </w:pPr>
          </w:p>
        </w:tc>
        <w:tc>
          <w:tcPr>
            <w:tcW w:w="1060" w:type="dxa"/>
            <w:vAlign w:val="bottom"/>
            <w:tcBorders>
              <w:bottom w:val="single" w:sz="8" w:color="auto"/>
              <w:right w:val="single" w:sz="8" w:color="auto"/>
            </w:tcBorders>
          </w:tcPr>
          <w:p>
            <w:pPr>
              <w:spacing w:after="0"/>
              <w:rPr>
                <w:sz w:val="8"/>
                <w:szCs w:val="8"/>
                <w:color w:val="auto"/>
              </w:rPr>
            </w:pPr>
          </w:p>
        </w:tc>
      </w:tr>
      <w:tr>
        <w:trPr>
          <w:trHeight w:val="574"/>
        </w:trPr>
        <w:tc>
          <w:tcPr>
            <w:tcW w:w="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10260"/>
          </w:cols>
          <w:pgMar w:left="820" w:top="688" w:right="819" w:bottom="144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5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EE"/>
              </w:rPr>
              <w:t>Table of Contents</w:t>
            </w: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466"/>
        </w:trPr>
        <w:tc>
          <w:tcPr>
            <w:tcW w:w="2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80" w:type="dxa"/>
            <w:vAlign w:val="bottom"/>
            <w:gridSpan w:val="10"/>
          </w:tcPr>
          <w:p>
            <w:pPr>
              <w:ind w:left="120"/>
              <w:spacing w:after="0"/>
              <w:rPr>
                <w:sz w:val="20"/>
                <w:szCs w:val="20"/>
                <w:color w:val="auto"/>
              </w:rPr>
            </w:pPr>
            <w:r>
              <w:rPr>
                <w:rFonts w:ascii="Times New Roman" w:cs="Times New Roman" w:eastAsia="Times New Roman" w:hAnsi="Times New Roman"/>
                <w:sz w:val="18"/>
                <w:szCs w:val="18"/>
                <w:b w:val="1"/>
                <w:bCs w:val="1"/>
                <w:color w:val="auto"/>
              </w:rPr>
              <w:t>UFP INDUSTRIES, INC.</w:t>
            </w:r>
          </w:p>
        </w:tc>
        <w:tc>
          <w:tcPr>
            <w:tcW w:w="760" w:type="dxa"/>
            <w:vAlign w:val="bottom"/>
          </w:tcPr>
          <w:p>
            <w:pPr>
              <w:spacing w:after="0"/>
              <w:rPr>
                <w:sz w:val="24"/>
                <w:szCs w:val="24"/>
                <w:color w:val="auto"/>
              </w:rPr>
            </w:pPr>
          </w:p>
        </w:tc>
      </w:tr>
      <w:tr>
        <w:trPr>
          <w:trHeight w:val="486"/>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80" w:type="dxa"/>
            <w:vAlign w:val="bottom"/>
            <w:gridSpan w:val="10"/>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60" w:type="dxa"/>
            <w:vAlign w:val="bottom"/>
          </w:tcPr>
          <w:p>
            <w:pPr>
              <w:spacing w:after="0"/>
              <w:rPr>
                <w:sz w:val="24"/>
                <w:szCs w:val="24"/>
                <w:color w:val="auto"/>
              </w:rPr>
            </w:pPr>
          </w:p>
        </w:tc>
      </w:tr>
      <w:tr>
        <w:trPr>
          <w:trHeight w:val="452"/>
        </w:trPr>
        <w:tc>
          <w:tcPr>
            <w:tcW w:w="158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560" w:type="dxa"/>
            <w:vAlign w:val="bottom"/>
            <w:gridSpan w:val="15"/>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Page No.</w:t>
            </w: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Item 1.</w:t>
            </w:r>
          </w:p>
        </w:tc>
        <w:tc>
          <w:tcPr>
            <w:tcW w:w="6560" w:type="dxa"/>
            <w:vAlign w:val="bottom"/>
            <w:gridSpan w:val="1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Statements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520" w:type="dxa"/>
            <w:vAlign w:val="bottom"/>
            <w:tcBorders>
              <w:bottom w:val="single" w:sz="8" w:color="0000EE"/>
            </w:tcBorders>
            <w:gridSpan w:val="1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at September 28, 2024, December 30, 2023 and</w:t>
            </w:r>
          </w:p>
        </w:tc>
        <w:tc>
          <w:tcPr>
            <w:tcW w:w="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r>
      <w:tr>
        <w:trPr>
          <w:trHeight w:val="216"/>
        </w:trPr>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560" w:type="dxa"/>
            <w:vAlign w:val="bottom"/>
            <w:gridSpan w:val="15"/>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September 30, 2023</w:t>
            </w:r>
          </w:p>
        </w:tc>
        <w:tc>
          <w:tcPr>
            <w:tcW w:w="7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560" w:type="dxa"/>
            <w:vAlign w:val="bottom"/>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Earnings and Comprehensive Income for the</w:t>
            </w:r>
          </w:p>
        </w:tc>
        <w:tc>
          <w:tcPr>
            <w:tcW w:w="760" w:type="dxa"/>
            <w:vAlign w:val="bottom"/>
            <w:shd w:val="clear" w:color="auto" w:fill="CCEEFF"/>
          </w:tcPr>
          <w:p>
            <w:pPr>
              <w:spacing w:after="0"/>
              <w:rPr>
                <w:sz w:val="15"/>
                <w:szCs w:val="15"/>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500" w:type="dxa"/>
            <w:vAlign w:val="bottom"/>
            <w:tcBorders>
              <w:top w:val="single" w:sz="8" w:color="0000EE"/>
            </w:tcBorders>
            <w:gridSpan w:val="1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Three and Nine Months Ended September 28, 2024 and September 30, 2023</w:t>
            </w:r>
          </w:p>
        </w:tc>
        <w:tc>
          <w:tcPr>
            <w:tcW w:w="60" w:type="dxa"/>
            <w:vAlign w:val="bottom"/>
            <w:tcBorders>
              <w:top w:val="single" w:sz="8" w:color="CCEEFF"/>
            </w:tcBorders>
            <w:gridSpan w:val="2"/>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5"/>
        </w:trPr>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560" w:type="dxa"/>
            <w:vAlign w:val="bottom"/>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Shareholders’ Equity for the Three and Nine</w:t>
            </w:r>
          </w:p>
        </w:tc>
        <w:tc>
          <w:tcPr>
            <w:tcW w:w="760" w:type="dxa"/>
            <w:vAlign w:val="bottom"/>
            <w:shd w:val="clear" w:color="auto" w:fill="CCEEFF"/>
          </w:tcPr>
          <w:p>
            <w:pPr>
              <w:spacing w:after="0"/>
              <w:rPr>
                <w:sz w:val="15"/>
                <w:szCs w:val="15"/>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500" w:type="dxa"/>
            <w:vAlign w:val="bottom"/>
            <w:tcBorders>
              <w:top w:val="single" w:sz="8" w:color="0000EE"/>
            </w:tcBorders>
            <w:gridSpan w:val="1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Months Ended September 28, 2024 and September 30, 2023</w:t>
            </w:r>
          </w:p>
        </w:tc>
        <w:tc>
          <w:tcPr>
            <w:tcW w:w="60" w:type="dxa"/>
            <w:vAlign w:val="bottom"/>
            <w:tcBorders>
              <w:top w:val="single" w:sz="8" w:color="CCEEFF"/>
            </w:tcBorders>
            <w:gridSpan w:val="2"/>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5"/>
        </w:trPr>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560" w:type="dxa"/>
            <w:vAlign w:val="bottom"/>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Nine  Months  Ended</w:t>
            </w:r>
          </w:p>
        </w:tc>
        <w:tc>
          <w:tcPr>
            <w:tcW w:w="760" w:type="dxa"/>
            <w:vAlign w:val="bottom"/>
            <w:shd w:val="clear" w:color="auto" w:fill="CCEEFF"/>
          </w:tcPr>
          <w:p>
            <w:pPr>
              <w:spacing w:after="0"/>
              <w:rPr>
                <w:sz w:val="15"/>
                <w:szCs w:val="15"/>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500" w:type="dxa"/>
            <w:vAlign w:val="bottom"/>
            <w:tcBorders>
              <w:top w:val="single" w:sz="8" w:color="0000EE"/>
            </w:tcBorders>
            <w:gridSpan w:val="1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September 28, 2024 and September 30, 2023</w:t>
            </w:r>
          </w:p>
        </w:tc>
        <w:tc>
          <w:tcPr>
            <w:tcW w:w="60" w:type="dxa"/>
            <w:vAlign w:val="bottom"/>
            <w:tcBorders>
              <w:top w:val="single" w:sz="8" w:color="CCEEFF"/>
            </w:tcBorders>
            <w:gridSpan w:val="2"/>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560" w:type="dxa"/>
            <w:vAlign w:val="bottom"/>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6560" w:type="dxa"/>
            <w:vAlign w:val="bottom"/>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17</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6560" w:type="dxa"/>
            <w:vAlign w:val="bottom"/>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6560" w:type="dxa"/>
            <w:vAlign w:val="bottom"/>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r>
      <w:tr>
        <w:trPr>
          <w:trHeight w:val="216"/>
        </w:trPr>
        <w:tc>
          <w:tcPr>
            <w:tcW w:w="840" w:type="dxa"/>
            <w:vAlign w:val="bottom"/>
            <w:tcBorders>
              <w:top w:val="single" w:sz="8" w:color="CCEEFF"/>
            </w:tcBorders>
            <w:gridSpan w:val="2"/>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216"/>
        </w:trPr>
        <w:tc>
          <w:tcPr>
            <w:tcW w:w="158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560" w:type="dxa"/>
            <w:vAlign w:val="bottom"/>
            <w:gridSpan w:val="1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Item 1.</w:t>
            </w:r>
          </w:p>
        </w:tc>
        <w:tc>
          <w:tcPr>
            <w:tcW w:w="6560" w:type="dxa"/>
            <w:vAlign w:val="bottom"/>
            <w:gridSpan w:val="1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Proceedings – NONE</w:t>
            </w: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1A.</w:t>
            </w:r>
          </w:p>
        </w:tc>
        <w:tc>
          <w:tcPr>
            <w:tcW w:w="6560" w:type="dxa"/>
            <w:vAlign w:val="bottom"/>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Risk Factors - NONE</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6560" w:type="dxa"/>
            <w:vAlign w:val="bottom"/>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Item 3.</w:t>
            </w:r>
          </w:p>
        </w:tc>
        <w:tc>
          <w:tcPr>
            <w:tcW w:w="6560" w:type="dxa"/>
            <w:vAlign w:val="bottom"/>
            <w:gridSpan w:val="1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Defaults upon Senior Securities – NONE</w:t>
            </w: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Item 4.</w:t>
            </w:r>
          </w:p>
        </w:tc>
        <w:tc>
          <w:tcPr>
            <w:tcW w:w="6560" w:type="dxa"/>
            <w:vAlign w:val="bottom"/>
            <w:gridSpan w:val="1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Mine Safety Disclosures – NONE</w:t>
            </w: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5.</w:t>
            </w:r>
          </w:p>
        </w:tc>
        <w:tc>
          <w:tcPr>
            <w:tcW w:w="6560" w:type="dxa"/>
            <w:vAlign w:val="bottom"/>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5"/>
        </w:trPr>
        <w:tc>
          <w:tcPr>
            <w:tcW w:w="20" w:type="dxa"/>
            <w:vAlign w:val="bottom"/>
            <w:shd w:val="clear" w:color="auto" w:fill="CCEEFF"/>
          </w:tcPr>
          <w:p>
            <w:pPr>
              <w:spacing w:after="0"/>
              <w:rPr>
                <w:sz w:val="15"/>
                <w:szCs w:val="15"/>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6.</w:t>
            </w:r>
          </w:p>
        </w:tc>
        <w:tc>
          <w:tcPr>
            <w:tcW w:w="6560" w:type="dxa"/>
            <w:vAlign w:val="bottom"/>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27"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24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28,</w:t>
            </w:r>
          </w:p>
        </w:tc>
        <w:tc>
          <w:tcPr>
            <w:tcW w:w="220" w:type="dxa"/>
            <w:vAlign w:val="bottom"/>
          </w:tcPr>
          <w:p>
            <w:pPr>
              <w:spacing w:after="0"/>
              <w:rPr>
                <w:sz w:val="13"/>
                <w:szCs w:val="13"/>
                <w:color w:val="auto"/>
              </w:rPr>
            </w:pP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20" w:type="dxa"/>
            <w:vAlign w:val="bottom"/>
          </w:tcPr>
          <w:p>
            <w:pPr>
              <w:spacing w:after="0"/>
              <w:rPr>
                <w:sz w:val="13"/>
                <w:szCs w:val="13"/>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0"/>
        </w:trPr>
        <w:tc>
          <w:tcPr>
            <w:tcW w:w="52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440" w:type="dxa"/>
            <w:vAlign w:val="bottom"/>
            <w:gridSpan w:val="2"/>
            <w:shd w:val="clear" w:color="auto" w:fill="CCEEFF"/>
          </w:tcPr>
          <w:p>
            <w:pPr>
              <w:jc w:val="right"/>
              <w:ind w:right="76"/>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1,190,807</w:t>
            </w:r>
          </w:p>
        </w:tc>
        <w:tc>
          <w:tcPr>
            <w:tcW w:w="420" w:type="dxa"/>
            <w:vAlign w:val="bottom"/>
            <w:gridSpan w:val="2"/>
            <w:shd w:val="clear" w:color="auto" w:fill="CCEEFF"/>
          </w:tcPr>
          <w:p>
            <w:pPr>
              <w:jc w:val="right"/>
              <w:ind w:right="76"/>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1,118,329</w:t>
            </w:r>
          </w:p>
        </w:tc>
        <w:tc>
          <w:tcPr>
            <w:tcW w:w="2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56"/>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957,092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3,927</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Investments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38,935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34,745</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37,062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650,869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549,499</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697,555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Raw materials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337,180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352,785</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316,628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220" w:type="dxa"/>
            <w:vAlign w:val="bottom"/>
            <w:tcBorders>
              <w:bottom w:val="single" w:sz="8" w:color="CCEEFF"/>
            </w:tcBorders>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Finished goods</w:t>
            </w:r>
          </w:p>
        </w:tc>
        <w:tc>
          <w:tcPr>
            <w:tcW w:w="2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308,249</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375,003</w:t>
            </w:r>
          </w:p>
        </w:tc>
        <w:tc>
          <w:tcPr>
            <w:tcW w:w="2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428,119</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220" w:type="dxa"/>
            <w:vAlign w:val="bottom"/>
          </w:tcPr>
          <w:p>
            <w:pPr>
              <w:ind w:left="420"/>
              <w:spacing w:after="0" w:line="136" w:lineRule="exact"/>
              <w:rPr>
                <w:sz w:val="20"/>
                <w:szCs w:val="20"/>
                <w:color w:val="auto"/>
              </w:rPr>
            </w:pPr>
            <w:r>
              <w:rPr>
                <w:rFonts w:ascii="Times New Roman" w:cs="Times New Roman" w:eastAsia="Times New Roman" w:hAnsi="Times New Roman"/>
                <w:sz w:val="14"/>
                <w:szCs w:val="14"/>
                <w:color w:val="auto"/>
              </w:rPr>
              <w:t>Total inventories</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645,429</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727,788</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744,747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Refundable income taxes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40,883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29,327</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26,484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22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2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45,841</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38,474</w:t>
            </w:r>
          </w:p>
        </w:tc>
        <w:tc>
          <w:tcPr>
            <w:tcW w:w="2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38,421</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2,613,525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2,502,089</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2,505,122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4,118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4,228</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RESTRICTED INVESTMENTS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32,695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24,838</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23,653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RIGHT OF USE ASSETS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124,065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103,774</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106,506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98,759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87,438</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150,351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336,092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336,313</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328,221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INDEFINITE-LIVED INTANGIBLE ASSETS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7,350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7,345</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7,316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INTANGIBLE ASSETS, NET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158,199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175,195</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140,734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PROPERTY, PLANT AND EQUIPMENT:</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Property, plant and equipment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1,684,177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1,559,304</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1,487,801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220" w:type="dxa"/>
            <w:vAlign w:val="bottom"/>
            <w:tcBorders>
              <w:bottom w:val="single" w:sz="8" w:color="CCEEFF"/>
            </w:tcBorders>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2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(841,095)</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(782,727)</w:t>
            </w:r>
          </w:p>
        </w:tc>
        <w:tc>
          <w:tcPr>
            <w:tcW w:w="2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(749,109)</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220" w:type="dxa"/>
            <w:vAlign w:val="bottom"/>
            <w:tcBorders>
              <w:bottom w:val="single" w:sz="8" w:color="CCEEFF"/>
            </w:tcBorders>
          </w:tcPr>
          <w:p>
            <w:pPr>
              <w:ind w:left="400"/>
              <w:spacing w:after="0" w:line="136" w:lineRule="exact"/>
              <w:rPr>
                <w:sz w:val="20"/>
                <w:szCs w:val="20"/>
                <w:color w:val="auto"/>
              </w:rPr>
            </w:pPr>
            <w:r>
              <w:rPr>
                <w:rFonts w:ascii="Times New Roman" w:cs="Times New Roman" w:eastAsia="Times New Roman" w:hAnsi="Times New Roman"/>
                <w:sz w:val="14"/>
                <w:szCs w:val="14"/>
                <w:color w:val="auto"/>
              </w:rPr>
              <w:t>PROPERTY, PLANT AND EQUIPMENT, NET</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843,082</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776,577</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738,692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4,217,885</w:t>
            </w:r>
          </w:p>
        </w:tc>
        <w:tc>
          <w:tcPr>
            <w:tcW w:w="2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4,017,797</w:t>
            </w:r>
          </w:p>
        </w:tc>
        <w:tc>
          <w:tcPr>
            <w:tcW w:w="2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4,004,084</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2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440" w:type="dxa"/>
            <w:vAlign w:val="bottom"/>
            <w:gridSpan w:val="2"/>
          </w:tcPr>
          <w:p>
            <w:pPr>
              <w:jc w:val="right"/>
              <w:ind w:right="76"/>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239,897</w:t>
            </w:r>
          </w:p>
        </w:tc>
        <w:tc>
          <w:tcPr>
            <w:tcW w:w="420" w:type="dxa"/>
            <w:vAlign w:val="bottom"/>
            <w:gridSpan w:val="2"/>
          </w:tcPr>
          <w:p>
            <w:pPr>
              <w:jc w:val="right"/>
              <w:ind w:right="76"/>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203,055</w:t>
            </w:r>
          </w:p>
        </w:tc>
        <w:tc>
          <w:tcPr>
            <w:tcW w:w="220" w:type="dxa"/>
            <w:vAlign w:val="bottom"/>
          </w:tcPr>
          <w:p>
            <w:pPr>
              <w:spacing w:after="0"/>
              <w:rPr>
                <w:sz w:val="12"/>
                <w:szCs w:val="12"/>
                <w:color w:val="auto"/>
              </w:rPr>
            </w:pPr>
          </w:p>
        </w:tc>
        <w:tc>
          <w:tcPr>
            <w:tcW w:w="200" w:type="dxa"/>
            <w:vAlign w:val="bottom"/>
            <w:gridSpan w:val="2"/>
          </w:tcPr>
          <w:p>
            <w:pPr>
              <w:jc w:val="right"/>
              <w:ind w:right="56"/>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253,065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Compensation and benefits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216,798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232,331</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244,214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76,791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66,713</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78,691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Current portion of lease liability</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28,442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22,977</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24,326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220" w:type="dxa"/>
            <w:vAlign w:val="bottom"/>
            <w:tcBorders>
              <w:bottom w:val="single" w:sz="8" w:color="CCEEFF"/>
            </w:tcBorders>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2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44,103</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42,900</w:t>
            </w:r>
          </w:p>
        </w:tc>
        <w:tc>
          <w:tcPr>
            <w:tcW w:w="2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1,539</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220" w:type="dxa"/>
            <w:vAlign w:val="bottom"/>
          </w:tcPr>
          <w:p>
            <w:pPr>
              <w:ind w:left="420"/>
              <w:spacing w:after="0" w:line="136" w:lineRule="exact"/>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606,031</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567,976</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601,835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LONG-TERM DEBT</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232,043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233,534</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273,308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LEASE LIABILITY</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101,741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84,885</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86,571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44,695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45,248</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50,779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22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2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34,029</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35,934</w:t>
            </w:r>
          </w:p>
        </w:tc>
        <w:tc>
          <w:tcPr>
            <w:tcW w:w="2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36,040</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1,018,539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967,577</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1,048,533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TEMPORARY EQUITY:</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Redeemable noncontrolling interest</w:t>
            </w:r>
          </w:p>
        </w:tc>
        <w:tc>
          <w:tcPr>
            <w:tcW w:w="440" w:type="dxa"/>
            <w:vAlign w:val="bottom"/>
            <w:gridSpan w:val="2"/>
            <w:shd w:val="clear" w:color="auto" w:fill="CCEEFF"/>
          </w:tcPr>
          <w:p>
            <w:pPr>
              <w:jc w:val="right"/>
              <w:ind w:right="76"/>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5,527</w:t>
            </w:r>
          </w:p>
        </w:tc>
        <w:tc>
          <w:tcPr>
            <w:tcW w:w="420" w:type="dxa"/>
            <w:vAlign w:val="bottom"/>
            <w:gridSpan w:val="2"/>
            <w:shd w:val="clear" w:color="auto" w:fill="CCEEFF"/>
          </w:tcPr>
          <w:p>
            <w:pPr>
              <w:jc w:val="right"/>
              <w:ind w:right="76"/>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20,030</w:t>
            </w:r>
          </w:p>
        </w:tc>
        <w:tc>
          <w:tcPr>
            <w:tcW w:w="2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56"/>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6,788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SHAREHOLDERS’ EQUITY:</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Controlling interest shareholders’ equity:</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220" w:type="dxa"/>
            <w:vAlign w:val="bottom"/>
          </w:tcPr>
          <w:p>
            <w:pPr>
              <w:ind w:left="320"/>
              <w:spacing w:after="0" w:line="126" w:lineRule="exact"/>
              <w:rPr>
                <w:sz w:val="20"/>
                <w:szCs w:val="20"/>
                <w:color w:val="auto"/>
              </w:rPr>
            </w:pPr>
            <w:r>
              <w:rPr>
                <w:rFonts w:ascii="Times New Roman" w:cs="Times New Roman" w:eastAsia="Times New Roman" w:hAnsi="Times New Roman"/>
                <w:sz w:val="14"/>
                <w:szCs w:val="14"/>
                <w:color w:val="auto"/>
              </w:rPr>
              <w:t>Preferred stock, no par value; shares authorized 1,000,000; issued and</w:t>
            </w:r>
          </w:p>
        </w:tc>
        <w:tc>
          <w:tcPr>
            <w:tcW w:w="440" w:type="dxa"/>
            <w:vAlign w:val="bottom"/>
            <w:gridSpan w:val="2"/>
            <w:vMerge w:val="restart"/>
          </w:tcPr>
          <w:p>
            <w:pPr>
              <w:jc w:val="right"/>
              <w:ind w:right="76"/>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vMerge w:val="restart"/>
          </w:tcPr>
          <w:p>
            <w:pPr>
              <w:jc w:val="right"/>
              <w:ind w:right="76"/>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vMerge w:val="restart"/>
          </w:tcPr>
          <w:p>
            <w:pPr>
              <w:jc w:val="right"/>
              <w:ind w:right="56"/>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2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outstanding, none</w:t>
            </w:r>
          </w:p>
        </w:tc>
        <w:tc>
          <w:tcPr>
            <w:tcW w:w="44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220" w:type="dxa"/>
            <w:vAlign w:val="bottom"/>
            <w:shd w:val="clear" w:color="auto" w:fill="CCEEFF"/>
          </w:tcPr>
          <w:p>
            <w:pPr>
              <w:ind w:left="320"/>
              <w:spacing w:after="0" w:line="126" w:lineRule="exact"/>
              <w:rPr>
                <w:sz w:val="20"/>
                <w:szCs w:val="20"/>
                <w:color w:val="auto"/>
              </w:rPr>
            </w:pPr>
            <w:r>
              <w:rPr>
                <w:rFonts w:ascii="Times New Roman" w:cs="Times New Roman" w:eastAsia="Times New Roman" w:hAnsi="Times New Roman"/>
                <w:sz w:val="14"/>
                <w:szCs w:val="14"/>
                <w:color w:val="auto"/>
              </w:rPr>
              <w:t>Common stock, $1 par value; shares authorized 160,000,000; issued and</w:t>
            </w: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60,725</w:t>
            </w: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61,621</w:t>
            </w: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61,813</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outstanding, 60,724,664, 61,621,004, and 61,812,538</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389,814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354,702</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345,399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2,728,281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2,582,332</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2,517,252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220" w:type="dxa"/>
            <w:vAlign w:val="bottom"/>
            <w:tcBorders>
              <w:bottom w:val="single" w:sz="8" w:color="CCEEFF"/>
            </w:tcBorders>
          </w:tcPr>
          <w:p>
            <w:pPr>
              <w:ind w:left="32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2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(4,386)</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1,106</w:t>
            </w:r>
          </w:p>
        </w:tc>
        <w:tc>
          <w:tcPr>
            <w:tcW w:w="2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(5,083)</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Total controlling interest shareholders’ equity</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3,174,434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2,999,761</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2,919,381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22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Noncontrolling interest</w:t>
            </w:r>
          </w:p>
        </w:tc>
        <w:tc>
          <w:tcPr>
            <w:tcW w:w="2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19,385</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30,429</w:t>
            </w:r>
          </w:p>
        </w:tc>
        <w:tc>
          <w:tcPr>
            <w:tcW w:w="2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29,382</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220" w:type="dxa"/>
            <w:vAlign w:val="bottom"/>
            <w:tcBorders>
              <w:bottom w:val="single" w:sz="8" w:color="CCEEFF"/>
            </w:tcBorders>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TOTAL SHAREHOLDERS’ EQUITY</w:t>
            </w:r>
          </w:p>
        </w:tc>
        <w:tc>
          <w:tcPr>
            <w:tcW w:w="2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3,193,819</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3,030,190</w:t>
            </w:r>
          </w:p>
        </w:tc>
        <w:tc>
          <w:tcPr>
            <w:tcW w:w="2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2,948,763</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22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TOTAL LIABILITIES, TEMPORARY EQUITY AND SHAREHOLDERS’ EQUITY</w:t>
            </w:r>
          </w:p>
        </w:tc>
        <w:tc>
          <w:tcPr>
            <w:tcW w:w="240" w:type="dxa"/>
            <w:vAlign w:val="bottom"/>
          </w:tcPr>
          <w:p>
            <w:pPr>
              <w:spacing w:after="0"/>
              <w:rPr>
                <w:sz w:val="11"/>
                <w:szCs w:val="11"/>
                <w:color w:val="auto"/>
              </w:rPr>
            </w:pPr>
          </w:p>
        </w:tc>
        <w:tc>
          <w:tcPr>
            <w:tcW w:w="2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4,217,885</w:t>
            </w:r>
          </w:p>
        </w:tc>
        <w:tc>
          <w:tcPr>
            <w:tcW w:w="220" w:type="dxa"/>
            <w:vAlign w:val="bottom"/>
          </w:tcPr>
          <w:p>
            <w:pPr>
              <w:spacing w:after="0"/>
              <w:rPr>
                <w:sz w:val="11"/>
                <w:szCs w:val="11"/>
                <w:color w:val="auto"/>
              </w:rPr>
            </w:pPr>
          </w:p>
        </w:tc>
        <w:tc>
          <w:tcPr>
            <w:tcW w:w="2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4,017,797</w:t>
            </w: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4,004,084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See notes to consolidated condensed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jc w:val="center"/>
        <w:ind w:left="60" w:right="79"/>
        <w:spacing w:after="0" w:line="278" w:lineRule="auto"/>
        <w:rPr>
          <w:sz w:val="20"/>
          <w:szCs w:val="20"/>
          <w:color w:val="auto"/>
        </w:rPr>
      </w:pPr>
      <w:r>
        <w:rPr>
          <w:rFonts w:ascii="Times New Roman" w:cs="Times New Roman" w:eastAsia="Times New Roman" w:hAnsi="Times New Roman"/>
          <w:sz w:val="18"/>
          <w:szCs w:val="18"/>
          <w:b w:val="1"/>
          <w:bCs w:val="1"/>
          <w:color w:val="auto"/>
        </w:rPr>
        <w:t>CONDENSED CONSOLIDATED STATEMENTS OF EARNINGS AND COMPREHENSIVE INCOME (Unaudited)</w:t>
      </w:r>
    </w:p>
    <w:p>
      <w:pPr>
        <w:spacing w:after="0" w:line="396"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4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4"/>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2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0"/>
                <w:szCs w:val="10"/>
                <w:color w:val="auto"/>
              </w:rPr>
            </w:pPr>
          </w:p>
        </w:tc>
        <w:tc>
          <w:tcPr>
            <w:tcW w:w="920" w:type="dxa"/>
            <w:vAlign w:val="bottom"/>
            <w:tcBorders>
              <w:top w:val="single" w:sz="8" w:color="auto"/>
            </w:tcBorders>
            <w:gridSpan w:val="2"/>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2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1,649,383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1,827,637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5,190,308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5,694,031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1,350,971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1,463,237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4,203,075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4,571,235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298,412</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364,400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987,233</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1,122,796</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195,649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595,035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(GAINS) LOSSES, NET</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5,224</w:t>
            </w:r>
          </w:p>
        </w:tc>
        <w:tc>
          <w:tcPr>
            <w:tcW w:w="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EARNINGS FROM OPERATIONS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119,926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167,332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412,783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522,537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INTEREST AND INVESTMENT INCOME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IN LOSS OF INVESTEE</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AND OTHER</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134,110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173,509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449,136</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535,580</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 TAXES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100,186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125,031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EARNINGS</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101,619</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134,183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348,950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410,549</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NET (EARNINGS) LOSS ATTRIBUTABLE TO</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NONCONTROLLING INTEREST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EARNINGS ATTRIBUTABLE TO CONTROLLING</w:t>
            </w: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300" w:type="dxa"/>
            <w:vAlign w:val="bottom"/>
            <w:vMerge w:val="continue"/>
            <w:shd w:val="clear" w:color="auto" w:fill="CCEEFF"/>
          </w:tcPr>
          <w:p>
            <w:pPr>
              <w:spacing w:after="0"/>
              <w:rPr>
                <w:sz w:val="15"/>
                <w:szCs w:val="15"/>
                <w:color w:val="auto"/>
              </w:rPr>
            </w:pP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99,800</w:t>
            </w: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134,035</w:t>
            </w:r>
          </w:p>
        </w:tc>
        <w:tc>
          <w:tcPr>
            <w:tcW w:w="2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346,521</w:t>
            </w: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410,865</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w:t>
            </w:r>
          </w:p>
        </w:tc>
        <w:tc>
          <w:tcPr>
            <w:tcW w:w="300" w:type="dxa"/>
            <w:vAlign w:val="bottom"/>
            <w:gridSpan w:val="2"/>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260" w:type="dxa"/>
            <w:vAlign w:val="bottom"/>
            <w:gridSpan w:val="2"/>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 PER SHARE – BASIC</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EARNINGS PER SHARE – DILUTED</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EARNINGS</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101,619</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134,183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348,950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410,549</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102,411</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130,422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340,632</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417,518</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 LOSS ATTRIBUTABLE TO</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NONCONTROLLING INTEREST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INCOME ATTRIBUTABLE TO</w:t>
            </w: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300" w:type="dxa"/>
            <w:vAlign w:val="bottom"/>
            <w:vMerge w:val="continue"/>
            <w:shd w:val="clear" w:color="auto" w:fill="CCEEFF"/>
          </w:tcPr>
          <w:p>
            <w:pPr>
              <w:spacing w:after="0"/>
              <w:rPr>
                <w:sz w:val="15"/>
                <w:szCs w:val="15"/>
                <w:color w:val="auto"/>
              </w:rPr>
            </w:pP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101,379</w:t>
            </w: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131,242</w:t>
            </w:r>
          </w:p>
        </w:tc>
        <w:tc>
          <w:tcPr>
            <w:tcW w:w="2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341,029</w:t>
            </w: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414,857</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CONTROLLING INTEREST</w:t>
            </w:r>
          </w:p>
        </w:tc>
        <w:tc>
          <w:tcPr>
            <w:tcW w:w="300" w:type="dxa"/>
            <w:vAlign w:val="bottom"/>
            <w:gridSpan w:val="2"/>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260" w:type="dxa"/>
            <w:vAlign w:val="bottom"/>
            <w:gridSpan w:val="2"/>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tbl>
      <w:tblPr>
        <w:tblLayout w:type="fixed"/>
        <w:tblInd w:w="60" w:type="dxa"/>
        <w:tblCellMar>
          <w:top w:w="0" w:type="dxa"/>
          <w:left w:w="0" w:type="dxa"/>
          <w:bottom w:w="0" w:type="dxa"/>
          <w:right w:w="0" w:type="dxa"/>
        </w:tblCellMar>
      </w:tblPr>
      <w:tr>
        <w:trPr>
          <w:trHeight w:val="146"/>
        </w:trPr>
        <w:tc>
          <w:tcPr>
            <w:tcW w:w="2780" w:type="dxa"/>
            <w:vAlign w:val="bottom"/>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(in thousands, except share and per share</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40" w:type="dxa"/>
            <w:vAlign w:val="bottom"/>
            <w:gridSpan w:val="7"/>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Controlling Interest Shareholders’ Equity</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8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data)</w:t>
            </w:r>
          </w:p>
        </w:tc>
        <w:tc>
          <w:tcPr>
            <w:tcW w:w="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7"/>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780" w:type="dxa"/>
            <w:vAlign w:val="bottom"/>
          </w:tcPr>
          <w:p>
            <w:pPr>
              <w:spacing w:after="0"/>
              <w:rPr>
                <w:sz w:val="10"/>
                <w:szCs w:val="10"/>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740" w:type="dxa"/>
            <w:vAlign w:val="bottom"/>
            <w:gridSpan w:val="3"/>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0"/>
                <w:szCs w:val="10"/>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00" w:type="dxa"/>
            <w:vAlign w:val="bottom"/>
            <w:gridSpan w:val="3"/>
          </w:tcPr>
          <w:p>
            <w:pPr>
              <w:ind w:left="80"/>
              <w:spacing w:after="0" w:line="124"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0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Temporary</w:t>
            </w: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5"/>
                <w:szCs w:val="15"/>
                <w:color w:val="auto"/>
              </w:rPr>
            </w:pPr>
          </w:p>
        </w:tc>
        <w:tc>
          <w:tcPr>
            <w:tcW w:w="6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Interest (NCI)</w:t>
            </w: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9"/>
        </w:trPr>
        <w:tc>
          <w:tcPr>
            <w:tcW w:w="278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on December 30, 2023</w:t>
            </w:r>
          </w:p>
        </w:tc>
        <w:tc>
          <w:tcPr>
            <w:tcW w:w="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$ 61,621</w:t>
            </w: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9"/>
              </w:rPr>
              <w:t>$ 354,702</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$ 2,582,332</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1,106</w:t>
            </w:r>
          </w:p>
        </w:tc>
        <w:tc>
          <w:tcPr>
            <w:tcW w:w="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30,429</w:t>
            </w:r>
          </w:p>
        </w:tc>
        <w:tc>
          <w:tcPr>
            <w:tcW w:w="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$ 3,030,190</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20,030</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earnings (loss)</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120,791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622</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121,413</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(314)</w:t>
            </w: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(1,419)</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616</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(803)</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(333)</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debt securities</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Distributions to NCI</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(3,331)</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(3,331)</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dividends - $0.33 per share - quarterly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(20,411)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(20,411)</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6,251 shares under employee stock</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 plan</w:t>
            </w:r>
          </w:p>
        </w:tc>
        <w:tc>
          <w:tcPr>
            <w:tcW w:w="6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369,012 shares under stock grant</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5,829</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6,198</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programs</w:t>
            </w:r>
          </w:p>
        </w:tc>
        <w:tc>
          <w:tcPr>
            <w:tcW w:w="6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76,927 shares under deferred</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 plans</w:t>
            </w:r>
          </w:p>
        </w:tc>
        <w:tc>
          <w:tcPr>
            <w:tcW w:w="6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319,295 shares</w:t>
            </w: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(319)</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(17,686)</w:t>
            </w:r>
          </w:p>
        </w:tc>
        <w:tc>
          <w:tcPr>
            <w:tcW w:w="2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(18,631)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(36,636)</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Expense associated with share-based</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11,194</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11,194</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 arrangements</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Accrued expense under deferred compensation</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7,621</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7,621</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78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plans</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8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on March 30, 2024</w:t>
            </w:r>
          </w:p>
        </w:tc>
        <w:tc>
          <w:tcPr>
            <w:tcW w:w="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$ 61,754</w:t>
            </w: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9"/>
              </w:rPr>
              <w:t>$ 362,231</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$ 2,664,081</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(307)</w:t>
            </w:r>
          </w:p>
        </w:tc>
        <w:tc>
          <w:tcPr>
            <w:tcW w:w="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28,336</w:t>
            </w:r>
          </w:p>
        </w:tc>
        <w:tc>
          <w:tcPr>
            <w:tcW w:w="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$ 3,116,095</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19,383</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earnings (loss)</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125,930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652</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126,582</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(5,594)</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(2,220)</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(7,814)</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gain on debt securities</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(607)</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(607)</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Distributions to NCI</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(6,069)</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(6,069)</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dividends - $0.33 per share - quarterly</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(20,249)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(20,249)</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8,573 shares under employee stock</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807</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purchase plan</w:t>
            </w:r>
          </w:p>
        </w:tc>
        <w:tc>
          <w:tcPr>
            <w:tcW w:w="6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29,460 shares under stock grant</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programs</w:t>
            </w:r>
          </w:p>
        </w:tc>
        <w:tc>
          <w:tcPr>
            <w:tcW w:w="6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9,841 shares under deferred</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plans</w:t>
            </w:r>
          </w:p>
        </w:tc>
        <w:tc>
          <w:tcPr>
            <w:tcW w:w="6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883,232 shares</w:t>
            </w:r>
          </w:p>
        </w:tc>
        <w:tc>
          <w:tcPr>
            <w:tcW w:w="6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(883)</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(99,681)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(100,564)</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Expense associated with share-based</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7,954</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7,954</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arrangements</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Accrued expense under deferred compensation</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78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plans</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80" w:type="dxa"/>
            <w:vAlign w:val="bottom"/>
            <w:tcBorders>
              <w:top w:val="single" w:sz="8" w:color="CCEEFF"/>
              <w:bottom w:val="single" w:sz="8" w:color="CCEEFF"/>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Balance on June 29, 2024</w:t>
            </w:r>
          </w:p>
        </w:tc>
        <w:tc>
          <w:tcPr>
            <w:tcW w:w="80" w:type="dxa"/>
            <w:vAlign w:val="bottom"/>
            <w:tcBorders>
              <w:top w:val="single" w:sz="8" w:color="CCEEFF"/>
              <w:bottom w:val="single" w:sz="8" w:color="CCEEFF"/>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$ 60,919</w:t>
            </w:r>
          </w:p>
        </w:tc>
        <w:tc>
          <w:tcPr>
            <w:tcW w:w="80" w:type="dxa"/>
            <w:vAlign w:val="bottom"/>
            <w:tcBorders>
              <w:top w:val="single" w:sz="8" w:color="CCEEFF"/>
              <w:bottom w:val="single" w:sz="8" w:color="CCEEFF"/>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w w:val="99"/>
              </w:rPr>
              <w:t>$ 371,771</w:t>
            </w:r>
          </w:p>
        </w:tc>
        <w:tc>
          <w:tcPr>
            <w:tcW w:w="20" w:type="dxa"/>
            <w:vAlign w:val="bottom"/>
            <w:tcBorders>
              <w:top w:val="single" w:sz="8" w:color="CCEEFF"/>
              <w:bottom w:val="single" w:sz="8" w:color="CCEEFF"/>
            </w:tcBorders>
          </w:tcPr>
          <w:p>
            <w:pPr>
              <w:spacing w:after="0"/>
              <w:rPr>
                <w:sz w:val="15"/>
                <w:szCs w:val="15"/>
                <w:color w:val="auto"/>
              </w:rPr>
            </w:pPr>
          </w:p>
        </w:tc>
        <w:tc>
          <w:tcPr>
            <w:tcW w:w="60" w:type="dxa"/>
            <w:vAlign w:val="bottom"/>
            <w:tcBorders>
              <w:top w:val="single" w:sz="8" w:color="CCEEFF"/>
              <w:bottom w:val="single" w:sz="8" w:color="CCEEFF"/>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$ 2,670,086</w:t>
            </w:r>
          </w:p>
        </w:tc>
        <w:tc>
          <w:tcPr>
            <w:tcW w:w="8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(5,965)</w:t>
            </w:r>
          </w:p>
        </w:tc>
        <w:tc>
          <w:tcPr>
            <w:tcW w:w="80" w:type="dxa"/>
            <w:vAlign w:val="bottom"/>
            <w:tcBorders>
              <w:top w:val="single" w:sz="8" w:color="CCEEFF"/>
              <w:bottom w:val="single" w:sz="8" w:color="CCEEFF"/>
            </w:tcBorders>
          </w:tcPr>
          <w:p>
            <w:pPr>
              <w:spacing w:after="0"/>
              <w:rPr>
                <w:sz w:val="15"/>
                <w:szCs w:val="15"/>
                <w:color w:val="auto"/>
              </w:rPr>
            </w:pPr>
          </w:p>
        </w:tc>
        <w:tc>
          <w:tcPr>
            <w:tcW w:w="440" w:type="dxa"/>
            <w:vAlign w:val="bottom"/>
            <w:tcBorders>
              <w:top w:val="single" w:sz="8" w:color="auto"/>
              <w:bottom w:val="single" w:sz="8" w:color="auto"/>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20,699</w:t>
            </w:r>
          </w:p>
        </w:tc>
        <w:tc>
          <w:tcPr>
            <w:tcW w:w="80" w:type="dxa"/>
            <w:vAlign w:val="bottom"/>
            <w:tcBorders>
              <w:top w:val="single" w:sz="8" w:color="CCEEFF"/>
              <w:bottom w:val="single" w:sz="8" w:color="CCEEFF"/>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$ 3,117,510</w:t>
            </w:r>
          </w:p>
        </w:tc>
        <w:tc>
          <w:tcPr>
            <w:tcW w:w="40" w:type="dxa"/>
            <w:vAlign w:val="bottom"/>
            <w:tcBorders>
              <w:top w:val="single" w:sz="8" w:color="CCEEFF"/>
              <w:bottom w:val="single" w:sz="8" w:color="CCEEFF"/>
            </w:tcBorders>
          </w:tcPr>
          <w:p>
            <w:pPr>
              <w:spacing w:after="0"/>
              <w:rPr>
                <w:sz w:val="15"/>
                <w:szCs w:val="15"/>
                <w:color w:val="auto"/>
              </w:rPr>
            </w:pPr>
          </w:p>
        </w:tc>
        <w:tc>
          <w:tcPr>
            <w:tcW w:w="2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18,931</w:t>
            </w:r>
          </w:p>
        </w:tc>
        <w:tc>
          <w:tcPr>
            <w:tcW w:w="0" w:type="dxa"/>
            <w:vAlign w:val="bottom"/>
          </w:tcPr>
          <w:p>
            <w:pPr>
              <w:spacing w:after="0"/>
              <w:rPr>
                <w:sz w:val="1"/>
                <w:szCs w:val="1"/>
                <w:color w:val="auto"/>
              </w:rPr>
            </w:pPr>
          </w:p>
        </w:tc>
      </w:tr>
      <w:tr>
        <w:trPr>
          <w:trHeight w:val="129"/>
        </w:trPr>
        <w:tc>
          <w:tcPr>
            <w:tcW w:w="27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Net earnings</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99,800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2,370</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102,170</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(551)</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1,029</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(1,236)</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449</w:t>
            </w: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debt securities</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550</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550</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(390)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(390)</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Distributions to NCI</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(2,448)</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(2,448)</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 of remaining NCI of subsidiary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8,400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8,400</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(13,302)</w:t>
            </w:r>
          </w:p>
        </w:tc>
        <w:tc>
          <w:tcPr>
            <w:tcW w:w="0" w:type="dxa"/>
            <w:vAlign w:val="bottom"/>
          </w:tcPr>
          <w:p>
            <w:pPr>
              <w:spacing w:after="0"/>
              <w:rPr>
                <w:sz w:val="1"/>
                <w:szCs w:val="1"/>
                <w:color w:val="auto"/>
              </w:rPr>
            </w:pPr>
          </w:p>
        </w:tc>
      </w:tr>
      <w:tr>
        <w:trPr>
          <w:trHeight w:val="149"/>
        </w:trPr>
        <w:tc>
          <w:tcPr>
            <w:tcW w:w="2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dividends - $0.33 per share - quarterly</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(20,061)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(20,061)</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5,843 shares under employee stock</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purchase plan</w:t>
            </w:r>
          </w:p>
        </w:tc>
        <w:tc>
          <w:tcPr>
            <w:tcW w:w="6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Net forfeitures of 10,964 shares under stock</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grant programs</w:t>
            </w:r>
          </w:p>
        </w:tc>
        <w:tc>
          <w:tcPr>
            <w:tcW w:w="6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8,661 shares under deferred</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plans</w:t>
            </w:r>
          </w:p>
        </w:tc>
        <w:tc>
          <w:tcPr>
            <w:tcW w:w="6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197,417 shares</w:t>
            </w:r>
          </w:p>
        </w:tc>
        <w:tc>
          <w:tcPr>
            <w:tcW w:w="6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(198)</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(21,562)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(21,760)</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Expense associated with share-based</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8,021</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8,021</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arrangements</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Accrued expense under deferred compensation</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78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plans</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780" w:type="dxa"/>
            <w:vAlign w:val="bottom"/>
            <w:tcBorders>
              <w:top w:val="single" w:sz="8" w:color="CCEEFF"/>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Balance on September 28, 2024</w:t>
            </w:r>
          </w:p>
        </w:tc>
        <w:tc>
          <w:tcPr>
            <w:tcW w:w="80" w:type="dxa"/>
            <w:vAlign w:val="bottom"/>
            <w:tcBorders>
              <w:top w:val="single" w:sz="8" w:color="CCEEFF"/>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$ 60,725</w:t>
            </w:r>
          </w:p>
        </w:tc>
        <w:tc>
          <w:tcPr>
            <w:tcW w:w="80" w:type="dxa"/>
            <w:vAlign w:val="bottom"/>
            <w:tcBorders>
              <w:top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w w:val="99"/>
              </w:rPr>
              <w:t>$ 389,814</w:t>
            </w:r>
          </w:p>
        </w:tc>
        <w:tc>
          <w:tcPr>
            <w:tcW w:w="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$ 2,728,281</w:t>
            </w:r>
          </w:p>
        </w:tc>
        <w:tc>
          <w:tcPr>
            <w:tcW w:w="80" w:type="dxa"/>
            <w:vAlign w:val="bottom"/>
            <w:tcBorders>
              <w:top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(4,386)</w:t>
            </w:r>
          </w:p>
        </w:tc>
        <w:tc>
          <w:tcPr>
            <w:tcW w:w="80" w:type="dxa"/>
            <w:vAlign w:val="bottom"/>
            <w:tcBorders>
              <w:top w:val="single" w:sz="8" w:color="CCEEFF"/>
            </w:tcBorders>
          </w:tcPr>
          <w:p>
            <w:pPr>
              <w:spacing w:after="0"/>
              <w:rPr>
                <w:sz w:val="11"/>
                <w:szCs w:val="11"/>
                <w:color w:val="auto"/>
              </w:rPr>
            </w:pPr>
          </w:p>
        </w:tc>
        <w:tc>
          <w:tcPr>
            <w:tcW w:w="440" w:type="dxa"/>
            <w:vAlign w:val="bottom"/>
            <w:tcBorders>
              <w:top w:val="single" w:sz="8" w:color="auto"/>
              <w:bottom w:val="single" w:sz="8" w:color="auto"/>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19,385</w:t>
            </w:r>
          </w:p>
        </w:tc>
        <w:tc>
          <w:tcPr>
            <w:tcW w:w="80" w:type="dxa"/>
            <w:vAlign w:val="bottom"/>
            <w:tcBorders>
              <w:top w:val="single" w:sz="8" w:color="CCEEFF"/>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$ 3,193,819</w:t>
            </w: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5,527</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jc w:val="center"/>
        <w:ind w:left="60" w:right="59"/>
        <w:spacing w:after="0" w:line="263" w:lineRule="auto"/>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 CONTINUED (Unaudited)</w:t>
      </w:r>
    </w:p>
    <w:tbl>
      <w:tblPr>
        <w:tblLayout w:type="fixed"/>
        <w:tblInd w:w="60" w:type="dxa"/>
        <w:tblCellMar>
          <w:top w:w="0" w:type="dxa"/>
          <w:left w:w="0" w:type="dxa"/>
          <w:bottom w:w="0" w:type="dxa"/>
          <w:right w:w="0" w:type="dxa"/>
        </w:tblCellMar>
      </w:tblPr>
      <w:tr>
        <w:trPr>
          <w:trHeight w:val="138"/>
        </w:trPr>
        <w:tc>
          <w:tcPr>
            <w:tcW w:w="2760" w:type="dxa"/>
            <w:vAlign w:val="bottom"/>
          </w:tcPr>
          <w:p>
            <w:pPr>
              <w:spacing w:after="0" w:line="138" w:lineRule="exact"/>
              <w:rPr>
                <w:sz w:val="20"/>
                <w:szCs w:val="20"/>
                <w:color w:val="auto"/>
              </w:rPr>
            </w:pPr>
            <w:r>
              <w:rPr>
                <w:rFonts w:ascii="Times New Roman" w:cs="Times New Roman" w:eastAsia="Times New Roman" w:hAnsi="Times New Roman"/>
                <w:sz w:val="14"/>
                <w:szCs w:val="14"/>
                <w:b w:val="1"/>
                <w:bCs w:val="1"/>
                <w:color w:val="auto"/>
              </w:rPr>
              <w:t>(in thousands, except share and per share</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40" w:type="dxa"/>
            <w:vAlign w:val="bottom"/>
            <w:gridSpan w:val="7"/>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Controlling Interest Shareholders’ Equity</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6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data)</w:t>
            </w:r>
          </w:p>
        </w:tc>
        <w:tc>
          <w:tcPr>
            <w:tcW w:w="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7"/>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760" w:type="dxa"/>
            <w:vAlign w:val="bottom"/>
          </w:tcPr>
          <w:p>
            <w:pPr>
              <w:spacing w:after="0"/>
              <w:rPr>
                <w:sz w:val="10"/>
                <w:szCs w:val="10"/>
                <w:color w:val="auto"/>
              </w:rPr>
            </w:pP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740" w:type="dxa"/>
            <w:vAlign w:val="bottom"/>
            <w:gridSpan w:val="3"/>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0"/>
                <w:szCs w:val="10"/>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00" w:type="dxa"/>
            <w:vAlign w:val="bottom"/>
            <w:gridSpan w:val="3"/>
          </w:tcPr>
          <w:p>
            <w:pPr>
              <w:ind w:left="80"/>
              <w:spacing w:after="0" w:line="124"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0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w w:val="99"/>
              </w:rPr>
              <w:t>Temporary</w:t>
            </w: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5"/>
                <w:szCs w:val="15"/>
                <w:color w:val="auto"/>
              </w:rPr>
            </w:pPr>
          </w:p>
        </w:tc>
        <w:tc>
          <w:tcPr>
            <w:tcW w:w="6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Interest (NCI)</w:t>
            </w:r>
          </w:p>
        </w:tc>
        <w:tc>
          <w:tcPr>
            <w:tcW w:w="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9"/>
        </w:trPr>
        <w:tc>
          <w:tcPr>
            <w:tcW w:w="276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on December 31, 2022</w:t>
            </w:r>
          </w:p>
        </w:tc>
        <w:tc>
          <w:tcPr>
            <w:tcW w:w="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$ 61,618</w:t>
            </w: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9"/>
              </w:rPr>
              <w:t>$ 294,029</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$ 2,217,410</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(9,075)</w:t>
            </w:r>
          </w:p>
        </w:tc>
        <w:tc>
          <w:tcPr>
            <w:tcW w:w="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32,841</w:t>
            </w:r>
          </w:p>
        </w:tc>
        <w:tc>
          <w:tcPr>
            <w:tcW w:w="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$ 2,596,823</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6,880</w:t>
            </w:r>
          </w:p>
        </w:tc>
        <w:tc>
          <w:tcPr>
            <w:tcW w:w="0" w:type="dxa"/>
            <w:vAlign w:val="bottom"/>
          </w:tcPr>
          <w:p>
            <w:pPr>
              <w:spacing w:after="0"/>
              <w:rPr>
                <w:sz w:val="1"/>
                <w:szCs w:val="1"/>
                <w:color w:val="auto"/>
              </w:rPr>
            </w:pPr>
          </w:p>
        </w:tc>
      </w:tr>
      <w:tr>
        <w:trPr>
          <w:trHeight w:val="148"/>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earnings (loss)</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126,069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(313)</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125,756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3,850</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2,195</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6,045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48"/>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debt securities</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151</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Distributions to NCI</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(4,859)</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(4,859)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dividends - $0.25 per share - quarterly</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(15,642)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(15,642)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10,140 shares under employee</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675</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stock purchase plan</w:t>
            </w:r>
          </w:p>
        </w:tc>
        <w:tc>
          <w:tcPr>
            <w:tcW w:w="6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824,669 shares under stock grant</w:t>
            </w:r>
          </w:p>
        </w:tc>
        <w:tc>
          <w:tcPr>
            <w:tcW w:w="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14,356</w:t>
            </w:r>
          </w:p>
        </w:tc>
        <w:tc>
          <w:tcPr>
            <w:tcW w:w="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15,187</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programs</w:t>
            </w:r>
          </w:p>
        </w:tc>
        <w:tc>
          <w:tcPr>
            <w:tcW w:w="6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93,165 shares under deferred</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plans</w:t>
            </w:r>
          </w:p>
        </w:tc>
        <w:tc>
          <w:tcPr>
            <w:tcW w:w="6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450,597 shares</w:t>
            </w:r>
          </w:p>
        </w:tc>
        <w:tc>
          <w:tcPr>
            <w:tcW w:w="6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(450)</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(34,818)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(35,268)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Expense associated with share-based</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9,598</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9,598</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arrangements</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Accrued expense under deferred compensation</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7,165</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7,165</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76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plans</w:t>
            </w: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760" w:type="dxa"/>
            <w:vAlign w:val="bottom"/>
            <w:tcBorders>
              <w:top w:val="single" w:sz="8" w:color="CCEEFF"/>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Balance on April 1, 2023</w:t>
            </w:r>
          </w:p>
        </w:tc>
        <w:tc>
          <w:tcPr>
            <w:tcW w:w="60" w:type="dxa"/>
            <w:vAlign w:val="bottom"/>
            <w:tcBorders>
              <w:top w:val="single" w:sz="8" w:color="CCEEFF"/>
            </w:tcBorders>
          </w:tcPr>
          <w:p>
            <w:pPr>
              <w:spacing w:after="0"/>
              <w:rPr>
                <w:sz w:val="11"/>
                <w:szCs w:val="11"/>
                <w:color w:val="auto"/>
              </w:rPr>
            </w:pPr>
          </w:p>
        </w:tc>
        <w:tc>
          <w:tcPr>
            <w:tcW w:w="58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$ 62,096</w:t>
            </w:r>
          </w:p>
        </w:tc>
        <w:tc>
          <w:tcPr>
            <w:tcW w:w="80" w:type="dxa"/>
            <w:vAlign w:val="bottom"/>
            <w:tcBorders>
              <w:top w:val="single" w:sz="8" w:color="CCEEFF"/>
            </w:tcBorders>
          </w:tcPr>
          <w:p>
            <w:pPr>
              <w:spacing w:after="0"/>
              <w:rPr>
                <w:sz w:val="11"/>
                <w:szCs w:val="11"/>
                <w:color w:val="auto"/>
              </w:rPr>
            </w:pPr>
          </w:p>
        </w:tc>
        <w:tc>
          <w:tcPr>
            <w:tcW w:w="6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w w:val="99"/>
              </w:rPr>
              <w:t>$ 325,730</w:t>
            </w:r>
          </w:p>
        </w:tc>
        <w:tc>
          <w:tcPr>
            <w:tcW w:w="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7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$ 2,293,025</w:t>
            </w:r>
          </w:p>
        </w:tc>
        <w:tc>
          <w:tcPr>
            <w:tcW w:w="8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(5,074)</w:t>
            </w:r>
          </w:p>
        </w:tc>
        <w:tc>
          <w:tcPr>
            <w:tcW w:w="80" w:type="dxa"/>
            <w:vAlign w:val="bottom"/>
            <w:tcBorders>
              <w:top w:val="single" w:sz="8" w:color="CCEEFF"/>
            </w:tcBorders>
          </w:tcPr>
          <w:p>
            <w:pPr>
              <w:spacing w:after="0"/>
              <w:rPr>
                <w:sz w:val="11"/>
                <w:szCs w:val="11"/>
                <w:color w:val="auto"/>
              </w:rPr>
            </w:pPr>
          </w:p>
        </w:tc>
        <w:tc>
          <w:tcPr>
            <w:tcW w:w="440" w:type="dxa"/>
            <w:vAlign w:val="bottom"/>
            <w:tcBorders>
              <w:top w:val="single" w:sz="8" w:color="auto"/>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29,864</w:t>
            </w:r>
          </w:p>
        </w:tc>
        <w:tc>
          <w:tcPr>
            <w:tcW w:w="80" w:type="dxa"/>
            <w:vAlign w:val="bottom"/>
            <w:tcBorders>
              <w:top w:val="single" w:sz="8" w:color="CCEEFF"/>
            </w:tcBorders>
          </w:tcPr>
          <w:p>
            <w:pPr>
              <w:spacing w:after="0"/>
              <w:rPr>
                <w:sz w:val="11"/>
                <w:szCs w:val="11"/>
                <w:color w:val="auto"/>
              </w:rPr>
            </w:pPr>
          </w:p>
        </w:tc>
        <w:tc>
          <w:tcPr>
            <w:tcW w:w="7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$ 2,705,641</w:t>
            </w:r>
          </w:p>
        </w:tc>
        <w:tc>
          <w:tcPr>
            <w:tcW w:w="8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6,801</w:t>
            </w: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earnings (loss)</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150,761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150,817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2,983</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1,694</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4,677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debt securities</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(199)</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(427)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(427)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dividends - $0.25 per share - quarterly</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(15,507)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(15,507)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9,253 shares under employee stock</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754</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purchase plan</w:t>
            </w:r>
          </w:p>
        </w:tc>
        <w:tc>
          <w:tcPr>
            <w:tcW w:w="6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Net forfeitures of 1,503 shares under stock</w:t>
            </w:r>
          </w:p>
        </w:tc>
        <w:tc>
          <w:tcPr>
            <w:tcW w:w="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grant programs</w:t>
            </w:r>
          </w:p>
        </w:tc>
        <w:tc>
          <w:tcPr>
            <w:tcW w:w="6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11,686 shares under deferred</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plans</w:t>
            </w:r>
          </w:p>
        </w:tc>
        <w:tc>
          <w:tcPr>
            <w:tcW w:w="6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250,000 shares</w:t>
            </w:r>
          </w:p>
        </w:tc>
        <w:tc>
          <w:tcPr>
            <w:tcW w:w="6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(251)</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(19,965)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(20,216)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Expense associated with share-based</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8,201</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8,201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arrangements</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Accrued expense under deferred compensation</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76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plans</w:t>
            </w: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60" w:type="dxa"/>
            <w:vAlign w:val="bottom"/>
            <w:tcBorders>
              <w:top w:val="single" w:sz="8" w:color="CCEEFF"/>
              <w:bottom w:val="single" w:sz="8" w:color="CCEEFF"/>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Balance on July 1, 2023</w:t>
            </w:r>
          </w:p>
        </w:tc>
        <w:tc>
          <w:tcPr>
            <w:tcW w:w="60" w:type="dxa"/>
            <w:vAlign w:val="bottom"/>
            <w:tcBorders>
              <w:top w:val="single" w:sz="8" w:color="CCEEFF"/>
              <w:bottom w:val="single" w:sz="8" w:color="CCEEFF"/>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$ 61,865</w:t>
            </w:r>
          </w:p>
        </w:tc>
        <w:tc>
          <w:tcPr>
            <w:tcW w:w="80" w:type="dxa"/>
            <w:vAlign w:val="bottom"/>
            <w:tcBorders>
              <w:top w:val="single" w:sz="8" w:color="CCEEFF"/>
              <w:bottom w:val="single" w:sz="8" w:color="CCEEFF"/>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w w:val="99"/>
              </w:rPr>
              <w:t>$ 335,494</w:t>
            </w:r>
          </w:p>
        </w:tc>
        <w:tc>
          <w:tcPr>
            <w:tcW w:w="20" w:type="dxa"/>
            <w:vAlign w:val="bottom"/>
            <w:tcBorders>
              <w:top w:val="single" w:sz="8" w:color="CCEEFF"/>
              <w:bottom w:val="single" w:sz="8" w:color="CCEEFF"/>
            </w:tcBorders>
          </w:tcPr>
          <w:p>
            <w:pPr>
              <w:spacing w:after="0"/>
              <w:rPr>
                <w:sz w:val="15"/>
                <w:szCs w:val="15"/>
                <w:color w:val="auto"/>
              </w:rPr>
            </w:pPr>
          </w:p>
        </w:tc>
        <w:tc>
          <w:tcPr>
            <w:tcW w:w="60" w:type="dxa"/>
            <w:vAlign w:val="bottom"/>
            <w:tcBorders>
              <w:top w:val="single" w:sz="8" w:color="CCEEFF"/>
              <w:bottom w:val="single" w:sz="8" w:color="CCEEFF"/>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$ 2,408,314</w:t>
            </w:r>
          </w:p>
        </w:tc>
        <w:tc>
          <w:tcPr>
            <w:tcW w:w="8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(2,290)</w:t>
            </w:r>
          </w:p>
        </w:tc>
        <w:tc>
          <w:tcPr>
            <w:tcW w:w="80" w:type="dxa"/>
            <w:vAlign w:val="bottom"/>
            <w:tcBorders>
              <w:top w:val="single" w:sz="8" w:color="CCEEFF"/>
              <w:bottom w:val="single" w:sz="8" w:color="CCEEFF"/>
            </w:tcBorders>
          </w:tcPr>
          <w:p>
            <w:pPr>
              <w:spacing w:after="0"/>
              <w:rPr>
                <w:sz w:val="15"/>
                <w:szCs w:val="15"/>
                <w:color w:val="auto"/>
              </w:rPr>
            </w:pPr>
          </w:p>
        </w:tc>
        <w:tc>
          <w:tcPr>
            <w:tcW w:w="440" w:type="dxa"/>
            <w:vAlign w:val="bottom"/>
            <w:tcBorders>
              <w:top w:val="single" w:sz="8" w:color="auto"/>
              <w:bottom w:val="single" w:sz="8" w:color="auto"/>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31,614</w:t>
            </w:r>
          </w:p>
        </w:tc>
        <w:tc>
          <w:tcPr>
            <w:tcW w:w="80" w:type="dxa"/>
            <w:vAlign w:val="bottom"/>
            <w:tcBorders>
              <w:top w:val="single" w:sz="8" w:color="CCEEFF"/>
              <w:bottom w:val="single" w:sz="8" w:color="CCEEFF"/>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$ 2,834,997</w:t>
            </w:r>
          </w:p>
        </w:tc>
        <w:tc>
          <w:tcPr>
            <w:tcW w:w="8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6,772</w:t>
            </w:r>
          </w:p>
        </w:tc>
        <w:tc>
          <w:tcPr>
            <w:tcW w:w="0" w:type="dxa"/>
            <w:vAlign w:val="bottom"/>
          </w:tcPr>
          <w:p>
            <w:pPr>
              <w:spacing w:after="0"/>
              <w:rPr>
                <w:sz w:val="1"/>
                <w:szCs w:val="1"/>
                <w:color w:val="auto"/>
              </w:rPr>
            </w:pPr>
          </w:p>
        </w:tc>
      </w:tr>
      <w:tr>
        <w:trPr>
          <w:trHeight w:val="129"/>
        </w:trPr>
        <w:tc>
          <w:tcPr>
            <w:tcW w:w="27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Net earnings</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134,035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134,054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148"/>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(2,619)</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(685)</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(3,304)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(283)</w:t>
            </w: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debt securities</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930</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780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Distributions to NCI</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(2,496)</w:t>
            </w:r>
          </w:p>
        </w:tc>
        <w:tc>
          <w:tcPr>
            <w:tcW w:w="8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(2,496)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dividends - $0.30 per share - quarterly</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(18,574)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(18,574)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7,341 shares under employee stock</w:t>
            </w:r>
          </w:p>
        </w:tc>
        <w:tc>
          <w:tcPr>
            <w:tcW w:w="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 plans</w:t>
            </w:r>
          </w:p>
        </w:tc>
        <w:tc>
          <w:tcPr>
            <w:tcW w:w="6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Net forfeitures of 3,368 shares under stock</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0" w:type="dxa"/>
            <w:vAlign w:val="bottom"/>
          </w:tcPr>
          <w:p>
            <w:pPr>
              <w:spacing w:after="0"/>
              <w:rPr>
                <w:sz w:val="10"/>
                <w:szCs w:val="10"/>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grant programs</w:t>
            </w:r>
          </w:p>
        </w:tc>
        <w:tc>
          <w:tcPr>
            <w:tcW w:w="6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9,774 shares under deferred</w:t>
            </w:r>
          </w:p>
        </w:tc>
        <w:tc>
          <w:tcPr>
            <w:tcW w:w="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 plans</w:t>
            </w:r>
          </w:p>
        </w:tc>
        <w:tc>
          <w:tcPr>
            <w:tcW w:w="6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66,215 shares</w:t>
            </w:r>
          </w:p>
        </w:tc>
        <w:tc>
          <w:tcPr>
            <w:tcW w:w="6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(6,526)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(6,592)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Expense associated with share-based</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8,156</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8,156</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 arrangements</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Accrued expense under deferred compensation</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1,241</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1,241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76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plans</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60" w:type="dxa"/>
            <w:vAlign w:val="bottom"/>
            <w:tcBorders>
              <w:top w:val="single" w:sz="8" w:color="CCEEFF"/>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on September 30, 2023</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$ 61,813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9"/>
              </w:rPr>
              <w:t>$ 345,399</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$ 2,517,252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(5,083)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29,382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$ 2,948,763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6,788</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notes to consolidated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69"/>
        </w:trPr>
        <w:tc>
          <w:tcPr>
            <w:tcW w:w="6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24"/>
        </w:trPr>
        <w:tc>
          <w:tcPr>
            <w:tcW w:w="60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tcBorders>
              <w:top w:val="single" w:sz="8" w:color="auto"/>
            </w:tcBorders>
            <w:gridSpan w:val="2"/>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2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608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earnings</w:t>
            </w:r>
          </w:p>
        </w:tc>
        <w:tc>
          <w:tcPr>
            <w:tcW w:w="6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348,950</w:t>
            </w:r>
          </w:p>
        </w:tc>
        <w:tc>
          <w:tcPr>
            <w:tcW w:w="3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410,549</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earnings to net cash from operating activities:</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92,130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80,432</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Amortization of intangibles</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17,621</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15,325</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Expense associated with share-based and grant compensation arrangements</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27,345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26,068</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Unrealized (gain) loss on investments and other</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(3,201)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362</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Equity in loss of investee</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1,313</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1,013</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loss (gain) on sale, disposition and impairment of assets</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1,538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(465)</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Gain from reduction of estimated earnout liability</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(1,855)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60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Changes in:</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(102,355)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(82,883)</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81,238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230,559</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Accounts payable and cash overdraft</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37,391</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49,093</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080" w:type="dxa"/>
            <w:vAlign w:val="bottom"/>
            <w:tcBorders>
              <w:bottom w:val="single" w:sz="8" w:color="CCEEFF"/>
            </w:tcBorders>
          </w:tcPr>
          <w:p>
            <w:pPr>
              <w:ind w:left="320"/>
              <w:spacing w:after="0" w:line="149" w:lineRule="exact"/>
              <w:rPr>
                <w:sz w:val="20"/>
                <w:szCs w:val="20"/>
                <w:color w:val="auto"/>
              </w:rPr>
            </w:pPr>
            <w:r>
              <w:rPr>
                <w:rFonts w:ascii="Times New Roman" w:cs="Times New Roman" w:eastAsia="Times New Roman" w:hAnsi="Times New Roman"/>
                <w:sz w:val="14"/>
                <w:szCs w:val="14"/>
                <w:color w:val="auto"/>
              </w:rPr>
              <w:t>Accrued liabilities and other</w:t>
            </w:r>
          </w:p>
        </w:tc>
        <w:tc>
          <w:tcPr>
            <w:tcW w:w="4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(1,779)</w:t>
            </w:r>
          </w:p>
        </w:tc>
        <w:tc>
          <w:tcPr>
            <w:tcW w:w="2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(18,363)</w:t>
            </w: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0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CASH FROM OPERATING ACTIVITIES</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497,662</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711,803</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FLOWS USED IN INVESTING ACTIVITIES:</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plant and equipment</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(165,493)</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(130,947)</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property, plant and equipment</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3,795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2,211</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Acquisitions, net of cash received and purchase of equity method investment</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(52,488)</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investments</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(34,284)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(26,333)</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investments</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13,782</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22,101</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0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4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4,712</w:t>
            </w:r>
          </w:p>
        </w:tc>
        <w:tc>
          <w:tcPr>
            <w:tcW w:w="2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(2,092)</w:t>
            </w: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0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(177,488)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(187,548)</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FLOWS USED IN FINANCING ACTIVITIES:</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Borrowings under revolving credit facilities</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20,130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18,915</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Repayments under revolving credit facilities</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(20,477)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(21,929)</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Repayments of debt</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Repayment of debt on behalf of investee</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(6,303)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Contingent consideration payments and other</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(4,779)</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(6,179)</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stock</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2,122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2,087</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Dividends paid to shareholders</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(60,721)</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(49,723)</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Distributions to noncontrolling interest</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(11,848)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(7,355)</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 of remaining noncontrolling interest of subsidiary</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(4,902)</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Payments to taxing authorities in connection with shares directly withheld from employees</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(17,838)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(141,122)</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(62,076)</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0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4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2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0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CASH USED IN FINANCING ACTIVITIES</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(245,683)</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(126,224)</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0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Effect of exchange rate changes on cash</w:t>
            </w:r>
          </w:p>
        </w:tc>
        <w:tc>
          <w:tcPr>
            <w:tcW w:w="4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(5,179)</w:t>
            </w:r>
          </w:p>
        </w:tc>
        <w:tc>
          <w:tcPr>
            <w:tcW w:w="2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3,199</w:t>
            </w: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CHANGE IN CASH AND CASH EQUIVALENTS</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69,312</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401,230</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0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BEGINNING OF YEAR</w:t>
            </w:r>
          </w:p>
        </w:tc>
        <w:tc>
          <w:tcPr>
            <w:tcW w:w="4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1,122,256</w:t>
            </w:r>
          </w:p>
        </w:tc>
        <w:tc>
          <w:tcPr>
            <w:tcW w:w="2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559,623</w:t>
            </w: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08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4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1,191,568</w:t>
            </w:r>
          </w:p>
        </w:tc>
        <w:tc>
          <w:tcPr>
            <w:tcW w:w="2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960,853</w:t>
            </w:r>
          </w:p>
        </w:tc>
        <w:tc>
          <w:tcPr>
            <w:tcW w:w="3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RECONCILIATION OF CASH AND CASH EQUIVALENTS AND RESTRICTED CASH:</w:t>
            </w: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08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0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6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1,118,329</w:t>
            </w:r>
          </w:p>
        </w:tc>
        <w:tc>
          <w:tcPr>
            <w:tcW w:w="3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559,397</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8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Restricted cash, beginning of period</w:t>
            </w:r>
          </w:p>
        </w:tc>
        <w:tc>
          <w:tcPr>
            <w:tcW w:w="4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3,927</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226</w:t>
            </w:r>
          </w:p>
        </w:tc>
        <w:tc>
          <w:tcPr>
            <w:tcW w:w="3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4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1,122,256</w:t>
            </w:r>
          </w:p>
        </w:tc>
        <w:tc>
          <w:tcPr>
            <w:tcW w:w="2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559,623</w:t>
            </w:r>
          </w:p>
        </w:tc>
        <w:tc>
          <w:tcPr>
            <w:tcW w:w="3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46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08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18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1,190,807</w:t>
            </w:r>
          </w:p>
        </w:tc>
        <w:tc>
          <w:tcPr>
            <w:tcW w:w="200" w:type="dxa"/>
            <w:vAlign w:val="bottom"/>
            <w:vMerge w:val="continue"/>
          </w:tcPr>
          <w:p>
            <w:pPr>
              <w:spacing w:after="0"/>
              <w:rPr>
                <w:sz w:val="11"/>
                <w:szCs w:val="11"/>
                <w:color w:val="auto"/>
              </w:rPr>
            </w:pPr>
          </w:p>
        </w:tc>
        <w:tc>
          <w:tcPr>
            <w:tcW w:w="180" w:type="dxa"/>
            <w:vAlign w:val="bottom"/>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957,092</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0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Restricted cash, end of period</w:t>
            </w:r>
          </w:p>
        </w:tc>
        <w:tc>
          <w:tcPr>
            <w:tcW w:w="4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761</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3,761</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0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4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1,191,568</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960,853</w:t>
            </w:r>
          </w:p>
        </w:tc>
        <w:tc>
          <w:tcPr>
            <w:tcW w:w="3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0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SUPPLEMENTAL INFORMATION:</w:t>
            </w: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0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Interest paid</w:t>
            </w:r>
          </w:p>
        </w:tc>
        <w:tc>
          <w:tcPr>
            <w:tcW w:w="6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9,241</w:t>
            </w:r>
          </w:p>
        </w:tc>
        <w:tc>
          <w:tcPr>
            <w:tcW w:w="3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9,492</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Income taxes paid</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112,271</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118,403</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NON-CASH INVESTING ACTIVITIES:</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Capital expenditures included in accounts payable</w:t>
            </w:r>
          </w:p>
        </w:tc>
        <w:tc>
          <w:tcPr>
            <w:tcW w:w="6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1,559</w:t>
            </w:r>
          </w:p>
        </w:tc>
        <w:tc>
          <w:tcPr>
            <w:tcW w:w="3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3,427</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NON-CASH FINANCING ACTIVITIES:</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8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Common stock issued under deferred compensation plans</w:t>
            </w:r>
          </w:p>
        </w:tc>
        <w:tc>
          <w:tcPr>
            <w:tcW w:w="6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10,853</w:t>
            </w:r>
          </w:p>
        </w:tc>
        <w:tc>
          <w:tcPr>
            <w:tcW w:w="3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9,937</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See notes to consolidated condensed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FINANCIAL STATEMENTS</w:t>
      </w:r>
    </w:p>
    <w:p>
      <w:pPr>
        <w:spacing w:after="0" w:line="203" w:lineRule="exact"/>
        <w:rPr>
          <w:sz w:val="20"/>
          <w:szCs w:val="20"/>
          <w:color w:val="auto"/>
        </w:rPr>
      </w:pPr>
    </w:p>
    <w:p>
      <w:pPr>
        <w:ind w:left="540" w:hanging="490"/>
        <w:spacing w:after="0"/>
        <w:tabs>
          <w:tab w:leader="none" w:pos="5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color w:val="auto"/>
        </w:rPr>
        <w:t>The accompanying unaudited interim consolidated condensed financial statements (the “Financial Statements”) include our accounts and those of our wholly-owned and majority-owned subsidiaries and partnerships, and have been prepared pursuant to the rules and regulations of the Securities and Exchange Commission. Accordingly, the Financial Statements do not include all the information and footnotes normally included in the annual consolidated financial statements prepared in accordance with accounting principles generally accepted in the United States of America. All significant intercompany balances and transactions have been eliminated in consolidation.</w:t>
      </w:r>
    </w:p>
    <w:p>
      <w:pPr>
        <w:spacing w:after="0" w:line="187"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We consolidate entities in which we have a controlling financial interest. In determining whether we have a controlling financial interest in a partially owned entity and the requirement to consolidate the accounts of that entity, we consider factors such as ownership interest, board representation, management representation, authority to make decisions, and contractual and substantive participating rights of the partners/members as well as whether the entity is a variable interest entity (“VIE”) and whether we are the primary beneficiary. The primary beneficiary of a VIE is the entity that has</w:t>
      </w:r>
    </w:p>
    <w:p>
      <w:pPr>
        <w:spacing w:after="0" w:line="3" w:lineRule="exact"/>
        <w:rPr>
          <w:sz w:val="20"/>
          <w:szCs w:val="20"/>
          <w:color w:val="auto"/>
        </w:rPr>
      </w:pPr>
    </w:p>
    <w:p>
      <w:pPr>
        <w:jc w:val="both"/>
        <w:ind w:left="60" w:right="59" w:hanging="10"/>
        <w:spacing w:after="0" w:line="255" w:lineRule="auto"/>
        <w:tabs>
          <w:tab w:leader="none" w:pos="2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to direct the activities that most significantly impact the entity's economic performance and (ii) the obligation to absorb losses of the VIE or the right to receive benefits from the VIE that could be significant to the VIE. The primary beneficiary is required to consolidate the VIE. We account for unconsolidated VIEs using the equity method of accounting.</w:t>
      </w:r>
    </w:p>
    <w:p>
      <w:pPr>
        <w:spacing w:after="0" w:line="186"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As a result of the investment in Dempsey on June 27, 2022, we own 50% of the issued equity of that entity, and the remaining 50% of the issued equity is owned by the previous owners (“Sellers”). The investment in Dempsey is an unconsolidated variable interest entity and we have accounted for it using the equity method of accounting because we do not have a controlling financial interest in the entity. Per the contracts, the Sellers have a put right to sell their equity interest to us for $50 million and we have a call right to purchase the Seller’s equity interest for $70 million, which are both first exercisable in June 2025 and expire in June 2030. As of September 28, 2024, the carrying value of our investment in Dempsey is $57.7 million and is recorded in Other Assets. Our maximum exposure to loss consists of our investment amount and any contingent loss that may occur in the future as a result of a change in the fair value of Dempsey relative to the strike price of the put option.</w:t>
      </w:r>
    </w:p>
    <w:p>
      <w:pPr>
        <w:spacing w:after="0" w:line="188"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In our opinion, the Financial Statements contain all material adjustments necessary to present fairly our consolidated financial position, results of operations and cash flows for the interim periods presented. All such adjustments are of a normal recurring nature. These Financial Statements should be read in conjunction with the annual consolidated financial statements, and footnotes thereto, included in our Annual Report to Shareholders on Form 10-K for the fiscal year ended December 30, 2023.</w:t>
      </w:r>
    </w:p>
    <w:p>
      <w:pPr>
        <w:spacing w:after="0" w:line="183"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Seasonality has a significant impact on our working capital from March to August, which historically results in negative or modest cash flows from operations in our first and second quarters. Conversely, we experience a substantial decrease in working capital from September to February which typically results in significant cash flow from operations in our third and fourth quarters. For comparative purposes, we have included the September 30, 2023 balances in the accompanying unaudited condensed consolidated balance sheets.</w:t>
      </w:r>
    </w:p>
    <w:p>
      <w:pPr>
        <w:spacing w:after="0" w:line="183" w:lineRule="exact"/>
        <w:rPr>
          <w:sz w:val="20"/>
          <w:szCs w:val="20"/>
          <w:color w:val="auto"/>
        </w:rPr>
      </w:pPr>
    </w:p>
    <w:p>
      <w:pPr>
        <w:jc w:val="both"/>
        <w:ind w:left="60" w:right="59" w:firstLine="492"/>
        <w:spacing w:after="0" w:line="253"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is intended to enhance the transparency, decision usefulness and effectiveness of income tax disclosures. The amendments in this ASU require a public entity to disclose a tabular tax rate reconciliation, using both percentages and currency, with specific categories. A public entity is also required to provide a qualitative description of the states and local jurisdictions that make up the majority of the effect of the state and local income tax category and the net amount of income taxes paid, disaggregated by federal, state and foreign taxes and also disaggregated by individual jurisdictions. The amendments also remove certain disclosures that are no longer considered cost beneficial. The amendments are effective prospectively for annual periods beginning after December 15, 2024, and early adoption and retrospective application are permitted. Although the ASU only modifies our required income tax disclosures, we are currently evaluating the impact of adopting this guidance on the consolidated financial statements.</w:t>
      </w:r>
    </w:p>
    <w:p>
      <w:pPr>
        <w:sectPr>
          <w:pgSz w:w="11900" w:h="16838" w:orient="portrait"/>
          <w:cols w:equalWidth="0" w:num="1">
            <w:col w:w="9019"/>
          </w:cols>
          <w:pgMar w:left="1440" w:top="540"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jc w:val="both"/>
        <w:ind w:left="60" w:right="59" w:firstLine="492"/>
        <w:spacing w:after="0" w:line="253"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is intended to improve reportable segment disclosure requirements, primarily through enhanced disclosures about significant segment expenses, allowing financial statement users to better understand the components of a segment's profit or loss to assess potential future cash flows for each reportable segment and the entity as a whole. The amendments expand a public entity's segment disclosures by requiring disclosure of significant segment expenses that are regularly provided to the chief operating decision maker ("CODM"), clarifying when an entity may report one or more additional measures to assess segment performance, requiring enhanced interim disclosures, providing new disclosure requirements for entities with a single reportable segment, and requiring other new disclosures. The amendments are effective for fiscal years beginning after December 15, 2023, and interim periods within fiscal years beginning after December 15, 2024, and early adoption is permitted. Although the ASU only requires additional disclosures about the Company's operating segments, we are currently evaluating the impact of adopting this guidance on the consolidated financial statements.</w:t>
      </w:r>
    </w:p>
    <w:p>
      <w:pPr>
        <w:spacing w:after="0" w:line="186" w:lineRule="exact"/>
        <w:rPr>
          <w:sz w:val="20"/>
          <w:szCs w:val="20"/>
          <w:color w:val="auto"/>
        </w:rPr>
      </w:pPr>
    </w:p>
    <w:p>
      <w:pPr>
        <w:ind w:left="540" w:hanging="490"/>
        <w:spacing w:after="0"/>
        <w:tabs>
          <w:tab w:leader="none" w:pos="5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w:t>
      </w:r>
    </w:p>
    <w:p>
      <w:pPr>
        <w:spacing w:after="0" w:line="227" w:lineRule="exact"/>
        <w:rPr>
          <w:sz w:val="20"/>
          <w:szCs w:val="20"/>
          <w:color w:val="auto"/>
        </w:rPr>
      </w:pPr>
    </w:p>
    <w:p>
      <w:pPr>
        <w:jc w:val="both"/>
        <w:ind w:left="60" w:right="59" w:firstLine="492"/>
        <w:spacing w:after="0" w:line="284" w:lineRule="auto"/>
        <w:rPr>
          <w:sz w:val="20"/>
          <w:szCs w:val="20"/>
          <w:color w:val="auto"/>
        </w:rPr>
      </w:pPr>
      <w:r>
        <w:rPr>
          <w:rFonts w:ascii="Times New Roman" w:cs="Times New Roman" w:eastAsia="Times New Roman" w:hAnsi="Times New Roman"/>
          <w:sz w:val="18"/>
          <w:szCs w:val="18"/>
          <w:color w:val="auto"/>
        </w:rPr>
        <w:t xml:space="preserve">We apply the provisions of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to assets and liabilities measured at fair value. Assets measured at fair value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4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7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420" w:type="dxa"/>
            <w:vAlign w:val="bottom"/>
          </w:tcPr>
          <w:p>
            <w:pPr>
              <w:spacing w:after="0"/>
              <w:rPr>
                <w:sz w:val="10"/>
                <w:szCs w:val="10"/>
                <w:color w:val="auto"/>
              </w:rPr>
            </w:pPr>
          </w:p>
        </w:tc>
        <w:tc>
          <w:tcPr>
            <w:tcW w:w="900" w:type="dxa"/>
            <w:vAlign w:val="bottom"/>
            <w:gridSpan w:val="2"/>
          </w:tcPr>
          <w:p>
            <w:pPr>
              <w:jc w:val="center"/>
              <w:ind w:right="160"/>
              <w:spacing w:after="0" w:line="124" w:lineRule="exact"/>
              <w:rPr>
                <w:sz w:val="20"/>
                <w:szCs w:val="20"/>
                <w:color w:val="auto"/>
              </w:rPr>
            </w:pPr>
            <w:r>
              <w:rPr>
                <w:rFonts w:ascii="Times New Roman" w:cs="Times New Roman" w:eastAsia="Times New Roman" w:hAnsi="Times New Roman"/>
                <w:sz w:val="14"/>
                <w:szCs w:val="14"/>
                <w:b w:val="1"/>
                <w:bCs w:val="1"/>
                <w:color w:val="auto"/>
              </w:rPr>
              <w:t>Quoted</w:t>
            </w:r>
          </w:p>
        </w:tc>
        <w:tc>
          <w:tcPr>
            <w:tcW w:w="880" w:type="dxa"/>
            <w:vAlign w:val="bottom"/>
            <w:gridSpan w:val="3"/>
          </w:tcPr>
          <w:p>
            <w:pPr>
              <w:jc w:val="center"/>
              <w:ind w:right="120"/>
              <w:spacing w:after="0" w:line="124" w:lineRule="exact"/>
              <w:rPr>
                <w:sz w:val="20"/>
                <w:szCs w:val="20"/>
                <w:color w:val="auto"/>
              </w:rPr>
            </w:pPr>
            <w:r>
              <w:rPr>
                <w:rFonts w:ascii="Times New Roman" w:cs="Times New Roman" w:eastAsia="Times New Roman" w:hAnsi="Times New Roman"/>
                <w:sz w:val="14"/>
                <w:szCs w:val="14"/>
                <w:b w:val="1"/>
                <w:bCs w:val="1"/>
                <w:color w:val="auto"/>
              </w:rPr>
              <w:t>Prices with</w:t>
            </w:r>
          </w:p>
        </w:tc>
        <w:tc>
          <w:tcPr>
            <w:tcW w:w="100" w:type="dxa"/>
            <w:vAlign w:val="bottom"/>
          </w:tcPr>
          <w:p>
            <w:pPr>
              <w:spacing w:after="0"/>
              <w:rPr>
                <w:sz w:val="10"/>
                <w:szCs w:val="10"/>
                <w:color w:val="auto"/>
              </w:rPr>
            </w:pPr>
          </w:p>
        </w:tc>
        <w:tc>
          <w:tcPr>
            <w:tcW w:w="10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Prices with</w:t>
            </w: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2"/>
          </w:tcPr>
          <w:p>
            <w:pPr>
              <w:jc w:val="center"/>
              <w:ind w:right="180"/>
              <w:spacing w:after="0" w:line="124" w:lineRule="exact"/>
              <w:rPr>
                <w:sz w:val="20"/>
                <w:szCs w:val="20"/>
                <w:color w:val="auto"/>
              </w:rPr>
            </w:pPr>
            <w:r>
              <w:rPr>
                <w:rFonts w:ascii="Times New Roman" w:cs="Times New Roman" w:eastAsia="Times New Roman" w:hAnsi="Times New Roman"/>
                <w:sz w:val="14"/>
                <w:szCs w:val="14"/>
                <w:b w:val="1"/>
                <w:bCs w:val="1"/>
                <w:color w:val="auto"/>
              </w:rPr>
              <w:t>Quoted</w:t>
            </w:r>
          </w:p>
        </w:tc>
        <w:tc>
          <w:tcPr>
            <w:tcW w:w="900" w:type="dxa"/>
            <w:vAlign w:val="bottom"/>
            <w:gridSpan w:val="3"/>
          </w:tcPr>
          <w:p>
            <w:pPr>
              <w:jc w:val="center"/>
              <w:ind w:right="140"/>
              <w:spacing w:after="0" w:line="124" w:lineRule="exact"/>
              <w:rPr>
                <w:sz w:val="20"/>
                <w:szCs w:val="20"/>
                <w:color w:val="auto"/>
              </w:rPr>
            </w:pPr>
            <w:r>
              <w:rPr>
                <w:rFonts w:ascii="Times New Roman" w:cs="Times New Roman" w:eastAsia="Times New Roman" w:hAnsi="Times New Roman"/>
                <w:sz w:val="14"/>
                <w:szCs w:val="14"/>
                <w:b w:val="1"/>
                <w:bCs w:val="1"/>
                <w:color w:val="auto"/>
              </w:rPr>
              <w:t>Prices with</w:t>
            </w:r>
          </w:p>
        </w:tc>
        <w:tc>
          <w:tcPr>
            <w:tcW w:w="100" w:type="dxa"/>
            <w:vAlign w:val="bottom"/>
          </w:tcPr>
          <w:p>
            <w:pPr>
              <w:spacing w:after="0"/>
              <w:rPr>
                <w:sz w:val="10"/>
                <w:szCs w:val="10"/>
                <w:color w:val="auto"/>
              </w:rPr>
            </w:pPr>
          </w:p>
        </w:tc>
        <w:tc>
          <w:tcPr>
            <w:tcW w:w="10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Prices with</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0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8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9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9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76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1420" w:type="dxa"/>
            <w:vAlign w:val="bottom"/>
          </w:tcPr>
          <w:p>
            <w:pPr>
              <w:spacing w:after="0"/>
              <w:rPr>
                <w:sz w:val="15"/>
                <w:szCs w:val="15"/>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940" w:type="dxa"/>
            <w:vAlign w:val="bottom"/>
            <w:gridSpan w:val="2"/>
            <w:vMerge w:val="continue"/>
          </w:tcPr>
          <w:p>
            <w:pPr>
              <w:spacing w:after="0"/>
              <w:rPr>
                <w:sz w:val="15"/>
                <w:szCs w:val="15"/>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5"/>
                <w:szCs w:val="15"/>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420" w:type="dxa"/>
            <w:vAlign w:val="bottom"/>
            <w:tcBorders>
              <w:top w:val="single" w:sz="8" w:color="CCEEFF"/>
            </w:tcBorders>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Money market</w:t>
            </w:r>
          </w:p>
        </w:tc>
        <w:tc>
          <w:tcPr>
            <w:tcW w:w="7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funds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$ 398,475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16,048</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$ 414,523</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$ 492,800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$ 498,933</w:t>
            </w:r>
          </w:p>
        </w:tc>
        <w:tc>
          <w:tcPr>
            <w:tcW w:w="0" w:type="dxa"/>
            <w:vAlign w:val="bottom"/>
          </w:tcPr>
          <w:p>
            <w:pPr>
              <w:spacing w:after="0"/>
              <w:rPr>
                <w:sz w:val="1"/>
                <w:szCs w:val="1"/>
                <w:color w:val="auto"/>
              </w:rPr>
            </w:pPr>
          </w:p>
        </w:tc>
      </w:tr>
      <w:tr>
        <w:trPr>
          <w:trHeight w:val="181"/>
        </w:trPr>
        <w:tc>
          <w:tcPr>
            <w:tcW w:w="142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Fixed income</w:t>
            </w: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funds</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26,034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31,358</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18,976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24,088</w:t>
            </w:r>
          </w:p>
        </w:tc>
        <w:tc>
          <w:tcPr>
            <w:tcW w:w="0" w:type="dxa"/>
            <w:vAlign w:val="bottom"/>
          </w:tcPr>
          <w:p>
            <w:pPr>
              <w:spacing w:after="0"/>
              <w:rPr>
                <w:sz w:val="1"/>
                <w:szCs w:val="1"/>
                <w:color w:val="auto"/>
              </w:rPr>
            </w:pPr>
          </w:p>
        </w:tc>
      </w:tr>
      <w:tr>
        <w:trPr>
          <w:trHeight w:val="182"/>
        </w:trPr>
        <w:tc>
          <w:tcPr>
            <w:tcW w:w="14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7"/>
                <w:szCs w:val="17"/>
                <w:color w:val="auto"/>
              </w:rPr>
              <w:t>Treasury</w:t>
            </w: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securities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0" w:type="dxa"/>
            <w:vAlign w:val="bottom"/>
          </w:tcPr>
          <w:p>
            <w:pPr>
              <w:spacing w:after="0"/>
              <w:rPr>
                <w:sz w:val="1"/>
                <w:szCs w:val="1"/>
                <w:color w:val="auto"/>
              </w:rPr>
            </w:pPr>
          </w:p>
        </w:tc>
      </w:tr>
      <w:tr>
        <w:trPr>
          <w:trHeight w:val="203"/>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securities</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16,893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22,000</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38,893</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16,411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10,500</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26,911</w:t>
            </w:r>
          </w:p>
        </w:tc>
        <w:tc>
          <w:tcPr>
            <w:tcW w:w="0" w:type="dxa"/>
            <w:vAlign w:val="bottom"/>
          </w:tcPr>
          <w:p>
            <w:pPr>
              <w:spacing w:after="0"/>
              <w:rPr>
                <w:sz w:val="1"/>
                <w:szCs w:val="1"/>
                <w:color w:val="auto"/>
              </w:rPr>
            </w:pPr>
          </w:p>
        </w:tc>
      </w:tr>
      <w:tr>
        <w:trPr>
          <w:trHeight w:val="181"/>
        </w:trPr>
        <w:tc>
          <w:tcPr>
            <w:tcW w:w="14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Alternative</w:t>
            </w: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investments</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4,033</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4,033</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4,052</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4,052</w:t>
            </w:r>
          </w:p>
        </w:tc>
        <w:tc>
          <w:tcPr>
            <w:tcW w:w="0" w:type="dxa"/>
            <w:vAlign w:val="bottom"/>
          </w:tcPr>
          <w:p>
            <w:pPr>
              <w:spacing w:after="0"/>
              <w:rPr>
                <w:sz w:val="1"/>
                <w:szCs w:val="1"/>
                <w:color w:val="auto"/>
              </w:rPr>
            </w:pPr>
          </w:p>
        </w:tc>
      </w:tr>
      <w:tr>
        <w:trPr>
          <w:trHeight w:val="203"/>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Mutual funds:</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42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7"/>
                <w:szCs w:val="17"/>
                <w:color w:val="auto"/>
              </w:rPr>
              <w:t>Domestic stock</w:t>
            </w: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funds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16,860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16,860</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13,330</w:t>
            </w:r>
          </w:p>
        </w:tc>
        <w:tc>
          <w:tcPr>
            <w:tcW w:w="0" w:type="dxa"/>
            <w:vAlign w:val="bottom"/>
          </w:tcPr>
          <w:p>
            <w:pPr>
              <w:spacing w:after="0"/>
              <w:rPr>
                <w:sz w:val="1"/>
                <w:szCs w:val="1"/>
                <w:color w:val="auto"/>
              </w:rPr>
            </w:pPr>
          </w:p>
        </w:tc>
      </w:tr>
      <w:tr>
        <w:trPr>
          <w:trHeight w:val="181"/>
        </w:trPr>
        <w:tc>
          <w:tcPr>
            <w:tcW w:w="1420" w:type="dxa"/>
            <w:vAlign w:val="bottom"/>
          </w:tcPr>
          <w:p>
            <w:pPr>
              <w:ind w:left="120"/>
              <w:spacing w:after="0" w:line="181" w:lineRule="exact"/>
              <w:rPr>
                <w:sz w:val="20"/>
                <w:szCs w:val="20"/>
                <w:color w:val="auto"/>
              </w:rPr>
            </w:pPr>
            <w:r>
              <w:rPr>
                <w:rFonts w:ascii="Times New Roman" w:cs="Times New Roman" w:eastAsia="Times New Roman" w:hAnsi="Times New Roman"/>
                <w:sz w:val="17"/>
                <w:szCs w:val="17"/>
                <w:color w:val="auto"/>
              </w:rPr>
              <w:t>International</w:t>
            </w: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stock funds</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704</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w:t>
            </w:r>
          </w:p>
        </w:tc>
        <w:tc>
          <w:tcPr>
            <w:tcW w:w="0" w:type="dxa"/>
            <w:vAlign w:val="bottom"/>
          </w:tcPr>
          <w:p>
            <w:pPr>
              <w:spacing w:after="0"/>
              <w:rPr>
                <w:sz w:val="1"/>
                <w:szCs w:val="1"/>
                <w:color w:val="auto"/>
              </w:rPr>
            </w:pPr>
          </w:p>
        </w:tc>
      </w:tr>
      <w:tr>
        <w:trPr>
          <w:trHeight w:val="204"/>
        </w:trPr>
        <w:tc>
          <w:tcPr>
            <w:tcW w:w="1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Target funds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03"/>
        </w:trPr>
        <w:tc>
          <w:tcPr>
            <w:tcW w:w="1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Bond funds</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181"/>
        </w:trPr>
        <w:tc>
          <w:tcPr>
            <w:tcW w:w="142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7"/>
                <w:szCs w:val="17"/>
                <w:color w:val="auto"/>
              </w:rPr>
              <w:t>Alternative</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vMerge w:val="restart"/>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vMerge w:val="restart"/>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w:t>
            </w:r>
          </w:p>
        </w:tc>
        <w:tc>
          <w:tcPr>
            <w:tcW w:w="1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vMerge w:val="restart"/>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vMerge w:val="restart"/>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0" w:type="dxa"/>
            <w:vAlign w:val="bottom"/>
          </w:tcPr>
          <w:p>
            <w:pPr>
              <w:spacing w:after="0"/>
              <w:rPr>
                <w:sz w:val="1"/>
                <w:szCs w:val="1"/>
                <w:color w:val="auto"/>
              </w:rPr>
            </w:pPr>
          </w:p>
        </w:tc>
      </w:tr>
      <w:tr>
        <w:trPr>
          <w:trHeight w:val="231"/>
        </w:trPr>
        <w:tc>
          <w:tcPr>
            <w:tcW w:w="1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funds</w:t>
            </w: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142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Total mutual</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18,062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3"/>
                <w:szCs w:val="13"/>
                <w:color w:val="auto"/>
              </w:rPr>
            </w:pP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18,062</w:t>
            </w:r>
          </w:p>
        </w:tc>
        <w:tc>
          <w:tcPr>
            <w:tcW w:w="1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14,327</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3"/>
                <w:szCs w:val="13"/>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14,327</w:t>
            </w:r>
          </w:p>
        </w:tc>
        <w:tc>
          <w:tcPr>
            <w:tcW w:w="0" w:type="dxa"/>
            <w:vAlign w:val="bottom"/>
          </w:tcPr>
          <w:p>
            <w:pPr>
              <w:spacing w:after="0"/>
              <w:rPr>
                <w:sz w:val="1"/>
                <w:szCs w:val="1"/>
                <w:color w:val="auto"/>
              </w:rPr>
            </w:pPr>
          </w:p>
        </w:tc>
      </w:tr>
      <w:tr>
        <w:trPr>
          <w:trHeight w:val="218"/>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funds</w:t>
            </w:r>
          </w:p>
        </w:tc>
        <w:tc>
          <w:tcPr>
            <w:tcW w:w="7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4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$ 439,098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42,082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26,033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$ 507,213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$ 528,994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25,109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14,552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$ 568,655</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From the assets measured at fair value as of September 28, 2024, listed in the table above, $413.6 million of money market funds are held in Cash and Cash Equivalents, $38.9 million of mutual funds, equity securities, and alternative investments are held in Investments, $22.0 million of equity securities are held in Other Assets, $0.1 million of money market and mutual funds are held in Other Assets for our deferred compensation plan, and $31.7 million of fixed income funds and $0.9 million of money market funds are held in Restricted Investments. As of December 30, 2023, $498.5 million of money market funds were held in Cash and Cash Equivalents, $34.8 million of mutual funds, equity securities, and alternative investments were held in Investments, $10.5 million of equity securities were held in Other Assets, $0.1 million of money market and mutual funds were held in Other Assets for our deferred compensation plan, and $24.4 million of fixed income funds and $0.4 million of money market funds were held in Restricted Investments.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jc w:val="both"/>
        <w:ind w:left="60" w:right="80" w:firstLine="492"/>
        <w:spacing w:after="0" w:line="258" w:lineRule="auto"/>
        <w:rPr>
          <w:sz w:val="20"/>
          <w:szCs w:val="20"/>
          <w:color w:val="auto"/>
        </w:rPr>
      </w:pPr>
      <w:r>
        <w:rPr>
          <w:rFonts w:ascii="Times New Roman" w:cs="Times New Roman" w:eastAsia="Times New Roman" w:hAnsi="Times New Roman"/>
          <w:sz w:val="18"/>
          <w:szCs w:val="18"/>
          <w:color w:val="auto"/>
        </w:rPr>
        <w:t xml:space="preserve">We maintain money market, mutual funds, bonds, and/or equity securities in our non-qualified deferred compensation plan, our wholly owned licensed captive insurance company, and assets held in financial institutions. These funds are valued at prices quoted in an active exchange market and are included in “Cash and Cash Equivalents”, “Investments”, “Other Assets”, and “Restricted Investments”. We have elected not to apply the fair value option under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to any of our financial instruments except for those expressly required by U.S. GAAP.</w:t>
      </w:r>
    </w:p>
    <w:p>
      <w:pPr>
        <w:spacing w:after="0" w:line="183" w:lineRule="exact"/>
        <w:rPr>
          <w:sz w:val="20"/>
          <w:szCs w:val="20"/>
          <w:color w:val="auto"/>
        </w:rPr>
      </w:pPr>
    </w:p>
    <w:p>
      <w:pPr>
        <w:jc w:val="both"/>
        <w:ind w:left="60" w:right="80" w:firstLine="492"/>
        <w:spacing w:after="0" w:line="282" w:lineRule="auto"/>
        <w:rPr>
          <w:sz w:val="20"/>
          <w:szCs w:val="20"/>
          <w:color w:val="auto"/>
        </w:rPr>
      </w:pPr>
      <w:r>
        <w:rPr>
          <w:rFonts w:ascii="Times New Roman" w:cs="Times New Roman" w:eastAsia="Times New Roman" w:hAnsi="Times New Roman"/>
          <w:sz w:val="18"/>
          <w:szCs w:val="18"/>
          <w:color w:val="auto"/>
        </w:rPr>
        <w:t>We have $22.0 million of investments through our Innov8 Fund, which is designed to invest in emerging projects, services, and technologies. These investments are valued as Level 3 assets and are categorized as “Equity securities.”</w:t>
      </w:r>
    </w:p>
    <w:p>
      <w:pPr>
        <w:spacing w:after="0" w:line="162" w:lineRule="exact"/>
        <w:rPr>
          <w:sz w:val="20"/>
          <w:szCs w:val="20"/>
          <w:color w:val="auto"/>
        </w:rPr>
      </w:pPr>
    </w:p>
    <w:p>
      <w:pPr>
        <w:jc w:val="both"/>
        <w:ind w:left="60" w:right="80" w:firstLine="492"/>
        <w:spacing w:after="0" w:line="261" w:lineRule="auto"/>
        <w:rPr>
          <w:sz w:val="20"/>
          <w:szCs w:val="20"/>
          <w:color w:val="auto"/>
        </w:rPr>
      </w:pPr>
      <w:r>
        <w:rPr>
          <w:rFonts w:ascii="Times New Roman" w:cs="Times New Roman" w:eastAsia="Times New Roman" w:hAnsi="Times New Roman"/>
          <w:sz w:val="18"/>
          <w:szCs w:val="18"/>
          <w:color w:val="auto"/>
        </w:rPr>
        <w:t>In accordance with our investment policy, our wholly-owned captive, Ardellis Insurance Ltd. (“Ardellis”), maintains an investment portfolio, totaling $70.6 million and $59.2 million as of September 28, 2024 and December 30, 2023, respectively, which has been included in the aforementioned table of total investments. This portfolio consists of domestic and international equity securities, alternative investments, and fixed income bonds.</w:t>
      </w:r>
    </w:p>
    <w:p>
      <w:pPr>
        <w:spacing w:after="0" w:line="180" w:lineRule="exact"/>
        <w:rPr>
          <w:sz w:val="20"/>
          <w:szCs w:val="20"/>
          <w:color w:val="auto"/>
        </w:rPr>
      </w:pPr>
    </w:p>
    <w:p>
      <w:pPr>
        <w:jc w:val="both"/>
        <w:ind w:left="60" w:right="80" w:firstLine="492"/>
        <w:spacing w:after="0" w:line="282" w:lineRule="auto"/>
        <w:rPr>
          <w:sz w:val="20"/>
          <w:szCs w:val="20"/>
          <w:color w:val="auto"/>
        </w:rPr>
      </w:pPr>
      <w:r>
        <w:rPr>
          <w:rFonts w:ascii="Times New Roman" w:cs="Times New Roman" w:eastAsia="Times New Roman" w:hAnsi="Times New Roman"/>
          <w:sz w:val="18"/>
          <w:szCs w:val="18"/>
          <w:color w:val="auto"/>
        </w:rPr>
        <w:t>Ardellis’ available for sale investment portfolio, including funds held with the State of Michigan, consists of the following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900" w:type="dxa"/>
            <w:vAlign w:val="bottom"/>
          </w:tcPr>
          <w:p>
            <w:pPr>
              <w:spacing w:after="0"/>
              <w:rPr>
                <w:sz w:val="15"/>
                <w:szCs w:val="15"/>
                <w:color w:val="auto"/>
              </w:rPr>
            </w:pPr>
          </w:p>
        </w:tc>
        <w:tc>
          <w:tcPr>
            <w:tcW w:w="24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4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6"/>
          </w:tcPr>
          <w:p>
            <w:pPr>
              <w:jc w:val="center"/>
              <w:ind w:right="593"/>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0" w:type="dxa"/>
            <w:vAlign w:val="bottom"/>
          </w:tcPr>
          <w:p>
            <w:pPr>
              <w:spacing w:after="0"/>
              <w:rPr>
                <w:sz w:val="1"/>
                <w:szCs w:val="1"/>
                <w:color w:val="auto"/>
              </w:rPr>
            </w:pPr>
          </w:p>
        </w:tc>
      </w:tr>
      <w:tr>
        <w:trPr>
          <w:trHeight w:val="124"/>
        </w:trPr>
        <w:tc>
          <w:tcPr>
            <w:tcW w:w="3900" w:type="dxa"/>
            <w:vAlign w:val="bottom"/>
          </w:tcPr>
          <w:p>
            <w:pPr>
              <w:spacing w:after="0"/>
              <w:rPr>
                <w:sz w:val="10"/>
                <w:szCs w:val="10"/>
                <w:color w:val="auto"/>
              </w:rPr>
            </w:pPr>
          </w:p>
        </w:tc>
        <w:tc>
          <w:tcPr>
            <w:tcW w:w="8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900" w:type="dxa"/>
            <w:vAlign w:val="bottom"/>
            <w:gridSpan w:val="3"/>
          </w:tcPr>
          <w:p>
            <w:pPr>
              <w:jc w:val="center"/>
              <w:ind w:right="160"/>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8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3"/>
          </w:tcPr>
          <w:p>
            <w:pPr>
              <w:jc w:val="center"/>
              <w:ind w:right="140"/>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0"/>
        </w:trPr>
        <w:tc>
          <w:tcPr>
            <w:tcW w:w="39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82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$ 32,069</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$ 31,358</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$ 25,514</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$ 24,088</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securities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16,893</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16,411</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18,009</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14,282</w:t>
            </w:r>
          </w:p>
        </w:tc>
        <w:tc>
          <w:tcPr>
            <w:tcW w:w="0" w:type="dxa"/>
            <w:vAlign w:val="bottom"/>
          </w:tcPr>
          <w:p>
            <w:pPr>
              <w:spacing w:after="0"/>
              <w:rPr>
                <w:sz w:val="1"/>
                <w:szCs w:val="1"/>
                <w:color w:val="auto"/>
              </w:rPr>
            </w:pPr>
          </w:p>
        </w:tc>
      </w:tr>
      <w:tr>
        <w:trPr>
          <w:trHeight w:val="236"/>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Alternative investments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w:t>
            </w: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4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0" w:type="dxa"/>
            <w:vAlign w:val="bottom"/>
          </w:tcPr>
          <w:p>
            <w:pPr>
              <w:spacing w:after="0"/>
              <w:rPr>
                <w:sz w:val="1"/>
                <w:szCs w:val="1"/>
                <w:color w:val="auto"/>
              </w:rPr>
            </w:pPr>
          </w:p>
        </w:tc>
      </w:tr>
      <w:tr>
        <w:trPr>
          <w:trHeight w:val="203"/>
        </w:trPr>
        <w:tc>
          <w:tcPr>
            <w:tcW w:w="39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$ 63,296</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7,341</w:t>
            </w:r>
          </w:p>
        </w:tc>
        <w:tc>
          <w:tcPr>
            <w:tcW w:w="160" w:type="dxa"/>
            <w:vAlign w:val="bottom"/>
          </w:tcPr>
          <w:p>
            <w:pPr>
              <w:spacing w:after="0"/>
              <w:rPr>
                <w:sz w:val="17"/>
                <w:szCs w:val="17"/>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$ 70,637</w:t>
            </w:r>
          </w:p>
        </w:tc>
        <w:tc>
          <w:tcPr>
            <w:tcW w:w="140" w:type="dxa"/>
            <w:vAlign w:val="bottom"/>
          </w:tcPr>
          <w:p>
            <w:pPr>
              <w:spacing w:after="0"/>
              <w:rPr>
                <w:sz w:val="17"/>
                <w:szCs w:val="17"/>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$ 54,940</w:t>
            </w:r>
          </w:p>
        </w:tc>
        <w:tc>
          <w:tcPr>
            <w:tcW w:w="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4,237</w:t>
            </w:r>
          </w:p>
        </w:tc>
        <w:tc>
          <w:tcPr>
            <w:tcW w:w="140" w:type="dxa"/>
            <w:vAlign w:val="bottom"/>
          </w:tcPr>
          <w:p>
            <w:pPr>
              <w:spacing w:after="0"/>
              <w:rPr>
                <w:sz w:val="17"/>
                <w:szCs w:val="17"/>
                <w:color w:val="auto"/>
              </w:rPr>
            </w:pPr>
          </w:p>
        </w:tc>
        <w:tc>
          <w:tcPr>
            <w:tcW w:w="7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$ 59,177</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80" w:firstLine="492"/>
        <w:spacing w:after="0" w:line="255" w:lineRule="auto"/>
        <w:rPr>
          <w:sz w:val="20"/>
          <w:szCs w:val="20"/>
          <w:color w:val="auto"/>
        </w:rPr>
      </w:pPr>
      <w:r>
        <w:rPr>
          <w:rFonts w:ascii="Times New Roman" w:cs="Times New Roman" w:eastAsia="Times New Roman" w:hAnsi="Times New Roman"/>
          <w:sz w:val="18"/>
          <w:szCs w:val="18"/>
          <w:color w:val="auto"/>
        </w:rPr>
        <w:t>Our fixed income investments consist of a blend of US Government and Agency bonds and investment grade corporate bonds with varying maturities. Our equity investments consist of small, mid, and large cap growth and value funds, as well as international equity. Our mutual fund investments consist of domestic and international stock. Our alternative investments consist of a private real estate income trust which is valued as a Level 3 asset. The net pre-tax unrealized gain of the portfolio was $7.3 million and $4.2 million as of September 28, 2024 and December 30, 2023, respectively. Carrying amounts above are recorded in the Investments and Restricted Investments line items within the balance sheet as of September 28, 2024 and December 30, 2023.</w:t>
      </w:r>
    </w:p>
    <w:p>
      <w:pPr>
        <w:spacing w:after="0" w:line="185" w:lineRule="exact"/>
        <w:rPr>
          <w:sz w:val="20"/>
          <w:szCs w:val="20"/>
          <w:color w:val="auto"/>
        </w:rPr>
      </w:pPr>
    </w:p>
    <w:p>
      <w:pPr>
        <w:ind w:left="540" w:hanging="490"/>
        <w:spacing w:after="0"/>
        <w:tabs>
          <w:tab w:leader="none" w:pos="5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left="60" w:right="80" w:firstLine="492"/>
        <w:spacing w:after="0" w:line="254" w:lineRule="auto"/>
        <w:rPr>
          <w:sz w:val="20"/>
          <w:szCs w:val="20"/>
          <w:color w:val="auto"/>
        </w:rPr>
      </w:pPr>
      <w:r>
        <w:rPr>
          <w:rFonts w:ascii="Times New Roman" w:cs="Times New Roman" w:eastAsia="Times New Roman" w:hAnsi="Times New Roman"/>
          <w:sz w:val="18"/>
          <w:szCs w:val="18"/>
          <w:color w:val="auto"/>
        </w:rPr>
        <w:t>Within the three primary segments, UFP Retail Solutions (“Retail”), UFP Packaging (“Packaging”) and UFP Construction (“Construction”), that the Company operates, there are a variety of written agreements governing the sale of our products and services. The transaction price is stated at the purchase order level, which includes shipping and/or freight costs and any applicable governmental authority taxes. The majority of our contracts have a single performance obligation concentrated around the delivery of goods to the carrier, Free On Board (FOB) shipping point. Therefore, revenue is recognized when this performance obligation is satisfied. Generally, title and control passes at the time of shipment. In certain circumstances, the customer takes title when the shipment arrives at the destination. However, our shipping process is typically completed the same day.</w:t>
      </w:r>
    </w:p>
    <w:p>
      <w:pPr>
        <w:spacing w:after="0" w:line="192" w:lineRule="exact"/>
        <w:rPr>
          <w:sz w:val="20"/>
          <w:szCs w:val="20"/>
          <w:color w:val="auto"/>
        </w:rPr>
      </w:pPr>
    </w:p>
    <w:p>
      <w:pPr>
        <w:jc w:val="both"/>
        <w:ind w:left="60" w:right="80" w:firstLine="492"/>
        <w:spacing w:after="0" w:line="266" w:lineRule="auto"/>
        <w:rPr>
          <w:sz w:val="20"/>
          <w:szCs w:val="20"/>
          <w:color w:val="auto"/>
        </w:rPr>
      </w:pPr>
      <w:r>
        <w:rPr>
          <w:rFonts w:ascii="Times New Roman" w:cs="Times New Roman" w:eastAsia="Times New Roman" w:hAnsi="Times New Roman"/>
          <w:sz w:val="18"/>
          <w:szCs w:val="18"/>
          <w:color w:val="auto"/>
        </w:rPr>
        <w:t>Certain customer products that we provide require installation by the Company or a third party. Installation revenue is recognized upon completion. If we use a third party for installation, the party will act as an agent to us until completion of the installation. Installation revenue represents an immaterial share of our total net sales.</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40"/>
          </w:cols>
          <w:pgMar w:left="1440" w:top="540" w:right="1419"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We utilize rebates, credits, discounts and/or cash-based incentives with certain customers which are accounted for as variable consideration. We estimate these amounts based on the expected amount to be provided to customers and reduce revenues recognized. We believe that there will not be significant changes to our estimates of variable consideration. The allocation of these costs are applied at the invoice level and recognized in conjunction with revenue. Additionally, returns and refunds are estimated on a historical and expected basis which is a reduction of revenue recognized.</w:t>
      </w:r>
    </w:p>
    <w:p>
      <w:pPr>
        <w:spacing w:after="0" w:line="183"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Earnings on construction contracts are reflected in operations using over time accounting, under either cost to cost or units of delivery methods, depending on the nature of the business at individual operations, which is in accordance with ASC 606 as revenue is recognized when certain performance obligations are performed. Under over time accounting using the cost to cost method, revenues and related earnings on construction contracts are measured by the relationships of actual costs incurred relative to the total estimated costs. Under over time accounting using the units of delivery method, revenues and related earnings on construction contracts are measured by the relationships of actual units produced relative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w:t>
      </w:r>
    </w:p>
    <w:p>
      <w:pPr>
        <w:spacing w:after="0" w:line="188"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Our construction contracts are generally entered into with a fixed price, and completion of the projects can range from 6 to 18 months in duration. Therefore, our operating results are impacted by, among many other things, labor rates and commodity costs. During the year, we update our estimated costs to complete our projects using current labor and commodity costs and recognize losses to the extent that they exist.</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presents our net sales disaggregated by revenue source (in thousands):</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5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Borders>
              <w:bottom w:val="single" w:sz="8" w:color="auto"/>
            </w:tcBorders>
          </w:tcPr>
          <w:p>
            <w:pPr>
              <w:spacing w:after="0"/>
              <w:rPr>
                <w:sz w:val="15"/>
                <w:szCs w:val="15"/>
                <w:color w:val="auto"/>
              </w:rPr>
            </w:pPr>
          </w:p>
        </w:tc>
      </w:tr>
      <w:tr>
        <w:trPr>
          <w:trHeight w:val="220"/>
        </w:trPr>
        <w:tc>
          <w:tcPr>
            <w:tcW w:w="2540" w:type="dxa"/>
            <w:vAlign w:val="bottom"/>
          </w:tcPr>
          <w:p>
            <w:pPr>
              <w:spacing w:after="0"/>
              <w:rPr>
                <w:sz w:val="19"/>
                <w:szCs w:val="19"/>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28,</w:t>
            </w: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9"/>
                <w:szCs w:val="19"/>
                <w:color w:val="auto"/>
              </w:rPr>
            </w:pPr>
          </w:p>
        </w:tc>
      </w:tr>
      <w:tr>
        <w:trPr>
          <w:trHeight w:val="193"/>
        </w:trPr>
        <w:tc>
          <w:tcPr>
            <w:tcW w:w="2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96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 w:type="dxa"/>
            <w:vAlign w:val="bottom"/>
          </w:tcPr>
          <w:p>
            <w:pPr>
              <w:spacing w:after="0"/>
              <w:rPr>
                <w:sz w:val="16"/>
                <w:szCs w:val="16"/>
                <w:color w:val="auto"/>
              </w:rPr>
            </w:pPr>
          </w:p>
        </w:tc>
        <w:tc>
          <w:tcPr>
            <w:tcW w:w="8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6"/>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1,607,411</w:t>
            </w: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$ 1,797,215</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5,069,509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5,587,990</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3"/>
        </w:trPr>
        <w:tc>
          <w:tcPr>
            <w:tcW w:w="2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Over Time Revenue</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41,972</w:t>
            </w: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30,422</w:t>
            </w:r>
          </w:p>
        </w:tc>
        <w:tc>
          <w:tcPr>
            <w:tcW w:w="14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120,799</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106,041</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1,649,383</w:t>
            </w: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1,827,637</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5,190,308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5,694,031</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0"/>
        </w:trPr>
        <w:tc>
          <w:tcPr>
            <w:tcW w:w="2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The Construction segment comprises the construction contract revenue shown above. Construction contract revenue is primarily made up of site-built and framing customers.</w:t>
      </w:r>
    </w:p>
    <w:p>
      <w:pPr>
        <w:spacing w:after="0" w:line="162"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balances of over time accounting accounts which are included in “Other current assets” and “Accrued liabilities: Other”, respectively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28,</w:t>
            </w:r>
          </w:p>
        </w:tc>
        <w:tc>
          <w:tcPr>
            <w:tcW w:w="10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180" w:type="dxa"/>
            <w:vAlign w:val="bottom"/>
          </w:tcPr>
          <w:p>
            <w:pPr>
              <w:spacing w:after="0"/>
              <w:rPr>
                <w:sz w:val="13"/>
                <w:szCs w:val="13"/>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0"/>
        </w:trPr>
        <w:tc>
          <w:tcPr>
            <w:tcW w:w="20" w:type="dxa"/>
            <w:vAlign w:val="bottom"/>
          </w:tcPr>
          <w:p>
            <w:pPr>
              <w:spacing w:after="0"/>
              <w:rPr>
                <w:sz w:val="15"/>
                <w:szCs w:val="15"/>
                <w:color w:val="auto"/>
              </w:rPr>
            </w:pPr>
          </w:p>
        </w:tc>
        <w:tc>
          <w:tcPr>
            <w:tcW w:w="3600" w:type="dxa"/>
            <w:vAlign w:val="bottom"/>
            <w:tcBorders>
              <w:bottom w:val="single" w:sz="8" w:color="CCEEFF"/>
            </w:tcBorders>
          </w:tcPr>
          <w:p>
            <w:pPr>
              <w:spacing w:after="0"/>
              <w:rPr>
                <w:sz w:val="15"/>
                <w:szCs w:val="15"/>
                <w:color w:val="auto"/>
              </w:rPr>
            </w:pPr>
          </w:p>
        </w:tc>
        <w:tc>
          <w:tcPr>
            <w:tcW w:w="2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and Earnings in Excess of Billings</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20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Billings in Excess of Cost and Earnings</w:t>
            </w:r>
          </w:p>
        </w:tc>
        <w:tc>
          <w:tcPr>
            <w:tcW w:w="2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9,487</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10,318</w:t>
            </w:r>
          </w:p>
        </w:tc>
        <w:tc>
          <w:tcPr>
            <w:tcW w:w="200" w:type="dxa"/>
            <w:vAlign w:val="bottom"/>
          </w:tcPr>
          <w:p>
            <w:pPr>
              <w:spacing w:after="0"/>
              <w:rPr>
                <w:sz w:val="20"/>
                <w:szCs w:val="20"/>
                <w:color w:val="auto"/>
              </w:rPr>
            </w:pPr>
          </w:p>
        </w:tc>
      </w:tr>
      <w:tr>
        <w:trPr>
          <w:trHeight w:val="859"/>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10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0"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ind w:left="540" w:hanging="490"/>
        <w:spacing w:after="0"/>
        <w:tabs>
          <w:tab w:leader="none" w:pos="5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rFonts w:ascii="Times New Roman" w:cs="Times New Roman" w:eastAsia="Times New Roman" w:hAnsi="Times New Roman"/>
          <w:sz w:val="18"/>
          <w:szCs w:val="18"/>
          <w:b w:val="1"/>
          <w:bCs w:val="1"/>
          <w:color w:val="auto"/>
        </w:rPr>
      </w:pPr>
    </w:p>
    <w:p>
      <w:pPr>
        <w:ind w:left="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computation of earnings per share (“EPS”) is as follows (in thousands):</w:t>
      </w:r>
    </w:p>
    <w:p>
      <w:pPr>
        <w:spacing w:after="0" w:line="313"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4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4"/>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24"/>
        </w:trPr>
        <w:tc>
          <w:tcPr>
            <w:tcW w:w="4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Borders>
              <w:top w:val="single" w:sz="8" w:color="auto"/>
            </w:tcBorders>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040" w:type="dxa"/>
            <w:vAlign w:val="bottom"/>
            <w:tcBorders>
              <w:top w:val="single" w:sz="8" w:color="auto"/>
            </w:tcBorders>
            <w:gridSpan w:val="3"/>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0"/>
                <w:szCs w:val="10"/>
                <w:color w:val="auto"/>
              </w:rPr>
            </w:pPr>
          </w:p>
        </w:tc>
        <w:tc>
          <w:tcPr>
            <w:tcW w:w="900" w:type="dxa"/>
            <w:vAlign w:val="bottom"/>
            <w:tcBorders>
              <w:top w:val="single" w:sz="8" w:color="auto"/>
            </w:tcBorders>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5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earnings attributable to controlling interest</w:t>
            </w:r>
          </w:p>
        </w:tc>
        <w:tc>
          <w:tcPr>
            <w:tcW w:w="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134,035</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346,521</w:t>
            </w:r>
          </w:p>
        </w:tc>
        <w:tc>
          <w:tcPr>
            <w:tcW w:w="3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410,865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52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Adjustment for earnings allocated to non-vested restricted</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(6,754)</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5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 equivalents</w:t>
            </w:r>
          </w:p>
        </w:tc>
        <w:tc>
          <w:tcPr>
            <w:tcW w:w="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20" w:type="dxa"/>
            <w:vAlign w:val="bottom"/>
            <w:tcBorders>
              <w:bottom w:val="single" w:sz="8" w:color="CCEEFF"/>
            </w:tcBorders>
          </w:tcPr>
          <w:p>
            <w:pPr>
              <w:ind w:left="100"/>
              <w:spacing w:after="0" w:line="203" w:lineRule="exact"/>
              <w:rPr>
                <w:sz w:val="20"/>
                <w:szCs w:val="20"/>
                <w:color w:val="auto"/>
              </w:rPr>
            </w:pPr>
            <w:r>
              <w:rPr>
                <w:rFonts w:ascii="Times New Roman" w:cs="Times New Roman" w:eastAsia="Times New Roman" w:hAnsi="Times New Roman"/>
                <w:sz w:val="18"/>
                <w:szCs w:val="18"/>
                <w:color w:val="auto"/>
              </w:rPr>
              <w:t>Net earnings for calculating EPS</w:t>
            </w:r>
          </w:p>
        </w:tc>
        <w:tc>
          <w:tcPr>
            <w:tcW w:w="2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95,975</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127,281</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333,032</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391,002</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5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61,023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62,693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61,540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62,736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52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Adjustment for non-vested restricted common stock</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5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equivalents</w:t>
            </w:r>
          </w:p>
        </w:tc>
        <w:tc>
          <w:tcPr>
            <w:tcW w:w="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100"/>
              <w:spacing w:after="0" w:line="203" w:lineRule="exact"/>
              <w:rPr>
                <w:sz w:val="20"/>
                <w:szCs w:val="20"/>
                <w:color w:val="auto"/>
              </w:rPr>
            </w:pPr>
            <w:r>
              <w:rPr>
                <w:rFonts w:ascii="Times New Roman" w:cs="Times New Roman" w:eastAsia="Times New Roman" w:hAnsi="Times New Roman"/>
                <w:sz w:val="18"/>
                <w:szCs w:val="18"/>
                <w:color w:val="auto"/>
              </w:rPr>
              <w:t>Shares for calculating basic EPS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58,413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59,534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58,871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59,703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5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Effect of dilutive restricted common stock equivalents</w:t>
            </w:r>
          </w:p>
        </w:tc>
        <w:tc>
          <w:tcPr>
            <w:tcW w:w="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20" w:type="dxa"/>
            <w:vAlign w:val="bottom"/>
            <w:tcBorders>
              <w:bottom w:val="single" w:sz="8" w:color="CCEEFF"/>
            </w:tcBorders>
          </w:tcPr>
          <w:p>
            <w:pPr>
              <w:ind w:left="100"/>
              <w:spacing w:after="0" w:line="203" w:lineRule="exact"/>
              <w:rPr>
                <w:sz w:val="20"/>
                <w:szCs w:val="20"/>
                <w:color w:val="auto"/>
              </w:rPr>
            </w:pPr>
            <w:r>
              <w:rPr>
                <w:rFonts w:ascii="Times New Roman" w:cs="Times New Roman" w:eastAsia="Times New Roman" w:hAnsi="Times New Roman"/>
                <w:sz w:val="18"/>
                <w:szCs w:val="18"/>
                <w:color w:val="auto"/>
              </w:rPr>
              <w:t>Shares for calculating diluted EPS</w:t>
            </w:r>
          </w:p>
        </w:tc>
        <w:tc>
          <w:tcPr>
            <w:tcW w:w="2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58,547</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60,621</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58,980</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60,661</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5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earnings per share:</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3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3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540" w:hanging="490"/>
        <w:spacing w:after="0"/>
        <w:tabs>
          <w:tab w:leader="none" w:pos="5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CONTINGENCIES, AND GUARANTEES</w:t>
      </w:r>
    </w:p>
    <w:p>
      <w:pPr>
        <w:spacing w:after="0" w:line="229"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We are self-insured for environmental impairment liability, including certain liabilities which are insured through a wholly owned subsidiary, Ardellis Insurance Ltd., a licensed captive insurance company.</w:t>
      </w:r>
    </w:p>
    <w:p>
      <w:pPr>
        <w:spacing w:after="0" w:line="162" w:lineRule="exact"/>
        <w:rPr>
          <w:sz w:val="20"/>
          <w:szCs w:val="20"/>
          <w:color w:val="auto"/>
        </w:rPr>
      </w:pPr>
    </w:p>
    <w:p>
      <w:pPr>
        <w:jc w:val="both"/>
        <w:ind w:left="60" w:right="59" w:firstLine="492"/>
        <w:spacing w:after="0" w:line="266" w:lineRule="auto"/>
        <w:rPr>
          <w:sz w:val="20"/>
          <w:szCs w:val="20"/>
          <w:color w:val="auto"/>
        </w:rPr>
      </w:pPr>
      <w:r>
        <w:rPr>
          <w:rFonts w:ascii="Times New Roman" w:cs="Times New Roman" w:eastAsia="Times New Roman" w:hAnsi="Times New Roman"/>
          <w:sz w:val="18"/>
          <w:szCs w:val="18"/>
          <w:color w:val="auto"/>
        </w:rPr>
        <w:t>In addition, on September 28, 2024, we were parties either as plaintiff or defendant to a number of lawsuits and claims arising through the normal course of our business. In the opinion of management, our consolidated financial statements will not be materially affected by the outcome of these contingencies and claims.</w:t>
      </w:r>
    </w:p>
    <w:p>
      <w:pPr>
        <w:spacing w:after="0" w:line="176" w:lineRule="exact"/>
        <w:rPr>
          <w:sz w:val="20"/>
          <w:szCs w:val="20"/>
          <w:color w:val="auto"/>
        </w:rPr>
      </w:pPr>
    </w:p>
    <w:p>
      <w:pPr>
        <w:jc w:val="both"/>
        <w:ind w:left="60" w:right="79" w:firstLine="492"/>
        <w:spacing w:after="0" w:line="282" w:lineRule="auto"/>
        <w:rPr>
          <w:sz w:val="20"/>
          <w:szCs w:val="20"/>
          <w:color w:val="auto"/>
        </w:rPr>
      </w:pPr>
      <w:r>
        <w:rPr>
          <w:rFonts w:ascii="Times New Roman" w:cs="Times New Roman" w:eastAsia="Times New Roman" w:hAnsi="Times New Roman"/>
          <w:sz w:val="18"/>
          <w:szCs w:val="18"/>
          <w:color w:val="auto"/>
        </w:rPr>
        <w:t>On September 28, 2024, we had outstanding purchase commitments on commenced capital projects of approximately $163.2 million.</w:t>
      </w:r>
    </w:p>
    <w:p>
      <w:pPr>
        <w:spacing w:after="0" w:line="162"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We provide a variety of warranties for products we manufacture. Historically, warranty claims have not been material. We also distribute products manufactured by other companies. While we do not warrant these products, we have received claims as a distributor of these products when the manufacturer no longer exists or has the ability to pay. Historically, these costs have not had a material effect on our consolidated financial statements.</w:t>
      </w:r>
    </w:p>
    <w:p>
      <w:pPr>
        <w:spacing w:after="0" w:line="180" w:lineRule="exact"/>
        <w:rPr>
          <w:sz w:val="20"/>
          <w:szCs w:val="20"/>
          <w:color w:val="auto"/>
        </w:rPr>
      </w:pPr>
    </w:p>
    <w:p>
      <w:pPr>
        <w:jc w:val="both"/>
        <w:ind w:left="60" w:right="59" w:firstLine="492"/>
        <w:spacing w:after="0" w:line="255" w:lineRule="auto"/>
        <w:rPr>
          <w:sz w:val="20"/>
          <w:szCs w:val="20"/>
          <w:color w:val="auto"/>
        </w:rPr>
      </w:pPr>
      <w:r>
        <w:rPr>
          <w:rFonts w:ascii="Times New Roman" w:cs="Times New Roman" w:eastAsia="Times New Roman" w:hAnsi="Times New Roman"/>
          <w:sz w:val="18"/>
          <w:szCs w:val="18"/>
          <w:color w:val="auto"/>
        </w:rPr>
        <w:t>As part of our operations, we supply building materials and labor to site-built construction projects or we jointly bid on contracts with framing companies for such projects. In some instances, we are required to post payment and performance bonds to ensure the products and installation services are completed in accordance with our contractual obligations. We have agreed to indemnify the surety for claims properly made against these bonds. As of September 28, 2024, we had approximately $14.2 million in outstanding payment and performance bonds for open projects. We had approximately $12.4 million in payment and performance bonds outstanding for completed projects which are still under warranty.</w:t>
      </w:r>
    </w:p>
    <w:p>
      <w:pPr>
        <w:spacing w:after="0" w:line="189"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On September 28, 2024, we had outstanding letters of credit totaling $39.7 million, primarily related to certain insurance contracts, industrial development revenue bonds, and other debt agreements described further below.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In lieu of cash deposits, we provide irrevocable letters of credit in favor of our insurers and other third parties to guarantee our performance under certain insurance contracts and other legal agreements. As of September 28, 2024, we have irrevocable letters of credit outstanding totaling approximately $36.4 million for these types of arrangements. We have reserves recorded on our balance sheet, in accrued liabilities, that reflect our expected future liabilities under those insurance arrangements.</w:t>
      </w:r>
    </w:p>
    <w:p>
      <w:pPr>
        <w:spacing w:after="0" w:line="183" w:lineRule="exact"/>
        <w:rPr>
          <w:sz w:val="20"/>
          <w:szCs w:val="20"/>
          <w:color w:val="auto"/>
        </w:rPr>
      </w:pPr>
    </w:p>
    <w:p>
      <w:pPr>
        <w:jc w:val="both"/>
        <w:ind w:left="60" w:right="79" w:firstLine="492"/>
        <w:spacing w:after="0" w:line="258" w:lineRule="auto"/>
        <w:rPr>
          <w:sz w:val="20"/>
          <w:szCs w:val="20"/>
          <w:color w:val="auto"/>
        </w:rPr>
      </w:pPr>
      <w:r>
        <w:rPr>
          <w:rFonts w:ascii="Times New Roman" w:cs="Times New Roman" w:eastAsia="Times New Roman" w:hAnsi="Times New Roman"/>
          <w:sz w:val="18"/>
          <w:szCs w:val="18"/>
          <w:color w:val="auto"/>
        </w:rPr>
        <w:t>We are required to provide irrevocable letters of credit in favor of the bond trustees for all industrial development revenue bonds that have been issued. These letters of credit guarantee principal and interest payments to the bondholders. We currently have irrevocable letters of credit outstanding totaling approximately $3.3 million related to our outstanding industrial development revenue bonds. These letters of credit have varying terms but may be renewed at the option of the issuing banks.</w:t>
      </w:r>
    </w:p>
    <w:p>
      <w:pPr>
        <w:spacing w:after="0" w:line="183"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Certain wholly owned domestic subsidiaries have guaranteed the indebtedness of UFP Industries, Inc. in certain debt agreements, including the Series 2012, 2018 and 2020 Senior Notes and our revolving credit facility. The maximum exposure of these guarantees is limited to the indebtedness outstanding under these debt arrangements and this exposure will expire concurrent with the expiration of the debt agreements.</w:t>
      </w:r>
    </w:p>
    <w:p>
      <w:pPr>
        <w:spacing w:after="0" w:line="180"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We did not enter into any new guarantee arrangements during the third quarter of 2024 which would require us to recognize a liability on our balance sheet.</w:t>
      </w:r>
    </w:p>
    <w:p>
      <w:pPr>
        <w:spacing w:after="0" w:line="158" w:lineRule="exact"/>
        <w:rPr>
          <w:sz w:val="20"/>
          <w:szCs w:val="20"/>
          <w:color w:val="auto"/>
        </w:rPr>
      </w:pPr>
    </w:p>
    <w:p>
      <w:pPr>
        <w:ind w:left="500" w:hanging="450"/>
        <w:spacing w:after="0"/>
        <w:tabs>
          <w:tab w:leader="none" w:pos="5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jc w:val="both"/>
        <w:ind w:left="60" w:right="59" w:firstLine="492"/>
        <w:spacing w:after="0" w:line="255" w:lineRule="auto"/>
        <w:rPr>
          <w:sz w:val="20"/>
          <w:szCs w:val="20"/>
          <w:color w:val="auto"/>
        </w:rPr>
      </w:pPr>
      <w:r>
        <w:rPr>
          <w:rFonts w:ascii="Times New Roman" w:cs="Times New Roman" w:eastAsia="Times New Roman" w:hAnsi="Times New Roman"/>
          <w:sz w:val="18"/>
          <w:szCs w:val="18"/>
          <w:color w:val="auto"/>
        </w:rPr>
        <w:t>We operate manufacturing, treating and distribution facilities internationally, but primarily in the United States. Our business segments consist of UFP Retail Solutions, UFP Packaging and UFP Construction and align with the end markets we serve. This segment structure allows for a specialized and consistent sales approach among Company operations, efficient use of resources and capital, and quicker introduction of new products and services. We manage the operations of our individual locations primarily through a market-centered reporting structure under which each location is included in a business unit and business units are included in our Retail, Packaging, and Construction segments. In the case of locations that serve multiple segments, results are allocated and accounted for by segment.</w:t>
      </w:r>
    </w:p>
    <w:p>
      <w:pPr>
        <w:spacing w:after="0" w:line="189"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color w:val="auto"/>
        </w:rPr>
        <w:t>The exception to this market-centered reporting and management structure is our International segment, which comprises our packaging operations in Mexico, Canada, Spain, India, and Australia and sales and buying offices in other parts of the world and our Ardellis segment, which represents our wholly owned fully licensed captive insurance company based in Bermuda. Our International and Ardellis segments do not meet the quantitative thresholds in order to be separately reported and accordingly, the International and Ardellis segments have been aggregated in the “All Other” segment for reporting purposes.</w:t>
      </w:r>
    </w:p>
    <w:p>
      <w:pPr>
        <w:spacing w:after="0" w:line="160"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“Corporate” includes purchasing, transportation, corporate ventures, and administrative functions that serve our operating segments. Operating results of Corporate primarily consist of net sales to external customers initiated by UFP Purchasing and UFP Transportation and over (under) allocated costs. The operating results of UFP Real Estate, Inc., which owns and leases real estate, and UFP Transportation Ltd., which owns, leases and operates transportation equipment, are also included in the Corporate column. Inter-company lease and service charges are assessed to our operating segments for the use of these assets and services at fair market value rates. Total assets in the Corporate column include unallocated cash and cash equivalents, certain prepaid assets, and certain property, equipment and other assets pertaining to the centralized activities of Corporate, UFP Real Estate, Inc., UFP Transportation, Inc., UFP Purchasing, Inc., and UFP RMS, LLC. The tables below are presented in thousands:</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1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880" w:type="dxa"/>
            <w:vAlign w:val="bottom"/>
            <w:tcBorders>
              <w:bottom w:val="single" w:sz="8" w:color="auto"/>
            </w:tcBorders>
            <w:gridSpan w:val="9"/>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 September 28, 2024</w:t>
            </w:r>
          </w:p>
        </w:tc>
        <w:tc>
          <w:tcPr>
            <w:tcW w:w="9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56"/>
        </w:trPr>
        <w:tc>
          <w:tcPr>
            <w:tcW w:w="3120" w:type="dxa"/>
            <w:vAlign w:val="bottom"/>
          </w:tcPr>
          <w:p>
            <w:pPr>
              <w:spacing w:after="0"/>
              <w:rPr>
                <w:sz w:val="13"/>
                <w:szCs w:val="13"/>
                <w:color w:val="auto"/>
              </w:rPr>
            </w:pPr>
          </w:p>
        </w:tc>
        <w:tc>
          <w:tcPr>
            <w:tcW w:w="9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Retail</w:t>
            </w:r>
          </w:p>
        </w:tc>
        <w:tc>
          <w:tcPr>
            <w:tcW w:w="9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Packaging</w:t>
            </w:r>
          </w:p>
        </w:tc>
        <w:tc>
          <w:tcPr>
            <w:tcW w:w="10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9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100" w:type="dxa"/>
            <w:vAlign w:val="bottom"/>
          </w:tcPr>
          <w:p>
            <w:pPr>
              <w:spacing w:after="0"/>
              <w:rPr>
                <w:sz w:val="13"/>
                <w:szCs w:val="13"/>
                <w:color w:val="auto"/>
              </w:rPr>
            </w:pP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960" w:type="dxa"/>
            <w:vAlign w:val="bottom"/>
          </w:tcPr>
          <w:p>
            <w:pPr>
              <w:jc w:val="right"/>
              <w:ind w:right="235"/>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3"/>
                <w:szCs w:val="13"/>
                <w:color w:val="auto"/>
              </w:rPr>
            </w:pPr>
          </w:p>
        </w:tc>
      </w:tr>
      <w:tr>
        <w:trPr>
          <w:trHeight w:val="216"/>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to outside customers</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$ 635,571</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$ 401,626</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$ 534,625</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75,802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$ 1,649,383</w:t>
            </w:r>
          </w:p>
        </w:tc>
        <w:tc>
          <w:tcPr>
            <w:tcW w:w="20" w:type="dxa"/>
            <w:vAlign w:val="bottom"/>
          </w:tcPr>
          <w:p>
            <w:pPr>
              <w:spacing w:after="0"/>
              <w:rPr>
                <w:sz w:val="18"/>
                <w:szCs w:val="18"/>
                <w:color w:val="auto"/>
              </w:rPr>
            </w:pPr>
          </w:p>
        </w:tc>
      </w:tr>
      <w:tr>
        <w:trPr>
          <w:trHeight w:val="216"/>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net sales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60,393</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23,791</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18,293</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(170,383)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41,812</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21,865</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11,302</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119,926</w:t>
            </w:r>
          </w:p>
        </w:tc>
        <w:tc>
          <w:tcPr>
            <w:tcW w:w="20" w:type="dxa"/>
            <w:vAlign w:val="bottom"/>
          </w:tcPr>
          <w:p>
            <w:pPr>
              <w:spacing w:after="0"/>
              <w:rPr>
                <w:sz w:val="18"/>
                <w:szCs w:val="18"/>
                <w:color w:val="auto"/>
              </w:rPr>
            </w:pPr>
          </w:p>
        </w:tc>
      </w:tr>
      <w:tr>
        <w:trPr>
          <w:trHeight w:val="904"/>
        </w:trPr>
        <w:tc>
          <w:tcPr>
            <w:tcW w:w="3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3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0"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1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880" w:type="dxa"/>
            <w:vAlign w:val="bottom"/>
            <w:tcBorders>
              <w:bottom w:val="single" w:sz="8" w:color="auto"/>
            </w:tcBorders>
            <w:gridSpan w:val="9"/>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960" w:type="dxa"/>
            <w:vAlign w:val="bottom"/>
            <w:tcBorders>
              <w:bottom w:val="single" w:sz="8" w:color="auto"/>
            </w:tcBorders>
          </w:tcPr>
          <w:p>
            <w:pPr>
              <w:spacing w:after="0"/>
              <w:rPr>
                <w:sz w:val="15"/>
                <w:szCs w:val="15"/>
                <w:color w:val="auto"/>
              </w:rPr>
            </w:pPr>
          </w:p>
        </w:tc>
      </w:tr>
      <w:tr>
        <w:trPr>
          <w:trHeight w:val="156"/>
        </w:trPr>
        <w:tc>
          <w:tcPr>
            <w:tcW w:w="3120" w:type="dxa"/>
            <w:vAlign w:val="bottom"/>
          </w:tcPr>
          <w:p>
            <w:pPr>
              <w:spacing w:after="0"/>
              <w:rPr>
                <w:sz w:val="13"/>
                <w:szCs w:val="13"/>
                <w:color w:val="auto"/>
              </w:rPr>
            </w:pPr>
          </w:p>
        </w:tc>
        <w:tc>
          <w:tcPr>
            <w:tcW w:w="9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Retail</w:t>
            </w:r>
          </w:p>
        </w:tc>
        <w:tc>
          <w:tcPr>
            <w:tcW w:w="9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Packaging</w:t>
            </w:r>
          </w:p>
        </w:tc>
        <w:tc>
          <w:tcPr>
            <w:tcW w:w="10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9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100" w:type="dxa"/>
            <w:vAlign w:val="bottom"/>
          </w:tcPr>
          <w:p>
            <w:pPr>
              <w:spacing w:after="0"/>
              <w:rPr>
                <w:sz w:val="13"/>
                <w:szCs w:val="13"/>
                <w:color w:val="auto"/>
              </w:rPr>
            </w:pP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960" w:type="dxa"/>
            <w:vAlign w:val="bottom"/>
          </w:tcPr>
          <w:p>
            <w:pPr>
              <w:jc w:val="right"/>
              <w:ind w:right="235"/>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to outside customers</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$ 730,353</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$ 449,885</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$ 583,960</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62,454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$ 1,827,637</w:t>
            </w:r>
          </w:p>
        </w:tc>
      </w:tr>
      <w:tr>
        <w:trPr>
          <w:trHeight w:val="216"/>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net sales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102,190</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16,910</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24,194</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(202,197)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46,674</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41,429</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69,560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167,332</w:t>
            </w:r>
          </w:p>
        </w:tc>
      </w:tr>
    </w:tbl>
    <w:p>
      <w:pPr>
        <w:spacing w:after="0" w:line="85" w:lineRule="exact"/>
        <w:rPr>
          <w:sz w:val="20"/>
          <w:szCs w:val="20"/>
          <w:color w:val="auto"/>
        </w:rPr>
      </w:pPr>
    </w:p>
    <w:p>
      <w:pPr>
        <w:jc w:val="both"/>
        <w:ind w:left="60" w:right="59"/>
        <w:spacing w:after="0" w:line="241" w:lineRule="auto"/>
        <w:rPr>
          <w:sz w:val="20"/>
          <w:szCs w:val="20"/>
          <w:color w:val="auto"/>
        </w:rPr>
      </w:pPr>
      <w:r>
        <w:rPr>
          <w:rFonts w:ascii="Times New Roman" w:cs="Times New Roman" w:eastAsia="Times New Roman" w:hAnsi="Times New Roman"/>
          <w:sz w:val="14"/>
          <w:szCs w:val="14"/>
          <w:color w:val="auto"/>
        </w:rPr>
        <w:t>Note: As of December 31, 2023, our Pinelli Universal entity was transferred to our Retail segment from our International segment (grouped in All Other) due to changes in our management structure. Prior year figures have been updated to reflect the change for comparability purposes in every applicable table in this filing.</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8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80" w:type="dxa"/>
            <w:vAlign w:val="bottom"/>
            <w:tcBorders>
              <w:bottom w:val="single" w:sz="8" w:color="auto"/>
            </w:tcBorders>
            <w:gridSpan w:val="9"/>
          </w:tcPr>
          <w:p>
            <w:pPr>
              <w:ind w:left="740"/>
              <w:spacing w:after="0"/>
              <w:rPr>
                <w:sz w:val="20"/>
                <w:szCs w:val="20"/>
                <w:color w:val="auto"/>
              </w:rPr>
            </w:pPr>
            <w:r>
              <w:rPr>
                <w:rFonts w:ascii="Times New Roman" w:cs="Times New Roman" w:eastAsia="Times New Roman" w:hAnsi="Times New Roman"/>
                <w:sz w:val="14"/>
                <w:szCs w:val="14"/>
                <w:b w:val="1"/>
                <w:bCs w:val="1"/>
                <w:color w:val="auto"/>
              </w:rPr>
              <w:t>Nine Months Ended September 28, 2024</w:t>
            </w: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r>
      <w:tr>
        <w:trPr>
          <w:trHeight w:val="156"/>
        </w:trPr>
        <w:tc>
          <w:tcPr>
            <w:tcW w:w="2820" w:type="dxa"/>
            <w:vAlign w:val="bottom"/>
          </w:tcPr>
          <w:p>
            <w:pPr>
              <w:spacing w:after="0"/>
              <w:rPr>
                <w:sz w:val="13"/>
                <w:szCs w:val="13"/>
                <w:color w:val="auto"/>
              </w:rPr>
            </w:pPr>
          </w:p>
        </w:tc>
        <w:tc>
          <w:tcPr>
            <w:tcW w:w="106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Retail</w:t>
            </w:r>
          </w:p>
        </w:tc>
        <w:tc>
          <w:tcPr>
            <w:tcW w:w="10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Packaging</w:t>
            </w:r>
          </w:p>
        </w:tc>
        <w:tc>
          <w:tcPr>
            <w:tcW w:w="10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13"/>
                <w:szCs w:val="13"/>
                <w:color w:val="auto"/>
              </w:rPr>
            </w:pPr>
          </w:p>
        </w:tc>
        <w:tc>
          <w:tcPr>
            <w:tcW w:w="9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13"/>
                <w:szCs w:val="13"/>
                <w:color w:val="auto"/>
              </w:rPr>
            </w:pPr>
          </w:p>
        </w:tc>
        <w:tc>
          <w:tcPr>
            <w:tcW w:w="800" w:type="dxa"/>
            <w:vAlign w:val="bottom"/>
          </w:tcPr>
          <w:p>
            <w:pPr>
              <w:jc w:val="right"/>
              <w:ind w:right="215"/>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to outside customers</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$ 2,073,403</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$ 1,261,248</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$ 1,627,068</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$ 224,219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5,190,308</w:t>
            </w:r>
          </w:p>
        </w:tc>
      </w:tr>
      <w:tr>
        <w:trPr>
          <w:trHeight w:val="216"/>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net sales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189,841</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70,992</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57,125</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219,218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(537,176)</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147,575</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82,627</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139,753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412,783</w:t>
            </w:r>
          </w:p>
        </w:tc>
      </w:tr>
      <w:tr>
        <w:trPr>
          <w:trHeight w:val="385"/>
        </w:trPr>
        <w:tc>
          <w:tcPr>
            <w:tcW w:w="28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9"/>
          </w:tcPr>
          <w:p>
            <w:pPr>
              <w:ind w:left="7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156"/>
        </w:trPr>
        <w:tc>
          <w:tcPr>
            <w:tcW w:w="2820" w:type="dxa"/>
            <w:vAlign w:val="bottom"/>
          </w:tcPr>
          <w:p>
            <w:pPr>
              <w:spacing w:after="0"/>
              <w:rPr>
                <w:sz w:val="13"/>
                <w:szCs w:val="13"/>
                <w:color w:val="auto"/>
              </w:rPr>
            </w:pPr>
          </w:p>
        </w:tc>
        <w:tc>
          <w:tcPr>
            <w:tcW w:w="106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Retail</w:t>
            </w:r>
          </w:p>
        </w:tc>
        <w:tc>
          <w:tcPr>
            <w:tcW w:w="10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Packaging</w:t>
            </w:r>
          </w:p>
        </w:tc>
        <w:tc>
          <w:tcPr>
            <w:tcW w:w="10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13"/>
                <w:szCs w:val="13"/>
                <w:color w:val="auto"/>
              </w:rPr>
            </w:pPr>
          </w:p>
        </w:tc>
        <w:tc>
          <w:tcPr>
            <w:tcW w:w="9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13"/>
                <w:szCs w:val="13"/>
                <w:color w:val="auto"/>
              </w:rPr>
            </w:pPr>
          </w:p>
        </w:tc>
        <w:tc>
          <w:tcPr>
            <w:tcW w:w="800" w:type="dxa"/>
            <w:vAlign w:val="bottom"/>
          </w:tcPr>
          <w:p>
            <w:pPr>
              <w:jc w:val="right"/>
              <w:ind w:right="215"/>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to outside customers</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$ 2,430,277</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$ 1,424,546</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$ 1,650,017</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$ 185,841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5,694,031</w:t>
            </w:r>
          </w:p>
        </w:tc>
      </w:tr>
      <w:tr>
        <w:trPr>
          <w:trHeight w:val="216"/>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net sales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524,033</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57,936</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73,584</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211,870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(867,423)</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147,143</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153,025</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185,767</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522,537</w:t>
            </w:r>
          </w:p>
        </w:tc>
      </w:tr>
    </w:tbl>
    <w:p>
      <w:pPr>
        <w:spacing w:after="0" w:line="19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goodwill by segment as of September 28, 2024, and December 30, 2023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740" w:type="dxa"/>
            <w:vAlign w:val="bottom"/>
          </w:tcPr>
          <w:p>
            <w:pPr>
              <w:spacing w:after="0"/>
              <w:rPr>
                <w:sz w:val="15"/>
                <w:szCs w:val="15"/>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8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30, 2023</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$ 84,204</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$ 141,042</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87,805</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$ 23,262</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$ 336,313</w:t>
            </w:r>
          </w:p>
        </w:tc>
      </w:tr>
      <w:tr>
        <w:trPr>
          <w:trHeight w:val="22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Net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tcPr>
          <w:p>
            <w:pPr>
              <w:spacing w:after="0"/>
              <w:rPr>
                <w:sz w:val="19"/>
                <w:szCs w:val="19"/>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16"/>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28, 2024</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$ 84,129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$ 141,042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87,719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$ 23,202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$ 336,092</w:t>
            </w:r>
          </w:p>
        </w:tc>
      </w:tr>
      <w:tr>
        <w:trPr>
          <w:trHeight w:val="20"/>
        </w:trPr>
        <w:tc>
          <w:tcPr>
            <w:tcW w:w="37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total assets by segment as of September 28, 2024, and December 30, 2023 (in thousands).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w w:val="98"/>
              </w:rPr>
              <w:t>Total Assets by Segment</w:t>
            </w:r>
          </w:p>
        </w:tc>
        <w:tc>
          <w:tcPr>
            <w:tcW w:w="7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060" w:type="dxa"/>
            <w:vAlign w:val="bottom"/>
            <w:gridSpan w:val="3"/>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140" w:type="dxa"/>
            <w:vAlign w:val="bottom"/>
            <w:gridSpan w:val="3"/>
          </w:tcPr>
          <w:p>
            <w:pPr>
              <w:ind w:left="60"/>
              <w:spacing w:after="0" w:line="15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Segment Classification</w:t>
            </w:r>
          </w:p>
        </w:tc>
        <w:tc>
          <w:tcPr>
            <w:tcW w:w="3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shd w:val="clear" w:color="auto" w:fill="000000"/>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80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80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tcBorders>
              <w:bottom w:val="single" w:sz="8" w:color="CCEEFF"/>
              <w:right w:val="single" w:sz="8" w:color="auto"/>
            </w:tcBorders>
          </w:tcPr>
          <w:p>
            <w:pPr>
              <w:spacing w:after="0" w:line="20" w:lineRule="exact"/>
              <w:rPr>
                <w:sz w:val="1"/>
                <w:szCs w:val="1"/>
                <w:color w:val="auto"/>
              </w:rPr>
            </w:pPr>
          </w:p>
        </w:tc>
        <w:tc>
          <w:tcPr>
            <w:tcW w:w="700" w:type="dxa"/>
            <w:vAlign w:val="bottom"/>
            <w:tcBorders>
              <w:bottom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80" w:type="dxa"/>
            <w:vAlign w:val="bottom"/>
            <w:gridSpan w:val="3"/>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Retail</w:t>
            </w:r>
          </w:p>
        </w:tc>
        <w:tc>
          <w:tcPr>
            <w:tcW w:w="3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843,299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828,798</w:t>
            </w:r>
          </w:p>
        </w:tc>
        <w:tc>
          <w:tcPr>
            <w:tcW w:w="22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786,988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798,623</w:t>
            </w:r>
          </w:p>
        </w:tc>
        <w:tc>
          <w:tcPr>
            <w:tcW w:w="22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3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660,815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621,762</w:t>
            </w:r>
          </w:p>
        </w:tc>
        <w:tc>
          <w:tcPr>
            <w:tcW w:w="2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341,860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316,481</w:t>
            </w:r>
          </w:p>
        </w:tc>
        <w:tc>
          <w:tcPr>
            <w:tcW w:w="220" w:type="dxa"/>
            <w:vAlign w:val="bottom"/>
          </w:tcPr>
          <w:p>
            <w:pPr>
              <w:spacing w:after="0"/>
              <w:rPr>
                <w:sz w:val="18"/>
                <w:szCs w:val="18"/>
                <w:color w:val="auto"/>
              </w:rPr>
            </w:pPr>
          </w:p>
        </w:tc>
        <w:tc>
          <w:tcPr>
            <w:tcW w:w="7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8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1,584,923</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1,452,133</w:t>
            </w:r>
          </w:p>
        </w:tc>
        <w:tc>
          <w:tcPr>
            <w:tcW w:w="220" w:type="dxa"/>
            <w:vAlign w:val="bottom"/>
            <w:tcBorders>
              <w:bottom w:val="single" w:sz="8" w:color="CCEEFF"/>
              <w:right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880" w:type="dxa"/>
            <w:vAlign w:val="bottom"/>
            <w:gridSpan w:val="3"/>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 Assets</w:t>
            </w:r>
          </w:p>
        </w:tc>
        <w:tc>
          <w:tcPr>
            <w:tcW w:w="31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4,217,885</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4,017,797</w:t>
            </w:r>
          </w:p>
        </w:tc>
        <w:tc>
          <w:tcPr>
            <w:tcW w:w="2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5.0 %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120" w:type="dxa"/>
            <w:vAlign w:val="bottom"/>
            <w:vMerge w:val="restart"/>
          </w:tcPr>
          <w:p>
            <w:pPr>
              <w:jc w:val="right"/>
              <w:ind w:right="135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9"/>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40"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disaggregated net sales (in thousands) by business unit for each segment for the three and nine months ended September 28, 2024, and September 30, 2023 (in thousands).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47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1"/>
        </w:trPr>
        <w:tc>
          <w:tcPr>
            <w:tcW w:w="4780" w:type="dxa"/>
            <w:vAlign w:val="bottom"/>
          </w:tcPr>
          <w:p>
            <w:pPr>
              <w:spacing w:after="0"/>
              <w:rPr>
                <w:sz w:val="16"/>
                <w:szCs w:val="16"/>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28,</w:t>
            </w: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0"/>
        </w:trPr>
        <w:tc>
          <w:tcPr>
            <w:tcW w:w="47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3"/>
        </w:trPr>
        <w:tc>
          <w:tcPr>
            <w:tcW w:w="47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Retail</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6"/>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Deckorators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76,572</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79,508</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250,413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260,627</w:t>
            </w:r>
          </w:p>
        </w:tc>
      </w:tr>
      <w:tr>
        <w:trPr>
          <w:trHeight w:val="216"/>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ProWood</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518,361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610,275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1,712,597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2,055,562</w:t>
            </w:r>
          </w:p>
        </w:tc>
      </w:tr>
      <w:tr>
        <w:trPr>
          <w:trHeight w:val="216"/>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UFP Edge</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38,277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113,014</w:t>
            </w:r>
          </w:p>
        </w:tc>
      </w:tr>
      <w:tr>
        <w:trPr>
          <w:trHeight w:val="236"/>
        </w:trPr>
        <w:tc>
          <w:tcPr>
            <w:tcW w:w="4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6,823</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r>
      <w:tr>
        <w:trPr>
          <w:trHeight w:val="203"/>
        </w:trPr>
        <w:tc>
          <w:tcPr>
            <w:tcW w:w="47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Total Retail</w:t>
            </w:r>
          </w:p>
        </w:tc>
        <w:tc>
          <w:tcPr>
            <w:tcW w:w="1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635,571</w:t>
            </w:r>
          </w:p>
        </w:tc>
        <w:tc>
          <w:tcPr>
            <w:tcW w:w="140" w:type="dxa"/>
            <w:vAlign w:val="bottom"/>
          </w:tcPr>
          <w:p>
            <w:pPr>
              <w:spacing w:after="0"/>
              <w:rPr>
                <w:sz w:val="17"/>
                <w:szCs w:val="17"/>
                <w:color w:val="auto"/>
              </w:rPr>
            </w:pPr>
          </w:p>
        </w:tc>
        <w:tc>
          <w:tcPr>
            <w:tcW w:w="1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730,353</w:t>
            </w:r>
          </w:p>
        </w:tc>
        <w:tc>
          <w:tcPr>
            <w:tcW w:w="140" w:type="dxa"/>
            <w:vAlign w:val="bottom"/>
          </w:tcPr>
          <w:p>
            <w:pPr>
              <w:spacing w:after="0"/>
              <w:rPr>
                <w:sz w:val="17"/>
                <w:szCs w:val="17"/>
                <w:color w:val="auto"/>
              </w:rPr>
            </w:pPr>
          </w:p>
        </w:tc>
        <w:tc>
          <w:tcPr>
            <w:tcW w:w="1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2,073,403</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2,430,277</w:t>
            </w:r>
          </w:p>
        </w:tc>
      </w:tr>
      <w:tr>
        <w:trPr>
          <w:trHeight w:val="216"/>
        </w:trPr>
        <w:tc>
          <w:tcPr>
            <w:tcW w:w="4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Packaging</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Structural Packaging</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256,959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811,211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957,857</w:t>
            </w:r>
          </w:p>
        </w:tc>
      </w:tr>
      <w:tr>
        <w:trPr>
          <w:trHeight w:val="216"/>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PalletOne</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129,302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403,809</w:t>
            </w:r>
          </w:p>
        </w:tc>
      </w:tr>
      <w:tr>
        <w:trPr>
          <w:trHeight w:val="236"/>
        </w:trPr>
        <w:tc>
          <w:tcPr>
            <w:tcW w:w="4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Protective Packaging</w:t>
            </w: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18,660</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21,485</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54,629</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62,880</w:t>
            </w:r>
          </w:p>
        </w:tc>
      </w:tr>
      <w:tr>
        <w:trPr>
          <w:trHeight w:val="203"/>
        </w:trPr>
        <w:tc>
          <w:tcPr>
            <w:tcW w:w="47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Total Packaging</w:t>
            </w:r>
          </w:p>
        </w:tc>
        <w:tc>
          <w:tcPr>
            <w:tcW w:w="1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401,626</w:t>
            </w:r>
          </w:p>
        </w:tc>
        <w:tc>
          <w:tcPr>
            <w:tcW w:w="140" w:type="dxa"/>
            <w:vAlign w:val="bottom"/>
          </w:tcPr>
          <w:p>
            <w:pPr>
              <w:spacing w:after="0"/>
              <w:rPr>
                <w:sz w:val="17"/>
                <w:szCs w:val="17"/>
                <w:color w:val="auto"/>
              </w:rPr>
            </w:pPr>
          </w:p>
        </w:tc>
        <w:tc>
          <w:tcPr>
            <w:tcW w:w="1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449,885</w:t>
            </w:r>
          </w:p>
        </w:tc>
        <w:tc>
          <w:tcPr>
            <w:tcW w:w="140" w:type="dxa"/>
            <w:vAlign w:val="bottom"/>
          </w:tcPr>
          <w:p>
            <w:pPr>
              <w:spacing w:after="0"/>
              <w:rPr>
                <w:sz w:val="17"/>
                <w:szCs w:val="17"/>
                <w:color w:val="auto"/>
              </w:rPr>
            </w:pPr>
          </w:p>
        </w:tc>
        <w:tc>
          <w:tcPr>
            <w:tcW w:w="1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1,261,248</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1,424,546</w:t>
            </w:r>
          </w:p>
        </w:tc>
      </w:tr>
      <w:tr>
        <w:trPr>
          <w:trHeight w:val="216"/>
        </w:trPr>
        <w:tc>
          <w:tcPr>
            <w:tcW w:w="4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Construction</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Factory Built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618,907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544,868</w:t>
            </w:r>
          </w:p>
        </w:tc>
      </w:tr>
      <w:tr>
        <w:trPr>
          <w:trHeight w:val="216"/>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Site Built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219,626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264,734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679,732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734,297</w:t>
            </w:r>
          </w:p>
        </w:tc>
      </w:tr>
      <w:tr>
        <w:trPr>
          <w:trHeight w:val="216"/>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69,528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211,967</w:t>
            </w:r>
          </w:p>
        </w:tc>
      </w:tr>
      <w:tr>
        <w:trPr>
          <w:trHeight w:val="223"/>
        </w:trPr>
        <w:tc>
          <w:tcPr>
            <w:tcW w:w="4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Concrete Forming</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43,640</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48,693</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131,170</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158,885</w:t>
            </w:r>
          </w:p>
        </w:tc>
      </w:tr>
      <w:tr>
        <w:trPr>
          <w:trHeight w:val="21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Construction</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534,625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583,960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1,627,068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1,650,017</w:t>
            </w:r>
          </w:p>
        </w:tc>
      </w:tr>
      <w:tr>
        <w:trPr>
          <w:trHeight w:val="216"/>
        </w:trPr>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62,454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185,841</w:t>
            </w:r>
          </w:p>
        </w:tc>
      </w:tr>
      <w:tr>
        <w:trPr>
          <w:trHeight w:val="216"/>
        </w:trPr>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w:t>
            </w:r>
          </w:p>
        </w:tc>
      </w:tr>
      <w:tr>
        <w:trPr>
          <w:trHeight w:val="223"/>
        </w:trPr>
        <w:tc>
          <w:tcPr>
            <w:tcW w:w="47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16"/>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1,649,383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1,827,637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5,190,308</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5,694,031</w:t>
            </w:r>
          </w:p>
        </w:tc>
      </w:tr>
      <w:tr>
        <w:trPr>
          <w:trHeight w:val="20"/>
        </w:trPr>
        <w:tc>
          <w:tcPr>
            <w:tcW w:w="4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560" w:hanging="510"/>
        <w:spacing w:after="0"/>
        <w:tabs>
          <w:tab w:leader="none" w:pos="5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Effective tax rates differ from statutory federal income tax rates, primarily due to provisions for foreign, state and local income taxes and permanent tax differences. Our effective tax rate was 24.2% in the third quarter of 2024 compared to 22.7% in the same period of 2023 and was 22.3% in the first nine months of 2024 compared to 23.3% for the same period in 2023. The increase in our effective tax rate for the third quarter was primarily due to a decrease in the benefit we recognized for an R&amp;D tax credit in the quarter. The decrease in our effective tax rate for the first nine months of 2024 was primarily due to an increase in our tax deduction from stock-based compensation accounted for as a permanent difference.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ind w:left="560" w:hanging="510"/>
        <w:spacing w:after="0"/>
        <w:tabs>
          <w:tab w:leader="none" w:pos="5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left="60" w:right="319" w:firstLine="492"/>
        <w:spacing w:after="0" w:line="282" w:lineRule="auto"/>
        <w:rPr>
          <w:sz w:val="20"/>
          <w:szCs w:val="20"/>
          <w:color w:val="auto"/>
        </w:rPr>
      </w:pPr>
      <w:r>
        <w:rPr>
          <w:rFonts w:ascii="Times New Roman" w:cs="Times New Roman" w:eastAsia="Times New Roman" w:hAnsi="Times New Roman"/>
          <w:sz w:val="18"/>
          <w:szCs w:val="18"/>
          <w:color w:val="auto"/>
        </w:rPr>
        <w:t>Below is a summary of common stock issuances for the first nine months of 2024 and 2023 (in thousands, except average share price):</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74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60" w:type="dxa"/>
            <w:vAlign w:val="bottom"/>
          </w:tcPr>
          <w:p>
            <w:pPr>
              <w:spacing w:after="0"/>
              <w:rPr>
                <w:sz w:val="10"/>
                <w:szCs w:val="10"/>
                <w:color w:val="auto"/>
              </w:rPr>
            </w:pPr>
          </w:p>
        </w:tc>
        <w:tc>
          <w:tcPr>
            <w:tcW w:w="6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53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81"/>
        </w:trPr>
        <w:tc>
          <w:tcPr>
            <w:tcW w:w="180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8"/>
              </w:rPr>
              <w:t>Share Issuance Activity</w:t>
            </w:r>
          </w:p>
        </w:tc>
        <w:tc>
          <w:tcPr>
            <w:tcW w:w="5360" w:type="dxa"/>
            <w:vAlign w:val="bottom"/>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1800" w:type="dxa"/>
            <w:vAlign w:val="bottom"/>
            <w:tcBorders>
              <w:bottom w:val="single" w:sz="8" w:color="auto"/>
            </w:tcBorders>
            <w:gridSpan w:val="2"/>
            <w:vMerge w:val="continue"/>
          </w:tcPr>
          <w:p>
            <w:pPr>
              <w:spacing w:after="0"/>
              <w:rPr>
                <w:sz w:val="11"/>
                <w:szCs w:val="11"/>
                <w:color w:val="auto"/>
              </w:rPr>
            </w:pPr>
          </w:p>
        </w:tc>
        <w:tc>
          <w:tcPr>
            <w:tcW w:w="53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53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under the employee stock purchase plan</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120.78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issued under the employee stock gift program</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Shares issued under the director compensation plan</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issued under the LTSIP</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352</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Shares issued under the executive stock match plan</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2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Forfeitures</w:t>
            </w:r>
          </w:p>
        </w:tc>
        <w:tc>
          <w:tcPr>
            <w:tcW w:w="8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shares issued under stock grant programs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388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113.17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issued under the deferred compensation plans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113.73</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During the first nine months of 2024, we repurchased 1,399,944 shares of our common stock at an average share price of $113.55.</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74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80" w:type="dxa"/>
            <w:vAlign w:val="bottom"/>
          </w:tcPr>
          <w:p>
            <w:pPr>
              <w:spacing w:after="0"/>
              <w:rPr>
                <w:sz w:val="10"/>
                <w:szCs w:val="10"/>
                <w:color w:val="auto"/>
              </w:rPr>
            </w:pP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53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800" w:type="dxa"/>
            <w:vAlign w:val="bottom"/>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8"/>
              </w:rPr>
              <w:t>Share Issuance Activity</w:t>
            </w:r>
          </w:p>
        </w:tc>
        <w:tc>
          <w:tcPr>
            <w:tcW w:w="5340" w:type="dxa"/>
            <w:vAlign w:val="bottom"/>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tcBorders>
              <w:bottom w:val="single" w:sz="8" w:color="auto"/>
            </w:tcBorders>
            <w:vMerge w:val="continue"/>
          </w:tcPr>
          <w:p>
            <w:pPr>
              <w:spacing w:after="0"/>
              <w:rPr>
                <w:sz w:val="11"/>
                <w:szCs w:val="11"/>
                <w:color w:val="auto"/>
              </w:rPr>
            </w:pPr>
          </w:p>
        </w:tc>
        <w:tc>
          <w:tcPr>
            <w:tcW w:w="53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issued under the employee stock purchase plan</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under the employee stock gift program</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issued under the director retainer stock program</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91.87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under the LTSIP</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756</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issued under the executive stock grants plan</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2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85.89</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Forfeitures</w:t>
            </w:r>
          </w:p>
        </w:tc>
        <w:tc>
          <w:tcPr>
            <w:tcW w:w="8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shares issued under stock grant programs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86.14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Shares issued under the deferred compensation plans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115</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86.69</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439" w:firstLine="492"/>
        <w:spacing w:after="0" w:line="282" w:lineRule="auto"/>
        <w:rPr>
          <w:sz w:val="20"/>
          <w:szCs w:val="20"/>
          <w:color w:val="auto"/>
        </w:rPr>
      </w:pPr>
      <w:r>
        <w:rPr>
          <w:rFonts w:ascii="Times New Roman" w:cs="Times New Roman" w:eastAsia="Times New Roman" w:hAnsi="Times New Roman"/>
          <w:sz w:val="18"/>
          <w:szCs w:val="18"/>
          <w:color w:val="auto"/>
        </w:rPr>
        <w:t>During the first nine months of 2023, we repurchased approximately 766,812 shares of our common stock at an average share price of $80.95.</w:t>
      </w:r>
    </w:p>
    <w:p>
      <w:pPr>
        <w:spacing w:after="0" w:line="158" w:lineRule="exact"/>
        <w:rPr>
          <w:sz w:val="20"/>
          <w:szCs w:val="20"/>
          <w:color w:val="auto"/>
        </w:rPr>
      </w:pPr>
    </w:p>
    <w:p>
      <w:pPr>
        <w:ind w:left="480" w:hanging="430"/>
        <w:spacing w:after="0"/>
        <w:tabs>
          <w:tab w:leader="none" w:pos="4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The cost of inventories includes raw materials, direct labor, and manufacturing overhead and is determined using the weighted average cost method. Raw materials consist primarily of unfinished wood products and other materials expected to be manufactured or treated prior to sale, while finished goods represent various manufactured and treated wood products ready for sale.</w:t>
      </w:r>
    </w:p>
    <w:p>
      <w:pPr>
        <w:spacing w:after="0" w:line="180"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We write down the value of inventory, the impact of which is reflected in cost of goods sold in the Condensed Consolidated Statement of Earnings and Comprehensive Income, if the cost of specific inventory items on hand exceeds the amount we expect to realize from the ultimate sale or disposal of the inventory. These estimates are based on management's judgment regarding future demand and market conditions and analysis of historical experience. The lower of cost or net realizable value adjustments to inventory were not significant as of September 28, 2024 and September 30, 2023.</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UFP Industries, Inc. is a holding company with subsidiaries in North America, Europe, Asia, and Australia that design, manufacture, and supply products made from wood, wood and non-wood composites, and other materials to three segments: retail, packaging, and construction. Our business segments are functionally interdependent and are supported by common corporate services, such as accounting and finance, information technology, human resources, marketing, purchasing, transportation, legal and compliance, among others. We regularly invest in automation and implement best practices to improve the efficiency of our manufacturing facilities across each of the segments. The results and improvements from these investments are shared among the segments. This exchange of ideas drives faster innovation for new products, processes, and product improvements. While the majority of our facilities serve only one business segment, many of our larger facilities serve two or more segments.</w:t>
      </w:r>
    </w:p>
    <w:p>
      <w:pPr>
        <w:spacing w:after="0" w:line="18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believe that our operating structure allows us to better evaluate market conditions and opportunities and more effectively allocate capital and resources to the appropriate segments and business units. Also, we believe our diversification and manner in which we operate our business provide an inherent hedge against the business cycles our end markets experience and over which we have limited control. Accordingly, we have the ability to provide more stable earnings and cash flows to our shareholders. Our diversification and operating practices also mitigate the impact that more volatile lumber market conditions have on traditional lumber companies. We are headquartered in Grand Rapids, Mich.</w:t>
      </w:r>
    </w:p>
    <w:p>
      <w:pPr>
        <w:spacing w:after="0" w:line="18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We do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currency and inflation; fluctuations in the price of lumber; adverse economic conditions in the markets we serve; concentration of sales to customers; vertical integration strategies; excess capacity or supply chain challenges; our ability to make successful business acquisitions; government regulations, particularly involving environmental and safety regulations; adverse or unusual weather conditions; inbound and outbound transportation costs; alternatives to replace treated wood products; cybersecurity breaches; tariffs on import and export sales; and potential pandemics. Certain of these risk factors as well as other risk factors and additional information are included in our reports on Form 10-K and 10-Q on file with the Securities and Exchange Commission.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results for the third quarter of 2024 include the following highlights:</w:t>
      </w:r>
    </w:p>
    <w:p>
      <w:pPr>
        <w:spacing w:after="0" w:line="225" w:lineRule="exact"/>
        <w:rPr>
          <w:sz w:val="20"/>
          <w:szCs w:val="20"/>
          <w:color w:val="auto"/>
        </w:rPr>
      </w:pPr>
    </w:p>
    <w:p>
      <w:pPr>
        <w:jc w:val="both"/>
        <w:ind w:left="880" w:right="79" w:hanging="317"/>
        <w:spacing w:after="0" w:line="258" w:lineRule="auto"/>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sales decreased 10% compared to the third quarter of 2023, which was comprised of a 7% decrease in selling prices and a 3% decrease in unit sales. The overall decrease in our selling prices is primarily due to lower lumber prices and a more competitive pricing environment in certain of our business units. Unit sales declines consisted of 6% in our retail segment, 3% in our packaging segment, and a 1% decrease in our construction segment.</w:t>
      </w:r>
    </w:p>
    <w:p>
      <w:pPr>
        <w:spacing w:after="0" w:line="183" w:lineRule="exact"/>
        <w:rPr>
          <w:rFonts w:ascii="Times New Roman" w:cs="Times New Roman" w:eastAsia="Times New Roman" w:hAnsi="Times New Roman"/>
          <w:sz w:val="18"/>
          <w:szCs w:val="18"/>
          <w:color w:val="auto"/>
        </w:rPr>
      </w:pPr>
    </w:p>
    <w:p>
      <w:pPr>
        <w:jc w:val="both"/>
        <w:ind w:left="880" w:right="79" w:hanging="317"/>
        <w:spacing w:after="0" w:line="261" w:lineRule="auto"/>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gross profits decreased by $66 million, or 18.1%, compared to the same period of the prior year. By segment, gross profits decreased by $33 million in Construction, $23 million in Packaging, and $12 million in Retail. The overall decrease in our gross profits is primarily due to the decline in unit sales and unfavorable cost variances resulting from fixed manufacturing costs, and more competitive pricing in certain business units.</w:t>
      </w:r>
    </w:p>
    <w:p>
      <w:pPr>
        <w:sectPr>
          <w:pgSz w:w="11900" w:h="16838" w:orient="portrait"/>
          <w:cols w:equalWidth="0" w:num="1">
            <w:col w:w="9019"/>
          </w:cols>
          <w:pgMar w:left="1440" w:top="5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jc w:val="both"/>
        <w:ind w:left="880" w:right="79" w:hanging="317"/>
        <w:spacing w:after="0" w:line="252"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profits decreased $47 million, or 28.3%, compared to the third quarter of 2023. The overall decrease is a result of the decline in gross profits mentioned above offset by a decrease in selling, general, and administrative (“SG&amp;A”) expenses. Our SG&amp;A declined primarily due to our incentive compensation plans which are tied to profitability and return on investment. Our decremental operating margin was 26.6%, which is calculated by dividing the decrease in our earnings from operations by the decrease in our net sales. In other words, for every dollar decrease in sales from the third quarter of 2023 to the third quarter of 2024, our operating profits decreased 26.6 cents. The decremental operating margin is intended to provide investors additional visibility into expected operating profits during periods of declining sales and pricing. In a declining business cycle, the Company’s management uses this metric to evaluate a change in its profitability resulting from a reduction in sales volume while considering the impact of product pricing changes, changes in product sales mix, its ratio of variable and fixed costs, and anticipated cost saving measures, among other factors. Our decremental operating margin was higher this quarter than we’ve experienced in other recent down cycles primarily due to more competitive pricing and a cautious approach to reducing our cost structure and capacity as a result of uncertainty about the timing of a rebound in demand.</w:t>
      </w:r>
    </w:p>
    <w:p>
      <w:pPr>
        <w:spacing w:after="0" w:line="197" w:lineRule="exact"/>
        <w:rPr>
          <w:rFonts w:ascii="Times New Roman" w:cs="Times New Roman" w:eastAsia="Times New Roman" w:hAnsi="Times New Roman"/>
          <w:sz w:val="18"/>
          <w:szCs w:val="18"/>
          <w:color w:val="auto"/>
        </w:rPr>
      </w:pPr>
    </w:p>
    <w:p>
      <w:pPr>
        <w:jc w:val="both"/>
        <w:ind w:left="880" w:right="79" w:hanging="317"/>
        <w:spacing w:after="0" w:line="258"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flows from operations was $498 million in the first nine months of 2024 compared to $712 million during the first nine months of 2023. The $214 million decline resulted from a decrease in net earnings and non-cash expenses of $50 million and a decline in net working capital since year end that was $164 million lower in the first nine months of 2024 than it was in 2023. In the first nine months of 2023, net working capital declined more significantly as demand normalized from the peak of the pandemic period.</w:t>
      </w:r>
    </w:p>
    <w:p>
      <w:pPr>
        <w:spacing w:after="0" w:line="183" w:lineRule="exact"/>
        <w:rPr>
          <w:rFonts w:ascii="Times New Roman" w:cs="Times New Roman" w:eastAsia="Times New Roman" w:hAnsi="Times New Roman"/>
          <w:sz w:val="18"/>
          <w:szCs w:val="18"/>
          <w:color w:val="auto"/>
        </w:rPr>
      </w:pPr>
    </w:p>
    <w:p>
      <w:pPr>
        <w:jc w:val="both"/>
        <w:ind w:left="880" w:right="79" w:hanging="317"/>
        <w:spacing w:after="0" w:line="261"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and cash equivalents at the end of September 2024 was $1.2 billion compared to $957 million at the end of September 2023. Our unused borrowing capacity under revolving credit facilities and a shelf agreement with certain lenders along with our cash resulted in total liquidity of approximately $2.4 billion at the end of the third quarter of 2024.</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HISTORICAL LUMBER PRICES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experience significant fluctuations in the cost of commodity lumber products from primary producers (“Lumber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Market”). The following table presents the Random Lengths framing lumber composite price:</w:t>
      </w:r>
    </w:p>
    <w:p>
      <w:pPr>
        <w:spacing w:after="0" w:line="214" w:lineRule="exact"/>
        <w:rPr>
          <w:sz w:val="20"/>
          <w:szCs w:val="20"/>
          <w:color w:val="auto"/>
        </w:rPr>
      </w:pPr>
    </w:p>
    <w:p>
      <w:pPr>
        <w:jc w:val="center"/>
        <w:ind w:left="6660"/>
        <w:spacing w:after="0"/>
        <w:rPr>
          <w:sz w:val="20"/>
          <w:szCs w:val="20"/>
          <w:color w:val="auto"/>
        </w:rPr>
      </w:pPr>
      <w:r>
        <w:rPr>
          <w:rFonts w:ascii="Times New Roman" w:cs="Times New Roman" w:eastAsia="Times New Roman" w:hAnsi="Times New Roman"/>
          <w:sz w:val="14"/>
          <w:szCs w:val="14"/>
          <w:b w:val="1"/>
          <w:bCs w:val="1"/>
          <w:color w:val="auto"/>
        </w:rPr>
        <w:t>Random Lengths Composite</w:t>
      </w:r>
    </w:p>
    <w:p>
      <w:pPr>
        <w:jc w:val="center"/>
        <w:ind w:left="6660"/>
        <w:spacing w:after="0"/>
        <w:rPr>
          <w:sz w:val="20"/>
          <w:szCs w:val="20"/>
          <w:color w:val="auto"/>
        </w:rPr>
      </w:pPr>
      <w:r>
        <w:rPr>
          <w:rFonts w:ascii="Times New Roman" w:cs="Times New Roman" w:eastAsia="Times New Roman" w:hAnsi="Times New Roman"/>
          <w:sz w:val="14"/>
          <w:szCs w:val="14"/>
          <w:b w:val="1"/>
          <w:bCs w:val="1"/>
          <w:color w:val="auto"/>
        </w:rPr>
        <w:t>Average $/MBF</w:t>
      </w: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340" w:type="dxa"/>
            <w:vAlign w:val="bottom"/>
            <w:tcBorders>
              <w:bottom w:val="single" w:sz="8" w:color="CCEEFF"/>
            </w:tcBorders>
          </w:tcPr>
          <w:p>
            <w:pPr>
              <w:spacing w:after="0"/>
              <w:rPr>
                <w:sz w:val="14"/>
                <w:szCs w:val="14"/>
                <w:color w:val="auto"/>
              </w:rPr>
            </w:pPr>
          </w:p>
        </w:tc>
        <w:tc>
          <w:tcPr>
            <w:tcW w:w="35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91"/>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CCEEFF"/>
            </w:tcBorders>
          </w:tcPr>
          <w:p>
            <w:pPr>
              <w:spacing w:after="0"/>
              <w:rPr>
                <w:sz w:val="14"/>
                <w:szCs w:val="14"/>
                <w:color w:val="auto"/>
              </w:rPr>
            </w:pPr>
          </w:p>
        </w:tc>
        <w:tc>
          <w:tcPr>
            <w:tcW w:w="40" w:type="dxa"/>
            <w:vAlign w:val="bottom"/>
            <w:tcBorders>
              <w:top w:val="single" w:sz="8" w:color="auto"/>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w:t>
            </w:r>
          </w:p>
        </w:tc>
        <w:tc>
          <w:tcPr>
            <w:tcW w:w="35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February</w:t>
            </w:r>
          </w:p>
        </w:tc>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w:t>
            </w:r>
          </w:p>
        </w:tc>
        <w:tc>
          <w:tcPr>
            <w:tcW w:w="3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April</w:t>
            </w:r>
          </w:p>
        </w:tc>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w:t>
            </w:r>
          </w:p>
        </w:tc>
        <w:tc>
          <w:tcPr>
            <w:tcW w:w="3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June</w:t>
            </w:r>
          </w:p>
        </w:tc>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w:t>
            </w:r>
          </w:p>
        </w:tc>
        <w:tc>
          <w:tcPr>
            <w:tcW w:w="3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August</w:t>
            </w:r>
          </w:p>
        </w:tc>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w:t>
            </w:r>
          </w:p>
        </w:tc>
        <w:tc>
          <w:tcPr>
            <w:tcW w:w="3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 average</w:t>
            </w:r>
          </w:p>
        </w:tc>
        <w:tc>
          <w:tcPr>
            <w:tcW w:w="3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Year-to-date average</w:t>
            </w:r>
          </w:p>
        </w:tc>
        <w:tc>
          <w:tcPr>
            <w:tcW w:w="3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 percentage change</w:t>
            </w:r>
          </w:p>
        </w:tc>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Year-to-date percentage change</w:t>
            </w:r>
          </w:p>
        </w:tc>
        <w:tc>
          <w:tcPr>
            <w:tcW w:w="3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500" w:type="dxa"/>
            <w:vAlign w:val="bottom"/>
          </w:tcPr>
          <w:p>
            <w:pPr>
              <w:jc w:val="right"/>
              <w:ind w:right="2210"/>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40"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addition, a Southern Yellow Pine (“SYP”) composite price, which we prepare and use, is presented below. Our purchases of this species comprise almost two-thirds of our total lumber purchases.</w:t>
      </w:r>
    </w:p>
    <w:p>
      <w:pPr>
        <w:spacing w:after="0" w:line="169" w:lineRule="exact"/>
        <w:rPr>
          <w:sz w:val="20"/>
          <w:szCs w:val="20"/>
          <w:color w:val="auto"/>
        </w:rPr>
      </w:pPr>
    </w:p>
    <w:p>
      <w:pPr>
        <w:jc w:val="center"/>
        <w:ind w:left="6680"/>
        <w:spacing w:after="0"/>
        <w:rPr>
          <w:sz w:val="20"/>
          <w:szCs w:val="20"/>
          <w:color w:val="auto"/>
        </w:rPr>
      </w:pPr>
      <w:r>
        <w:rPr>
          <w:rFonts w:ascii="Times New Roman" w:cs="Times New Roman" w:eastAsia="Times New Roman" w:hAnsi="Times New Roman"/>
          <w:sz w:val="14"/>
          <w:szCs w:val="14"/>
          <w:b w:val="1"/>
          <w:bCs w:val="1"/>
          <w:color w:val="auto"/>
        </w:rPr>
        <w:t>Random Lengths SYP</w:t>
      </w:r>
    </w:p>
    <w:p>
      <w:pPr>
        <w:jc w:val="center"/>
        <w:ind w:left="6680"/>
        <w:spacing w:after="0"/>
        <w:rPr>
          <w:sz w:val="20"/>
          <w:szCs w:val="20"/>
          <w:color w:val="auto"/>
        </w:rPr>
      </w:pPr>
      <w:r>
        <w:rPr>
          <w:rFonts w:ascii="Times New Roman" w:cs="Times New Roman" w:eastAsia="Times New Roman" w:hAnsi="Times New Roman"/>
          <w:sz w:val="14"/>
          <w:szCs w:val="14"/>
          <w:b w:val="1"/>
          <w:bCs w:val="1"/>
          <w:color w:val="auto"/>
        </w:rPr>
        <w:t>Average $/MBF</w:t>
      </w:r>
    </w:p>
    <w:tbl>
      <w:tblPr>
        <w:tblLayout w:type="fixed"/>
        <w:tblInd w:w="40" w:type="dxa"/>
        <w:tblCellMar>
          <w:top w:w="0" w:type="dxa"/>
          <w:left w:w="0" w:type="dxa"/>
          <w:bottom w:w="0" w:type="dxa"/>
          <w:right w:w="0" w:type="dxa"/>
        </w:tblCellMar>
      </w:tblPr>
      <w:tr>
        <w:trPr>
          <w:trHeight w:val="162"/>
        </w:trPr>
        <w:tc>
          <w:tcPr>
            <w:tcW w:w="68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191"/>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4"/>
                <w:szCs w:val="14"/>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80" w:type="dxa"/>
            <w:vAlign w:val="bottom"/>
            <w:shd w:val="clear" w:color="auto" w:fill="CCEEFF"/>
          </w:tcPr>
          <w:p>
            <w:pPr>
              <w:spacing w:after="0"/>
              <w:rPr>
                <w:sz w:val="18"/>
                <w:szCs w:val="18"/>
                <w:color w:val="auto"/>
              </w:rPr>
            </w:pPr>
          </w:p>
        </w:tc>
      </w:tr>
      <w:tr>
        <w:trPr>
          <w:trHeight w:val="216"/>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80" w:type="dxa"/>
            <w:vAlign w:val="bottom"/>
          </w:tcPr>
          <w:p>
            <w:pPr>
              <w:spacing w:after="0"/>
              <w:rPr>
                <w:sz w:val="18"/>
                <w:szCs w:val="18"/>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80" w:type="dxa"/>
            <w:vAlign w:val="bottom"/>
            <w:shd w:val="clear" w:color="auto" w:fill="CCEEFF"/>
          </w:tcPr>
          <w:p>
            <w:pPr>
              <w:spacing w:after="0"/>
              <w:rPr>
                <w:sz w:val="18"/>
                <w:szCs w:val="18"/>
                <w:color w:val="auto"/>
              </w:rPr>
            </w:pPr>
          </w:p>
        </w:tc>
      </w:tr>
      <w:tr>
        <w:trPr>
          <w:trHeight w:val="216"/>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80" w:type="dxa"/>
            <w:vAlign w:val="bottom"/>
          </w:tcPr>
          <w:p>
            <w:pPr>
              <w:spacing w:after="0"/>
              <w:rPr>
                <w:sz w:val="18"/>
                <w:szCs w:val="18"/>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80" w:type="dxa"/>
            <w:vAlign w:val="bottom"/>
            <w:shd w:val="clear" w:color="auto" w:fill="CCEEFF"/>
          </w:tcPr>
          <w:p>
            <w:pPr>
              <w:spacing w:after="0"/>
              <w:rPr>
                <w:sz w:val="18"/>
                <w:szCs w:val="18"/>
                <w:color w:val="auto"/>
              </w:rPr>
            </w:pPr>
          </w:p>
        </w:tc>
      </w:tr>
      <w:tr>
        <w:trPr>
          <w:trHeight w:val="216"/>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80" w:type="dxa"/>
            <w:vAlign w:val="bottom"/>
          </w:tcPr>
          <w:p>
            <w:pPr>
              <w:spacing w:after="0"/>
              <w:rPr>
                <w:sz w:val="18"/>
                <w:szCs w:val="18"/>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80" w:type="dxa"/>
            <w:vAlign w:val="bottom"/>
            <w:shd w:val="clear" w:color="auto" w:fill="CCEEFF"/>
          </w:tcPr>
          <w:p>
            <w:pPr>
              <w:spacing w:after="0"/>
              <w:rPr>
                <w:sz w:val="18"/>
                <w:szCs w:val="18"/>
                <w:color w:val="auto"/>
              </w:rPr>
            </w:pPr>
          </w:p>
        </w:tc>
      </w:tr>
      <w:tr>
        <w:trPr>
          <w:trHeight w:val="216"/>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80" w:type="dxa"/>
            <w:vAlign w:val="bottom"/>
          </w:tcPr>
          <w:p>
            <w:pPr>
              <w:spacing w:after="0"/>
              <w:rPr>
                <w:sz w:val="18"/>
                <w:szCs w:val="18"/>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8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 average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80" w:type="dxa"/>
            <w:vAlign w:val="bottom"/>
            <w:shd w:val="clear" w:color="auto" w:fill="CCEEFF"/>
          </w:tcPr>
          <w:p>
            <w:pPr>
              <w:spacing w:after="0"/>
              <w:rPr>
                <w:sz w:val="18"/>
                <w:szCs w:val="18"/>
                <w:color w:val="auto"/>
              </w:rPr>
            </w:pPr>
          </w:p>
        </w:tc>
      </w:tr>
      <w:tr>
        <w:trPr>
          <w:trHeight w:val="216"/>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Year-to-date average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8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 quarter percentage change</w:t>
            </w:r>
          </w:p>
        </w:tc>
        <w:tc>
          <w:tcPr>
            <w:tcW w:w="1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Year-to-date percentage change</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(17.8)%</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Lower overall lumber prices in 2024 compared to 2023 is primarily due to increased supply of SYP lumber in the U.S. while end market demand has remained soft. A change in lumber prices impacts profitability of products sold with fixed and variable prices, as discussed below.</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IMPACT OF THE LUMBER MARKET ON OUR OPERATING RESULTS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generally price our products to pass lumber costs through to our customers so that our profitability is based on the value-added manufacturing, distribution, engineering, and other services we provide. As a result, our dollar sales levels (and working capital requirements) are impacted by the lumber costs of our products. Lumber costs were 38.6% and 38.9% of our sales in the first nine months of 2024 and 2023, respectively.</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gross margins are impacted by (1) the relative level of the Lumber Market (i.e. whether prices are higher or lower from comparative periods), and (2) the trend in the market price of lumber (i.e. whether the price of lumber is increasing or decreasing within a period or from period to period). Additionally, as explained below, product categories can be priced differently. Some of our products have fixed selling prices, while the selling prices of other products are indexed to the reported Lumber Market with a fixed dollar adder to cover conversion costs and profits. Consequently, the level and trend of the Lumber Market impact our products differently.</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Below is a general description of the primary ways in which our products are priced.</w:t>
      </w:r>
    </w:p>
    <w:p>
      <w:pPr>
        <w:spacing w:after="0" w:line="225" w:lineRule="exact"/>
        <w:rPr>
          <w:sz w:val="20"/>
          <w:szCs w:val="20"/>
          <w:color w:val="auto"/>
        </w:rPr>
      </w:pPr>
    </w:p>
    <w:p>
      <w:pPr>
        <w:jc w:val="both"/>
        <w:ind w:left="880" w:right="79" w:hanging="317"/>
        <w:spacing w:after="0" w:line="256"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fixed selling prices.</w:t>
      </w:r>
      <w:r>
        <w:rPr>
          <w:rFonts w:ascii="Times New Roman" w:cs="Times New Roman" w:eastAsia="Times New Roman" w:hAnsi="Times New Roman"/>
          <w:sz w:val="18"/>
          <w:szCs w:val="18"/>
          <w:color w:val="auto"/>
        </w:rPr>
        <w:t xml:space="preserve"> These products include value-added products, such as manufactured items, sold within all segments. Prices for these products are generally fixed at the time of the sales quotation for a specified period of time. In order to reduce any exposure to adverse trends in the price of component lumber products, we attempt to lock in costs with our suppliers or purchase necessary inventory for these sales commitments. The time period limitation eventually allows us to periodically re-price our products for changes in lumber costs from our suppliers.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jc w:val="both"/>
        <w:ind w:left="880" w:right="79" w:hanging="317"/>
        <w:spacing w:after="0" w:line="255"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selling prices indexed to the reported Lumber Market with a fixed dollar “adder” to cover conversion costs and profit.</w:t>
      </w:r>
      <w:r>
        <w:rPr>
          <w:rFonts w:ascii="Times New Roman" w:cs="Times New Roman" w:eastAsia="Times New Roman" w:hAnsi="Times New Roman"/>
          <w:sz w:val="18"/>
          <w:szCs w:val="18"/>
          <w:color w:val="auto"/>
        </w:rPr>
        <w:t xml:space="preserve"> These products primarily include treated lumber, panel goods, other commodity-type items, and trusses sold to the manufactured housing industry. For these products, we estimate customers’ needs and carry appropriate levels of inventory. Because lumber costs are incurred in advance of final sale prices, subsequent increases or decreases in the market price of lumber impact our gross margins. We believe our sales of these products are at their highest relative level in our second quarter, primarily due to pressure-treated lumber sold in our retail segment.</w:t>
      </w:r>
    </w:p>
    <w:p>
      <w:pPr>
        <w:spacing w:after="0" w:line="189" w:lineRule="exact"/>
        <w:rPr>
          <w:sz w:val="20"/>
          <w:szCs w:val="20"/>
          <w:color w:val="auto"/>
        </w:rPr>
      </w:pPr>
    </w:p>
    <w:p>
      <w:pPr>
        <w:jc w:val="both"/>
        <w:ind w:left="540" w:right="59"/>
        <w:spacing w:after="0" w:line="266" w:lineRule="auto"/>
        <w:rPr>
          <w:sz w:val="20"/>
          <w:szCs w:val="20"/>
          <w:color w:val="auto"/>
        </w:rPr>
      </w:pPr>
      <w:r>
        <w:rPr>
          <w:rFonts w:ascii="Times New Roman" w:cs="Times New Roman" w:eastAsia="Times New Roman" w:hAnsi="Times New Roman"/>
          <w:sz w:val="18"/>
          <w:szCs w:val="18"/>
          <w:color w:val="auto"/>
        </w:rPr>
        <w:t>For each of the product pricing categories above, our margins are exposed to changes in the trend of lumber prices. As a result of the balance in our net sales to each of our end markets, we believe our gross profits are more stable than those of our competitors who are less diversified.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The greatest risk associated with changes in the </w:t>
      </w:r>
      <w:r>
        <w:rPr>
          <w:rFonts w:ascii="Times New Roman" w:cs="Times New Roman" w:eastAsia="Times New Roman" w:hAnsi="Times New Roman"/>
          <w:sz w:val="18"/>
          <w:szCs w:val="18"/>
          <w:u w:val="single" w:color="auto"/>
          <w:color w:val="auto"/>
        </w:rPr>
        <w:t>trend</w:t>
      </w:r>
      <w:r>
        <w:rPr>
          <w:rFonts w:ascii="Times New Roman" w:cs="Times New Roman" w:eastAsia="Times New Roman" w:hAnsi="Times New Roman"/>
          <w:sz w:val="18"/>
          <w:szCs w:val="18"/>
          <w:color w:val="auto"/>
        </w:rPr>
        <w:t xml:space="preserve"> of lumber prices is on the following products:</w:t>
      </w:r>
    </w:p>
    <w:p>
      <w:pPr>
        <w:spacing w:after="0" w:line="225" w:lineRule="exact"/>
        <w:rPr>
          <w:sz w:val="20"/>
          <w:szCs w:val="20"/>
          <w:color w:val="auto"/>
        </w:rPr>
      </w:pPr>
    </w:p>
    <w:p>
      <w:pPr>
        <w:jc w:val="both"/>
        <w:ind w:left="880" w:right="79" w:hanging="317"/>
        <w:spacing w:after="0" w:line="253"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significant inventory levels with low turnover rates, whose selling prices are indexed to the Lumber Market.</w:t>
      </w:r>
      <w:r>
        <w:rPr>
          <w:rFonts w:ascii="Times New Roman" w:cs="Times New Roman" w:eastAsia="Times New Roman" w:hAnsi="Times New Roman"/>
          <w:sz w:val="18"/>
          <w:szCs w:val="18"/>
          <w:color w:val="auto"/>
        </w:rPr>
        <w:t xml:space="preserve"> In other words, the longer the period of time these products remain in inventory, the greater the exposure to changes in the price of lumber. This includes treated lumber, which comprised approximately 22% of our total net sales in the first nine months of 2024. This exposure is less significant with remanufactured lumber, panel goods, other commodity-type items, and trusses sold to the manufactured housing market due to the higher rate of inventory turnover. We attempt to mitigate the risk associated with treated lumber through managed inventory programs with our vendors. We estimate that 18% of our total purchases for the first nine months of 2024 were transacted under these programs. (</w:t>
      </w:r>
      <w:r>
        <w:rPr>
          <w:rFonts w:ascii="Times New Roman" w:cs="Times New Roman" w:eastAsia="Times New Roman" w:hAnsi="Times New Roman"/>
          <w:sz w:val="18"/>
          <w:szCs w:val="18"/>
          <w:i w:val="1"/>
          <w:iCs w:val="1"/>
          <w:color w:val="auto"/>
        </w:rPr>
        <w:t>Please refer to the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 section of our annual report on form 10-K, filed with the United States Securities and Exchange Commission.</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jc w:val="both"/>
        <w:ind w:left="880" w:right="79" w:hanging="317"/>
        <w:spacing w:after="0" w:line="266"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fixed selling prices sold under long-term supply arrangements, particularly those involving multi-family construction projects.</w:t>
      </w:r>
      <w:r>
        <w:rPr>
          <w:rFonts w:ascii="Times New Roman" w:cs="Times New Roman" w:eastAsia="Times New Roman" w:hAnsi="Times New Roman"/>
          <w:sz w:val="18"/>
          <w:szCs w:val="18"/>
          <w:color w:val="auto"/>
        </w:rPr>
        <w:t xml:space="preserve"> We attempt to mitigate this risk through our purchasing practices and longer vendor commitments.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addition to the impact of Lumber Market trends on gross margins, changes in the level of the market cause fluctuations in gross margins when comparing operating results from period to period. This is explained in the following example, which assumes the price of lumber has increased from period one to period two, with no changes in the trend within each period.</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40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Period 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Period 2</w:t>
            </w:r>
          </w:p>
        </w:tc>
      </w:tr>
      <w:tr>
        <w:trPr>
          <w:trHeight w:val="216"/>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Lumber cost</w:t>
            </w:r>
          </w:p>
        </w:tc>
        <w:tc>
          <w:tcPr>
            <w:tcW w:w="2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0" w:type="dxa"/>
            <w:vAlign w:val="bottom"/>
            <w:tcBorders>
              <w:top w:val="single" w:sz="8" w:color="CCEEFF"/>
            </w:tcBorders>
            <w:shd w:val="clear" w:color="auto" w:fill="CCEEFF"/>
          </w:tcPr>
          <w:p>
            <w:pPr>
              <w:spacing w:after="0"/>
              <w:rPr>
                <w:sz w:val="18"/>
                <w:szCs w:val="18"/>
                <w:color w:val="auto"/>
              </w:rPr>
            </w:pPr>
          </w:p>
        </w:tc>
      </w:tr>
      <w:tr>
        <w:trPr>
          <w:trHeight w:val="223"/>
        </w:trPr>
        <w:tc>
          <w:tcPr>
            <w:tcW w:w="4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Conversion cost</w:t>
            </w:r>
          </w:p>
        </w:tc>
        <w:tc>
          <w:tcPr>
            <w:tcW w:w="28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bottom w:val="single" w:sz="8" w:color="CCEEFF"/>
            </w:tcBorders>
          </w:tcPr>
          <w:p>
            <w:pPr>
              <w:spacing w:after="0"/>
              <w:rPr>
                <w:sz w:val="19"/>
                <w:szCs w:val="19"/>
                <w:color w:val="auto"/>
              </w:rPr>
            </w:pPr>
          </w:p>
        </w:tc>
      </w:tr>
      <w:tr>
        <w:trPr>
          <w:trHeight w:val="216"/>
        </w:trPr>
        <w:tc>
          <w:tcPr>
            <w:tcW w:w="4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Product cost</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0" w:type="dxa"/>
            <w:vAlign w:val="bottom"/>
            <w:shd w:val="clear" w:color="auto" w:fill="CCEEFF"/>
          </w:tcPr>
          <w:p>
            <w:pPr>
              <w:spacing w:after="0"/>
              <w:rPr>
                <w:sz w:val="18"/>
                <w:szCs w:val="18"/>
                <w:color w:val="auto"/>
              </w:rPr>
            </w:pPr>
          </w:p>
        </w:tc>
      </w:tr>
      <w:tr>
        <w:trPr>
          <w:trHeight w:val="223"/>
        </w:trPr>
        <w:tc>
          <w:tcPr>
            <w:tcW w:w="4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Adder</w:t>
            </w:r>
          </w:p>
        </w:tc>
        <w:tc>
          <w:tcPr>
            <w:tcW w:w="28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bottom w:val="single" w:sz="8" w:color="CCEEFF"/>
            </w:tcBorders>
          </w:tcPr>
          <w:p>
            <w:pPr>
              <w:spacing w:after="0"/>
              <w:rPr>
                <w:sz w:val="19"/>
                <w:szCs w:val="19"/>
                <w:color w:val="auto"/>
              </w:rPr>
            </w:pPr>
          </w:p>
        </w:tc>
      </w:tr>
      <w:tr>
        <w:trPr>
          <w:trHeight w:val="216"/>
        </w:trPr>
        <w:tc>
          <w:tcPr>
            <w:tcW w:w="4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Sell price</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CCEEFF"/>
          </w:tcPr>
          <w:p>
            <w:pPr>
              <w:spacing w:after="0"/>
              <w:rPr>
                <w:sz w:val="18"/>
                <w:szCs w:val="18"/>
                <w:color w:val="auto"/>
              </w:rPr>
            </w:pPr>
          </w:p>
        </w:tc>
      </w:t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12.5 %</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17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is apparent from the preceding example, the level of lumber prices does not impact our overall profits but does impact our margins. Gross margins and operating margins are negatively impacted during periods of high lumber prices; conversely, we experience margin improvement when lumber prices are relatively low.</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 COMBINATIONS AND ASSET PURCHASES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completed one business acquisition in fiscal 2023. The annual historical sales attributable to this acquisition is approximately $38 million. This business combination was not significant to our quarterly results individually or in aggregate and thus pro forma results for 2024 and 2023 are not presented.</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See Notes to the Unaudited Condensed Consolidated Financial Statements, Note F, “Business Combinations” for additional information.</w:t>
      </w:r>
    </w:p>
    <w:p>
      <w:pPr>
        <w:sectPr>
          <w:pgSz w:w="11900" w:h="16838" w:orient="portrait"/>
          <w:cols w:equalWidth="0" w:num="1">
            <w:col w:w="9019"/>
          </w:cols>
          <w:pgMar w:left="1440" w:top="540"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presents, for the periods indicated, the components of our Unaudited Condensed Consolidated Statements of Earnings as a percentage of net sales.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4340" w:type="dxa"/>
            <w:vAlign w:val="bottom"/>
          </w:tcPr>
          <w:p>
            <w:pPr>
              <w:spacing w:after="0"/>
              <w:rPr>
                <w:sz w:val="15"/>
                <w:szCs w:val="15"/>
                <w:color w:val="auto"/>
              </w:rPr>
            </w:pPr>
          </w:p>
        </w:tc>
        <w:tc>
          <w:tcPr>
            <w:tcW w:w="228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8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24"/>
        </w:trPr>
        <w:tc>
          <w:tcPr>
            <w:tcW w:w="4340" w:type="dxa"/>
            <w:vAlign w:val="bottom"/>
          </w:tcPr>
          <w:p>
            <w:pPr>
              <w:spacing w:after="0"/>
              <w:rPr>
                <w:sz w:val="10"/>
                <w:szCs w:val="10"/>
                <w:color w:val="auto"/>
              </w:rPr>
            </w:pPr>
          </w:p>
        </w:tc>
        <w:tc>
          <w:tcPr>
            <w:tcW w:w="1140" w:type="dxa"/>
            <w:vAlign w:val="bottom"/>
            <w:gridSpan w:val="2"/>
          </w:tcPr>
          <w:p>
            <w:pPr>
              <w:jc w:val="right"/>
              <w:ind w:right="17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140" w:type="dxa"/>
            <w:vAlign w:val="bottom"/>
            <w:gridSpan w:val="2"/>
          </w:tcPr>
          <w:p>
            <w:pPr>
              <w:jc w:val="right"/>
              <w:ind w:right="170"/>
              <w:spacing w:after="0" w:line="124"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120" w:type="dxa"/>
            <w:vAlign w:val="bottom"/>
            <w:gridSpan w:val="2"/>
          </w:tcPr>
          <w:p>
            <w:pPr>
              <w:jc w:val="right"/>
              <w:ind w:right="15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160" w:type="dxa"/>
            <w:vAlign w:val="bottom"/>
            <w:gridSpan w:val="2"/>
          </w:tcPr>
          <w:p>
            <w:pPr>
              <w:jc w:val="right"/>
              <w:ind w:right="170"/>
              <w:spacing w:after="0" w:line="124"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0"/>
        </w:trPr>
        <w:tc>
          <w:tcPr>
            <w:tcW w:w="43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CCEEFF"/>
            </w:tcBorders>
          </w:tcPr>
          <w:p>
            <w:pPr>
              <w:spacing w:after="0"/>
              <w:rPr>
                <w:sz w:val="15"/>
                <w:szCs w:val="15"/>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2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2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2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260" w:type="dxa"/>
            <w:vAlign w:val="bottom"/>
            <w:tcBorders>
              <w:bottom w:val="single" w:sz="8" w:color="CCEEFF"/>
            </w:tcBorders>
          </w:tcPr>
          <w:p>
            <w:pPr>
              <w:spacing w:after="0"/>
              <w:rPr>
                <w:sz w:val="18"/>
                <w:szCs w:val="18"/>
                <w:color w:val="auto"/>
              </w:rPr>
            </w:pPr>
          </w:p>
        </w:tc>
      </w:tr>
      <w:tr>
        <w:trPr>
          <w:trHeight w:val="20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60" w:type="dxa"/>
            <w:vAlign w:val="bottom"/>
            <w:shd w:val="clear" w:color="auto" w:fill="CCEEFF"/>
          </w:tcPr>
          <w:p>
            <w:pPr>
              <w:spacing w:after="0"/>
              <w:rPr>
                <w:sz w:val="18"/>
                <w:szCs w:val="18"/>
                <w:color w:val="auto"/>
              </w:rPr>
            </w:pPr>
          </w:p>
        </w:tc>
      </w:tr>
      <w:tr>
        <w:trPr>
          <w:trHeight w:val="21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60" w:type="dxa"/>
            <w:vAlign w:val="bottom"/>
          </w:tcPr>
          <w:p>
            <w:pPr>
              <w:spacing w:after="0"/>
              <w:rPr>
                <w:sz w:val="18"/>
                <w:szCs w:val="18"/>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losses (gains), net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shd w:val="clear" w:color="auto" w:fill="CCEEFF"/>
          </w:tcPr>
          <w:p>
            <w:pPr>
              <w:spacing w:after="0"/>
              <w:rPr>
                <w:sz w:val="18"/>
                <w:szCs w:val="18"/>
                <w:color w:val="auto"/>
              </w:rPr>
            </w:pPr>
          </w:p>
        </w:tc>
      </w:tr>
      <w:tr>
        <w:trPr>
          <w:trHeight w:val="20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6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60" w:type="dxa"/>
            <w:vAlign w:val="bottom"/>
          </w:tcPr>
          <w:p>
            <w:pPr>
              <w:spacing w:after="0"/>
              <w:rPr>
                <w:sz w:val="18"/>
                <w:szCs w:val="18"/>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(0.9)</w:t>
            </w:r>
          </w:p>
        </w:tc>
        <w:tc>
          <w:tcPr>
            <w:tcW w:w="11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(0.3)</w:t>
            </w:r>
          </w:p>
        </w:tc>
        <w:tc>
          <w:tcPr>
            <w:tcW w:w="1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(0.7)</w:t>
            </w:r>
          </w:p>
        </w:tc>
        <w:tc>
          <w:tcPr>
            <w:tcW w:w="11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(0.2)</w:t>
            </w:r>
          </w:p>
        </w:tc>
      </w:tr>
      <w:tr>
        <w:trPr>
          <w:trHeight w:val="20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6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60" w:type="dxa"/>
            <w:vAlign w:val="bottom"/>
          </w:tcPr>
          <w:p>
            <w:pPr>
              <w:spacing w:after="0"/>
              <w:rPr>
                <w:sz w:val="18"/>
                <w:szCs w:val="18"/>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shd w:val="clear" w:color="auto" w:fill="CCEEFF"/>
          </w:tcPr>
          <w:p>
            <w:pPr>
              <w:spacing w:after="0"/>
              <w:rPr>
                <w:sz w:val="18"/>
                <w:szCs w:val="18"/>
                <w:color w:val="auto"/>
              </w:rPr>
            </w:pPr>
          </w:p>
        </w:tc>
      </w:tr>
      <w:tr>
        <w:trPr>
          <w:trHeight w:val="20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tcPr>
          <w:p>
            <w:pPr>
              <w:spacing w:after="0"/>
              <w:rPr>
                <w:sz w:val="18"/>
                <w:szCs w:val="18"/>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earnings attributable to noncontrolling interest</w:t>
            </w: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(0.1)</w:t>
            </w:r>
          </w:p>
        </w:tc>
        <w:tc>
          <w:tcPr>
            <w:tcW w:w="114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controlling interest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4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Actual percentages are calculated and may not sum to total due to rounding.</w:t>
      </w:r>
    </w:p>
    <w:p>
      <w:pPr>
        <w:spacing w:after="0" w:line="20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a result of the impact of the level of lumber prices on the percentages displayed in the table above (see Impact of the Lumber Market on Our Operating Results), we believe it is useful to compare our change in units sold with our change in gross profits, selling, general, and administrative expenses, and operating profits as presented in the following table.</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442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1040" w:type="dxa"/>
            <w:vAlign w:val="bottom"/>
            <w:tcBorders>
              <w:bottom w:val="single" w:sz="8" w:color="auto"/>
            </w:tcBorders>
          </w:tcPr>
          <w:p>
            <w:pPr>
              <w:spacing w:after="0"/>
              <w:rPr>
                <w:sz w:val="15"/>
                <w:szCs w:val="15"/>
                <w:color w:val="auto"/>
              </w:rPr>
            </w:pPr>
          </w:p>
        </w:tc>
      </w:tr>
      <w:tr>
        <w:trPr>
          <w:trHeight w:val="156"/>
        </w:trPr>
        <w:tc>
          <w:tcPr>
            <w:tcW w:w="4420" w:type="dxa"/>
            <w:vAlign w:val="bottom"/>
          </w:tcPr>
          <w:p>
            <w:pPr>
              <w:spacing w:after="0"/>
              <w:rPr>
                <w:sz w:val="13"/>
                <w:szCs w:val="13"/>
                <w:color w:val="auto"/>
              </w:rPr>
            </w:pPr>
          </w:p>
        </w:tc>
        <w:tc>
          <w:tcPr>
            <w:tcW w:w="2300" w:type="dxa"/>
            <w:vAlign w:val="bottom"/>
            <w:gridSpan w:val="4"/>
          </w:tcPr>
          <w:p>
            <w:pPr>
              <w:ind w:left="44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180" w:type="dxa"/>
            <w:vAlign w:val="bottom"/>
            <w:gridSpan w:val="3"/>
          </w:tcPr>
          <w:p>
            <w:pPr>
              <w:jc w:val="right"/>
              <w:ind w:right="396"/>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37"/>
        </w:trPr>
        <w:tc>
          <w:tcPr>
            <w:tcW w:w="4420" w:type="dxa"/>
            <w:vAlign w:val="bottom"/>
          </w:tcPr>
          <w:p>
            <w:pPr>
              <w:spacing w:after="0"/>
              <w:rPr>
                <w:sz w:val="11"/>
                <w:szCs w:val="11"/>
                <w:color w:val="auto"/>
              </w:rPr>
            </w:pPr>
          </w:p>
        </w:tc>
        <w:tc>
          <w:tcPr>
            <w:tcW w:w="1160" w:type="dxa"/>
            <w:vAlign w:val="bottom"/>
            <w:tcBorders>
              <w:top w:val="single" w:sz="8" w:color="auto"/>
            </w:tcBorders>
            <w:gridSpan w:val="2"/>
          </w:tcPr>
          <w:p>
            <w:pPr>
              <w:ind w:left="80"/>
              <w:spacing w:after="0" w:line="137"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00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1"/>
                <w:szCs w:val="11"/>
                <w:color w:val="auto"/>
              </w:rPr>
            </w:pPr>
          </w:p>
        </w:tc>
        <w:tc>
          <w:tcPr>
            <w:tcW w:w="1140" w:type="dxa"/>
            <w:vAlign w:val="bottom"/>
            <w:tcBorders>
              <w:top w:val="single" w:sz="8" w:color="auto"/>
            </w:tcBorders>
            <w:gridSpan w:val="2"/>
          </w:tcPr>
          <w:p>
            <w:pPr>
              <w:ind w:left="60"/>
              <w:spacing w:after="0" w:line="137"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04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0"/>
        </w:trPr>
        <w:tc>
          <w:tcPr>
            <w:tcW w:w="44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sold</w:t>
            </w:r>
          </w:p>
        </w:tc>
        <w:tc>
          <w:tcPr>
            <w:tcW w:w="10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20" w:type="dxa"/>
            <w:vAlign w:val="bottom"/>
          </w:tcPr>
          <w:p>
            <w:pPr>
              <w:jc w:val="right"/>
              <w:ind w:right="158"/>
              <w:spacing w:after="0"/>
              <w:rPr>
                <w:sz w:val="20"/>
                <w:szCs w:val="20"/>
                <w:color w:val="auto"/>
              </w:rPr>
            </w:pPr>
            <w:r>
              <w:rPr>
                <w:rFonts w:ascii="Times New Roman" w:cs="Times New Roman" w:eastAsia="Times New Roman" w:hAnsi="Times New Roman"/>
                <w:sz w:val="18"/>
                <w:szCs w:val="18"/>
                <w:color w:val="auto"/>
              </w:rPr>
              <w:t>(18.1)</w:t>
            </w:r>
          </w:p>
        </w:tc>
        <w:tc>
          <w:tcPr>
            <w:tcW w:w="140" w:type="dxa"/>
            <w:vAlign w:val="bottom"/>
          </w:tcPr>
          <w:p>
            <w:pPr>
              <w:spacing w:after="0"/>
              <w:rPr>
                <w:sz w:val="18"/>
                <w:szCs w:val="18"/>
                <w:color w:val="auto"/>
              </w:rPr>
            </w:pPr>
          </w:p>
        </w:tc>
        <w:tc>
          <w:tcPr>
            <w:tcW w:w="1000" w:type="dxa"/>
            <w:vAlign w:val="bottom"/>
          </w:tcPr>
          <w:p>
            <w:pPr>
              <w:jc w:val="right"/>
              <w:ind w:right="158"/>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tcPr>
          <w:p>
            <w:pPr>
              <w:spacing w:after="0"/>
              <w:rPr>
                <w:sz w:val="18"/>
                <w:szCs w:val="18"/>
                <w:color w:val="auto"/>
              </w:rPr>
            </w:pPr>
          </w:p>
        </w:tc>
        <w:tc>
          <w:tcPr>
            <w:tcW w:w="1020" w:type="dxa"/>
            <w:vAlign w:val="bottom"/>
          </w:tcPr>
          <w:p>
            <w:pPr>
              <w:jc w:val="right"/>
              <w:ind w:right="178"/>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18"/>
                <w:szCs w:val="18"/>
                <w:color w:val="auto"/>
              </w:rPr>
            </w:pPr>
          </w:p>
        </w:tc>
        <w:tc>
          <w:tcPr>
            <w:tcW w:w="104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(21.6)</w:t>
            </w:r>
          </w:p>
        </w:tc>
      </w:tr>
      <w:tr>
        <w:trPr>
          <w:trHeight w:val="216"/>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2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(8.3)</w:t>
            </w:r>
          </w:p>
        </w:tc>
      </w:tr>
      <w:tr>
        <w:trPr>
          <w:trHeight w:val="234"/>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1020" w:type="dxa"/>
            <w:vAlign w:val="bottom"/>
          </w:tcPr>
          <w:p>
            <w:pPr>
              <w:jc w:val="right"/>
              <w:ind w:right="158"/>
              <w:spacing w:after="0"/>
              <w:rPr>
                <w:sz w:val="20"/>
                <w:szCs w:val="20"/>
                <w:color w:val="auto"/>
              </w:rPr>
            </w:pPr>
            <w:r>
              <w:rPr>
                <w:rFonts w:ascii="Times New Roman" w:cs="Times New Roman" w:eastAsia="Times New Roman" w:hAnsi="Times New Roman"/>
                <w:sz w:val="18"/>
                <w:szCs w:val="18"/>
                <w:color w:val="auto"/>
              </w:rPr>
              <w:t>(28.3)</w:t>
            </w:r>
          </w:p>
        </w:tc>
        <w:tc>
          <w:tcPr>
            <w:tcW w:w="140" w:type="dxa"/>
            <w:vAlign w:val="bottom"/>
          </w:tcPr>
          <w:p>
            <w:pPr>
              <w:spacing w:after="0"/>
              <w:rPr>
                <w:sz w:val="20"/>
                <w:szCs w:val="20"/>
                <w:color w:val="auto"/>
              </w:rPr>
            </w:pPr>
          </w:p>
        </w:tc>
        <w:tc>
          <w:tcPr>
            <w:tcW w:w="1000" w:type="dxa"/>
            <w:vAlign w:val="bottom"/>
          </w:tcPr>
          <w:p>
            <w:pPr>
              <w:jc w:val="right"/>
              <w:ind w:right="158"/>
              <w:spacing w:after="0"/>
              <w:rPr>
                <w:sz w:val="20"/>
                <w:szCs w:val="20"/>
                <w:color w:val="auto"/>
              </w:rPr>
            </w:pPr>
            <w:r>
              <w:rPr>
                <w:rFonts w:ascii="Times New Roman" w:cs="Times New Roman" w:eastAsia="Times New Roman" w:hAnsi="Times New Roman"/>
                <w:sz w:val="18"/>
                <w:szCs w:val="18"/>
                <w:color w:val="auto"/>
              </w:rPr>
              <w:t>(29.4)</w:t>
            </w:r>
          </w:p>
        </w:tc>
        <w:tc>
          <w:tcPr>
            <w:tcW w:w="140" w:type="dxa"/>
            <w:vAlign w:val="bottom"/>
          </w:tcPr>
          <w:p>
            <w:pPr>
              <w:spacing w:after="0"/>
              <w:rPr>
                <w:sz w:val="20"/>
                <w:szCs w:val="20"/>
                <w:color w:val="auto"/>
              </w:rPr>
            </w:pPr>
          </w:p>
        </w:tc>
        <w:tc>
          <w:tcPr>
            <w:tcW w:w="1020" w:type="dxa"/>
            <w:vAlign w:val="bottom"/>
          </w:tcPr>
          <w:p>
            <w:pPr>
              <w:jc w:val="right"/>
              <w:ind w:right="178"/>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20"/>
                <w:szCs w:val="20"/>
                <w:color w:val="auto"/>
              </w:rPr>
            </w:pPr>
          </w:p>
        </w:tc>
        <w:tc>
          <w:tcPr>
            <w:tcW w:w="104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(33.1)</w:t>
            </w:r>
          </w:p>
        </w:tc>
      </w:tr>
    </w:tbl>
    <w:p>
      <w:pPr>
        <w:spacing w:after="0" w:line="17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following table presents, for the periods indicated, our selling, general, and administrative (SG&amp;A) costs as a percentage of gross profit. We believe this ratio provides an enhanced view of our effectiveness in managing these costs given our strategies to enhance our capabilities and improve our value-added product offering and recognizing the higher relative level of SG&amp;A these strategies require. This ratio also mitigates the impact of changing lumber prices. The increase in the ratio of SG&amp;A as a percentage of gross profit from the prior year is attributable to SG&amp;A costs within our Packaging, Construction, and Corporate segments.</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5"/>
                <w:szCs w:val="15"/>
                <w:color w:val="auto"/>
              </w:rPr>
            </w:pPr>
          </w:p>
        </w:tc>
        <w:tc>
          <w:tcPr>
            <w:tcW w:w="246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24"/>
        </w:trPr>
        <w:tc>
          <w:tcPr>
            <w:tcW w:w="35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ind w:left="8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17"/>
              <w:spacing w:after="0" w:line="124"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ind w:left="8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0"/>
                <w:szCs w:val="10"/>
                <w:color w:val="auto"/>
              </w:rPr>
            </w:pPr>
          </w:p>
        </w:tc>
      </w:tr>
      <w:tr>
        <w:trPr>
          <w:trHeight w:val="180"/>
        </w:trPr>
        <w:tc>
          <w:tcPr>
            <w:tcW w:w="35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298,412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987,233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1,122,796</w:t>
            </w:r>
          </w:p>
        </w:tc>
        <w:tc>
          <w:tcPr>
            <w:tcW w:w="20" w:type="dxa"/>
            <w:vAlign w:val="bottom"/>
          </w:tcPr>
          <w:p>
            <w:pPr>
              <w:spacing w:after="0"/>
              <w:rPr>
                <w:sz w:val="18"/>
                <w:szCs w:val="18"/>
                <w:color w:val="auto"/>
              </w:rPr>
            </w:pPr>
          </w:p>
        </w:tc>
      </w:tr>
      <w:tr>
        <w:trPr>
          <w:trHeight w:val="216"/>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183,341</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195,649</w:t>
            </w:r>
          </w:p>
        </w:tc>
        <w:tc>
          <w:tcPr>
            <w:tcW w:w="16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578,555</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595,035</w:t>
            </w:r>
          </w:p>
        </w:tc>
        <w:tc>
          <w:tcPr>
            <w:tcW w:w="20" w:type="dxa"/>
            <w:vAlign w:val="bottom"/>
          </w:tcPr>
          <w:p>
            <w:pPr>
              <w:spacing w:after="0"/>
              <w:rPr>
                <w:sz w:val="18"/>
                <w:szCs w:val="18"/>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as percentage of gross profit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0" w:type="dxa"/>
            <w:vAlign w:val="bottom"/>
          </w:tcPr>
          <w:p>
            <w:pPr>
              <w:spacing w:after="0"/>
              <w:rPr>
                <w:sz w:val="18"/>
                <w:szCs w:val="18"/>
                <w:color w:val="auto"/>
              </w:rPr>
            </w:pPr>
          </w:p>
        </w:tc>
      </w:tr>
      <w:tr>
        <w:trPr>
          <w:trHeight w:val="864"/>
        </w:trPr>
        <w:tc>
          <w:tcPr>
            <w:tcW w:w="3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3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0"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Operating Results by Segment:</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Our business segments consist of UFP Retail Solutions (“Retail”), UFP Packaging (“Packaging”) and UFP Construction (“Construction”), and align with the end markets we serve. Among other advantages, this structure allows for a more specialized and consistent sales approach, more efficient use of resources and capital, and quicker introduction of new products and services. We manage the operations of our individual locations primarily through a market-centered reporting structure under which each location is included in a business unit, and business units are included in our Retail, Packaging, and Construction segments. The exception to this market-centered reporting and management structure is our International segment, which comprises our packaging operations in Mexico, Canada, Spain, India, and Australia and sales and buying offices in other parts of the world. Our International segment and Ardellis (our insurance captive) are included in the “All Other” column of the table below. The “Corporate” column includes purchasing, transportation, corporate ventures, and administrative functions that serve our operating segments. Operating results of Corporate primarily consists of over (under) allocated costs. The operating results of UFP Real Estate, Inc., which owns and leases real estate, and UFP Transportation Ltd., which owns, leases, and operates transportation equipment, are also included in the Corporate column. Inter-company lease and services charges are assessed to our operating segments for the use of these assets and services at fair market value rates.</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tables present our operating results, for the periods indicated, by segment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0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28, 2024</w:t>
            </w: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318"/>
        </w:trPr>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20" w:type="dxa"/>
            <w:vAlign w:val="bottom"/>
          </w:tcPr>
          <w:p>
            <w:pPr>
              <w:spacing w:after="0"/>
              <w:rPr>
                <w:sz w:val="24"/>
                <w:szCs w:val="24"/>
                <w:color w:val="auto"/>
              </w:rPr>
            </w:pP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4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24"/>
                <w:szCs w:val="24"/>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635,571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401,626</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534,625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75,802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1,649,383</w:t>
            </w:r>
          </w:p>
        </w:tc>
        <w:tc>
          <w:tcPr>
            <w:tcW w:w="20" w:type="dxa"/>
            <w:vAlign w:val="bottom"/>
          </w:tcPr>
          <w:p>
            <w:pPr>
              <w:spacing w:after="0"/>
              <w:rPr>
                <w:sz w:val="18"/>
                <w:szCs w:val="18"/>
                <w:color w:val="auto"/>
              </w:rPr>
            </w:pPr>
          </w:p>
        </w:tc>
      </w:tr>
      <w:tr>
        <w:trPr>
          <w:trHeight w:val="22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542,516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330,381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422,967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61,350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(6,243)</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1,350,971</w:t>
            </w:r>
          </w:p>
        </w:tc>
        <w:tc>
          <w:tcPr>
            <w:tcW w:w="20" w:type="dxa"/>
            <w:vAlign w:val="bottom"/>
          </w:tcPr>
          <w:p>
            <w:pPr>
              <w:spacing w:after="0"/>
              <w:rPr>
                <w:sz w:val="19"/>
                <w:szCs w:val="19"/>
                <w:color w:val="auto"/>
              </w:rPr>
            </w:pP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93,055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71,245</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111,658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298,412</w:t>
            </w:r>
          </w:p>
        </w:tc>
        <w:tc>
          <w:tcPr>
            <w:tcW w:w="20" w:type="dxa"/>
            <w:vAlign w:val="bottom"/>
          </w:tcPr>
          <w:p>
            <w:pPr>
              <w:spacing w:after="0"/>
              <w:rPr>
                <w:sz w:val="18"/>
                <w:szCs w:val="18"/>
                <w:color w:val="auto"/>
              </w:rPr>
            </w:pPr>
          </w:p>
        </w:tc>
      </w:tr>
      <w:tr>
        <w:trPr>
          <w:trHeight w:val="198"/>
        </w:trPr>
        <w:tc>
          <w:tcPr>
            <w:tcW w:w="2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54,113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49,352</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69,046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(2,866)</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183,341</w:t>
            </w:r>
          </w:p>
        </w:tc>
        <w:tc>
          <w:tcPr>
            <w:tcW w:w="20" w:type="dxa"/>
            <w:vAlign w:val="bottom"/>
          </w:tcPr>
          <w:p>
            <w:pPr>
              <w:spacing w:after="0"/>
              <w:rPr>
                <w:sz w:val="20"/>
                <w:szCs w:val="20"/>
                <w:color w:val="auto"/>
              </w:rPr>
            </w:pPr>
          </w:p>
        </w:tc>
      </w:tr>
      <w:tr>
        <w:trPr>
          <w:trHeight w:val="23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(2,870)</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(1,791)</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(434)</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w:t>
            </w:r>
          </w:p>
        </w:tc>
        <w:tc>
          <w:tcPr>
            <w:tcW w:w="20" w:type="dxa"/>
            <w:vAlign w:val="bottom"/>
          </w:tcPr>
          <w:p>
            <w:pPr>
              <w:spacing w:after="0"/>
              <w:rPr>
                <w:sz w:val="20"/>
                <w:szCs w:val="20"/>
                <w:color w:val="auto"/>
              </w:rPr>
            </w:pPr>
          </w:p>
        </w:tc>
      </w:tr>
      <w:tr>
        <w:trPr>
          <w:trHeight w:val="210"/>
        </w:trPr>
        <w:tc>
          <w:tcPr>
            <w:tcW w:w="204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Earnings from operations</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41,812</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21,865</w:t>
            </w: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42,400</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2,547</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11,302</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119,926</w:t>
            </w:r>
          </w:p>
        </w:tc>
        <w:tc>
          <w:tcPr>
            <w:tcW w:w="20" w:type="dxa"/>
            <w:vAlign w:val="bottom"/>
          </w:tcPr>
          <w:p>
            <w:pPr>
              <w:spacing w:after="0"/>
              <w:rPr>
                <w:sz w:val="18"/>
                <w:szCs w:val="18"/>
                <w:color w:val="auto"/>
              </w:rPr>
            </w:pPr>
          </w:p>
        </w:tc>
      </w:tr>
      <w:tr>
        <w:trPr>
          <w:trHeight w:val="385"/>
        </w:trPr>
        <w:tc>
          <w:tcPr>
            <w:tcW w:w="20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20" w:type="dxa"/>
            <w:vAlign w:val="bottom"/>
          </w:tcPr>
          <w:p>
            <w:pPr>
              <w:spacing w:after="0"/>
              <w:rPr>
                <w:sz w:val="24"/>
                <w:szCs w:val="24"/>
                <w:color w:val="auto"/>
              </w:rPr>
            </w:pP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4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24"/>
                <w:szCs w:val="24"/>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730,353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449,885</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583,960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62,454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1,827,637</w:t>
            </w:r>
          </w:p>
        </w:tc>
        <w:tc>
          <w:tcPr>
            <w:tcW w:w="20" w:type="dxa"/>
            <w:vAlign w:val="bottom"/>
          </w:tcPr>
          <w:p>
            <w:pPr>
              <w:spacing w:after="0"/>
              <w:rPr>
                <w:sz w:val="18"/>
                <w:szCs w:val="18"/>
                <w:color w:val="auto"/>
              </w:rPr>
            </w:pPr>
          </w:p>
        </w:tc>
      </w:tr>
      <w:tr>
        <w:trPr>
          <w:trHeight w:val="22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625,730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355,924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439,152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(653)</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1,463,237</w:t>
            </w:r>
          </w:p>
        </w:tc>
        <w:tc>
          <w:tcPr>
            <w:tcW w:w="20" w:type="dxa"/>
            <w:vAlign w:val="bottom"/>
          </w:tcPr>
          <w:p>
            <w:pPr>
              <w:spacing w:after="0"/>
              <w:rPr>
                <w:sz w:val="19"/>
                <w:szCs w:val="19"/>
                <w:color w:val="auto"/>
              </w:rPr>
            </w:pP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104,623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93,961</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144,808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364,400</w:t>
            </w:r>
          </w:p>
        </w:tc>
        <w:tc>
          <w:tcPr>
            <w:tcW w:w="20" w:type="dxa"/>
            <w:vAlign w:val="bottom"/>
          </w:tcPr>
          <w:p>
            <w:pPr>
              <w:spacing w:after="0"/>
              <w:rPr>
                <w:sz w:val="18"/>
                <w:szCs w:val="18"/>
                <w:color w:val="auto"/>
              </w:rPr>
            </w:pPr>
          </w:p>
        </w:tc>
      </w:tr>
      <w:tr>
        <w:trPr>
          <w:trHeight w:val="198"/>
        </w:trPr>
        <w:tc>
          <w:tcPr>
            <w:tcW w:w="2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57,019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52,524</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75,293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(3,106)</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195,649</w:t>
            </w:r>
          </w:p>
        </w:tc>
        <w:tc>
          <w:tcPr>
            <w:tcW w:w="20" w:type="dxa"/>
            <w:vAlign w:val="bottom"/>
          </w:tcPr>
          <w:p>
            <w:pPr>
              <w:spacing w:after="0"/>
              <w:rPr>
                <w:sz w:val="20"/>
                <w:szCs w:val="20"/>
                <w:color w:val="auto"/>
              </w:rPr>
            </w:pPr>
          </w:p>
        </w:tc>
      </w:tr>
      <w:tr>
        <w:trPr>
          <w:trHeight w:val="23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20" w:type="dxa"/>
            <w:vAlign w:val="bottom"/>
          </w:tcPr>
          <w:p>
            <w:pPr>
              <w:spacing w:after="0"/>
              <w:rPr>
                <w:sz w:val="20"/>
                <w:szCs w:val="20"/>
                <w:color w:val="auto"/>
              </w:rPr>
            </w:pPr>
          </w:p>
        </w:tc>
      </w:tr>
      <w:tr>
        <w:trPr>
          <w:trHeight w:val="210"/>
        </w:trPr>
        <w:tc>
          <w:tcPr>
            <w:tcW w:w="204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Earnings from operations</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46,674</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41,429</w:t>
            </w: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69,560</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5,343</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4,326</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167,332</w:t>
            </w:r>
          </w:p>
        </w:tc>
        <w:tc>
          <w:tcPr>
            <w:tcW w:w="20" w:type="dxa"/>
            <w:vAlign w:val="bottom"/>
          </w:tcPr>
          <w:p>
            <w:pPr>
              <w:spacing w:after="0"/>
              <w:rPr>
                <w:sz w:val="18"/>
                <w:szCs w:val="18"/>
                <w:color w:val="auto"/>
              </w:rPr>
            </w:pPr>
          </w:p>
        </w:tc>
      </w:tr>
      <w:tr>
        <w:trPr>
          <w:trHeight w:val="864"/>
        </w:trPr>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2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0"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90"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0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8"/>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Nine Months Ended September 28, 2024</w:t>
            </w: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318"/>
        </w:trPr>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4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24"/>
                <w:szCs w:val="24"/>
                <w:color w:val="auto"/>
              </w:rPr>
            </w:pPr>
          </w:p>
        </w:tc>
        <w:tc>
          <w:tcPr>
            <w:tcW w:w="8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2,073,403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1,261,248</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1,627,068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224,219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5,190,308</w:t>
            </w:r>
          </w:p>
        </w:tc>
      </w:tr>
      <w:tr>
        <w:trPr>
          <w:trHeight w:val="22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1,752,464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1,020,877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1,275,520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171,916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(17,702)</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4,203,075</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320,939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240,371</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351,548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987,233</w:t>
            </w:r>
          </w:p>
        </w:tc>
      </w:tr>
      <w:tr>
        <w:trPr>
          <w:trHeight w:val="198"/>
        </w:trPr>
        <w:tc>
          <w:tcPr>
            <w:tcW w:w="2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4"/>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175,014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156,289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211,503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(5,914)</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578,555</w:t>
            </w:r>
          </w:p>
        </w:tc>
      </w:tr>
      <w:tr>
        <w:trPr>
          <w:trHeight w:val="23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(1,650)</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(3,276)</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(926)</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w:t>
            </w:r>
          </w:p>
        </w:tc>
      </w:tr>
      <w:tr>
        <w:trPr>
          <w:trHeight w:val="210"/>
        </w:trPr>
        <w:tc>
          <w:tcPr>
            <w:tcW w:w="204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Earnings from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147,575</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82,627</w:t>
            </w: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139,753</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13,916</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28,912</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412,783</w:t>
            </w:r>
          </w:p>
        </w:tc>
      </w:tr>
      <w:tr>
        <w:trPr>
          <w:trHeight w:val="385"/>
        </w:trPr>
        <w:tc>
          <w:tcPr>
            <w:tcW w:w="2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8"/>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318"/>
        </w:trPr>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2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4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24"/>
                <w:szCs w:val="24"/>
                <w:color w:val="auto"/>
              </w:rPr>
            </w:pPr>
          </w:p>
        </w:tc>
        <w:tc>
          <w:tcPr>
            <w:tcW w:w="8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2,430,277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1,424,546</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1,650,017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185,841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5,694,031</w:t>
            </w:r>
          </w:p>
        </w:tc>
      </w:tr>
      <w:tr>
        <w:trPr>
          <w:trHeight w:val="22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2,107,528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1,091,452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1,246,346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127,446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(1,537)</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4,571,235</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322,749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333,094</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403,671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1,122,796</w:t>
            </w:r>
          </w:p>
        </w:tc>
      </w:tr>
      <w:tr>
        <w:trPr>
          <w:trHeight w:val="198"/>
        </w:trPr>
        <w:tc>
          <w:tcPr>
            <w:tcW w:w="2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4"/>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172,631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180,153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216,714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39,982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(14,445)</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595,035</w:t>
            </w:r>
          </w:p>
        </w:tc>
      </w:tr>
      <w:tr>
        <w:trPr>
          <w:trHeight w:val="23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(309)</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5,224</w:t>
            </w:r>
          </w:p>
        </w:tc>
      </w:tr>
      <w:tr>
        <w:trPr>
          <w:trHeight w:val="210"/>
        </w:trPr>
        <w:tc>
          <w:tcPr>
            <w:tcW w:w="204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Earnings from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147,143</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153,025</w:t>
            </w: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185,767</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16,961</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19,641</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522,537</w:t>
            </w: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components of our operating results, for the periods indicated, as a percentage of net sales by segment.</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1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gridSpan w:val="7"/>
          </w:tcPr>
          <w:p>
            <w:pPr>
              <w:ind w:left="900"/>
              <w:spacing w:after="0"/>
              <w:rPr>
                <w:sz w:val="20"/>
                <w:szCs w:val="20"/>
                <w:color w:val="auto"/>
              </w:rPr>
            </w:pPr>
            <w:r>
              <w:rPr>
                <w:rFonts w:ascii="Times New Roman" w:cs="Times New Roman" w:eastAsia="Times New Roman" w:hAnsi="Times New Roman"/>
                <w:sz w:val="14"/>
                <w:szCs w:val="14"/>
                <w:b w:val="1"/>
                <w:bCs w:val="1"/>
                <w:color w:val="auto"/>
              </w:rPr>
              <w:t>Three Months Ended September 28, 2024</w:t>
            </w: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r>
      <w:tr>
        <w:trPr>
          <w:trHeight w:val="318"/>
        </w:trPr>
        <w:tc>
          <w:tcPr>
            <w:tcW w:w="2160" w:type="dxa"/>
            <w:vAlign w:val="bottom"/>
          </w:tcPr>
          <w:p>
            <w:pPr>
              <w:spacing w:after="0"/>
              <w:rPr>
                <w:sz w:val="24"/>
                <w:szCs w:val="24"/>
                <w:color w:val="auto"/>
              </w:rPr>
            </w:pPr>
          </w:p>
        </w:tc>
        <w:tc>
          <w:tcPr>
            <w:tcW w:w="112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12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2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12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23"/>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80" w:type="dxa"/>
            <w:vAlign w:val="bottom"/>
          </w:tcPr>
          <w:p>
            <w:pPr>
              <w:spacing w:after="0"/>
              <w:rPr>
                <w:sz w:val="19"/>
                <w:szCs w:val="19"/>
                <w:color w:val="auto"/>
              </w:rPr>
            </w:pP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80" w:type="dxa"/>
            <w:vAlign w:val="bottom"/>
            <w:tcBorders>
              <w:top w:val="single" w:sz="8" w:color="CCEEFF"/>
            </w:tcBorders>
            <w:shd w:val="clear" w:color="auto" w:fill="CCEEFF"/>
          </w:tcPr>
          <w:p>
            <w:pPr>
              <w:spacing w:after="0"/>
              <w:rPr>
                <w:sz w:val="18"/>
                <w:szCs w:val="18"/>
                <w:color w:val="auto"/>
              </w:rPr>
            </w:pPr>
          </w:p>
        </w:tc>
      </w:tr>
      <w:tr>
        <w:trPr>
          <w:trHeight w:val="198"/>
        </w:trPr>
        <w:tc>
          <w:tcPr>
            <w:tcW w:w="21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tcPr>
          <w:p>
            <w:pPr>
              <w:spacing w:after="0"/>
              <w:rPr>
                <w:sz w:val="20"/>
                <w:szCs w:val="20"/>
                <w:color w:val="auto"/>
              </w:rPr>
            </w:pPr>
          </w:p>
        </w:tc>
      </w:tr>
      <w:tr>
        <w:trPr>
          <w:trHeight w:val="23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(0.5)</w:t>
            </w:r>
          </w:p>
        </w:tc>
        <w:tc>
          <w:tcPr>
            <w:tcW w:w="1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r>
      <w:tr>
        <w:trPr>
          <w:trHeight w:val="210"/>
        </w:trPr>
        <w:tc>
          <w:tcPr>
            <w:tcW w:w="216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Earnings from operations</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w:t>
            </w:r>
          </w:p>
        </w:tc>
        <w:tc>
          <w:tcPr>
            <w:tcW w:w="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w:t>
            </w:r>
          </w:p>
        </w:tc>
        <w:tc>
          <w:tcPr>
            <w:tcW w:w="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w:t>
            </w:r>
          </w:p>
        </w:tc>
        <w:tc>
          <w:tcPr>
            <w:tcW w:w="20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w:t>
            </w:r>
          </w:p>
        </w:tc>
        <w:tc>
          <w:tcPr>
            <w:tcW w:w="20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w:t>
            </w:r>
          </w:p>
        </w:tc>
        <w:tc>
          <w:tcPr>
            <w:tcW w:w="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r>
      <w:tr>
        <w:trPr>
          <w:trHeight w:val="220"/>
        </w:trPr>
        <w:tc>
          <w:tcPr>
            <w:tcW w:w="5540" w:type="dxa"/>
            <w:vAlign w:val="bottom"/>
            <w:gridSpan w:val="7"/>
          </w:tcPr>
          <w:p>
            <w:pPr>
              <w:ind w:left="20"/>
              <w:spacing w:after="0"/>
              <w:rPr>
                <w:sz w:val="20"/>
                <w:szCs w:val="20"/>
                <w:color w:val="auto"/>
              </w:rPr>
            </w:pPr>
            <w:r>
              <w:rPr>
                <w:rFonts w:ascii="Times New Roman" w:cs="Times New Roman" w:eastAsia="Times New Roman" w:hAnsi="Times New Roman"/>
                <w:sz w:val="14"/>
                <w:szCs w:val="14"/>
                <w:color w:val="auto"/>
              </w:rPr>
              <w:t>Note: Actual percentages are calculated and may not sum to total due to rounding.</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68"/>
        </w:trPr>
        <w:tc>
          <w:tcPr>
            <w:tcW w:w="21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7"/>
          </w:tcPr>
          <w:p>
            <w:pPr>
              <w:ind w:left="9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318"/>
        </w:trPr>
        <w:tc>
          <w:tcPr>
            <w:tcW w:w="2160" w:type="dxa"/>
            <w:vAlign w:val="bottom"/>
          </w:tcPr>
          <w:p>
            <w:pPr>
              <w:spacing w:after="0"/>
              <w:rPr>
                <w:sz w:val="24"/>
                <w:szCs w:val="24"/>
                <w:color w:val="auto"/>
              </w:rPr>
            </w:pPr>
          </w:p>
        </w:tc>
        <w:tc>
          <w:tcPr>
            <w:tcW w:w="112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12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2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12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23"/>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80" w:type="dxa"/>
            <w:vAlign w:val="bottom"/>
          </w:tcPr>
          <w:p>
            <w:pPr>
              <w:spacing w:after="0"/>
              <w:rPr>
                <w:sz w:val="19"/>
                <w:szCs w:val="19"/>
                <w:color w:val="auto"/>
              </w:rPr>
            </w:pP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80" w:type="dxa"/>
            <w:vAlign w:val="bottom"/>
            <w:tcBorders>
              <w:top w:val="single" w:sz="8" w:color="CCEEFF"/>
            </w:tcBorders>
            <w:shd w:val="clear" w:color="auto" w:fill="CCEEFF"/>
          </w:tcPr>
          <w:p>
            <w:pPr>
              <w:spacing w:after="0"/>
              <w:rPr>
                <w:sz w:val="18"/>
                <w:szCs w:val="18"/>
                <w:color w:val="auto"/>
              </w:rPr>
            </w:pPr>
          </w:p>
        </w:tc>
      </w:tr>
      <w:tr>
        <w:trPr>
          <w:trHeight w:val="198"/>
        </w:trPr>
        <w:tc>
          <w:tcPr>
            <w:tcW w:w="21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tcPr>
          <w:p>
            <w:pPr>
              <w:spacing w:after="0"/>
              <w:rPr>
                <w:sz w:val="20"/>
                <w:szCs w:val="20"/>
                <w:color w:val="auto"/>
              </w:rPr>
            </w:pPr>
          </w:p>
        </w:tc>
      </w:tr>
      <w:tr>
        <w:trPr>
          <w:trHeight w:val="23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20"/>
                <w:szCs w:val="20"/>
                <w:color w:val="auto"/>
              </w:rPr>
            </w:pPr>
          </w:p>
        </w:tc>
      </w:tr>
      <w:tr>
        <w:trPr>
          <w:trHeight w:val="210"/>
        </w:trPr>
        <w:tc>
          <w:tcPr>
            <w:tcW w:w="216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Earnings from operations</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w:t>
            </w:r>
          </w:p>
        </w:tc>
        <w:tc>
          <w:tcPr>
            <w:tcW w:w="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w:t>
            </w:r>
          </w:p>
        </w:tc>
        <w:tc>
          <w:tcPr>
            <w:tcW w:w="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11.9</w:t>
            </w:r>
          </w:p>
        </w:tc>
        <w:tc>
          <w:tcPr>
            <w:tcW w:w="20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w:t>
            </w:r>
          </w:p>
        </w:tc>
        <w:tc>
          <w:tcPr>
            <w:tcW w:w="20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w:t>
            </w:r>
          </w:p>
        </w:tc>
        <w:tc>
          <w:tcPr>
            <w:tcW w:w="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r>
    </w:tbl>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Actual percentages are calculated and may not sum to total due to rounding.</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90"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1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gridSpan w:val="7"/>
          </w:tcPr>
          <w:p>
            <w:pPr>
              <w:ind w:left="940"/>
              <w:spacing w:after="0"/>
              <w:rPr>
                <w:sz w:val="20"/>
                <w:szCs w:val="20"/>
                <w:color w:val="auto"/>
              </w:rPr>
            </w:pPr>
            <w:r>
              <w:rPr>
                <w:rFonts w:ascii="Times New Roman" w:cs="Times New Roman" w:eastAsia="Times New Roman" w:hAnsi="Times New Roman"/>
                <w:sz w:val="14"/>
                <w:szCs w:val="14"/>
                <w:b w:val="1"/>
                <w:bCs w:val="1"/>
                <w:color w:val="auto"/>
              </w:rPr>
              <w:t>Nine Months Ended September 28, 2024</w:t>
            </w: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r>
      <w:tr>
        <w:trPr>
          <w:trHeight w:val="318"/>
        </w:trPr>
        <w:tc>
          <w:tcPr>
            <w:tcW w:w="2160" w:type="dxa"/>
            <w:vAlign w:val="bottom"/>
          </w:tcPr>
          <w:p>
            <w:pPr>
              <w:spacing w:after="0"/>
              <w:rPr>
                <w:sz w:val="24"/>
                <w:szCs w:val="24"/>
                <w:color w:val="auto"/>
              </w:rPr>
            </w:pPr>
          </w:p>
        </w:tc>
        <w:tc>
          <w:tcPr>
            <w:tcW w:w="112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2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12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23"/>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80" w:type="dxa"/>
            <w:vAlign w:val="bottom"/>
          </w:tcPr>
          <w:p>
            <w:pPr>
              <w:spacing w:after="0"/>
              <w:rPr>
                <w:sz w:val="19"/>
                <w:szCs w:val="19"/>
                <w:color w:val="auto"/>
              </w:rPr>
            </w:pP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80" w:type="dxa"/>
            <w:vAlign w:val="bottom"/>
            <w:tcBorders>
              <w:top w:val="single" w:sz="8" w:color="CCEEFF"/>
            </w:tcBorders>
            <w:shd w:val="clear" w:color="auto" w:fill="CCEEFF"/>
          </w:tcPr>
          <w:p>
            <w:pPr>
              <w:spacing w:after="0"/>
              <w:rPr>
                <w:sz w:val="18"/>
                <w:szCs w:val="18"/>
                <w:color w:val="auto"/>
              </w:rPr>
            </w:pPr>
          </w:p>
        </w:tc>
      </w:tr>
      <w:tr>
        <w:trPr>
          <w:trHeight w:val="198"/>
        </w:trPr>
        <w:tc>
          <w:tcPr>
            <w:tcW w:w="21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tcPr>
          <w:p>
            <w:pPr>
              <w:spacing w:after="0"/>
              <w:rPr>
                <w:sz w:val="20"/>
                <w:szCs w:val="20"/>
                <w:color w:val="auto"/>
              </w:rPr>
            </w:pPr>
          </w:p>
        </w:tc>
      </w:tr>
      <w:tr>
        <w:trPr>
          <w:trHeight w:val="23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r>
      <w:tr>
        <w:trPr>
          <w:trHeight w:val="210"/>
        </w:trPr>
        <w:tc>
          <w:tcPr>
            <w:tcW w:w="216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Earnings from operations</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w:t>
            </w:r>
          </w:p>
        </w:tc>
        <w:tc>
          <w:tcPr>
            <w:tcW w:w="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w:t>
            </w:r>
          </w:p>
        </w:tc>
        <w:tc>
          <w:tcPr>
            <w:tcW w:w="1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w:t>
            </w:r>
          </w:p>
        </w:tc>
        <w:tc>
          <w:tcPr>
            <w:tcW w:w="20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w:t>
            </w:r>
          </w:p>
        </w:tc>
        <w:tc>
          <w:tcPr>
            <w:tcW w:w="20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8.0</w:t>
            </w:r>
          </w:p>
        </w:tc>
        <w:tc>
          <w:tcPr>
            <w:tcW w:w="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r>
    </w:tbl>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Actual percentages are calculated and may not sum to total due to rounding.</w:t>
      </w:r>
    </w:p>
    <w:p>
      <w:pPr>
        <w:spacing w:after="0" w:line="296"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1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gridSpan w:val="7"/>
          </w:tcPr>
          <w:p>
            <w:pPr>
              <w:ind w:left="9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r>
      <w:tr>
        <w:trPr>
          <w:trHeight w:val="318"/>
        </w:trPr>
        <w:tc>
          <w:tcPr>
            <w:tcW w:w="2160" w:type="dxa"/>
            <w:vAlign w:val="bottom"/>
          </w:tcPr>
          <w:p>
            <w:pPr>
              <w:spacing w:after="0"/>
              <w:rPr>
                <w:sz w:val="24"/>
                <w:szCs w:val="24"/>
                <w:color w:val="auto"/>
              </w:rPr>
            </w:pPr>
          </w:p>
        </w:tc>
        <w:tc>
          <w:tcPr>
            <w:tcW w:w="112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2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12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23"/>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80" w:type="dxa"/>
            <w:vAlign w:val="bottom"/>
          </w:tcPr>
          <w:p>
            <w:pPr>
              <w:spacing w:after="0"/>
              <w:rPr>
                <w:sz w:val="19"/>
                <w:szCs w:val="19"/>
                <w:color w:val="auto"/>
              </w:rPr>
            </w:pP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80" w:type="dxa"/>
            <w:vAlign w:val="bottom"/>
            <w:tcBorders>
              <w:top w:val="single" w:sz="8" w:color="CCEEFF"/>
            </w:tcBorders>
            <w:shd w:val="clear" w:color="auto" w:fill="CCEEFF"/>
          </w:tcPr>
          <w:p>
            <w:pPr>
              <w:spacing w:after="0"/>
              <w:rPr>
                <w:sz w:val="18"/>
                <w:szCs w:val="18"/>
                <w:color w:val="auto"/>
              </w:rPr>
            </w:pPr>
          </w:p>
        </w:tc>
      </w:tr>
      <w:tr>
        <w:trPr>
          <w:trHeight w:val="198"/>
        </w:trPr>
        <w:tc>
          <w:tcPr>
            <w:tcW w:w="21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Pr>
          <w:p>
            <w:pPr>
              <w:spacing w:after="0"/>
              <w:rPr>
                <w:sz w:val="20"/>
                <w:szCs w:val="20"/>
                <w:color w:val="auto"/>
              </w:rPr>
            </w:pPr>
          </w:p>
        </w:tc>
      </w:tr>
      <w:tr>
        <w:trPr>
          <w:trHeight w:val="23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20"/>
                <w:szCs w:val="20"/>
                <w:color w:val="auto"/>
              </w:rPr>
            </w:pPr>
          </w:p>
        </w:tc>
      </w:tr>
      <w:tr>
        <w:trPr>
          <w:trHeight w:val="210"/>
        </w:trPr>
        <w:tc>
          <w:tcPr>
            <w:tcW w:w="216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Earnings from operations</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w:t>
            </w:r>
          </w:p>
        </w:tc>
        <w:tc>
          <w:tcPr>
            <w:tcW w:w="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10.7</w:t>
            </w:r>
          </w:p>
        </w:tc>
        <w:tc>
          <w:tcPr>
            <w:tcW w:w="1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11.3</w:t>
            </w:r>
          </w:p>
        </w:tc>
        <w:tc>
          <w:tcPr>
            <w:tcW w:w="20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9.1</w:t>
            </w:r>
          </w:p>
        </w:tc>
        <w:tc>
          <w:tcPr>
            <w:tcW w:w="20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w:t>
            </w:r>
          </w:p>
        </w:tc>
        <w:tc>
          <w:tcPr>
            <w:tcW w:w="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r>
    </w:tbl>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Actual percentages are calculated and may not sum to total due to rounding.</w:t>
      </w:r>
    </w:p>
    <w:p>
      <w:pPr>
        <w:spacing w:after="0" w:line="2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229"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We design, manufacture and market wood and wood-alternative products, primarily used to enhance outdoor living environments; for national home centers and other retailers; for engineered wood components, structural lumber, and other products for factory-built and site-built residential and commercial construction; customized interior fixtures used in a variety of retail stores, commercial, and other structures; and structural wood packaging, components and packing materials for various industries. Our strategic long-term sales objectives include:</w:t>
      </w:r>
    </w:p>
    <w:p>
      <w:pPr>
        <w:spacing w:after="0" w:line="183" w:lineRule="exact"/>
        <w:rPr>
          <w:sz w:val="20"/>
          <w:szCs w:val="20"/>
          <w:color w:val="auto"/>
        </w:rPr>
      </w:pPr>
    </w:p>
    <w:p>
      <w:pPr>
        <w:jc w:val="both"/>
        <w:ind w:left="380" w:right="79" w:hanging="330"/>
        <w:spacing w:after="0" w:line="266"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Maximizing unit sales growth while achieving return on investment goals.</w:t>
      </w:r>
      <w:r>
        <w:rPr>
          <w:rFonts w:ascii="Times New Roman" w:cs="Times New Roman" w:eastAsia="Times New Roman" w:hAnsi="Times New Roman"/>
          <w:sz w:val="18"/>
          <w:szCs w:val="18"/>
          <w:color w:val="auto"/>
        </w:rPr>
        <w:t xml:space="preserve"> The following table presents estimates, for the periods indicated, of our percentage change in net sales attributable to changes in overall selling prices versus changes in units shipped by segment.</w:t>
      </w:r>
    </w:p>
    <w:p>
      <w:pPr>
        <w:spacing w:after="0" w:line="182" w:lineRule="exact"/>
        <w:rPr>
          <w:rFonts w:ascii="Times New Roman" w:cs="Times New Roman" w:eastAsia="Times New Roman" w:hAnsi="Times New Roman"/>
          <w:sz w:val="18"/>
          <w:szCs w:val="18"/>
          <w:color w:val="auto"/>
        </w:rPr>
      </w:pPr>
    </w:p>
    <w:p>
      <w:pPr>
        <w:ind w:left="6780" w:hanging="184"/>
        <w:spacing w:after="0"/>
        <w:tabs>
          <w:tab w:leader="none" w:pos="6780" w:val="left"/>
        </w:tabs>
        <w:numPr>
          <w:ilvl w:val="1"/>
          <w:numId w:val="1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Change</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163"/>
        </w:trPr>
        <w:tc>
          <w:tcPr>
            <w:tcW w:w="26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3560" w:type="dxa"/>
            <w:vAlign w:val="bottom"/>
            <w:tcBorders>
              <w:top w:val="single" w:sz="8" w:color="auto"/>
              <w:bottom w:val="single" w:sz="8" w:color="auto"/>
            </w:tcBorders>
            <w:gridSpan w:val="9"/>
          </w:tcPr>
          <w:p>
            <w:pPr>
              <w:jc w:val="right"/>
              <w:ind w:right="600"/>
              <w:spacing w:after="0" w:line="155" w:lineRule="exact"/>
              <w:rPr>
                <w:sz w:val="20"/>
                <w:szCs w:val="20"/>
                <w:color w:val="auto"/>
              </w:rPr>
            </w:pPr>
            <w:r>
              <w:rPr>
                <w:rFonts w:ascii="Times New Roman" w:cs="Times New Roman" w:eastAsia="Times New Roman" w:hAnsi="Times New Roman"/>
                <w:sz w:val="14"/>
                <w:szCs w:val="14"/>
                <w:b w:val="1"/>
                <w:bCs w:val="1"/>
                <w:color w:val="auto"/>
              </w:rPr>
              <w:t>Third quarter 2024 versus Third quarter 2023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6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Selling</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gridSpan w:val="2"/>
          </w:tcPr>
          <w:p>
            <w:pPr>
              <w:jc w:val="center"/>
              <w:ind w:right="170"/>
              <w:spacing w:after="0" w:line="124"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760" w:type="dxa"/>
            <w:vAlign w:val="bottom"/>
            <w:gridSpan w:val="2"/>
          </w:tcPr>
          <w:p>
            <w:pPr>
              <w:jc w:val="center"/>
              <w:ind w:right="260"/>
              <w:spacing w:after="0" w:line="124" w:lineRule="exact"/>
              <w:rPr>
                <w:sz w:val="20"/>
                <w:szCs w:val="20"/>
                <w:color w:val="auto"/>
              </w:rPr>
            </w:pPr>
            <w:r>
              <w:rPr>
                <w:rFonts w:ascii="Times New Roman" w:cs="Times New Roman" w:eastAsia="Times New Roman" w:hAnsi="Times New Roman"/>
                <w:sz w:val="14"/>
                <w:szCs w:val="14"/>
                <w:b w:val="1"/>
                <w:bCs w:val="1"/>
                <w:color w:val="auto"/>
              </w:rPr>
              <w:t>Organic</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Sales</w:t>
            </w:r>
          </w:p>
        </w:tc>
        <w:tc>
          <w:tcPr>
            <w:tcW w:w="240" w:type="dxa"/>
            <w:vAlign w:val="bottom"/>
            <w:vMerge w:val="restart"/>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in Units</w:t>
            </w:r>
          </w:p>
        </w:tc>
        <w:tc>
          <w:tcPr>
            <w:tcW w:w="240" w:type="dxa"/>
            <w:vAlign w:val="bottom"/>
            <w:vMerge w:val="restart"/>
          </w:tcPr>
          <w:p>
            <w:pPr>
              <w:spacing w:after="0"/>
              <w:rPr>
                <w:sz w:val="12"/>
                <w:szCs w:val="12"/>
                <w:color w:val="auto"/>
              </w:rPr>
            </w:pPr>
          </w:p>
        </w:tc>
        <w:tc>
          <w:tcPr>
            <w:tcW w:w="960" w:type="dxa"/>
            <w:vAlign w:val="bottom"/>
            <w:gridSpan w:val="2"/>
          </w:tcPr>
          <w:p>
            <w:pPr>
              <w:jc w:val="center"/>
              <w:ind w:right="150"/>
              <w:spacing w:after="0" w:line="149" w:lineRule="exact"/>
              <w:rPr>
                <w:sz w:val="20"/>
                <w:szCs w:val="20"/>
                <w:color w:val="auto"/>
              </w:rPr>
            </w:pPr>
            <w:r>
              <w:rPr>
                <w:rFonts w:ascii="Times New Roman" w:cs="Times New Roman" w:eastAsia="Times New Roman" w:hAnsi="Times New Roman"/>
                <w:sz w:val="14"/>
                <w:szCs w:val="14"/>
                <w:b w:val="1"/>
                <w:bCs w:val="1"/>
                <w:color w:val="auto"/>
              </w:rPr>
              <w:t>Unit</w:t>
            </w:r>
          </w:p>
        </w:tc>
        <w:tc>
          <w:tcPr>
            <w:tcW w:w="78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Unit</w:t>
            </w:r>
          </w:p>
        </w:tc>
        <w:tc>
          <w:tcPr>
            <w:tcW w:w="0" w:type="dxa"/>
            <w:vAlign w:val="bottom"/>
          </w:tcPr>
          <w:p>
            <w:pPr>
              <w:spacing w:after="0"/>
              <w:rPr>
                <w:sz w:val="1"/>
                <w:szCs w:val="1"/>
                <w:color w:val="auto"/>
              </w:rPr>
            </w:pPr>
          </w:p>
        </w:tc>
      </w:tr>
      <w:tr>
        <w:trPr>
          <w:trHeight w:val="180"/>
        </w:trPr>
        <w:tc>
          <w:tcPr>
            <w:tcW w:w="2660" w:type="dxa"/>
            <w:vAlign w:val="bottom"/>
            <w:tcBorders>
              <w:bottom w:val="single" w:sz="8" w:color="CCEEFF"/>
            </w:tcBorders>
          </w:tcPr>
          <w:p>
            <w:pPr>
              <w:spacing w:after="0"/>
              <w:rPr>
                <w:sz w:val="15"/>
                <w:szCs w:val="15"/>
                <w:color w:val="auto"/>
              </w:rPr>
            </w:pPr>
          </w:p>
        </w:tc>
        <w:tc>
          <w:tcPr>
            <w:tcW w:w="22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vMerge w:val="continue"/>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Prices</w:t>
            </w:r>
          </w:p>
        </w:tc>
        <w:tc>
          <w:tcPr>
            <w:tcW w:w="24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vMerge w:val="continue"/>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Borders>
              <w:bottom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2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(13.0)%</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292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(10.7)%</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292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(8.4)%</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9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292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21.4 %</w:t>
            </w:r>
          </w:p>
        </w:tc>
        <w:tc>
          <w:tcPr>
            <w:tcW w:w="16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1.4 %   20.0 %</w:t>
            </w: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7.0 %</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92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78.6 %</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78.6 %</w:t>
            </w:r>
          </w:p>
        </w:tc>
        <w:tc>
          <w:tcPr>
            <w:tcW w:w="9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78.6 %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292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(9.8)%</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2660" w:type="dxa"/>
            <w:vAlign w:val="bottom"/>
          </w:tcPr>
          <w:p>
            <w:pPr>
              <w:spacing w:after="0"/>
              <w:rPr>
                <w:sz w:val="24"/>
                <w:szCs w:val="24"/>
                <w:color w:val="auto"/>
              </w:rPr>
            </w:pPr>
          </w:p>
        </w:tc>
        <w:tc>
          <w:tcPr>
            <w:tcW w:w="22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24</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6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40"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331"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48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5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9"/>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Year-to-date 2024 versus Year-to-date 2023</w:t>
            </w:r>
          </w:p>
        </w:tc>
        <w:tc>
          <w:tcPr>
            <w:tcW w:w="0" w:type="dxa"/>
            <w:vAlign w:val="bottom"/>
          </w:tcPr>
          <w:p>
            <w:pPr>
              <w:spacing w:after="0"/>
              <w:rPr>
                <w:sz w:val="1"/>
                <w:szCs w:val="1"/>
                <w:color w:val="auto"/>
              </w:rPr>
            </w:pPr>
          </w:p>
        </w:tc>
      </w:tr>
      <w:tr>
        <w:trPr>
          <w:trHeight w:val="124"/>
        </w:trPr>
        <w:tc>
          <w:tcPr>
            <w:tcW w:w="4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Selling</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gridSpan w:val="2"/>
          </w:tcPr>
          <w:p>
            <w:pPr>
              <w:jc w:val="center"/>
              <w:ind w:right="170"/>
              <w:spacing w:after="0" w:line="124"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760" w:type="dxa"/>
            <w:vAlign w:val="bottom"/>
            <w:gridSpan w:val="2"/>
          </w:tcPr>
          <w:p>
            <w:pPr>
              <w:jc w:val="center"/>
              <w:ind w:right="260"/>
              <w:spacing w:after="0" w:line="124" w:lineRule="exact"/>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Sales</w:t>
            </w:r>
          </w:p>
        </w:tc>
        <w:tc>
          <w:tcPr>
            <w:tcW w:w="18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in Units</w:t>
            </w:r>
          </w:p>
        </w:tc>
        <w:tc>
          <w:tcPr>
            <w:tcW w:w="240" w:type="dxa"/>
            <w:vAlign w:val="bottom"/>
            <w:vMerge w:val="restart"/>
          </w:tcPr>
          <w:p>
            <w:pPr>
              <w:spacing w:after="0"/>
              <w:rPr>
                <w:sz w:val="12"/>
                <w:szCs w:val="12"/>
                <w:color w:val="auto"/>
              </w:rPr>
            </w:pPr>
          </w:p>
        </w:tc>
        <w:tc>
          <w:tcPr>
            <w:tcW w:w="960" w:type="dxa"/>
            <w:vAlign w:val="bottom"/>
            <w:gridSpan w:val="2"/>
          </w:tcPr>
          <w:p>
            <w:pPr>
              <w:jc w:val="center"/>
              <w:ind w:right="150"/>
              <w:spacing w:after="0" w:line="149" w:lineRule="exact"/>
              <w:rPr>
                <w:sz w:val="20"/>
                <w:szCs w:val="20"/>
                <w:color w:val="auto"/>
              </w:rPr>
            </w:pPr>
            <w:r>
              <w:rPr>
                <w:rFonts w:ascii="Times New Roman" w:cs="Times New Roman" w:eastAsia="Times New Roman" w:hAnsi="Times New Roman"/>
                <w:sz w:val="14"/>
                <w:szCs w:val="14"/>
                <w:b w:val="1"/>
                <w:bCs w:val="1"/>
                <w:color w:val="auto"/>
              </w:rPr>
              <w:t>Unit</w:t>
            </w:r>
          </w:p>
        </w:tc>
        <w:tc>
          <w:tcPr>
            <w:tcW w:w="7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Unit</w:t>
            </w:r>
          </w:p>
        </w:tc>
        <w:tc>
          <w:tcPr>
            <w:tcW w:w="0" w:type="dxa"/>
            <w:vAlign w:val="bottom"/>
          </w:tcPr>
          <w:p>
            <w:pPr>
              <w:spacing w:after="0"/>
              <w:rPr>
                <w:sz w:val="1"/>
                <w:szCs w:val="1"/>
                <w:color w:val="auto"/>
              </w:rPr>
            </w:pPr>
          </w:p>
        </w:tc>
      </w:tr>
      <w:tr>
        <w:trPr>
          <w:trHeight w:val="180"/>
        </w:trPr>
        <w:tc>
          <w:tcPr>
            <w:tcW w:w="486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Prices</w:t>
            </w:r>
          </w:p>
        </w:tc>
        <w:tc>
          <w:tcPr>
            <w:tcW w:w="24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vMerge w:val="continue"/>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(14.7)%</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w:t>
            </w: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(8.5)%</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6.0 %</w:t>
            </w:r>
          </w:p>
        </w:tc>
        <w:tc>
          <w:tcPr>
            <w:tcW w:w="9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20.7 %</w:t>
            </w: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(6.3)%</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27.0 %</w:t>
            </w: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8.0 %</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19.0 %</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30.4 %</w:t>
            </w: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0.0 %</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30.4 %</w:t>
            </w:r>
          </w:p>
        </w:tc>
        <w:tc>
          <w:tcPr>
            <w:tcW w:w="9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30.4 %</w:t>
            </w:r>
          </w:p>
        </w:tc>
        <w:tc>
          <w:tcPr>
            <w:tcW w:w="0" w:type="dxa"/>
            <w:vAlign w:val="bottom"/>
          </w:tcPr>
          <w:p>
            <w:pPr>
              <w:spacing w:after="0"/>
              <w:rPr>
                <w:sz w:val="1"/>
                <w:szCs w:val="1"/>
                <w:color w:val="auto"/>
              </w:rPr>
            </w:pPr>
          </w:p>
        </w:tc>
      </w:tr>
      <w:tr>
        <w:trPr>
          <w:trHeight w:val="23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(6.8)%</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80" w:hanging="330"/>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Expanding geographically in our core businesses</w:t>
      </w:r>
      <w:r>
        <w:rPr>
          <w:rFonts w:ascii="Times New Roman" w:cs="Times New Roman" w:eastAsia="Times New Roman" w:hAnsi="Times New Roman"/>
          <w:sz w:val="18"/>
          <w:szCs w:val="18"/>
          <w:color w:val="auto"/>
        </w:rPr>
        <w:t>, domestically and internationally.</w:t>
      </w:r>
    </w:p>
    <w:p>
      <w:pPr>
        <w:spacing w:after="0" w:line="225" w:lineRule="exact"/>
        <w:rPr>
          <w:rFonts w:ascii="Times New Roman" w:cs="Times New Roman" w:eastAsia="Times New Roman" w:hAnsi="Times New Roman"/>
          <w:sz w:val="18"/>
          <w:szCs w:val="18"/>
          <w:color w:val="auto"/>
        </w:rPr>
      </w:pPr>
    </w:p>
    <w:p>
      <w:pPr>
        <w:jc w:val="both"/>
        <w:ind w:left="380" w:right="79" w:hanging="330"/>
        <w:spacing w:after="0" w:line="253"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Increasing our sales of “value-added” products and enhancing our product offering with new or improved products. </w:t>
      </w:r>
      <w:r>
        <w:rPr>
          <w:rFonts w:ascii="Times New Roman" w:cs="Times New Roman" w:eastAsia="Times New Roman" w:hAnsi="Times New Roman"/>
          <w:sz w:val="18"/>
          <w:szCs w:val="18"/>
          <w:color w:val="auto"/>
        </w:rPr>
        <w:t>Value-added products generally consist of fencing, decking, lattice, and other specialty products sold in the Retail segment; structural and protective packaging and machine-built pallets sold in the Packaging segment; engineered wood components, customized interior fixtures, manufactured and assembled concrete forms sold in the Construction segment; and “wood alternative” products. Engineered wood components include roof trusses, wall panels, and floor systems. Wood alternative products consist of products manufactured with wood and non-wood composites, metals and plastics sold in each of our segments. Although we consider the treatment of dimensional lumber and panels with certain chemical preservatives a value-added process, treated lumber is not presently included in the value-added sales totals. Remanufactured lumber and panels that are components of finished goods are also generally categorized as “commodity-based” products. We estimate that approximately 81% of our sales consist of products we manufacture at our locations, while 19% of our sales consist of products manufactured by suppliers that we inventory and distribute to customers.</w:t>
      </w:r>
    </w:p>
    <w:p>
      <w:pPr>
        <w:spacing w:after="0" w:line="190" w:lineRule="exact"/>
        <w:rPr>
          <w:sz w:val="20"/>
          <w:szCs w:val="20"/>
          <w:color w:val="auto"/>
        </w:rPr>
      </w:pPr>
    </w:p>
    <w:p>
      <w:pPr>
        <w:jc w:val="both"/>
        <w:ind w:left="380" w:right="59"/>
        <w:spacing w:after="0" w:line="282" w:lineRule="auto"/>
        <w:rPr>
          <w:sz w:val="20"/>
          <w:szCs w:val="20"/>
          <w:color w:val="auto"/>
        </w:rPr>
      </w:pPr>
      <w:r>
        <w:rPr>
          <w:rFonts w:ascii="Times New Roman" w:cs="Times New Roman" w:eastAsia="Times New Roman" w:hAnsi="Times New Roman"/>
          <w:sz w:val="18"/>
          <w:szCs w:val="18"/>
          <w:color w:val="auto"/>
        </w:rPr>
        <w:t>The following table presents, for the periods indicated, our percentage of value-added and commodity-based sales to total sales by our segments: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460" w:type="dxa"/>
            <w:vAlign w:val="bottom"/>
          </w:tcPr>
          <w:p>
            <w:pPr>
              <w:spacing w:after="0"/>
              <w:rPr>
                <w:sz w:val="15"/>
                <w:szCs w:val="15"/>
                <w:color w:val="auto"/>
              </w:rPr>
            </w:pPr>
          </w:p>
        </w:tc>
        <w:tc>
          <w:tcPr>
            <w:tcW w:w="270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September 28, 2024</w:t>
            </w:r>
          </w:p>
        </w:tc>
        <w:tc>
          <w:tcPr>
            <w:tcW w:w="274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r>
      <w:tr>
        <w:trPr>
          <w:trHeight w:val="169"/>
        </w:trPr>
        <w:tc>
          <w:tcPr>
            <w:tcW w:w="3460" w:type="dxa"/>
            <w:vAlign w:val="bottom"/>
          </w:tcPr>
          <w:p>
            <w:pPr>
              <w:spacing w:after="0"/>
              <w:rPr>
                <w:sz w:val="14"/>
                <w:szCs w:val="14"/>
                <w:color w:val="auto"/>
              </w:rPr>
            </w:pPr>
          </w:p>
        </w:tc>
        <w:tc>
          <w:tcPr>
            <w:tcW w:w="136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Value-Added</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Commodity-Based</w:t>
            </w:r>
          </w:p>
        </w:tc>
        <w:tc>
          <w:tcPr>
            <w:tcW w:w="140" w:type="dxa"/>
            <w:vAlign w:val="bottom"/>
          </w:tcPr>
          <w:p>
            <w:pPr>
              <w:spacing w:after="0"/>
              <w:rPr>
                <w:sz w:val="14"/>
                <w:szCs w:val="14"/>
                <w:color w:val="auto"/>
              </w:rPr>
            </w:pPr>
          </w:p>
        </w:tc>
        <w:tc>
          <w:tcPr>
            <w:tcW w:w="138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Value-Added</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Commodity-Based</w:t>
            </w:r>
          </w:p>
        </w:tc>
        <w:tc>
          <w:tcPr>
            <w:tcW w:w="140" w:type="dxa"/>
            <w:vAlign w:val="bottom"/>
          </w:tcPr>
          <w:p>
            <w:pPr>
              <w:spacing w:after="0"/>
              <w:rPr>
                <w:sz w:val="14"/>
                <w:szCs w:val="14"/>
                <w:color w:val="auto"/>
              </w:rPr>
            </w:pPr>
          </w:p>
        </w:tc>
      </w:tr>
      <w:tr>
        <w:trPr>
          <w:trHeight w:val="216"/>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53.5 %</w:t>
            </w: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46.5 %</w:t>
            </w: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51.4 %</w:t>
            </w:r>
          </w:p>
        </w:tc>
        <w:tc>
          <w:tcPr>
            <w:tcW w:w="1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48.6 %</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76.1 %</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23.9 %</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76.4 %</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140" w:type="dxa"/>
            <w:vAlign w:val="bottom"/>
          </w:tcPr>
          <w:p>
            <w:pPr>
              <w:spacing w:after="0"/>
              <w:rPr>
                <w:sz w:val="18"/>
                <w:szCs w:val="18"/>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82.8 %</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82.8 %</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140" w:type="dxa"/>
            <w:vAlign w:val="bottom"/>
            <w:shd w:val="clear" w:color="auto" w:fill="CCEEFF"/>
          </w:tcPr>
          <w:p>
            <w:pPr>
              <w:spacing w:after="0"/>
              <w:rPr>
                <w:sz w:val="18"/>
                <w:szCs w:val="18"/>
                <w:color w:val="auto"/>
              </w:rPr>
            </w:pPr>
          </w:p>
        </w:tc>
      </w:tr>
      <w:tr>
        <w:trPr>
          <w:trHeight w:val="216"/>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73.6 %</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26.4 %</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81.6 %</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140" w:type="dxa"/>
            <w:vAlign w:val="bottom"/>
          </w:tcPr>
          <w:p>
            <w:pPr>
              <w:spacing w:after="0"/>
              <w:rPr>
                <w:sz w:val="18"/>
                <w:szCs w:val="18"/>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49.3 %</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50.7 %</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31.5 %</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68.5 %</w:t>
            </w:r>
          </w:p>
        </w:tc>
        <w:tc>
          <w:tcPr>
            <w:tcW w:w="140" w:type="dxa"/>
            <w:vAlign w:val="bottom"/>
            <w:shd w:val="clear" w:color="auto" w:fill="CCEEFF"/>
          </w:tcPr>
          <w:p>
            <w:pPr>
              <w:spacing w:after="0"/>
              <w:rPr>
                <w:sz w:val="18"/>
                <w:szCs w:val="18"/>
                <w:color w:val="auto"/>
              </w:rPr>
            </w:pPr>
          </w:p>
        </w:tc>
      </w:tr>
      <w:tr>
        <w:trPr>
          <w:trHeight w:val="234"/>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69.3 %</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30.7 %</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68.4 %</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31.6 %</w:t>
            </w:r>
          </w:p>
        </w:tc>
        <w:tc>
          <w:tcPr>
            <w:tcW w:w="140" w:type="dxa"/>
            <w:vAlign w:val="bottom"/>
          </w:tcPr>
          <w:p>
            <w:pPr>
              <w:spacing w:after="0"/>
              <w:rPr>
                <w:sz w:val="20"/>
                <w:szCs w:val="20"/>
                <w:color w:val="auto"/>
              </w:rPr>
            </w:pPr>
          </w:p>
        </w:tc>
      </w:tr>
      <w:tr>
        <w:trPr>
          <w:trHeight w:val="353"/>
        </w:trPr>
        <w:tc>
          <w:tcPr>
            <w:tcW w:w="3460" w:type="dxa"/>
            <w:vAlign w:val="bottom"/>
          </w:tcPr>
          <w:p>
            <w:pPr>
              <w:spacing w:after="0"/>
              <w:rPr>
                <w:sz w:val="24"/>
                <w:szCs w:val="24"/>
                <w:color w:val="auto"/>
              </w:rPr>
            </w:pPr>
          </w:p>
        </w:tc>
        <w:tc>
          <w:tcPr>
            <w:tcW w:w="27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28, 2024</w:t>
            </w:r>
          </w:p>
        </w:tc>
        <w:tc>
          <w:tcPr>
            <w:tcW w:w="274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r>
      <w:tr>
        <w:trPr>
          <w:trHeight w:val="169"/>
        </w:trPr>
        <w:tc>
          <w:tcPr>
            <w:tcW w:w="3460" w:type="dxa"/>
            <w:vAlign w:val="bottom"/>
          </w:tcPr>
          <w:p>
            <w:pPr>
              <w:spacing w:after="0"/>
              <w:rPr>
                <w:sz w:val="14"/>
                <w:szCs w:val="14"/>
                <w:color w:val="auto"/>
              </w:rPr>
            </w:pPr>
          </w:p>
        </w:tc>
        <w:tc>
          <w:tcPr>
            <w:tcW w:w="136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Value-Added</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Commodity-Based</w:t>
            </w:r>
          </w:p>
        </w:tc>
        <w:tc>
          <w:tcPr>
            <w:tcW w:w="140" w:type="dxa"/>
            <w:vAlign w:val="bottom"/>
          </w:tcPr>
          <w:p>
            <w:pPr>
              <w:spacing w:after="0"/>
              <w:rPr>
                <w:sz w:val="14"/>
                <w:szCs w:val="14"/>
                <w:color w:val="auto"/>
              </w:rPr>
            </w:pPr>
          </w:p>
        </w:tc>
        <w:tc>
          <w:tcPr>
            <w:tcW w:w="138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Value-Added</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Commodity-Based</w:t>
            </w:r>
          </w:p>
        </w:tc>
        <w:tc>
          <w:tcPr>
            <w:tcW w:w="140" w:type="dxa"/>
            <w:vAlign w:val="bottom"/>
          </w:tcPr>
          <w:p>
            <w:pPr>
              <w:spacing w:after="0"/>
              <w:rPr>
                <w:sz w:val="14"/>
                <w:szCs w:val="14"/>
                <w:color w:val="auto"/>
              </w:rPr>
            </w:pPr>
          </w:p>
        </w:tc>
      </w:tr>
      <w:tr>
        <w:trPr>
          <w:trHeight w:val="216"/>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53.2 %</w:t>
            </w: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46.8 %</w:t>
            </w: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51.3 %</w:t>
            </w:r>
          </w:p>
        </w:tc>
        <w:tc>
          <w:tcPr>
            <w:tcW w:w="1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48.7 %</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75.7 %</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77.0 %</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140" w:type="dxa"/>
            <w:vAlign w:val="bottom"/>
          </w:tcPr>
          <w:p>
            <w:pPr>
              <w:spacing w:after="0"/>
              <w:rPr>
                <w:sz w:val="18"/>
                <w:szCs w:val="18"/>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81.9 %</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83.3 %</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40" w:type="dxa"/>
            <w:vAlign w:val="bottom"/>
            <w:shd w:val="clear" w:color="auto" w:fill="CCEEFF"/>
          </w:tcPr>
          <w:p>
            <w:pPr>
              <w:spacing w:after="0"/>
              <w:rPr>
                <w:sz w:val="18"/>
                <w:szCs w:val="18"/>
                <w:color w:val="auto"/>
              </w:rPr>
            </w:pPr>
          </w:p>
        </w:tc>
      </w:tr>
      <w:tr>
        <w:trPr>
          <w:trHeight w:val="216"/>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75.9 %</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77.2 %</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140" w:type="dxa"/>
            <w:vAlign w:val="bottom"/>
          </w:tcPr>
          <w:p>
            <w:pPr>
              <w:spacing w:after="0"/>
              <w:rPr>
                <w:sz w:val="18"/>
                <w:szCs w:val="18"/>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55.9 %</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44.1 %</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26.6 %</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73.4 %</w:t>
            </w:r>
          </w:p>
        </w:tc>
        <w:tc>
          <w:tcPr>
            <w:tcW w:w="140" w:type="dxa"/>
            <w:vAlign w:val="bottom"/>
            <w:shd w:val="clear" w:color="auto" w:fill="CCEEFF"/>
          </w:tcPr>
          <w:p>
            <w:pPr>
              <w:spacing w:after="0"/>
              <w:rPr>
                <w:sz w:val="18"/>
                <w:szCs w:val="18"/>
                <w:color w:val="auto"/>
              </w:rPr>
            </w:pPr>
          </w:p>
        </w:tc>
      </w:tr>
      <w:tr>
        <w:trPr>
          <w:trHeight w:val="234"/>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68.5 %</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31.5 %</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67.6 %</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32.4 %</w:t>
            </w:r>
          </w:p>
        </w:tc>
        <w:tc>
          <w:tcPr>
            <w:tcW w:w="140" w:type="dxa"/>
            <w:vAlign w:val="bottom"/>
          </w:tcPr>
          <w:p>
            <w:pPr>
              <w:spacing w:after="0"/>
              <w:rPr>
                <w:sz w:val="20"/>
                <w:szCs w:val="20"/>
                <w:color w:val="auto"/>
              </w:rPr>
            </w:pPr>
          </w:p>
        </w:tc>
      </w:tr>
    </w:tbl>
    <w:p>
      <w:pPr>
        <w:spacing w:after="0" w:line="134" w:lineRule="exact"/>
        <w:rPr>
          <w:sz w:val="20"/>
          <w:szCs w:val="20"/>
          <w:color w:val="auto"/>
        </w:rPr>
      </w:pPr>
    </w:p>
    <w:p>
      <w:pPr>
        <w:jc w:val="both"/>
        <w:ind w:left="60" w:right="239"/>
        <w:spacing w:after="0" w:line="261" w:lineRule="auto"/>
        <w:rPr>
          <w:sz w:val="20"/>
          <w:szCs w:val="20"/>
          <w:color w:val="auto"/>
        </w:rPr>
      </w:pPr>
      <w:r>
        <w:rPr>
          <w:rFonts w:ascii="Times New Roman" w:cs="Times New Roman" w:eastAsia="Times New Roman" w:hAnsi="Times New Roman"/>
          <w:sz w:val="14"/>
          <w:szCs w:val="14"/>
          <w:color w:val="auto"/>
        </w:rPr>
        <w:t>Note: Certain prior year product reclassifications and the change in designation of certain products as "value-added" resulted in a change in prior year's sales.</w:t>
      </w:r>
    </w:p>
    <w:p>
      <w:pPr>
        <w:spacing w:after="0" w:line="167" w:lineRule="exact"/>
        <w:rPr>
          <w:sz w:val="20"/>
          <w:szCs w:val="20"/>
          <w:color w:val="auto"/>
        </w:rPr>
      </w:pPr>
    </w:p>
    <w:p>
      <w:pPr>
        <w:jc w:val="both"/>
        <w:ind w:left="380" w:right="59"/>
        <w:spacing w:after="0" w:line="266" w:lineRule="auto"/>
        <w:rPr>
          <w:sz w:val="20"/>
          <w:szCs w:val="20"/>
          <w:color w:val="auto"/>
        </w:rPr>
      </w:pPr>
      <w:r>
        <w:rPr>
          <w:rFonts w:ascii="Times New Roman" w:cs="Times New Roman" w:eastAsia="Times New Roman" w:hAnsi="Times New Roman"/>
          <w:sz w:val="18"/>
          <w:szCs w:val="18"/>
          <w:color w:val="auto"/>
        </w:rPr>
        <w:t>Our overall unit sales of value-added products were flat in the third quarter and up 1% in the first nine months of 2024 compared to the same periods last year. Our overall unit sales of commodity-based products decreased approximately 2% in the third quarter and approximately 4% in the first nine months of 2024 compared to the same periods last year.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00" w:lineRule="exact"/>
        <w:rPr>
          <w:sz w:val="20"/>
          <w:szCs w:val="20"/>
          <w:color w:val="auto"/>
        </w:rPr>
      </w:pPr>
    </w:p>
    <w:p>
      <w:pPr>
        <w:spacing w:after="0" w:line="299" w:lineRule="exact"/>
        <w:rPr>
          <w:sz w:val="20"/>
          <w:szCs w:val="20"/>
          <w:color w:val="auto"/>
        </w:rPr>
      </w:pPr>
    </w:p>
    <w:p>
      <w:pPr>
        <w:jc w:val="both"/>
        <w:ind w:left="380" w:right="100" w:hanging="330"/>
        <w:spacing w:after="0" w:line="254"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Developing new products.</w:t>
      </w:r>
      <w:r>
        <w:rPr>
          <w:rFonts w:ascii="Times New Roman" w:cs="Times New Roman" w:eastAsia="Times New Roman" w:hAnsi="Times New Roman"/>
          <w:sz w:val="18"/>
          <w:szCs w:val="18"/>
          <w:color w:val="auto"/>
        </w:rPr>
        <w:t xml:space="preserve"> We define new products as those that will generate sales of at least $1 million per year within 4 years of launch and are still growing and gaining market penetration and meet our internal definition of value-added products. New product sales in the third quarter and first nine months of 2024 decreased 15% and 11% respectively, primarily due to a decline in unit sales in our structural packaging business unit. Approximately $140.5 million of new product sales for the first nine months of 2023, while still sold, were sunset in 2024 and excluded from the table below because they no longer meet the definition above. Our short-term goal is to achieve annual new product sales of at least $510 million in 2024. For the first nine months of 2024, new product sales totaled $388 million. Our long-term goal is for new products to comprise at least 10% of our total net sales.</w:t>
      </w:r>
    </w:p>
    <w:p>
      <w:pPr>
        <w:spacing w:after="0" w:line="191"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below presents new product sales in thousands:</w:t>
      </w:r>
    </w:p>
    <w:p>
      <w:pPr>
        <w:spacing w:after="0" w:line="200" w:lineRule="exact"/>
        <w:rPr>
          <w:sz w:val="20"/>
          <w:szCs w:val="20"/>
          <w:color w:val="auto"/>
        </w:rPr>
      </w:pP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7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7"/>
          </w:tcPr>
          <w:p>
            <w:pPr>
              <w:jc w:val="center"/>
              <w:ind w:left="584"/>
              <w:spacing w:after="0"/>
              <w:rPr>
                <w:sz w:val="20"/>
                <w:szCs w:val="20"/>
                <w:color w:val="auto"/>
              </w:rPr>
            </w:pPr>
            <w:r>
              <w:rPr>
                <w:rFonts w:ascii="Times New Roman" w:cs="Times New Roman" w:eastAsia="Times New Roman" w:hAnsi="Times New Roman"/>
                <w:sz w:val="14"/>
                <w:szCs w:val="14"/>
                <w:b w:val="1"/>
                <w:bCs w:val="1"/>
                <w:color w:val="auto"/>
              </w:rPr>
              <w:t>New Product Sales by Segment</w:t>
            </w: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r>
      <w:tr>
        <w:trPr>
          <w:trHeight w:val="156"/>
        </w:trPr>
        <w:tc>
          <w:tcPr>
            <w:tcW w:w="27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5"/>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7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r>
      <w:tr>
        <w:trPr>
          <w:trHeight w:val="124"/>
        </w:trPr>
        <w:tc>
          <w:tcPr>
            <w:tcW w:w="2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right"/>
              <w:ind w:right="55"/>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20" w:type="dxa"/>
            <w:vAlign w:val="bottom"/>
          </w:tcPr>
          <w:p>
            <w:pPr>
              <w:spacing w:after="0"/>
              <w:rPr>
                <w:sz w:val="10"/>
                <w:szCs w:val="10"/>
                <w:color w:val="auto"/>
              </w:rPr>
            </w:pPr>
          </w:p>
        </w:tc>
        <w:tc>
          <w:tcPr>
            <w:tcW w:w="96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gridSpan w:val="3"/>
          </w:tcPr>
          <w:p>
            <w:pPr>
              <w:ind w:left="160"/>
              <w:spacing w:after="0" w:line="124"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140" w:type="dxa"/>
            <w:vAlign w:val="bottom"/>
            <w:gridSpan w:val="3"/>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1020" w:type="dxa"/>
            <w:vAlign w:val="bottom"/>
            <w:gridSpan w:val="2"/>
          </w:tcPr>
          <w:p>
            <w:pPr>
              <w:jc w:val="right"/>
              <w:ind w:right="90"/>
              <w:spacing w:after="0" w:line="124"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Pr>
          <w:p>
            <w:pPr>
              <w:spacing w:after="0"/>
              <w:rPr>
                <w:sz w:val="10"/>
                <w:szCs w:val="10"/>
                <w:color w:val="auto"/>
              </w:rPr>
            </w:pPr>
          </w:p>
        </w:tc>
      </w:tr>
      <w:tr>
        <w:trPr>
          <w:trHeight w:val="180"/>
        </w:trPr>
        <w:tc>
          <w:tcPr>
            <w:tcW w:w="2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60" w:type="dxa"/>
            <w:vAlign w:val="bottom"/>
          </w:tcPr>
          <w:p>
            <w:pPr>
              <w:spacing w:after="0"/>
              <w:rPr>
                <w:sz w:val="15"/>
                <w:szCs w:val="15"/>
                <w:color w:val="auto"/>
              </w:rPr>
            </w:pPr>
          </w:p>
        </w:tc>
        <w:tc>
          <w:tcPr>
            <w:tcW w:w="1400" w:type="dxa"/>
            <w:vAlign w:val="bottom"/>
            <w:gridSpan w:val="3"/>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 Sales</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16"/>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52,398</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r>
      <w:tr>
        <w:trPr>
          <w:trHeight w:val="216"/>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46,673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70,609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80" w:type="dxa"/>
            <w:vAlign w:val="bottom"/>
          </w:tcPr>
          <w:p>
            <w:pPr>
              <w:spacing w:after="0"/>
              <w:rPr>
                <w:sz w:val="18"/>
                <w:szCs w:val="18"/>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r>
      <w:tr>
        <w:trPr>
          <w:trHeight w:val="22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and Corporate</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r>
      <w:tr>
        <w:trPr>
          <w:trHeight w:val="216"/>
        </w:trPr>
        <w:tc>
          <w:tcPr>
            <w:tcW w:w="2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New Product Sales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118,669</w:t>
            </w:r>
          </w:p>
        </w:tc>
        <w:tc>
          <w:tcPr>
            <w:tcW w:w="9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138,878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Certain prior year product reclassifications and the change in designation of certain products as "new" resulted in a change in prior year's sales.</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7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8"/>
          </w:tcPr>
          <w:p>
            <w:pPr>
              <w:ind w:left="660"/>
              <w:spacing w:after="0"/>
              <w:rPr>
                <w:sz w:val="20"/>
                <w:szCs w:val="20"/>
                <w:color w:val="auto"/>
              </w:rPr>
            </w:pPr>
            <w:r>
              <w:rPr>
                <w:rFonts w:ascii="Times New Roman" w:cs="Times New Roman" w:eastAsia="Times New Roman" w:hAnsi="Times New Roman"/>
                <w:sz w:val="14"/>
                <w:szCs w:val="14"/>
                <w:b w:val="1"/>
                <w:bCs w:val="1"/>
                <w:color w:val="auto"/>
              </w:rPr>
              <w:t>New Product Sales by Segment</w:t>
            </w: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r>
      <w:tr>
        <w:trPr>
          <w:trHeight w:val="155"/>
        </w:trPr>
        <w:tc>
          <w:tcPr>
            <w:tcW w:w="27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6"/>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7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r>
      <w:tr>
        <w:trPr>
          <w:trHeight w:val="124"/>
        </w:trPr>
        <w:tc>
          <w:tcPr>
            <w:tcW w:w="2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right"/>
              <w:ind w:right="55"/>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20" w:type="dxa"/>
            <w:vAlign w:val="bottom"/>
          </w:tcPr>
          <w:p>
            <w:pPr>
              <w:spacing w:after="0"/>
              <w:rPr>
                <w:sz w:val="10"/>
                <w:szCs w:val="10"/>
                <w:color w:val="auto"/>
              </w:rPr>
            </w:pPr>
          </w:p>
        </w:tc>
        <w:tc>
          <w:tcPr>
            <w:tcW w:w="98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3"/>
          </w:tcPr>
          <w:p>
            <w:pPr>
              <w:jc w:val="right"/>
              <w:ind w:right="340"/>
              <w:spacing w:after="0" w:line="124"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140" w:type="dxa"/>
            <w:vAlign w:val="bottom"/>
            <w:gridSpan w:val="3"/>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1020" w:type="dxa"/>
            <w:vAlign w:val="bottom"/>
            <w:gridSpan w:val="2"/>
          </w:tcPr>
          <w:p>
            <w:pPr>
              <w:jc w:val="right"/>
              <w:ind w:right="90"/>
              <w:spacing w:after="0" w:line="124"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Pr>
          <w:p>
            <w:pPr>
              <w:spacing w:after="0"/>
              <w:rPr>
                <w:sz w:val="10"/>
                <w:szCs w:val="10"/>
                <w:color w:val="auto"/>
              </w:rPr>
            </w:pPr>
          </w:p>
        </w:tc>
      </w:tr>
      <w:tr>
        <w:trPr>
          <w:trHeight w:val="180"/>
        </w:trPr>
        <w:tc>
          <w:tcPr>
            <w:tcW w:w="27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 Sales</w:t>
            </w:r>
          </w:p>
        </w:tc>
        <w:tc>
          <w:tcPr>
            <w:tcW w:w="24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175,787</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r>
      <w:tr>
        <w:trPr>
          <w:trHeight w:val="216"/>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146,702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80" w:type="dxa"/>
            <w:vAlign w:val="bottom"/>
          </w:tcPr>
          <w:p>
            <w:pPr>
              <w:spacing w:after="0"/>
              <w:rPr>
                <w:sz w:val="18"/>
                <w:szCs w:val="18"/>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63,262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r>
      <w:tr>
        <w:trPr>
          <w:trHeight w:val="223"/>
        </w:trPr>
        <w:tc>
          <w:tcPr>
            <w:tcW w:w="2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 and Corporate</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9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714.9</w:t>
            </w:r>
          </w:p>
        </w:tc>
        <w:tc>
          <w:tcPr>
            <w:tcW w:w="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tcPr>
          <w:p>
            <w:pPr>
              <w:spacing w:after="0"/>
              <w:rPr>
                <w:sz w:val="19"/>
                <w:szCs w:val="19"/>
                <w:color w:val="auto"/>
              </w:rPr>
            </w:pPr>
          </w:p>
        </w:tc>
      </w:tr>
      <w:tr>
        <w:trPr>
          <w:trHeight w:val="216"/>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New Product Sales</w:t>
            </w: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388,375</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435,550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80" w:type="dxa"/>
            <w:vAlign w:val="bottom"/>
            <w:tcBorders>
              <w:bottom w:val="single" w:sz="8" w:color="CCEEFF"/>
            </w:tcBorders>
            <w:shd w:val="clear" w:color="auto" w:fill="CCEEFF"/>
          </w:tcPr>
          <w:p>
            <w:pPr>
              <w:spacing w:after="0"/>
              <w:rPr>
                <w:sz w:val="18"/>
                <w:szCs w:val="18"/>
                <w:color w:val="auto"/>
              </w:rPr>
            </w:pPr>
          </w:p>
        </w:tc>
      </w:tr>
      <w:tr>
        <w:trPr>
          <w:trHeight w:val="20"/>
        </w:trPr>
        <w:tc>
          <w:tcPr>
            <w:tcW w:w="2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Certain prior year product reclassifications and the change in designation of certain products as "new" resulted in a change in prior year's sales.</w:t>
      </w: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Retail Segment</w:t>
      </w:r>
    </w:p>
    <w:p>
      <w:pPr>
        <w:spacing w:after="0" w:line="229" w:lineRule="exact"/>
        <w:rPr>
          <w:sz w:val="20"/>
          <w:szCs w:val="20"/>
          <w:color w:val="auto"/>
        </w:rPr>
      </w:pPr>
    </w:p>
    <w:p>
      <w:pPr>
        <w:jc w:val="both"/>
        <w:ind w:left="60" w:right="80"/>
        <w:spacing w:after="0" w:line="254" w:lineRule="auto"/>
        <w:rPr>
          <w:sz w:val="20"/>
          <w:szCs w:val="20"/>
          <w:color w:val="auto"/>
        </w:rPr>
      </w:pPr>
      <w:r>
        <w:rPr>
          <w:rFonts w:ascii="Times New Roman" w:cs="Times New Roman" w:eastAsia="Times New Roman" w:hAnsi="Times New Roman"/>
          <w:sz w:val="18"/>
          <w:szCs w:val="18"/>
          <w:color w:val="auto"/>
        </w:rPr>
        <w:t>Net sales in the third quarter of 2024 decreased by 13% compared to the same period of 2023 due to a 7% decline in selling prices, a 2% decrease due to the transfer of certain sales to the Construction and Packaging segments, and a 4% decline in units. Unit changes within this segment consisted of decreases of 3% in Deckorators, 4% in UFP Edge, and 5% in ProWood. Our selling prices of variable-priced products declined due to lower lumber prices. The selling prices of these products are indexed to the lumber market at the time they are shipped. Additionally, our unit sales to big box customers, which we believe are more closely correlated with repair and remodel activity, decreased approximately 3%, while unit sales to independent retailers, which we believe are more closely correlated to new housing starts, decreased approximately 8%. Within our Deckorators business unit, our sales of wood-plastic composite decking, mineral-based-composite decking (sold under our new Surestone tradename) and railing systems increased 4%.</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40"/>
          </w:cols>
          <w:pgMar w:left="1440" w:top="540" w:right="1419"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Gross profits decreased by $11.6 million, or 11.1% to $93.1 million for the third quarter of 2024 compared to the same period last year. The decrease in gross profit was attributable to the following</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jc w:val="both"/>
        <w:ind w:left="720" w:right="79" w:hanging="319"/>
        <w:spacing w:after="0" w:line="261"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ProWood business unit decreased by $6.7 million, primarily due to a sequential decline in lumber prices during the quarter which adversely impacted the selling prices of our variable priced products, a decline in unit sales, and fixed manufacturing costs. The products sold by this business unit consist primarily of pressure treated lumber sold at a variable price indexed to the lumber market at the time they are shipped.</w:t>
      </w:r>
    </w:p>
    <w:p>
      <w:pPr>
        <w:spacing w:after="0" w:line="179"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Deckorators business unit decreased by $2.9 million due to a decline in unit sales and fixed manufacturing costs.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UFP Edge business unit decreased by $1.0 million, due to a decline in unit sales and fixed manufacturing costs.</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SG&amp;A decreased by approximately $2.9 million, or 5.1%, in the third quarter of 2024 compared to the same period of 2023. Accrued bonus expense, which varies with the overall profitability of the segment and return on investment, decreased approximately $1.1 million from the third quarter of 2023 and totaled approximately $12.0 million for the quarter. Sales incentive compensation decreased by $1.2 million compared to last year and was partially offset by an increase in medical benefits.</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Earnings from operations for the Retail reportable segment decreased in the third quarter of 2024 compared to 2023 by $4.9 million, or 10.4%, as a result of the factors mentioned above.</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Net sales in the first nine months of 2024 decreased by 15% compared to the same period of 2023, due to a 7% decrease in selling prices, a 2% decrease due to the transfer of certain sales to the Construction and Packaging segments, and a 6% decline in units. Unit changes within this segment consisted of decreases of 2% in Deckorators, 9% in UFP Edge, and 9% in ProWood. Our selling prices of variable-priced products declined due to lower lumber prices. The selling prices of these products are indexed to the lumber market at the time they are shipped. Additionally, unit sales to big box customers decreased approximately 5%, while unit sales to independent retailers decreased approximately 7%. Within our Deckorators business unit, our sales of wood-plastic composite decking, mineral-based-composite decking and railing systems increased 6%.</w:t>
      </w:r>
    </w:p>
    <w:p>
      <w:pPr>
        <w:spacing w:after="0" w:line="19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Gross profits decreased by $1.8 million, or 0.6% to $320.9 million for the first nine months of 2024 compared to the same period last year. Our decrease in gross profit was attributable to the following:</w:t>
      </w:r>
    </w:p>
    <w:p>
      <w:pPr>
        <w:spacing w:after="0" w:line="162" w:lineRule="exact"/>
        <w:rPr>
          <w:sz w:val="20"/>
          <w:szCs w:val="20"/>
          <w:color w:val="auto"/>
        </w:rPr>
      </w:pPr>
    </w:p>
    <w:p>
      <w:pPr>
        <w:jc w:val="both"/>
        <w:ind w:left="720" w:right="79" w:hanging="319"/>
        <w:spacing w:after="0" w:line="256"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profits of our ProWood business unit increased $1.5 million in spite of a decline in unit sales and a sequential decline in lumber prices during the year. The products sold by this unit consist primarily of pressure treated lumber sold at a variable price indexed to the lumber market at the time they are shipped. The adverse impact of the decline in lumber prices and lower unit sales was more than offset by favorable results from improvements in inventory management, SKU rationalization, and other operating improvements including the integration of recently acquired businesses.</w:t>
      </w:r>
    </w:p>
    <w:p>
      <w:pPr>
        <w:spacing w:after="0" w:line="18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Despite lower unit sales, the gross profit of our Deckorators business unit remained flat compared to last year primarily due to various operating improvements.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UFP Edge business unit increased by $0.8 million in spite of lower unit sales primarily due to operating improvements.</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SG&amp;A increased by approximately $2.4 million, or 1.4%, in the first nine months of 2024 compared to the same period of 2023. Accrued bonus expense, which varies with the overall profitability of the segment and return on investment, increased approximately $4.7 million and totaled approximately $44.7 million for the first nine months of 2024. The increase was partially offset by a decrease in sales incentive compensation of $1.8 million and several modest decreases in other SG&amp;A accounts.</w:t>
      </w:r>
    </w:p>
    <w:p>
      <w:pPr>
        <w:sectPr>
          <w:pgSz w:w="11900" w:h="16838" w:orient="portrait"/>
          <w:cols w:equalWidth="0" w:num="1">
            <w:col w:w="9019"/>
          </w:cols>
          <w:pgMar w:left="1440" w:top="540"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Earnings from operations for the Retail reportable segment were flat in the first nine months of 2024 compared to 2023 as a result of the factors mentioned above and an increase in foreign exchange gains compared to the same period of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Packaging Segment</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Net sales in the third quarter of 2024 decreased 11% compared to the same period of 2023, due to an 8% decrease in selling prices and a 5% decrease in unit sales, partially offset by a 2% increase due to the transfer of sales from the Retail segment. Unit changes consist of a decrease of 10% in structural packaging, primarily due to a decline in demand, partially offset by unit growth of 2% in PalletOne and 4% in Protective Packaging due to market share gains. The decline in prices is due to competitive price pressure as well as lower lumber costs.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Gross profits decreased by $22.7 million, or 24.2%, for the third quarter of 2024 compared to the same period last year.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decrease in gross profit was attributable to the following:</w:t>
      </w:r>
    </w:p>
    <w:p>
      <w:pPr>
        <w:spacing w:after="0" w:line="207" w:lineRule="exact"/>
        <w:rPr>
          <w:sz w:val="20"/>
          <w:szCs w:val="20"/>
          <w:color w:val="auto"/>
        </w:rPr>
      </w:pPr>
    </w:p>
    <w:p>
      <w:pPr>
        <w:jc w:val="both"/>
        <w:ind w:left="720" w:right="79" w:hanging="319"/>
        <w:spacing w:after="0" w:line="261"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structural packaging business unit decreased by a total of $18.2 million, in spite of the transfer of certain sales from the Retail segment. The decline in gross profit is attributable to competitive price pressure due to lower demand as well as lower unit sales and resulting unfavorable cost variances due to fixed manufacturing costs.</w:t>
      </w:r>
    </w:p>
    <w:p>
      <w:pPr>
        <w:spacing w:after="0" w:line="179"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PalletOne business unit decreased by $4.5 million primarily due to competitive price pressure which more than offset the favorable impact from unit sales growth.</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protective packaging business unit was flat compared to last year.</w:t>
      </w:r>
    </w:p>
    <w:p>
      <w:pPr>
        <w:spacing w:after="0" w:line="22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SG&amp;A decreased by approximately $3.2 million, or 6.1%, in the third quarter of 2024 compared to the same period of 2023. Accrued bonus expense, which varies with the overall profitability of the segment and return on investment, decreased approximately $4.9 million relative to the third quarter of 2023, and totaled $8.5 million for the quarter. Sales incentives also decreased this quarter. These decreases were partially offset by increases in wages, benefits, and professional fees.</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Earnings from operations for the Packaging reportable segment decreased in the third quarter of 2024 compared to 2023 by $19.6 million, or 47.2%, due to the factors discussed above.</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Net sales in the first nine months of 2024 decreased 11% compared to the same period of 2023, due to an 8% decrease in selling prices and a 6% decrease in unit sales, partially offset by a 3% increase due to the transfer of sales from the Retail segment. Unit changes consist of decreases of 11% in structural packaging and 7% in protective packaging, primarily due to a decline in demand. These declines were partially offset by 7% unit growth in PalletOne due to market share gains. The decline in prices is due to competitive price pressure as well as lower lumber costs.</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Gross profits decreased by $92.7 million, or 27.8%, for the first nine months of 2024 compared to the same period last year. The decrease in gross profits was attributable to the following.</w:t>
      </w:r>
    </w:p>
    <w:p>
      <w:pPr>
        <w:spacing w:after="0" w:line="162" w:lineRule="exact"/>
        <w:rPr>
          <w:sz w:val="20"/>
          <w:szCs w:val="20"/>
          <w:color w:val="auto"/>
        </w:rPr>
      </w:pPr>
    </w:p>
    <w:p>
      <w:pPr>
        <w:jc w:val="both"/>
        <w:ind w:left="720" w:right="79" w:hanging="319"/>
        <w:spacing w:after="0" w:line="261"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structural packaging business unit decreased by a total of $68.7 million, in spite of the transfer of certain sales from the Retail segment. The decline in gross profit is attributable to competitive price pressure due to lower demand as well as lower unit sales and resulting unfavorable cost variances due to fixed manufacturing costs.</w:t>
      </w:r>
    </w:p>
    <w:p>
      <w:pPr>
        <w:spacing w:after="0" w:line="179"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PalletOne business unit decreased by $21.5 million primarily due to competitive price pressure which more than offset the favorable impact from unit sales growth.</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protective packaging business unit decreased by $2.5 million due to a decline in unit sales and fixed manufacturing costs.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SG&amp;A decreased by approximately $23.9 million, or 13.2%, in the first nine months of 2024 compared to the same period of 2023. Accrued bonus expense, which varies with the overall profitability of the segment and return on investment, decreased approximately $15.4 million, and totaled $29.8 million for the first nine months of 2024. Additionally, our sales incentive compensation decreased by $8.6 million.</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Earnings from operations for the Packaging reportable segment decreased in the first nine months of 2024 compared to 2023 by $70.4 million, or 46.0%, due to the factors discussed above.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Construction Segment</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Net sales in the third quarter of 2024 decreased 8% compared to the same period of 2023 and consists of a unit decrease of 1% and a 7% decrease in selling prices. We experienced unit declines of 6% in commercial construction, 7% in concrete forming, and 8% in site built, primarily due to softer demand. These declines were substantially offset by an 11% increase in factory-built, primarily due to an increase in industry production. As of September 28, 2024 and September 30, 2023, we estimate that our backlog of orders in our site-built construction business unit were $80 million and $91 million, respectively. The decline in pricing was primarily due to competitive price pressure.</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Gross profits decreased by $33.1 million, or 22.9%, in the third quarter of 2024 compared to the same period of 2023. The decrease in our gross profit was comprised of the following:</w:t>
      </w:r>
    </w:p>
    <w:p>
      <w:pPr>
        <w:spacing w:after="0" w:line="162" w:lineRule="exact"/>
        <w:rPr>
          <w:sz w:val="20"/>
          <w:szCs w:val="20"/>
          <w:color w:val="auto"/>
        </w:rPr>
      </w:pPr>
    </w:p>
    <w:p>
      <w:pPr>
        <w:ind w:left="720" w:right="7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site-built construction business unit decreased by $29.0 million, primarily due to a decline in unit sales, unfavorable cost variances due to fixed manufacturing costs and competitive price pressure.</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concrete forming business unit decreased by $0.8 million due to lower unit sales.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commercial construction business unit decreased by $2.0 million as a result of lower unit sales.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factory-built business unit decreased by $1.3 million in spite of higher unit sales primarily due to unfavorable changes in product mix.</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SG&amp;A decreased by approximately $6.2 million, or 8.3%, in the third quarter of 2024 compared to the same period of 2023. Accrued bonus expense declined by $6.0 million and totaled $13.6 million for the quarter. In addition, declines in sales and certain other incentives were offset by increases in wages and benefit costs.</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Earnings from operations for the Construction reportable segment decreased in the third quarter of 2024 compared to 2023 by $27.2 million, or 39.0%, due to the factors mentioned above.</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Net sales in the first nine months of 2024 decreased 1% compared to the same period of 2023, consisting of a 7% decrease in selling prices partially offset by a 5% unit increase and a 1% increase due to the transfer of certain sales from the Retail segment. The unit increase was comprised of increases of 14% in factory-built, primarily due to an increase in industry production, and 4% in site-built, primarily due to market share gains resulting from capacity expansion and new products. These increases were partially offset by decreases of 7% in commercial construction and 10% in concrete forming due to lower demand.</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Gross profits decreased by $52.1 million, or 12.9%, for the first nine months of 2024 compared to the same period of 2023.</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decrease in our gross profit was comprised of the following:</w:t>
      </w:r>
    </w:p>
    <w:p>
      <w:pPr>
        <w:spacing w:after="0" w:line="207" w:lineRule="exact"/>
        <w:rPr>
          <w:sz w:val="20"/>
          <w:szCs w:val="20"/>
          <w:color w:val="auto"/>
        </w:rPr>
      </w:pPr>
    </w:p>
    <w:p>
      <w:pPr>
        <w:jc w:val="both"/>
        <w:ind w:left="720" w:right="79" w:hanging="319"/>
        <w:spacing w:after="0" w:line="266"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site-built construction business unit decreased by $46.9 million, primarily due to reduced margins on multi-family construction projects, which were impacted by lower lumber pricing this year, and more competitive price pressure.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ind w:left="720" w:right="7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concrete forming business unit decreased by $6.2 million in spite of the transfer of sales from the Retail segment due to lower unit sales and a more competitive pricing.</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commercial construction business unit decreased by $3.4 million as a result of lower unit sales.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decreases were offset by an increase in the gross profit in factory-built of $4.4 million as a result of increased unit sales and favorable cost variances resulting from fixed manufacturing costs, as well as the transfer of sales from the Retail segment.</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SG&amp;A decreased by approximately $5.2 million, or 2.4%, in the first nine months of 2024 compared to the same period of 2023. Accrued bonus expenses, which varies with the overall profitability and return on investment of the segments, decreased by $7.2 million and totaled $43.9 million for the first nine months of 2024. In addition, sales and other incentives decreased by $6.4 million. These decreases were partially offset by increases in wages and benefits of $7.4 million and professional fees of $2.0 million.</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Earnings from operations for the Construction reportable segment decreased in the first nine months of 2024 compared to 2023 by $46.0 million, or 24.8%, due to the factors mentioned above.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All Other Segment</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Our All Other reportable segment consists of our International and Ardellis (our insurance captive) segments that are not significant.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Corporate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corporate segment consists of over (under) allocated costs that are not significant.</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Effective tax rates differ from statutory federal income tax rates, primarily due to provisions for foreign, state and local income taxes and permanent tax differences. Our effective tax rate was 24.2% in the third quarter of 2024 compared to 22.7% in the same period of 2023 and was 22.3% in the first nine months of 2024 compared to 23.3% for the same period in 2023. The increase in our effective tax rate for the third quarter was primarily due to a decrease in the benefit we recognized for an R&amp;D tax credit in the quarter. The decrease in our effective tax rate for the first nine months of 2024 was primarily due to an increase in our tax deduction from stock-based compensation accounted for as a permanent difference.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TRANSACTIONS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no significant off-balance sheet transactions.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table below presents, for the periods indicated, a summary of our cash flow statement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57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24"/>
        </w:trPr>
        <w:tc>
          <w:tcPr>
            <w:tcW w:w="57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92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60" w:type="dxa"/>
            <w:vAlign w:val="bottom"/>
          </w:tcPr>
          <w:p>
            <w:pPr>
              <w:spacing w:after="0"/>
              <w:rPr>
                <w:sz w:val="10"/>
                <w:szCs w:val="10"/>
                <w:color w:val="auto"/>
              </w:rPr>
            </w:pPr>
          </w:p>
        </w:tc>
        <w:tc>
          <w:tcPr>
            <w:tcW w:w="90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0"/>
        </w:trPr>
        <w:tc>
          <w:tcPr>
            <w:tcW w:w="5740" w:type="dxa"/>
            <w:vAlign w:val="bottom"/>
            <w:tcBorders>
              <w:bottom w:val="single" w:sz="8" w:color="CCEEFF"/>
            </w:tcBorders>
          </w:tcPr>
          <w:p>
            <w:pPr>
              <w:spacing w:after="0"/>
              <w:rPr>
                <w:sz w:val="15"/>
                <w:szCs w:val="15"/>
                <w:color w:val="auto"/>
              </w:rPr>
            </w:pPr>
          </w:p>
        </w:tc>
        <w:tc>
          <w:tcPr>
            <w:tcW w:w="1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from operating activities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497,662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711,803</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(177,488)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(187,548)</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(245,683)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(126,224)</w:t>
            </w:r>
          </w:p>
        </w:tc>
      </w:tr>
      <w:tr>
        <w:trPr>
          <w:trHeight w:val="223"/>
        </w:trPr>
        <w:tc>
          <w:tcPr>
            <w:tcW w:w="5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(5,179)</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3,199</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all cash and cash equivalents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69,312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401,230</w:t>
            </w:r>
          </w:p>
        </w:tc>
      </w:tr>
      <w:tr>
        <w:trPr>
          <w:trHeight w:val="223"/>
        </w:trPr>
        <w:tc>
          <w:tcPr>
            <w:tcW w:w="5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1,122,256</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559,623</w:t>
            </w:r>
          </w:p>
        </w:tc>
      </w:tr>
      <w:tr>
        <w:trPr>
          <w:trHeight w:val="216"/>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1,191,568</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960,853</w:t>
            </w:r>
          </w:p>
        </w:tc>
      </w:tr>
      <w:tr>
        <w:trPr>
          <w:trHeight w:val="20"/>
        </w:trPr>
        <w:tc>
          <w:tcPr>
            <w:tcW w:w="5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general, we fund our growth through a combination of operating cash flows, our revolving credit facility, and issuance of long-term notes payable at times when interest rates are favorable. We have not issued equity to finance growth except in the case of a large acquisition that occurred many years ago. We manage our capital structure by attempting to maintain a targeted ratio of debt to equity and debt to earnings before interest, taxes, depreciation and amortization. We believe this is one of many important factors to maintaining a strong credit profile, which in turn helps ensure timely access to capital when needed.</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Seasonality has a significant impact on our working capital due to our primary selling season which occurs during the period from March to September. Consequently, our working capital typically increases during our first and second quarters resulting in negative or modest cash flows from operations during those periods. Conversely, we tend to experience a substantial decrease in working capital once we move beyond our peak selling season which typically results in significant cash flows from operations in our third and fourth quarters.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Due to the seasonality of our business and the effects of the Lumber Market, we believe our cash cycle (days of sales outstanding plus days supply of inventory less days of payables outstanding) is a good indicator of our working capital management. As indicated in the table below, our cash cycle decreased to 59 days from 62 days during the third quarter of 2024 and decreased to 59 days from 65 days during the first nine months of 2024 compared to the prior year period.</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4600" w:type="dxa"/>
            <w:vAlign w:val="bottom"/>
          </w:tcPr>
          <w:p>
            <w:pPr>
              <w:spacing w:after="0"/>
              <w:rPr>
                <w:sz w:val="15"/>
                <w:szCs w:val="15"/>
                <w:color w:val="auto"/>
              </w:rPr>
            </w:pPr>
          </w:p>
        </w:tc>
        <w:tc>
          <w:tcPr>
            <w:tcW w:w="214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16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24"/>
        </w:trPr>
        <w:tc>
          <w:tcPr>
            <w:tcW w:w="4600" w:type="dxa"/>
            <w:vAlign w:val="bottom"/>
          </w:tcPr>
          <w:p>
            <w:pPr>
              <w:spacing w:after="0"/>
              <w:rPr>
                <w:sz w:val="10"/>
                <w:szCs w:val="10"/>
                <w:color w:val="auto"/>
              </w:rPr>
            </w:pPr>
          </w:p>
        </w:tc>
        <w:tc>
          <w:tcPr>
            <w:tcW w:w="1060" w:type="dxa"/>
            <w:vAlign w:val="bottom"/>
            <w:tcBorders>
              <w:top w:val="single" w:sz="8" w:color="auto"/>
            </w:tcBorders>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88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0"/>
                <w:szCs w:val="10"/>
                <w:color w:val="auto"/>
              </w:rPr>
            </w:pPr>
          </w:p>
        </w:tc>
        <w:tc>
          <w:tcPr>
            <w:tcW w:w="1080" w:type="dxa"/>
            <w:vAlign w:val="bottom"/>
            <w:tcBorders>
              <w:top w:val="single" w:sz="8" w:color="auto"/>
            </w:tcBorders>
            <w:gridSpan w:val="2"/>
          </w:tcPr>
          <w:p>
            <w:pPr>
              <w:jc w:val="right"/>
              <w:ind w:right="200"/>
              <w:spacing w:after="0" w:line="124"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88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0"/>
                <w:szCs w:val="10"/>
                <w:color w:val="auto"/>
              </w:rPr>
            </w:pPr>
          </w:p>
        </w:tc>
      </w:tr>
      <w:tr>
        <w:trPr>
          <w:trHeight w:val="180"/>
        </w:trPr>
        <w:tc>
          <w:tcPr>
            <w:tcW w:w="46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Days of sales outstanding</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shd w:val="clear" w:color="auto" w:fill="CCEEFF"/>
          </w:tcPr>
          <w:p>
            <w:pPr>
              <w:spacing w:after="0"/>
              <w:rPr>
                <w:sz w:val="18"/>
                <w:szCs w:val="18"/>
                <w:color w:val="auto"/>
              </w:rPr>
            </w:pPr>
          </w:p>
        </w:tc>
      </w:tr>
      <w:tr>
        <w:trPr>
          <w:trHeight w:val="216"/>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Days supply of inventory</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18"/>
                <w:szCs w:val="18"/>
                <w:color w:val="auto"/>
              </w:rPr>
            </w:pPr>
          </w:p>
        </w:tc>
      </w:tr>
      <w:tr>
        <w:trPr>
          <w:trHeight w:val="23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Days of payables outstanding</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r>
      <w:tr>
        <w:trPr>
          <w:trHeight w:val="203"/>
        </w:trPr>
        <w:tc>
          <w:tcPr>
            <w:tcW w:w="460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Days in cash cycle</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w:t>
            </w:r>
          </w:p>
        </w:tc>
        <w:tc>
          <w:tcPr>
            <w:tcW w:w="180" w:type="dxa"/>
            <w:vAlign w:val="bottom"/>
            <w:tcBorders>
              <w:top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w:t>
            </w:r>
          </w:p>
        </w:tc>
        <w:tc>
          <w:tcPr>
            <w:tcW w:w="200" w:type="dxa"/>
            <w:vAlign w:val="bottom"/>
            <w:tcBorders>
              <w:top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w:t>
            </w:r>
          </w:p>
        </w:tc>
        <w:tc>
          <w:tcPr>
            <w:tcW w:w="200" w:type="dxa"/>
            <w:vAlign w:val="bottom"/>
            <w:tcBorders>
              <w:top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65</w:t>
            </w:r>
          </w:p>
        </w:tc>
        <w:tc>
          <w:tcPr>
            <w:tcW w:w="200" w:type="dxa"/>
            <w:vAlign w:val="bottom"/>
            <w:tcBorders>
              <w:top w:val="single" w:sz="8" w:color="CCEEFF"/>
            </w:tcBorders>
          </w:tcPr>
          <w:p>
            <w:pPr>
              <w:spacing w:after="0"/>
              <w:rPr>
                <w:sz w:val="17"/>
                <w:szCs w:val="17"/>
                <w:color w:val="auto"/>
              </w:rPr>
            </w:pPr>
          </w:p>
        </w:tc>
      </w:tr>
      <w:tr>
        <w:trPr>
          <w:trHeight w:val="20"/>
        </w:trPr>
        <w:tc>
          <w:tcPr>
            <w:tcW w:w="46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decrease in our days supply of inventory for the quarter and first nine months of 2024 is due to improvements in inventory turns in our Construction and Packaging segments. The decrease in our days of sales outstanding is primarily due to improvements in our Construction segment. We continue to focus on past due account balances with customers, and the percentage of our accounts receivable that are current was 93% and 94% at the end of the third quarter of 2024 and 2023, respectively.</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the first nine months of 2024, our cash flows from operations were $498 million and were comprised of net earnings of $349 million, $134 million of non-cash expenses, and a $14 million increase in working capital since the end of December 2023. Our cash flows from operations decreased by $214 million compared to the same period of last year primarily due to the decrease in our investment in net working capital since year end, which was $164 million lower in 2024 compared to 2023. In 2023 our net working capital declined significantly as a result of demand normalizing from the peak of the pandemic period.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Purchases of property, plant, and equipment of $165 million comprised most of our cash used in investing activities during the first nine months of 2024. Net purchases of investments totaled $34.3 million while total proceeds from the sale of investments totaled $13.8 million. Outstanding purchase commitments on existing capital projects totaled approximately $163 million on September 28, 2024. Capital spending primarily consists of several projects to expand capacity to manufacture new and value-added products, primarily in our Packaging segment and Site-Built, Deckorators and ProWood business units, achieve efficiencies through automation in all segments, and make improvements to a number of facilities. We intend to fund capital expenditures and purchase commitments through our operating cash flows for the balance of the year.</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Cash flows used in financing activities during the first nine months of 2024 primarily consisted of the following:</w:t>
      </w:r>
    </w:p>
    <w:p>
      <w:pPr>
        <w:spacing w:after="0" w:line="225" w:lineRule="exact"/>
        <w:rPr>
          <w:sz w:val="20"/>
          <w:szCs w:val="20"/>
          <w:color w:val="auto"/>
        </w:rPr>
      </w:pPr>
    </w:p>
    <w:p>
      <w:pPr>
        <w:jc w:val="both"/>
        <w:ind w:left="760" w:right="79" w:hanging="318"/>
        <w:spacing w:after="0" w:line="261"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repurchased 1,399,944 shares of our common stock for $159.0 million for the year at an average price of $113.55 per share. Of this amount, 154,196 shares were repurchased in order to settle tax withholding obligations of long-term stock incentive plan participants’ awards which vested in February. The shares were purchased at an average price of $115.69 per share, totaling $17.8 million.</w:t>
      </w:r>
    </w:p>
    <w:p>
      <w:pPr>
        <w:spacing w:after="0" w:line="179" w:lineRule="exact"/>
        <w:rPr>
          <w:rFonts w:ascii="Times New Roman" w:cs="Times New Roman" w:eastAsia="Times New Roman" w:hAnsi="Times New Roman"/>
          <w:sz w:val="18"/>
          <w:szCs w:val="18"/>
          <w:color w:val="auto"/>
        </w:rPr>
      </w:pPr>
    </w:p>
    <w:p>
      <w:pPr>
        <w:ind w:left="760" w:hanging="31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paid during the first nine months of 2024 were $60.7 million ($0.33 per share).</w:t>
      </w:r>
    </w:p>
    <w:p>
      <w:pPr>
        <w:spacing w:after="0" w:line="225" w:lineRule="exact"/>
        <w:rPr>
          <w:rFonts w:ascii="Times New Roman" w:cs="Times New Roman" w:eastAsia="Times New Roman" w:hAnsi="Times New Roman"/>
          <w:sz w:val="18"/>
          <w:szCs w:val="18"/>
          <w:color w:val="auto"/>
        </w:rPr>
      </w:pPr>
    </w:p>
    <w:p>
      <w:pPr>
        <w:ind w:left="760" w:hanging="31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consideration payments of $4.8 million.</w:t>
      </w:r>
    </w:p>
    <w:p>
      <w:pPr>
        <w:spacing w:after="0" w:line="225" w:lineRule="exact"/>
        <w:rPr>
          <w:rFonts w:ascii="Times New Roman" w:cs="Times New Roman" w:eastAsia="Times New Roman" w:hAnsi="Times New Roman"/>
          <w:sz w:val="18"/>
          <w:szCs w:val="18"/>
          <w:color w:val="auto"/>
        </w:rPr>
      </w:pPr>
    </w:p>
    <w:p>
      <w:pPr>
        <w:ind w:left="760" w:hanging="31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noncontrolling interests of $11.8 million.</w:t>
      </w:r>
    </w:p>
    <w:p>
      <w:pPr>
        <w:spacing w:after="0" w:line="225" w:lineRule="exact"/>
        <w:rPr>
          <w:rFonts w:ascii="Times New Roman" w:cs="Times New Roman" w:eastAsia="Times New Roman" w:hAnsi="Times New Roman"/>
          <w:sz w:val="18"/>
          <w:szCs w:val="18"/>
          <w:color w:val="auto"/>
        </w:rPr>
      </w:pPr>
    </w:p>
    <w:p>
      <w:pPr>
        <w:ind w:left="760" w:hanging="31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of remaining noncontrolling interest of subsidiary of $4.9 million.</w:t>
      </w:r>
    </w:p>
    <w:p>
      <w:pPr>
        <w:spacing w:after="0" w:line="225" w:lineRule="exact"/>
        <w:rPr>
          <w:rFonts w:ascii="Times New Roman" w:cs="Times New Roman" w:eastAsia="Times New Roman" w:hAnsi="Times New Roman"/>
          <w:sz w:val="18"/>
          <w:szCs w:val="18"/>
          <w:color w:val="auto"/>
        </w:rPr>
      </w:pPr>
    </w:p>
    <w:p>
      <w:pPr>
        <w:ind w:left="760" w:hanging="31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repayment on behalf of an investee of $6.3 million.</w:t>
      </w:r>
    </w:p>
    <w:p>
      <w:pPr>
        <w:spacing w:after="0" w:line="22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September 28, 2024, we had $2.0 million outstanding on our $750 million revolving credit facility, and we had approximately $711 million in remaining availability after considering $37 million in outstanding letters of credit. Financial covenants on the unsecured revolving credit facility and unsecured notes include minimum interest tests and a maximum leverage ratio. The agreements also restrict the amount of additional indebtedness we may incur and the amount of assets which may be sold. We were in compliance with all our covenant requirements on September 28, 2024.</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At the end of the third quarter of 2024, we had approximately $2.4 billion in total liquidity, consisting of our cash, remaining availability under our revolving credit facility, and a shelf agreement with certain lenders providing up to $535 million in remaining borrowing capacity.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ENVIRONMENTAL CONSIDERATIONS AND REGULATIONS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See Notes to Unaudited Consolidated Condensed Financial Statements, Note E, “Commitments, Contingencies, and Guarantees.”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In preparing our consolidated financial statements, we follow accounting principles generally accepted in the United States. These principles require us to make certain estimates and apply judgments that affect our financial position and results of operations. We continually review our accounting policies and financial information disclosures. There have been no material changes in our policies or estimates since December 30, 2023.</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FORWARD OUTLOOK</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long-term financial goals include:</w:t>
      </w:r>
    </w:p>
    <w:p>
      <w:pPr>
        <w:spacing w:after="0" w:line="117" w:lineRule="exact"/>
        <w:rPr>
          <w:sz w:val="20"/>
          <w:szCs w:val="20"/>
          <w:color w:val="auto"/>
        </w:rPr>
      </w:pPr>
    </w:p>
    <w:p>
      <w:pPr>
        <w:ind w:left="720" w:right="33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our annual unit sales by 7-10%. We anticipate smaller tuck in acquisitions will continue to contribute toward this goal;</w:t>
      </w:r>
    </w:p>
    <w:p>
      <w:pPr>
        <w:spacing w:after="0" w:line="53" w:lineRule="exact"/>
        <w:rPr>
          <w:rFonts w:ascii="Times New Roman" w:cs="Times New Roman" w:eastAsia="Times New Roman" w:hAnsi="Times New Roman"/>
          <w:sz w:val="18"/>
          <w:szCs w:val="18"/>
          <w:color w:val="auto"/>
        </w:rPr>
      </w:pPr>
    </w:p>
    <w:p>
      <w:pPr>
        <w:ind w:left="720" w:right="199" w:hanging="319"/>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and sustaining a 12.5% adjusted EBITDA margin by continuing to enhance our capabilities and grow our portfolio and sales of value-added products and by achieving operating improvements;</w:t>
      </w:r>
    </w:p>
    <w:p>
      <w:pPr>
        <w:spacing w:after="0" w:line="5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 an incremental return on new investment over our cost of capital; and</w:t>
      </w:r>
    </w:p>
    <w:p>
      <w:pPr>
        <w:spacing w:after="0" w:line="11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conservative capital structure.</w:t>
      </w:r>
    </w:p>
    <w:p>
      <w:pPr>
        <w:spacing w:after="0" w:line="225" w:lineRule="exact"/>
        <w:rPr>
          <w:sz w:val="20"/>
          <w:szCs w:val="20"/>
          <w:color w:val="auto"/>
        </w:rPr>
      </w:pPr>
    </w:p>
    <w:p>
      <w:pPr>
        <w:jc w:val="both"/>
        <w:ind w:left="60" w:right="159"/>
        <w:spacing w:after="0" w:line="266" w:lineRule="auto"/>
        <w:rPr>
          <w:sz w:val="20"/>
          <w:szCs w:val="20"/>
          <w:color w:val="auto"/>
        </w:rPr>
      </w:pPr>
      <w:r>
        <w:rPr>
          <w:rFonts w:ascii="Times New Roman" w:cs="Times New Roman" w:eastAsia="Times New Roman" w:hAnsi="Times New Roman"/>
          <w:sz w:val="18"/>
          <w:szCs w:val="18"/>
          <w:color w:val="auto"/>
        </w:rPr>
        <w:t>We believe effectively executing our strategies will allow us to achieve long-term goals in the future. However, demand in the markets we serve has contracted, which will impact our results and vary depending on the severity and duration of this cycle. The following factors should be considered when evaluating our future prospects:</w:t>
      </w:r>
    </w:p>
    <w:p>
      <w:pPr>
        <w:spacing w:after="0" w:line="68" w:lineRule="exact"/>
        <w:rPr>
          <w:sz w:val="20"/>
          <w:szCs w:val="20"/>
          <w:color w:val="auto"/>
        </w:rPr>
      </w:pPr>
    </w:p>
    <w:p>
      <w:pPr>
        <w:ind w:left="720" w:right="99" w:hanging="319"/>
        <w:spacing w:after="0" w:line="281" w:lineRule="auto"/>
        <w:tabs>
          <w:tab w:leader="none" w:pos="7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Lumber prices, which impact our cost of goods sold and selling prices, have normalized due to additional sawmill capacity and demand falling from peak levels. We anticipate lumber prices will remain at lower levels until there is a change in the balance of supply and demand. Recent curtailments in production capacity by sawmills and impact of severe storm activity may contribute to an improvement in the balance in supply and demand in 2025.</w:t>
      </w:r>
    </w:p>
    <w:p>
      <w:pPr>
        <w:spacing w:after="0" w:line="56" w:lineRule="exact"/>
        <w:rPr>
          <w:rFonts w:ascii="Times New Roman" w:cs="Times New Roman" w:eastAsia="Times New Roman" w:hAnsi="Times New Roman"/>
          <w:sz w:val="17"/>
          <w:szCs w:val="17"/>
          <w:color w:val="auto"/>
        </w:rPr>
      </w:pPr>
    </w:p>
    <w:p>
      <w:pPr>
        <w:ind w:left="720" w:right="139" w:hanging="319"/>
        <w:spacing w:after="0" w:line="258"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sales accounted for 40% of our net sales for the first nine months of 2024. When evaluating future demand for the segment, we analyze data such as the same-store sales growth of national home improvement retailers and forecasts of home remodeling activity. Based on this data, we currently anticipate market demand for our products to be down mid-single digits for the balance of 2024. Market share gains may help offset some of the impact of weaker demand.</w:t>
      </w:r>
    </w:p>
    <w:p>
      <w:pPr>
        <w:spacing w:after="0" w:line="75" w:lineRule="exact"/>
        <w:rPr>
          <w:rFonts w:ascii="Times New Roman" w:cs="Times New Roman" w:eastAsia="Times New Roman" w:hAnsi="Times New Roman"/>
          <w:sz w:val="18"/>
          <w:szCs w:val="18"/>
          <w:color w:val="auto"/>
        </w:rPr>
      </w:pPr>
    </w:p>
    <w:p>
      <w:pPr>
        <w:ind w:left="720" w:right="139" w:hanging="319"/>
        <w:spacing w:after="0" w:line="258"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Packaging sales accounted for 24% of our net sales for the first nine months of 2024. When evaluating future demand, we consider a variety of metrics, including the Purchasing Managers Index (PMI), durable goods manufacturing, and U.S. real GDP. We currently believe overall demand for our products in the markets we serve to be down mid to high-single digits for the balance of 2024. Market share gains may help offset some of the impact of weaker demand.</w:t>
      </w:r>
    </w:p>
    <w:p>
      <w:pPr>
        <w:spacing w:after="0" w:line="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sales accounted for 31% of our net sales for the first nine months of 2024.</w:t>
      </w:r>
    </w:p>
    <w:p>
      <w:pPr>
        <w:spacing w:after="0" w:line="117" w:lineRule="exact"/>
        <w:rPr>
          <w:rFonts w:ascii="Times New Roman" w:cs="Times New Roman" w:eastAsia="Times New Roman" w:hAnsi="Times New Roman"/>
          <w:sz w:val="18"/>
          <w:szCs w:val="18"/>
          <w:color w:val="auto"/>
        </w:rPr>
      </w:pPr>
    </w:p>
    <w:p>
      <w:pPr>
        <w:jc w:val="both"/>
        <w:ind w:left="1380" w:right="99" w:hanging="331"/>
        <w:spacing w:after="0" w:line="261" w:lineRule="auto"/>
        <w:tabs>
          <w:tab w:leader="none" w:pos="13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site-built business unit accounted for approximately 13% of our net sales for the first nine months of 2024. Approximately one-third of site-built customers are multifamily builders. Independent forecasts of housing starts have recently been revised downward and generally range from a low to a mid-single digit decline. Market share gains may help offset some of the impact of weaker demand.</w:t>
      </w:r>
    </w:p>
    <w:p>
      <w:pPr>
        <w:spacing w:after="0" w:line="71" w:lineRule="exact"/>
        <w:rPr>
          <w:rFonts w:ascii="Times New Roman" w:cs="Times New Roman" w:eastAsia="Times New Roman" w:hAnsi="Times New Roman"/>
          <w:sz w:val="18"/>
          <w:szCs w:val="18"/>
          <w:color w:val="auto"/>
        </w:rPr>
      </w:pPr>
    </w:p>
    <w:p>
      <w:pPr>
        <w:ind w:left="1380" w:right="99" w:hanging="331"/>
        <w:spacing w:after="0" w:line="254" w:lineRule="auto"/>
        <w:tabs>
          <w:tab w:leader="none" w:pos="13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factory-built housing business unit accounted for 12% of our net sales for the first nine months of 2024. When evaluating future demand, we analyze data from production and shipments of manufactured housing. Early in the year, the National Association of Home Builders and John Burns Real Estate Consulting forecast the manufactured home shipments in 2024 to be flat to slightly up. Manufactured housing is expected to continue to benefit from broader economic trends, including demand for affordable housing options, and we expect market demand for our products that serve manufactured housing to be up mid- to high-single digits for the balance of 2024. Market share gains may contribute to unit growth.</w:t>
      </w:r>
    </w:p>
    <w:p>
      <w:pPr>
        <w:spacing w:after="0" w:line="83" w:lineRule="exact"/>
        <w:rPr>
          <w:rFonts w:ascii="Times New Roman" w:cs="Times New Roman" w:eastAsia="Times New Roman" w:hAnsi="Times New Roman"/>
          <w:sz w:val="18"/>
          <w:szCs w:val="18"/>
          <w:color w:val="auto"/>
        </w:rPr>
      </w:pPr>
    </w:p>
    <w:p>
      <w:pPr>
        <w:ind w:left="1380" w:right="179" w:hanging="331"/>
        <w:spacing w:after="0" w:line="261" w:lineRule="auto"/>
        <w:tabs>
          <w:tab w:leader="none" w:pos="13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construction and concrete forming business units accounted for approximately 6% of our net sales for the first nine months of 2024. When evaluating future demand, we analyze data from non-residential construction spending. We currently anticipate overall demand in these business units to be slightly down for the balance of 2024.</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Capital Allocation:</w:t>
      </w:r>
    </w:p>
    <w:p>
      <w:pPr>
        <w:spacing w:after="0" w:line="117"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We believe the strength of our cash flow generation and conservative capital structure provide us with sufficient resources to grow our business and also fund returns to our shareholders. We plan to continue to pursue a balanced and return-driven approach to capital allocation across dividends, share buybacks, capital investments and acquisitions. Specifically:</w:t>
      </w:r>
    </w:p>
    <w:p>
      <w:pPr>
        <w:spacing w:after="0" w:line="68" w:lineRule="exact"/>
        <w:rPr>
          <w:sz w:val="20"/>
          <w:szCs w:val="20"/>
          <w:color w:val="auto"/>
        </w:rPr>
      </w:pPr>
    </w:p>
    <w:p>
      <w:pPr>
        <w:ind w:left="720" w:right="199" w:hanging="319"/>
        <w:spacing w:after="0" w:line="261"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23, 2024, our board approved a quarterly cash dividend of $0.33 per share, which represents a 10% year over year increase. This dividend is payable on December 16, 2024, to shareholders of record on December 2, 2024. We continue to consider our payout ratio and yield when determining the appropriate dividend rate and have a long-term objective of increasing our dividend in line with our earnings growth.</w:t>
      </w:r>
    </w:p>
    <w:p>
      <w:pPr>
        <w:spacing w:after="0" w:line="71" w:lineRule="exact"/>
        <w:rPr>
          <w:rFonts w:ascii="Times New Roman" w:cs="Times New Roman" w:eastAsia="Times New Roman" w:hAnsi="Times New Roman"/>
          <w:sz w:val="18"/>
          <w:szCs w:val="18"/>
          <w:color w:val="auto"/>
        </w:rPr>
      </w:pPr>
    </w:p>
    <w:p>
      <w:pPr>
        <w:ind w:left="720" w:right="119" w:hanging="319"/>
        <w:spacing w:after="0" w:line="258"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24, 2024, our board authorized the repurchase of up to $200 million worth of our shares through July 31, 2025. This share authorization supersedes and replaces our prior share repurchase authorizations. Our objective is to repurchase our stock at sufficient amounts to offset issuances under our share-based compensation plans. In addition, we will opportunistically buy shares when the price trades at pre-determined levels. Through September 28, 2024, no shares were repurchased pursuant to this authorization.</w:t>
      </w:r>
    </w:p>
    <w:p>
      <w:pPr>
        <w:spacing w:after="0" w:line="75" w:lineRule="exact"/>
        <w:rPr>
          <w:rFonts w:ascii="Times New Roman" w:cs="Times New Roman" w:eastAsia="Times New Roman" w:hAnsi="Times New Roman"/>
          <w:sz w:val="18"/>
          <w:szCs w:val="18"/>
          <w:color w:val="auto"/>
        </w:rPr>
      </w:pPr>
    </w:p>
    <w:p>
      <w:pPr>
        <w:ind w:left="720" w:right="79" w:hanging="319"/>
        <w:spacing w:after="0" w:line="255"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targeted range for capital expenditures for 2024 is $250-$300 million, which will continue to be impacted by extended lead times required for most equipment and rolling stock as well as the time required for site selection in the case of investments in new locations. Priority continues to be given to projects that enhance the working environments of our plants and take advantage of automation opportunities, expand our transportation capacity, and drive strategies that have strong long-term growth potential for new and value-added products. Approximately $295 million in capital projects have been approved in 2024 and another $55 million are pending approval</w:t>
      </w:r>
    </w:p>
    <w:p>
      <w:pPr>
        <w:spacing w:after="0" w:line="80"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pursue a healthy pipeline of acquisition opportunities of companies that are a strong strategic fit and enhance our capabilities while providing higher margin, return, and growth potential.</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3. Quantitative and Qualitative Disclosures about Market Risk</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We are exposed to market risks related to fluctuations in interest rates on our variable rate debt, which consists of a revolving credit facility and industrial development revenue bonds. We do not currently enter into any material interest rate swaps, futures contracts or options on futures, or other types of derivative financial instruments to mitigate this risk.</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For fixed rate debt, changes in interest rates generally affect the fair market value, but not earnings or cash flows. Conversely, for variable rate debt, changes in interest rates generally do not influence fair market value, but do affect future earnings and cash flows. We do not have an obligation to prepay fixed rate debt prior to maturity, and as a result, interest rate risk and changes in fair market value should not have a significant impact on such debt until we are required to refinance it.</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are subject to fluctuations in the price of lumber. We experience significant fluctuations in the cost of commodity lumber products from primary producers (the “Lumber Market”). A variety of factors over which we have no control, including government regulations, transportation, environmental regulations, weather conditions, economic conditions, and natural disasters, impact the cost of lumber products and our selling prices. While we attempt to minimize our risk from severe price fluctuations, substantial, prolonged trends in lumber prices can affect our sales volume, our gross margins, and our profitability. We anticipate that these fluctuations will continue in the future. (See “Impact of the Lumber Market on Our Operating Results.”)</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international operations have exposure to foreign currency rate risks, primarily due to fluctuations in their local currency, which is their functional currency, compared to the U.S. Dollar. Additionally, certain of our operations enter into transactions that will be settled in a currency other than the U.S. Dollar. We may enter into forward foreign exchange rate contracts in the future to mitigate foreign currency exchange risk. Historically, our hedge contracts have been immaterial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4. Controls and Procedures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880" w:right="79" w:hanging="317"/>
        <w:spacing w:after="0" w:line="261" w:lineRule="auto"/>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Evaluation of Disclosure Controls and Procedures</w:t>
      </w:r>
      <w:r>
        <w:rPr>
          <w:rFonts w:ascii="Times New Roman" w:cs="Times New Roman" w:eastAsia="Times New Roman" w:hAnsi="Times New Roman"/>
          <w:sz w:val="18"/>
          <w:szCs w:val="18"/>
          <w:color w:val="auto"/>
        </w:rPr>
        <w:t>. With the participation of management, our chief executive officer and chief financial officer, after evaluating the effectiveness of our disclosure controls and procedures (as defined in Exchange Act Rules 13a – 15e and 15d – 15e) as of the quarter ended September 28, 2024, have concluded that, as of such date, our disclosure controls and procedures were effective.</w:t>
      </w:r>
    </w:p>
    <w:p>
      <w:pPr>
        <w:spacing w:after="0" w:line="179" w:lineRule="exact"/>
        <w:rPr>
          <w:rFonts w:ascii="Times New Roman" w:cs="Times New Roman" w:eastAsia="Times New Roman" w:hAnsi="Times New Roman"/>
          <w:sz w:val="18"/>
          <w:szCs w:val="18"/>
          <w:color w:val="auto"/>
        </w:rPr>
      </w:pPr>
    </w:p>
    <w:p>
      <w:pPr>
        <w:jc w:val="both"/>
        <w:ind w:left="880" w:right="79" w:hanging="317"/>
        <w:spacing w:after="0" w:line="266" w:lineRule="auto"/>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Internal Controls</w:t>
      </w:r>
      <w:r>
        <w:rPr>
          <w:rFonts w:ascii="Times New Roman" w:cs="Times New Roman" w:eastAsia="Times New Roman" w:hAnsi="Times New Roman"/>
          <w:sz w:val="18"/>
          <w:szCs w:val="18"/>
          <w:color w:val="auto"/>
        </w:rPr>
        <w:t>. During the quarter ended September 28, 2024, there were no changes in our internal control over financial reporting that materially affected, or are reasonably likely to materially affect, our internal control over financial reporting.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2. Unregistered Sales of Equity Securities and Use of Proceeds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880" w:hanging="317"/>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880" w:hanging="317"/>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880" w:hanging="317"/>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purchases of equity securities.</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5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Fiscal Month</w:t>
            </w:r>
          </w:p>
        </w:tc>
        <w:tc>
          <w:tcPr>
            <w:tcW w:w="6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(1)</w:t>
            </w:r>
          </w:p>
        </w:tc>
        <w:tc>
          <w:tcPr>
            <w:tcW w:w="160" w:type="dxa"/>
            <w:vAlign w:val="bottom"/>
          </w:tcPr>
          <w:p>
            <w:pPr>
              <w:spacing w:after="0"/>
              <w:rPr>
                <w:sz w:val="16"/>
                <w:szCs w:val="16"/>
                <w:color w:val="auto"/>
              </w:rPr>
            </w:pPr>
          </w:p>
        </w:tc>
        <w:tc>
          <w:tcPr>
            <w:tcW w:w="6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w:t>
            </w:r>
          </w:p>
        </w:tc>
        <w:tc>
          <w:tcPr>
            <w:tcW w:w="140" w:type="dxa"/>
            <w:vAlign w:val="bottom"/>
          </w:tcPr>
          <w:p>
            <w:pPr>
              <w:spacing w:after="0"/>
              <w:rPr>
                <w:sz w:val="16"/>
                <w:szCs w:val="16"/>
                <w:color w:val="auto"/>
              </w:rPr>
            </w:pPr>
          </w:p>
        </w:tc>
        <w:tc>
          <w:tcPr>
            <w:tcW w:w="7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(3)</w:t>
            </w:r>
          </w:p>
        </w:tc>
        <w:tc>
          <w:tcPr>
            <w:tcW w:w="140" w:type="dxa"/>
            <w:vAlign w:val="bottom"/>
          </w:tcPr>
          <w:p>
            <w:pPr>
              <w:spacing w:after="0"/>
              <w:rPr>
                <w:sz w:val="16"/>
                <w:szCs w:val="16"/>
                <w:color w:val="auto"/>
              </w:rPr>
            </w:pPr>
          </w:p>
        </w:tc>
        <w:tc>
          <w:tcPr>
            <w:tcW w:w="11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(4)</w:t>
            </w:r>
          </w:p>
        </w:tc>
      </w:tr>
      <w:tr>
        <w:trPr>
          <w:trHeight w:val="210"/>
        </w:trPr>
        <w:tc>
          <w:tcPr>
            <w:tcW w:w="51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 August 3, 2024</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197,417</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$ 110.22</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197,417</w:t>
            </w: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$ 200,000,000</w:t>
            </w:r>
          </w:p>
        </w:tc>
      </w:tr>
      <w:tr>
        <w:trPr>
          <w:trHeight w:val="216"/>
        </w:trPr>
        <w:tc>
          <w:tcPr>
            <w:tcW w:w="5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August 4 - 31, 2024</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200,000,000</w:t>
            </w:r>
          </w:p>
        </w:tc>
      </w:tr>
      <w:tr>
        <w:trPr>
          <w:trHeight w:val="216"/>
        </w:trPr>
        <w:tc>
          <w:tcPr>
            <w:tcW w:w="5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1 - 28, 2024</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200,000,000</w:t>
            </w:r>
          </w:p>
        </w:tc>
      </w:tr>
      <w:tr>
        <w:trPr>
          <w:trHeight w:val="115"/>
        </w:trPr>
        <w:tc>
          <w:tcPr>
            <w:tcW w:w="2240" w:type="dxa"/>
            <w:vAlign w:val="bottom"/>
            <w:tcBorders>
              <w:bottom w:val="single" w:sz="8" w:color="auto"/>
            </w:tcBorders>
          </w:tcPr>
          <w:p>
            <w:pPr>
              <w:spacing w:after="0"/>
              <w:rPr>
                <w:sz w:val="10"/>
                <w:szCs w:val="10"/>
                <w:color w:val="auto"/>
              </w:rPr>
            </w:pPr>
          </w:p>
        </w:tc>
        <w:tc>
          <w:tcPr>
            <w:tcW w:w="2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r>
    </w:tbl>
    <w:p>
      <w:pPr>
        <w:spacing w:after="0" w:line="63" w:lineRule="exact"/>
        <w:rPr>
          <w:sz w:val="20"/>
          <w:szCs w:val="20"/>
          <w:color w:val="auto"/>
        </w:rPr>
      </w:pPr>
    </w:p>
    <w:p>
      <w:pPr>
        <w:ind w:left="380" w:hanging="330"/>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number of shares purchased.</w:t>
      </w:r>
    </w:p>
    <w:p>
      <w:pPr>
        <w:spacing w:after="0" w:line="2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price paid per share.</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number of shares purchased as part of publicly announced plans or programs.</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 dollar value of shares that may yet be purchased under the plans or programs.</w:t>
      </w:r>
    </w:p>
    <w:p>
      <w:pPr>
        <w:spacing w:after="0" w:line="20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shares reported as repurchased between June 30, 2024 and August 3, 2024 in the table above were repurchased pursuant to the publicly-announced share repurchase authorization that was replaced with a new repurchase authorization. On and effective as of July 24, 2024, our board authorized the repurchase of up to $200 million worth of shares of our common stock through the period ending July 31, 2025, which supersedes and replaces prior authorizations. As of August 3, 2024, the maximum dollar amount of the share repurchase authorization was $200,000,000.</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5. Other Information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0" w:right="519"/>
        <w:spacing w:after="0" w:line="312" w:lineRule="auto"/>
        <w:rPr>
          <w:sz w:val="20"/>
          <w:szCs w:val="20"/>
          <w:color w:val="auto"/>
        </w:rPr>
      </w:pPr>
      <w:r>
        <w:rPr>
          <w:rFonts w:ascii="Times New Roman" w:cs="Times New Roman" w:eastAsia="Times New Roman" w:hAnsi="Times New Roman"/>
          <w:sz w:val="17"/>
          <w:szCs w:val="17"/>
          <w:color w:val="auto"/>
        </w:rPr>
        <w:t>During the quarter ended September 28, 2024, no director or officer adopted or terminated a “Rule 10b5-1 trading arrangement” or a “non-Rule 10b5-1 trading arrangement,” as each term is defined in Item 408(a) of Regulation S-K.</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6. Exhibits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The following exhibits (listed by number corresponding to the Exhibit Table as Item 601 in Regulation S-K) are filed with this report:</w:t>
      </w:r>
    </w:p>
    <w:p>
      <w:pPr>
        <w:spacing w:after="0" w:line="175" w:lineRule="exact"/>
        <w:rPr>
          <w:sz w:val="20"/>
          <w:szCs w:val="20"/>
          <w:color w:val="auto"/>
        </w:rPr>
      </w:pPr>
    </w:p>
    <w:p>
      <w:pPr>
        <w:ind w:left="540" w:hanging="490"/>
        <w:spacing w:after="0"/>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Certifications.</w:t>
      </w:r>
    </w:p>
    <w:p>
      <w:pPr>
        <w:spacing w:after="0" w:line="225" w:lineRule="exact"/>
        <w:rPr>
          <w:rFonts w:ascii="Times New Roman" w:cs="Times New Roman" w:eastAsia="Times New Roman" w:hAnsi="Times New Roman"/>
          <w:sz w:val="18"/>
          <w:szCs w:val="18"/>
          <w:color w:val="auto"/>
        </w:rPr>
      </w:pPr>
    </w:p>
    <w:p>
      <w:pPr>
        <w:ind w:left="1100" w:right="139" w:hanging="564"/>
        <w:spacing w:after="0" w:line="282" w:lineRule="auto"/>
        <w:tabs>
          <w:tab w:leader="none" w:pos="11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Certificate of the Chief Executive Officer of UFP Industries, Inc., pursuant to Section 302 of the Sarbanes-Oxley Act of 2002 (18 U.S.C. 1350).</w:t>
      </w:r>
    </w:p>
    <w:p>
      <w:pPr>
        <w:spacing w:after="0" w:line="161" w:lineRule="exact"/>
        <w:rPr>
          <w:rFonts w:ascii="Times New Roman" w:cs="Times New Roman" w:eastAsia="Times New Roman" w:hAnsi="Times New Roman"/>
          <w:sz w:val="18"/>
          <w:szCs w:val="18"/>
          <w:color w:val="auto"/>
        </w:rPr>
      </w:pPr>
    </w:p>
    <w:p>
      <w:pPr>
        <w:ind w:left="1100" w:right="139" w:hanging="564"/>
        <w:spacing w:after="0" w:line="282" w:lineRule="auto"/>
        <w:tabs>
          <w:tab w:leader="none" w:pos="11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Certificate of the Chief Financial Officer of UFP Industries, Inc., pursuant to Section 302 of the Sarbanes-Oxley Act of 2002 (18 U.S.C. 1350).</w:t>
      </w:r>
    </w:p>
    <w:p>
      <w:pPr>
        <w:spacing w:after="0" w:line="161" w:lineRule="exact"/>
        <w:rPr>
          <w:rFonts w:ascii="Times New Roman" w:cs="Times New Roman" w:eastAsia="Times New Roman" w:hAnsi="Times New Roman"/>
          <w:sz w:val="18"/>
          <w:szCs w:val="18"/>
          <w:color w:val="auto"/>
        </w:rPr>
      </w:pPr>
    </w:p>
    <w:p>
      <w:pPr>
        <w:ind w:left="540" w:hanging="490"/>
        <w:spacing w:after="0"/>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Certifications.</w:t>
      </w:r>
    </w:p>
    <w:p>
      <w:pPr>
        <w:spacing w:after="0" w:line="225" w:lineRule="exact"/>
        <w:rPr>
          <w:rFonts w:ascii="Times New Roman" w:cs="Times New Roman" w:eastAsia="Times New Roman" w:hAnsi="Times New Roman"/>
          <w:sz w:val="18"/>
          <w:szCs w:val="18"/>
          <w:color w:val="auto"/>
        </w:rPr>
      </w:pPr>
    </w:p>
    <w:p>
      <w:pPr>
        <w:ind w:left="1100" w:right="139" w:hanging="564"/>
        <w:spacing w:after="0" w:line="282" w:lineRule="auto"/>
        <w:tabs>
          <w:tab w:leader="none" w:pos="11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Certificate of the Chief Executive Officer of UFP Industries, Inc., pursuant to Section 906 of the Sarbanes-Oxley Act of 2002 (18 U.S.C. 1350).</w:t>
      </w:r>
    </w:p>
    <w:p>
      <w:pPr>
        <w:spacing w:after="0" w:line="161" w:lineRule="exact"/>
        <w:rPr>
          <w:rFonts w:ascii="Times New Roman" w:cs="Times New Roman" w:eastAsia="Times New Roman" w:hAnsi="Times New Roman"/>
          <w:sz w:val="18"/>
          <w:szCs w:val="18"/>
          <w:color w:val="auto"/>
        </w:rPr>
      </w:pPr>
    </w:p>
    <w:p>
      <w:pPr>
        <w:ind w:left="1100" w:right="139" w:hanging="564"/>
        <w:spacing w:after="0" w:line="282" w:lineRule="auto"/>
        <w:tabs>
          <w:tab w:leader="none" w:pos="11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Certificate of the Chief Financial Officer of UFP Industries, Inc., pursuant to Section 906 of the Sarbanes-Oxley Act of 2002 (18 U.S.C. 1350).</w:t>
      </w:r>
    </w:p>
    <w:p>
      <w:pPr>
        <w:spacing w:after="0" w:line="162" w:lineRule="exact"/>
        <w:rPr>
          <w:sz w:val="20"/>
          <w:szCs w:val="20"/>
          <w:color w:val="auto"/>
        </w:rPr>
      </w:pPr>
    </w:p>
    <w:p>
      <w:pPr>
        <w:ind w:left="540" w:right="1859" w:hanging="490"/>
        <w:spacing w:after="0" w:line="50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 formatted in iXBRL (Inline eXtensible Business Reporting Language). (INS) iXBRL Instance Document.</w:t>
      </w:r>
    </w:p>
    <w:p>
      <w:pPr>
        <w:spacing w:after="0" w:line="1"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 iXBRL Schema Document.</w:t>
      </w:r>
    </w:p>
    <w:p>
      <w:pPr>
        <w:spacing w:after="0" w:line="225"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 iXBRL Taxonomy Extension Calculation Linkbase Document.</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(LAB) iXBRL Taxonomy Extension Label Linkbase Document.</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(PRE)  iXBRL Taxonomy Extension Presentation Linkbase Document.</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(DEF) iXBRL Taxonomy Extension Definition Linkbase Document.</w:t>
      </w:r>
    </w:p>
    <w:p>
      <w:pPr>
        <w:spacing w:after="0" w:line="225" w:lineRule="exact"/>
        <w:rPr>
          <w:sz w:val="20"/>
          <w:szCs w:val="20"/>
          <w:color w:val="auto"/>
        </w:rPr>
      </w:pPr>
    </w:p>
    <w:p>
      <w:pPr>
        <w:ind w:left="540" w:hanging="490"/>
        <w:spacing w:after="0"/>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(the cover page XBRL tags are embedded 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thereunto duly authorized.</w:t>
      </w:r>
    </w:p>
    <w:p>
      <w:pPr>
        <w:sectPr>
          <w:pgSz w:w="11900" w:h="16838" w:orient="portrait"/>
          <w:cols w:equalWidth="0" w:num="1">
            <w:col w:w="9019"/>
          </w:cols>
          <w:pgMar w:left="1440" w:top="5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 xml:space="preserve">Date: </w:t>
      </w:r>
      <w:r>
        <w:rPr>
          <w:rFonts w:ascii="Times New Roman" w:cs="Times New Roman" w:eastAsia="Times New Roman" w:hAnsi="Times New Roman"/>
          <w:sz w:val="17"/>
          <w:szCs w:val="17"/>
          <w:u w:val="single" w:color="auto"/>
          <w:color w:val="auto"/>
        </w:rPr>
        <w:t>November 6,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 xml:space="preserve">Date: </w:t>
      </w:r>
      <w:r>
        <w:rPr>
          <w:rFonts w:ascii="Times New Roman" w:cs="Times New Roman" w:eastAsia="Times New Roman" w:hAnsi="Times New Roman"/>
          <w:sz w:val="17"/>
          <w:szCs w:val="17"/>
          <w:u w:val="single" w:color="auto"/>
          <w:color w:val="auto"/>
        </w:rPr>
        <w:t>November 6, 2024</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17145</wp:posOffset>
            </wp:positionV>
            <wp:extent cx="25374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3746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J. Missad,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Chief Executive Officer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17145</wp:posOffset>
            </wp:positionV>
            <wp:extent cx="25374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3746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R. Cole,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ectPr>
          <w:pgSz w:w="11900" w:h="16838" w:orient="portrait"/>
          <w:cols w:equalWidth="0" w:num="2">
            <w:col w:w="3500" w:space="720"/>
            <w:col w:w="4799"/>
          </w:cols>
          <w:pgMar w:left="1440" w:top="540" w:right="1440" w:bottom="1440" w:gutter="0" w:footer="0" w:header="0"/>
          <w:type w:val="continuous"/>
        </w:sect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37" w:name="page38"/>
    <w:bookmarkEnd w:id="3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Matthew J. Missad, certify that:</w:t>
      </w:r>
    </w:p>
    <w:p>
      <w:pPr>
        <w:spacing w:after="0" w:line="225" w:lineRule="exact"/>
        <w:rPr>
          <w:sz w:val="20"/>
          <w:szCs w:val="20"/>
          <w:color w:val="auto"/>
        </w:rPr>
      </w:pPr>
    </w:p>
    <w:p>
      <w:pPr>
        <w:ind w:left="540" w:hanging="490"/>
        <w:spacing w:after="0"/>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UFP Industries, Inc.;</w:t>
      </w:r>
    </w:p>
    <w:p>
      <w:pPr>
        <w:spacing w:after="0" w:line="22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860" w:right="79" w:hanging="324"/>
        <w:spacing w:after="0" w:line="266" w:lineRule="auto"/>
        <w:tabs>
          <w:tab w:leader="none" w:pos="8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6" w:lineRule="auto"/>
        <w:tabs>
          <w:tab w:leader="none" w:pos="8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860" w:right="79" w:hanging="324"/>
        <w:spacing w:after="0" w:line="282" w:lineRule="auto"/>
        <w:tabs>
          <w:tab w:leader="none" w:pos="8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Date: November 6, 2024</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 Matthew J. Missad</w:t>
            </w:r>
          </w:p>
        </w:tc>
      </w:tr>
      <w:tr>
        <w:trPr>
          <w:trHeight w:val="21"/>
        </w:trPr>
        <w:tc>
          <w:tcPr>
            <w:tcW w:w="46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1"/>
        </w:trPr>
        <w:tc>
          <w:tcPr>
            <w:tcW w:w="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Matthew J. Missad,</w:t>
            </w:r>
          </w:p>
        </w:tc>
      </w:tr>
      <w:tr>
        <w:trPr>
          <w:trHeight w:val="234"/>
        </w:trPr>
        <w:tc>
          <w:tcPr>
            <w:tcW w:w="4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776"/>
        </w:trPr>
        <w:tc>
          <w:tcPr>
            <w:tcW w:w="4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38" w:name="page39"/>
    <w:bookmarkEnd w:id="3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Michael R. Cole, certify that:</w:t>
      </w:r>
    </w:p>
    <w:p>
      <w:pPr>
        <w:spacing w:after="0" w:line="225" w:lineRule="exact"/>
        <w:rPr>
          <w:sz w:val="20"/>
          <w:szCs w:val="20"/>
          <w:color w:val="auto"/>
        </w:rPr>
      </w:pPr>
    </w:p>
    <w:p>
      <w:pPr>
        <w:ind w:left="540" w:hanging="490"/>
        <w:spacing w:after="0"/>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UFP Industries, Inc.;</w:t>
      </w:r>
    </w:p>
    <w:p>
      <w:pPr>
        <w:spacing w:after="0" w:line="22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860" w:right="79" w:hanging="324"/>
        <w:spacing w:after="0" w:line="266" w:lineRule="auto"/>
        <w:tabs>
          <w:tab w:leader="none" w:pos="8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6" w:lineRule="auto"/>
        <w:tabs>
          <w:tab w:leader="none" w:pos="8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860" w:right="79" w:hanging="324"/>
        <w:spacing w:after="0" w:line="282" w:lineRule="auto"/>
        <w:tabs>
          <w:tab w:leader="none" w:pos="8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Date: November 6, 2024</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 Michael R. Cole</w:t>
            </w:r>
          </w:p>
        </w:tc>
      </w:tr>
      <w:tr>
        <w:trPr>
          <w:trHeight w:val="21"/>
        </w:trPr>
        <w:tc>
          <w:tcPr>
            <w:tcW w:w="46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1"/>
        </w:trPr>
        <w:tc>
          <w:tcPr>
            <w:tcW w:w="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R. Cole</w:t>
            </w:r>
          </w:p>
        </w:tc>
      </w:tr>
      <w:tr>
        <w:trPr>
          <w:trHeight w:val="234"/>
        </w:trPr>
        <w:tc>
          <w:tcPr>
            <w:tcW w:w="4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Principal Accounting Officer</w:t>
            </w:r>
          </w:p>
        </w:tc>
      </w:tr>
      <w:tr>
        <w:trPr>
          <w:trHeight w:val="777"/>
        </w:trPr>
        <w:tc>
          <w:tcPr>
            <w:tcW w:w="4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39" w:name="page40"/>
    <w:bookmarkEnd w:id="3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CHAIRMAN OF THE BOARD AND CHIEF EXECUTIVE OFFICER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UFP INDUSTRIES, INC.</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1350):</w:t>
      </w:r>
    </w:p>
    <w:p>
      <w:pPr>
        <w:spacing w:after="0" w:line="225"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I, Matthew J. Missad, Chairman of the Board and Chief Executive Officer of UFP Industries, Inc., certify, to the best of my knowledge and belief, pursuant to Section 906 of the Sarbanes-Oxley Act of 2002 (18 U.S.C. 1350) that:</w:t>
      </w:r>
    </w:p>
    <w:p>
      <w:pPr>
        <w:spacing w:after="0" w:line="162" w:lineRule="exact"/>
        <w:rPr>
          <w:sz w:val="20"/>
          <w:szCs w:val="20"/>
          <w:color w:val="auto"/>
        </w:rPr>
      </w:pPr>
    </w:p>
    <w:p>
      <w:pPr>
        <w:jc w:val="both"/>
        <w:ind w:left="620" w:right="79" w:hanging="570"/>
        <w:spacing w:after="0" w:line="266" w:lineRule="auto"/>
        <w:tabs>
          <w:tab w:leader="none" w:pos="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quarterly period ended September 28, 2024, which this statement accompanies, fully complies with requirements of Section 13(a) or 15(d) of the Securities Exchange Act of 1934; and</w:t>
      </w:r>
    </w:p>
    <w:p>
      <w:pPr>
        <w:spacing w:after="0" w:line="175" w:lineRule="exact"/>
        <w:rPr>
          <w:rFonts w:ascii="Times New Roman" w:cs="Times New Roman" w:eastAsia="Times New Roman" w:hAnsi="Times New Roman"/>
          <w:sz w:val="18"/>
          <w:szCs w:val="18"/>
          <w:color w:val="auto"/>
        </w:rPr>
      </w:pPr>
    </w:p>
    <w:p>
      <w:pPr>
        <w:jc w:val="both"/>
        <w:ind w:left="620" w:right="79" w:hanging="570"/>
        <w:spacing w:after="0" w:line="266" w:lineRule="auto"/>
        <w:tabs>
          <w:tab w:leader="none" w:pos="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quarterly report on Form 10-Q for the quarterly period ended September 28, 2024, fairly presents, in all material respects, the financial condition and results of operations of UFP Industries, Inc.</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UFP INDUSTRIES, INC.</w:t>
            </w:r>
          </w:p>
        </w:tc>
      </w:tr>
      <w:tr>
        <w:trPr>
          <w:trHeight w:val="392"/>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November 6, 2024</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By:  /s/ Matthew J. Missad</w:t>
            </w:r>
          </w:p>
        </w:tc>
      </w:tr>
      <w:tr>
        <w:trPr>
          <w:trHeight w:val="20"/>
        </w:trPr>
        <w:tc>
          <w:tcPr>
            <w:tcW w:w="44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1"/>
        </w:trPr>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Matthew J. Missad,</w:t>
            </w:r>
          </w:p>
        </w:tc>
      </w:tr>
      <w:tr>
        <w:trPr>
          <w:trHeight w:val="234"/>
        </w:trPr>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UFP Industries, Inc. and will be retained by UFP Industries,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631190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0" w:name="page41"/>
    <w:bookmarkEnd w:id="40"/>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FINANCIAL OFFICER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UFP INDUSTRIES, INC.</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1350):</w:t>
      </w:r>
    </w:p>
    <w:p>
      <w:pPr>
        <w:spacing w:after="0" w:line="225"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I, Michael R. Cole, Chief Financial Officer of UFP Industries, Inc., certify, to the best of my knowledge and belief, pursuant to Section 906 of the Sarbanes-Oxley Act of 2002 (18 U.S.C. 1350) that:</w:t>
      </w:r>
    </w:p>
    <w:p>
      <w:pPr>
        <w:spacing w:after="0" w:line="162" w:lineRule="exact"/>
        <w:rPr>
          <w:sz w:val="20"/>
          <w:szCs w:val="20"/>
          <w:color w:val="auto"/>
        </w:rPr>
      </w:pPr>
    </w:p>
    <w:p>
      <w:pPr>
        <w:jc w:val="both"/>
        <w:ind w:left="620" w:right="79" w:hanging="570"/>
        <w:spacing w:after="0" w:line="266" w:lineRule="auto"/>
        <w:tabs>
          <w:tab w:leader="none" w:pos="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quarterly period ended September 28, 2024, which this statement accompanies, fully complies with requirements of Section 13(a) or 15(d) of the Securities Exchange Act of 1934; and</w:t>
      </w:r>
    </w:p>
    <w:p>
      <w:pPr>
        <w:spacing w:after="0" w:line="175" w:lineRule="exact"/>
        <w:rPr>
          <w:rFonts w:ascii="Times New Roman" w:cs="Times New Roman" w:eastAsia="Times New Roman" w:hAnsi="Times New Roman"/>
          <w:sz w:val="18"/>
          <w:szCs w:val="18"/>
          <w:color w:val="auto"/>
        </w:rPr>
      </w:pPr>
    </w:p>
    <w:p>
      <w:pPr>
        <w:jc w:val="both"/>
        <w:ind w:left="620" w:right="79" w:hanging="570"/>
        <w:spacing w:after="0" w:line="266" w:lineRule="auto"/>
        <w:tabs>
          <w:tab w:leader="none" w:pos="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quarterly report on Form 10-Q for the quarterly period ended September 28, 2024, fairly presents, in all material respects, the financial condition and results of operations of UFP Industries, Inc.</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UFP INDUSTRIES, INC.</w:t>
            </w:r>
          </w:p>
        </w:tc>
      </w:tr>
      <w:tr>
        <w:trPr>
          <w:trHeight w:val="392"/>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November 6, 2024</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By:  /s/ Michael R. Cole</w:t>
            </w:r>
          </w:p>
        </w:tc>
      </w:tr>
      <w:tr>
        <w:trPr>
          <w:trHeight w:val="21"/>
        </w:trPr>
        <w:tc>
          <w:tcPr>
            <w:tcW w:w="44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1"/>
        </w:trPr>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R. Cole,</w:t>
            </w:r>
          </w:p>
        </w:tc>
      </w:tr>
      <w:tr>
        <w:trPr>
          <w:trHeight w:val="234"/>
        </w:trPr>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Principal Financial Officer</w:t>
            </w: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UFP Industries, Inc. and will be retained by UFP Industries,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631190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upperLetter"/>
      <w:start w:val="1"/>
    </w:lvl>
  </w:abstractNum>
  <w:abstractNum w:abstractNumId="3">
    <w:nsid w:val="2443A858"/>
    <w:multiLevelType w:val="hybridMultilevel"/>
    <w:lvl w:ilvl="0">
      <w:lvlJc w:val="left"/>
      <w:lvlText w:val="(%1)"/>
      <w:numFmt w:val="lowerRoman"/>
      <w:start w:val="1"/>
    </w:lvl>
  </w:abstractNum>
  <w:abstractNum w:abstractNumId="4">
    <w:nsid w:val="2D1D5AE9"/>
    <w:multiLevelType w:val="hybridMultilevel"/>
    <w:lvl w:ilvl="0">
      <w:lvlJc w:val="left"/>
      <w:lvlText w:val="%1."/>
      <w:numFmt w:val="upperLetter"/>
      <w:start w:val="2"/>
    </w:lvl>
  </w:abstractNum>
  <w:abstractNum w:abstractNumId="5">
    <w:nsid w:val="6763845E"/>
    <w:multiLevelType w:val="hybridMultilevel"/>
    <w:lvl w:ilvl="0">
      <w:lvlJc w:val="left"/>
      <w:lvlText w:val="%1."/>
      <w:numFmt w:val="upperLetter"/>
      <w:start w:val="3"/>
    </w:lvl>
  </w:abstractNum>
  <w:abstractNum w:abstractNumId="6">
    <w:nsid w:val="75A2A8D4"/>
    <w:multiLevelType w:val="hybridMultilevel"/>
    <w:lvl w:ilvl="0">
      <w:lvlJc w:val="left"/>
      <w:lvlText w:val="%1."/>
      <w:numFmt w:val="upperLetter"/>
      <w:start w:val="4"/>
    </w:lvl>
  </w:abstractNum>
  <w:abstractNum w:abstractNumId="7">
    <w:nsid w:val="8EDBDAB"/>
    <w:multiLevelType w:val="hybridMultilevel"/>
    <w:lvl w:ilvl="0">
      <w:lvlJc w:val="left"/>
      <w:lvlText w:val="%1."/>
      <w:numFmt w:val="upperLetter"/>
      <w:start w:val="5"/>
    </w:lvl>
  </w:abstractNum>
  <w:abstractNum w:abstractNumId="8">
    <w:nsid w:val="79838CB2"/>
    <w:multiLevelType w:val="hybridMultilevel"/>
    <w:lvl w:ilvl="0">
      <w:lvlJc w:val="left"/>
      <w:lvlText w:val="%1."/>
      <w:numFmt w:val="upperLetter"/>
      <w:start w:val="6"/>
    </w:lvl>
  </w:abstractNum>
  <w:abstractNum w:abstractNumId="9">
    <w:nsid w:val="4353D0CD"/>
    <w:multiLevelType w:val="hybridMultilevel"/>
    <w:lvl w:ilvl="0">
      <w:lvlJc w:val="left"/>
      <w:lvlText w:val="%1."/>
      <w:numFmt w:val="upperLetter"/>
      <w:start w:val="7"/>
    </w:lvl>
  </w:abstractNum>
  <w:abstractNum w:abstractNumId="10">
    <w:nsid w:val="B03E0C6"/>
    <w:multiLevelType w:val="hybridMultilevel"/>
    <w:lvl w:ilvl="0">
      <w:lvlJc w:val="left"/>
      <w:lvlText w:val="%1."/>
      <w:numFmt w:val="upperLetter"/>
      <w:start w:val="8"/>
    </w:lvl>
  </w:abstractNum>
  <w:abstractNum w:abstractNumId="11">
    <w:nsid w:val="189A769B"/>
    <w:multiLevelType w:val="hybridMultilevel"/>
    <w:lvl w:ilvl="0">
      <w:lvlJc w:val="left"/>
      <w:lvlText w:val="%1."/>
      <w:numFmt w:val="upperLetter"/>
      <w:start w:val="9"/>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lvl w:ilvl="1">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lvl w:ilvl="1">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1)"/>
      <w:numFmt w:val="lowerLetter"/>
      <w:start w:val="1"/>
    </w:lvl>
  </w:abstractNum>
  <w:abstractNum w:abstractNumId="32">
    <w:nsid w:val="77465F01"/>
    <w:multiLevelType w:val="hybridMultilevel"/>
    <w:lvl w:ilvl="0">
      <w:lvlJc w:val="left"/>
      <w:lvlText w:val="(%1)"/>
      <w:numFmt w:val="lowerLetter"/>
      <w:start w:val="1"/>
    </w:lvl>
  </w:abstractNum>
  <w:abstractNum w:abstractNumId="33">
    <w:nsid w:val="7724C67E"/>
    <w:multiLevelType w:val="hybridMultilevel"/>
    <w:lvl w:ilvl="0">
      <w:lvlJc w:val="left"/>
      <w:lvlText w:val="(%1)"/>
      <w:numFmt w:val="decimal"/>
      <w:start w:val="1"/>
    </w:lvl>
  </w:abstractNum>
  <w:abstractNum w:abstractNumId="34">
    <w:nsid w:val="5C482A97"/>
    <w:multiLevelType w:val="hybridMultilevel"/>
    <w:lvl w:ilvl="0">
      <w:lvlJc w:val="left"/>
      <w:lvlText w:val="%1"/>
      <w:numFmt w:val="decimal"/>
      <w:start w:val="31"/>
    </w:lvl>
    <w:lvl w:ilvl="1">
      <w:lvlJc w:val="left"/>
      <w:lvlText w:val="(%2)"/>
      <w:numFmt w:val="lowerLetter"/>
      <w:start w:val="1"/>
    </w:lvl>
  </w:abstractNum>
  <w:abstractNum w:abstractNumId="35">
    <w:nsid w:val="2463B9EA"/>
    <w:multiLevelType w:val="hybridMultilevel"/>
    <w:lvl w:ilvl="0">
      <w:lvlJc w:val="left"/>
      <w:lvlText w:val="%1"/>
      <w:numFmt w:val="decimal"/>
      <w:start w:val="101"/>
    </w:lvl>
  </w:abstractNum>
  <w:abstractNum w:abstractNumId="36">
    <w:nsid w:val="5E884ADC"/>
    <w:multiLevelType w:val="hybridMultilevel"/>
    <w:lvl w:ilvl="0">
      <w:lvlJc w:val="left"/>
      <w:lvlText w:val="%1"/>
      <w:numFmt w:val="decimal"/>
      <w:start w:val="104"/>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2024-11-06T13:00:25Z</dcterms:created>
  <dcterms:modified xsi:type="dcterms:W3CDTF">2024-11-06T13:00:25Z</dcterms:modified>
</cp:coreProperties>
</file>