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660336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3" w:lineRule="exact"/>
        <w:rPr>
          <w:sz w:val="24"/>
          <w:szCs w:val="24"/>
          <w:color w:val="auto"/>
        </w:rPr>
      </w:pPr>
    </w:p>
    <w:p>
      <w:pPr>
        <w:ind w:left="262" w:hanging="262"/>
        <w:spacing w:after="0"/>
        <w:tabs>
          <w:tab w:leader="none" w:pos="262"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28, 2019</w:t>
      </w:r>
    </w:p>
    <w:p>
      <w:pPr>
        <w:spacing w:after="0" w:line="185"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942" w:right="1440" w:hanging="3942"/>
        <w:spacing w:after="0" w:line="396" w:lineRule="auto"/>
        <w:tabs>
          <w:tab w:leader="none" w:pos="274"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2"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27"/>
          <w:szCs w:val="27"/>
          <w:b w:val="1"/>
          <w:bCs w:val="1"/>
          <w:color w:val="auto"/>
        </w:rPr>
        <w:t>UNIVERSAL FOREST PRODUCTS INC</w:t>
      </w:r>
    </w:p>
    <w:p>
      <w:pPr>
        <w:spacing w:after="0" w:line="35"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2" w:type="dxa"/>
        <w:tblCellMar>
          <w:top w:w="0" w:type="dxa"/>
          <w:left w:w="0" w:type="dxa"/>
          <w:bottom w:w="0" w:type="dxa"/>
          <w:right w:w="0" w:type="dxa"/>
        </w:tblCellMar>
      </w:tblPr>
      <w:tr>
        <w:trPr>
          <w:trHeight w:val="241"/>
        </w:trPr>
        <w:tc>
          <w:tcPr>
            <w:tcW w:w="532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color w:val="auto"/>
              </w:rPr>
              <w:t>Michigan</w:t>
            </w:r>
          </w:p>
        </w:tc>
        <w:tc>
          <w:tcPr>
            <w:tcW w:w="40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color w:val="auto"/>
                <w:w w:val="99"/>
              </w:rPr>
              <w:t>organization)</w:t>
            </w:r>
          </w:p>
        </w:tc>
        <w:tc>
          <w:tcPr>
            <w:tcW w:w="4040" w:type="dxa"/>
            <w:vAlign w:val="bottom"/>
          </w:tcPr>
          <w:p>
            <w:pPr>
              <w:spacing w:after="0"/>
              <w:rPr>
                <w:sz w:val="20"/>
                <w:szCs w:val="20"/>
                <w:color w:val="auto"/>
              </w:rPr>
            </w:pPr>
          </w:p>
        </w:tc>
      </w:tr>
      <w:tr>
        <w:trPr>
          <w:trHeight w:val="439"/>
        </w:trPr>
        <w:tc>
          <w:tcPr>
            <w:tcW w:w="532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40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4040" w:type="dxa"/>
            <w:vAlign w:val="bottom"/>
          </w:tcPr>
          <w:p>
            <w:pPr>
              <w:spacing w:after="0"/>
              <w:rPr>
                <w:sz w:val="24"/>
                <w:szCs w:val="24"/>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1785620</wp:posOffset>
            </wp:positionH>
            <wp:positionV relativeFrom="paragraph">
              <wp:posOffset>17145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2"/>
          </w:cols>
          <w:pgMar w:left="758" w:top="688" w:right="739" w:bottom="1440" w:gutter="0" w:footer="0" w:header="0"/>
        </w:sectPr>
      </w:pPr>
    </w:p>
    <w:p>
      <w:pPr>
        <w:spacing w:after="0" w:line="53" w:lineRule="exact"/>
        <w:rPr>
          <w:sz w:val="24"/>
          <w:szCs w:val="24"/>
          <w:color w:val="auto"/>
        </w:rPr>
      </w:pPr>
    </w:p>
    <w:p>
      <w:pPr>
        <w:ind w:left="542"/>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both"/>
        <w:ind w:right="840"/>
        <w:spacing w:after="0" w:line="25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sectPr>
          <w:pgSz w:w="11900" w:h="16838" w:orient="portrait"/>
          <w:cols w:equalWidth="0" w:num="4">
            <w:col w:w="2502" w:space="700"/>
            <w:col w:w="1440" w:space="320"/>
            <w:col w:w="1820" w:space="500"/>
            <w:col w:w="3120"/>
          </w:cols>
          <w:pgMar w:left="758" w:top="688" w:right="739" w:bottom="1440" w:gutter="0" w:footer="0" w:header="0"/>
          <w:type w:val="continuous"/>
        </w:sectPr>
      </w:pPr>
    </w:p>
    <w:p>
      <w:pPr>
        <w:ind w:left="2" w:right="3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1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2" w:type="dxa"/>
        <w:tblCellMar>
          <w:top w:w="0" w:type="dxa"/>
          <w:left w:w="0" w:type="dxa"/>
          <w:bottom w:w="0" w:type="dxa"/>
          <w:right w:w="0" w:type="dxa"/>
        </w:tblCellMar>
      </w:tblPr>
      <w:tr>
        <w:trPr>
          <w:trHeight w:val="241"/>
        </w:trPr>
        <w:tc>
          <w:tcPr>
            <w:tcW w:w="518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7"/>
              </w:rPr>
              <w:t>Class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September 28, 2019</w:t>
            </w:r>
          </w:p>
        </w:tc>
      </w:tr>
      <w:tr>
        <w:trPr>
          <w:trHeight w:val="234"/>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61,390,216</w:t>
            </w:r>
          </w:p>
        </w:tc>
      </w:tr>
    </w:tbl>
    <w:p>
      <w:pPr>
        <w:spacing w:after="0" w:line="98"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2" w:type="dxa"/>
        <w:tblCellMar>
          <w:top w:w="0" w:type="dxa"/>
          <w:left w:w="0" w:type="dxa"/>
          <w:bottom w:w="0" w:type="dxa"/>
          <w:right w:w="0" w:type="dxa"/>
        </w:tblCellMar>
      </w:tblPr>
      <w:tr>
        <w:trPr>
          <w:trHeight w:val="223"/>
        </w:trPr>
        <w:tc>
          <w:tcPr>
            <w:tcW w:w="2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5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no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35"/>
        </w:trPr>
        <w:tc>
          <w:tcPr>
            <w:tcW w:w="29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5320" w:type="dxa"/>
            <w:vAlign w:val="bottom"/>
            <w:tcBorders>
              <w:bottom w:val="single" w:sz="8" w:color="auto"/>
            </w:tcBorders>
          </w:tcPr>
          <w:p>
            <w:pPr>
              <w:spacing w:after="0"/>
              <w:rPr>
                <w:sz w:val="11"/>
                <w:szCs w:val="11"/>
                <w:color w:val="auto"/>
              </w:rPr>
            </w:pPr>
          </w:p>
        </w:tc>
      </w:tr>
      <w:tr>
        <w:trPr>
          <w:trHeight w:val="95"/>
        </w:trPr>
        <w:tc>
          <w:tcPr>
            <w:tcW w:w="2920" w:type="dxa"/>
            <w:vAlign w:val="bottom"/>
            <w:tcBorders>
              <w:left w:val="single" w:sz="8" w:color="auto"/>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r>
      <w:tr>
        <w:trPr>
          <w:trHeight w:val="574"/>
        </w:trPr>
        <w:tc>
          <w:tcPr>
            <w:tcW w:w="2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0402"/>
          </w:cols>
          <w:pgMar w:left="758" w:top="688"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90"/>
        </w:trPr>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1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UNIVERSAL FOREST PRODUCTS, INC.</w:t>
            </w:r>
          </w:p>
        </w:tc>
        <w:tc>
          <w:tcPr>
            <w:tcW w:w="78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10"/>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453"/>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432"/>
        </w:trPr>
        <w:tc>
          <w:tcPr>
            <w:tcW w:w="86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September 28, 2019, December 29, 2018 and</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September 29, 2018</w:t>
              </w:r>
            </w:hyperlink>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Earnings and Comprehensive Income for the</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Three and Nine Months Ended September 28, 2019 and September 29, 2018</w:t>
              </w:r>
            </w:hyperlink>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 for the Nine Months Ended</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28, 2019 and September 29, 2018</w:t>
              </w:r>
            </w:hyperlink>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Nine Months Ended September</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28, 2019 and September 29, 2018</w:t>
              </w:r>
            </w:hyperlink>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Disclosures about Market Risk</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66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66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66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Other Information – NONE</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w:t>
              </w:r>
            </w:hyperlink>
          </w:p>
        </w:tc>
        <w:tc>
          <w:tcPr>
            <w:tcW w:w="66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878"/>
        </w:trPr>
        <w:tc>
          <w:tcPr>
            <w:tcW w:w="86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40" w:type="dxa"/>
            <w:vAlign w:val="bottom"/>
            <w:tcBorders>
              <w:top w:val="single" w:sz="8" w:color="CCEEFF"/>
            </w:tcBorders>
            <w:gridSpan w:val="6"/>
          </w:tcPr>
          <w:p>
            <w:pPr>
              <w:jc w:val="center"/>
              <w:ind w:left="189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r>
      <w:tr>
        <w:trPr>
          <w:trHeight w:val="547"/>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27"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6"/>
                <w:szCs w:val="16"/>
                <w:color w:val="auto"/>
              </w:rPr>
            </w:pP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Pr>
          <w:p>
            <w:pPr>
              <w:spacing w:after="0"/>
              <w:rPr>
                <w:sz w:val="16"/>
                <w:szCs w:val="16"/>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64,498</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27,316</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257,983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239,771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284,349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252,074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479,356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556,220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510,057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54,295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38,525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29,575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1,092,104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995,278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1,046,851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224,117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880,274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814,645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(495,267)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(459,935)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(460,714)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38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385,007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354,710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346,309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1,880,625</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1,647,548</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1,677,171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44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27,367</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180,767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136,901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385,448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310,170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358,278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14,897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26,929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651,522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558,864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585,447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w:t>
            </w:r>
          </w:p>
        </w:tc>
        <w:tc>
          <w:tcPr>
            <w:tcW w:w="44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none</w:t>
            </w:r>
          </w:p>
        </w:tc>
        <w:tc>
          <w:tcPr>
            <w:tcW w:w="4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80,000,000; issued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61,390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60,884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61,390,216, 60,883,749, and 61,656,181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189,820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969,564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839,917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1,215,459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1,073,403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1,076,120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1,229,103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1,088,684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1,091,724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1,880,625</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1,647,548</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1,677,171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60" w:type="dxa"/>
            <w:vAlign w:val="bottom"/>
          </w:tcPr>
          <w:p>
            <w:pPr>
              <w:spacing w:after="0"/>
              <w:rPr>
                <w:sz w:val="10"/>
                <w:szCs w:val="10"/>
                <w:color w:val="auto"/>
              </w:rPr>
            </w:pPr>
          </w:p>
        </w:tc>
        <w:tc>
          <w:tcPr>
            <w:tcW w:w="1140" w:type="dxa"/>
            <w:vAlign w:val="bottom"/>
            <w:tcBorders>
              <w:top w:val="single" w:sz="8" w:color="auto"/>
            </w:tcBorders>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1,212,702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3,500,999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1,054,029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2,889,706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3,045,748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455,251</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LOSS ON DISPOSITION OF ASSETS AND</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ASSETS</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70,467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56,991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193,150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161,825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INTEREST EXPENSE</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68,977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55,257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156,963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52,581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143,728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120,780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EARNINGS ATTRIBUTABLE TO</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EARNINGS ATTRIBUTABLE TO CONTROLLING</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41,219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141,914</w:t>
            </w:r>
          </w:p>
        </w:tc>
        <w:tc>
          <w:tcPr>
            <w:tcW w:w="2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118,096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51,381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117,610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COMPREHENSIVE INCOME ATTRIBUTABLE TO</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51,023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41,659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142,537</w:t>
            </w:r>
          </w:p>
        </w:tc>
        <w:tc>
          <w:tcPr>
            <w:tcW w:w="2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3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7"/>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7"/>
              </w:rPr>
              <w:t>Controlling Interest Shareholders’ Equity</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19"/>
              <w:spacing w:after="0" w:line="10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8"/>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18"/>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58"/>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8"/>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10"/>
                <w:szCs w:val="10"/>
                <w:color w:val="auto"/>
              </w:rPr>
            </w:pPr>
          </w:p>
        </w:tc>
        <w:tc>
          <w:tcPr>
            <w:tcW w:w="7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10"/>
                <w:szCs w:val="10"/>
                <w:color w:val="auto"/>
              </w:rPr>
            </w:pPr>
          </w:p>
        </w:tc>
        <w:tc>
          <w:tcPr>
            <w:tcW w:w="9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5"/>
        </w:trPr>
        <w:tc>
          <w:tcPr>
            <w:tcW w:w="20" w:type="dxa"/>
            <w:vAlign w:val="bottom"/>
          </w:tcPr>
          <w:p>
            <w:pPr>
              <w:spacing w:after="0"/>
              <w:rPr>
                <w:sz w:val="11"/>
                <w:szCs w:val="11"/>
                <w:color w:val="auto"/>
              </w:rPr>
            </w:pPr>
          </w:p>
        </w:tc>
        <w:tc>
          <w:tcPr>
            <w:tcW w:w="33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30, 2017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61,192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161,928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736,212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14,547</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974,023</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118,096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120,780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(3,562)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(2,950)</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on investment &amp; foreign currency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(2,239)</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dividends - $0.180 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25,449 shares under employee stock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756</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348,140 shares under stock grant programs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4,911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5,259</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147,188 shares under deferred compensation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56,484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8"/>
              </w:rPr>
              <w:t>Expense associated with share-based compensation arrangements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2,613</w:t>
            </w: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6,635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6,635</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September 29, 2018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61,656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176,671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841,431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(3,638)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15,604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1,091,724</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29, 2018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60,884</w:t>
            </w:r>
          </w:p>
        </w:tc>
        <w:tc>
          <w:tcPr>
            <w:tcW w:w="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178,540</w:t>
            </w:r>
          </w:p>
        </w:tc>
        <w:tc>
          <w:tcPr>
            <w:tcW w:w="260" w:type="dxa"/>
            <w:vAlign w:val="bottom"/>
            <w:gridSpan w:val="2"/>
          </w:tcPr>
          <w:p>
            <w:pPr>
              <w:jc w:val="right"/>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839,917</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(5,938)</w:t>
            </w:r>
          </w:p>
        </w:tc>
        <w:tc>
          <w:tcPr>
            <w:tcW w:w="3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15,281</w:t>
            </w:r>
          </w:p>
        </w:tc>
        <w:tc>
          <w:tcPr>
            <w:tcW w:w="140" w:type="dxa"/>
            <w:vAlign w:val="bottom"/>
          </w:tcPr>
          <w:p>
            <w:pPr>
              <w:spacing w:after="0"/>
              <w:rPr>
                <w:sz w:val="11"/>
                <w:szCs w:val="11"/>
                <w:color w:val="auto"/>
              </w:rPr>
            </w:pPr>
          </w:p>
        </w:tc>
        <w:tc>
          <w:tcPr>
            <w:tcW w:w="220" w:type="dxa"/>
            <w:vAlign w:val="bottom"/>
            <w:gridSpan w:val="2"/>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1,088,684</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141,914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143,728</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debt securities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453</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(1,634)</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Additional purchase of noncontrolling interest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(5,015)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(6,853)</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dividends - $0.200 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(12,270)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26,869 shares under employee stock purchase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812</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310,320 shares under stock grant programs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6,079</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169,278 shares under deferred compensation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Expense associated with share-based compensation arrangements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2,968</w:t>
            </w:r>
          </w:p>
        </w:tc>
      </w:tr>
      <w:tr>
        <w:trPr>
          <w:trHeight w:val="155"/>
        </w:trPr>
        <w:tc>
          <w:tcPr>
            <w:tcW w:w="20" w:type="dxa"/>
            <w:vAlign w:val="bottom"/>
          </w:tcPr>
          <w:p>
            <w:pPr>
              <w:spacing w:after="0"/>
              <w:rPr>
                <w:sz w:val="13"/>
                <w:szCs w:val="13"/>
                <w:color w:val="auto"/>
              </w:rPr>
            </w:pPr>
          </w:p>
        </w:tc>
        <w:tc>
          <w:tcPr>
            <w:tcW w:w="33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6,945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6,945</w:t>
            </w:r>
          </w:p>
        </w:tc>
      </w:tr>
      <w:tr>
        <w:trPr>
          <w:trHeight w:val="122"/>
        </w:trPr>
        <w:tc>
          <w:tcPr>
            <w:tcW w:w="33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 at September 28, 2019</w:t>
            </w:r>
          </w:p>
        </w:tc>
        <w:tc>
          <w:tcPr>
            <w:tcW w:w="10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61,390</w:t>
            </w:r>
          </w:p>
        </w:tc>
        <w:tc>
          <w:tcPr>
            <w:tcW w:w="140" w:type="dxa"/>
            <w:vAlign w:val="bottom"/>
          </w:tcPr>
          <w:p>
            <w:pPr>
              <w:spacing w:after="0"/>
              <w:rPr>
                <w:sz w:val="10"/>
                <w:szCs w:val="10"/>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189,820</w:t>
            </w:r>
          </w:p>
        </w:tc>
        <w:tc>
          <w:tcPr>
            <w:tcW w:w="140" w:type="dxa"/>
            <w:vAlign w:val="bottom"/>
          </w:tcPr>
          <w:p>
            <w:pPr>
              <w:spacing w:after="0"/>
              <w:rPr>
                <w:sz w:val="10"/>
                <w:szCs w:val="10"/>
                <w:color w:val="auto"/>
              </w:rPr>
            </w:pPr>
          </w:p>
        </w:tc>
        <w:tc>
          <w:tcPr>
            <w:tcW w:w="120" w:type="dxa"/>
            <w:vAlign w:val="bottom"/>
            <w:tcBorders>
              <w:bottom w:val="single" w:sz="8" w:color="auto"/>
            </w:tcBorders>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969,564</w:t>
            </w:r>
          </w:p>
        </w:tc>
        <w:tc>
          <w:tcPr>
            <w:tcW w:w="140" w:type="dxa"/>
            <w:vAlign w:val="bottom"/>
          </w:tcPr>
          <w:p>
            <w:pPr>
              <w:spacing w:after="0"/>
              <w:rPr>
                <w:sz w:val="10"/>
                <w:szCs w:val="10"/>
                <w:color w:val="auto"/>
              </w:rPr>
            </w:pPr>
          </w:p>
        </w:tc>
        <w:tc>
          <w:tcPr>
            <w:tcW w:w="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(5,315)</w:t>
            </w:r>
          </w:p>
        </w:tc>
        <w:tc>
          <w:tcPr>
            <w:tcW w:w="140" w:type="dxa"/>
            <w:vAlign w:val="bottom"/>
          </w:tcPr>
          <w:p>
            <w:pPr>
              <w:spacing w:after="0"/>
              <w:rPr>
                <w:sz w:val="10"/>
                <w:szCs w:val="10"/>
                <w:color w:val="auto"/>
              </w:rPr>
            </w:pPr>
          </w:p>
        </w:tc>
        <w:tc>
          <w:tcPr>
            <w:tcW w:w="160" w:type="dxa"/>
            <w:vAlign w:val="bottom"/>
            <w:tcBorders>
              <w:bottom w:val="single" w:sz="8" w:color="auto"/>
            </w:tcBorders>
          </w:tcPr>
          <w:p>
            <w:pPr>
              <w:jc w:val="right"/>
              <w:ind w:right="4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13,644</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1,229,103</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143,728</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120,780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 credits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(gain) loss on disposition of assets and impairment of assets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(127,841)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(121,067)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36,423</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21,361</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198,080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(74,541)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(105,985)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(85,615)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421,464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636,798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(460,537)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(668,941)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of debt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long-term debt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28,198</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65,227</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27,351</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27,316</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4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28,198</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28,816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64,498</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4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65,227</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27,351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5,287</w:t>
            </w:r>
          </w:p>
        </w:tc>
        <w:tc>
          <w:tcPr>
            <w:tcW w:w="4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00" w:hanging="491"/>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29, 2018.</w:t>
      </w:r>
    </w:p>
    <w:p>
      <w:pPr>
        <w:spacing w:after="0" w:line="184"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29, 2018 balances in the accompanying unaudited condensed consolidated balance sheets.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7" w:name="page8"/>
    <w:bookmarkEnd w:id="7"/>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ind w:left="500" w:hanging="471"/>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ind w:left="20" w:right="180"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29, 2018</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0"/>
                <w:szCs w:val="10"/>
                <w:color w:val="auto"/>
              </w:rPr>
            </w:pPr>
          </w:p>
        </w:tc>
        <w:tc>
          <w:tcPr>
            <w:tcW w:w="7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5"/>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80" w:type="dxa"/>
            <w:vAlign w:val="bottom"/>
          </w:tcPr>
          <w:p>
            <w:pPr>
              <w:spacing w:after="0"/>
              <w:rPr>
                <w:sz w:val="10"/>
                <w:szCs w:val="10"/>
                <w:color w:val="auto"/>
              </w:rPr>
            </w:pPr>
          </w:p>
        </w:tc>
        <w:tc>
          <w:tcPr>
            <w:tcW w:w="780" w:type="dxa"/>
            <w:vAlign w:val="bottom"/>
            <w:gridSpan w:val="3"/>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16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Observable Unobservable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$ 56,781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funds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Alternative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Domestic stock</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International stock</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Target funds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Bond funds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Alternative funds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36"/>
        </w:trPr>
        <w:tc>
          <w:tcPr>
            <w:tcW w:w="1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$ 73,662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15,409</w:t>
            </w:r>
          </w:p>
        </w:tc>
        <w:tc>
          <w:tcPr>
            <w:tcW w:w="1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1,895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90,966</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16,850</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11,500</w:t>
            </w:r>
          </w:p>
        </w:tc>
        <w:tc>
          <w:tcPr>
            <w:tcW w:w="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at fair value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$ 73,662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right="40" w:firstLine="492"/>
        <w:spacing w:after="0" w:line="258" w:lineRule="auto"/>
        <w:rPr>
          <w:sz w:val="20"/>
          <w:szCs w:val="20"/>
          <w:color w:val="auto"/>
        </w:rPr>
      </w:pPr>
      <w:r>
        <w:rPr>
          <w:rFonts w:ascii="Times New Roman" w:cs="Times New Roman" w:eastAsia="Times New Roman" w:hAnsi="Times New Roman"/>
          <w:sz w:val="18"/>
          <w:szCs w:val="18"/>
          <w:color w:val="auto"/>
        </w:rPr>
        <w:t>From the assets measured at fair value as of September 28, 2019, listed in the table above, $56.8 million of money market funds are held in Cash and Cash Equivalents, $17.0 million of mutual funds, equity securities, and alternative investments are held in Investments, $1.1 million of money market and mutual funds are held in Other Assets for our deferred compensation plan, and $15.3 million of fixed income funds and $0.8 million of money markets funds are held in Restricted Investments.</w:t>
      </w:r>
    </w:p>
    <w:p>
      <w:pPr>
        <w:spacing w:after="0" w:line="184" w:lineRule="exact"/>
        <w:rPr>
          <w:sz w:val="20"/>
          <w:szCs w:val="20"/>
          <w:color w:val="auto"/>
        </w:rPr>
      </w:pPr>
    </w:p>
    <w:p>
      <w:pPr>
        <w:jc w:val="both"/>
        <w:ind w:left="20" w:right="40"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stocks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4" w:lineRule="exact"/>
        <w:rPr>
          <w:sz w:val="20"/>
          <w:szCs w:val="20"/>
          <w:color w:val="auto"/>
        </w:rPr>
      </w:pPr>
    </w:p>
    <w:p>
      <w:pPr>
        <w:jc w:val="both"/>
        <w:ind w:left="20" w:right="40" w:firstLine="492"/>
        <w:spacing w:after="0" w:line="282" w:lineRule="auto"/>
        <w:rPr>
          <w:sz w:val="20"/>
          <w:szCs w:val="20"/>
          <w:color w:val="auto"/>
        </w:rPr>
      </w:pPr>
      <w:r>
        <w:rPr>
          <w:rFonts w:ascii="Times New Roman" w:cs="Times New Roman" w:eastAsia="Times New Roman" w:hAnsi="Times New Roman"/>
          <w:sz w:val="18"/>
          <w:szCs w:val="18"/>
          <w:color w:val="auto"/>
        </w:rPr>
        <w:t>During 2018, we purchased a private real estate income trust which is valued as a Level 3 asset and is categorized as an “Alternative Investment”.</w:t>
      </w:r>
    </w:p>
    <w:p>
      <w:pPr>
        <w:spacing w:after="0" w:line="162" w:lineRule="exact"/>
        <w:rPr>
          <w:sz w:val="20"/>
          <w:szCs w:val="20"/>
          <w:color w:val="auto"/>
        </w:rPr>
      </w:pPr>
    </w:p>
    <w:p>
      <w:pPr>
        <w:jc w:val="both"/>
        <w:ind w:left="20" w:right="40" w:firstLine="492"/>
        <w:spacing w:after="0" w:line="266"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$32.3 million as of September 28, 2019, consisting of domestic and international stocks, alternative investments, and fixed income bonds.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20"/>
          </w:cols>
          <w:pgMar w:left="1400" w:top="540" w:right="13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unrealized gain was $1.6 million. Carrying amounts above are recorded in the investments and restricted investments line items within the balance sheet as of September 28, 2019.</w:t>
      </w:r>
    </w:p>
    <w:p>
      <w:pPr>
        <w:spacing w:after="0" w:line="180" w:lineRule="exact"/>
        <w:rPr>
          <w:sz w:val="20"/>
          <w:szCs w:val="20"/>
          <w:color w:val="auto"/>
        </w:rPr>
      </w:pPr>
    </w:p>
    <w:p>
      <w:pPr>
        <w:ind w:left="500" w:hanging="491"/>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8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7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Within the three markets (retail, industrial, and construction) that the Company operates, there are a variety of written and oral contracts that are utilized to generate revenue from the sale of wood, wood composite and other 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5" w:lineRule="exact"/>
        <w:rPr>
          <w:sz w:val="20"/>
          <w:szCs w:val="20"/>
          <w:color w:val="auto"/>
        </w:rPr>
      </w:pPr>
    </w:p>
    <w:p>
      <w:pPr>
        <w:jc w:val="both"/>
        <w:ind w:firstLine="492"/>
        <w:spacing w:after="0" w:line="204"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8"/>
          <w:szCs w:val="18"/>
          <w:color w:val="auto"/>
        </w:rPr>
        <w:t xml:space="preserve"> party. Installation revenue is recognized upon completion, which is typically 2-3 days after receipt. If it is determined to utilize a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20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Additionally, the volume returns and refunds are estimated on a historical and expected basis which is a reduction of revenue recognized.</w:t>
      </w:r>
    </w:p>
    <w:p>
      <w:pPr>
        <w:spacing w:after="0" w:line="16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gross revenues disaggregated by revenue source: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Borders>
              <w:bottom w:val="single" w:sz="8" w:color="auto"/>
            </w:tcBorders>
          </w:tcPr>
          <w:p>
            <w:pPr>
              <w:spacing w:after="0"/>
              <w:rPr>
                <w:sz w:val="15"/>
                <w:szCs w:val="15"/>
                <w:color w:val="auto"/>
              </w:rPr>
            </w:pPr>
          </w:p>
        </w:tc>
      </w:tr>
      <w:tr>
        <w:trPr>
          <w:trHeight w:val="22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700" w:type="dxa"/>
            <w:vAlign w:val="bottom"/>
          </w:tcPr>
          <w:p>
            <w:pPr>
              <w:spacing w:after="0"/>
              <w:rPr>
                <w:sz w:val="19"/>
                <w:szCs w:val="19"/>
                <w:color w:val="auto"/>
              </w:rPr>
            </w:pPr>
          </w:p>
        </w:tc>
      </w:tr>
      <w:tr>
        <w:trPr>
          <w:trHeight w:val="186"/>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8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9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2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FOB Shipping Point Revenue</w:t>
            </w: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1,140,853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1,197,959</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6"/>
              </w:rPr>
              <w:t>-4.8%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3,358,520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3,461,208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r>
      <w:tr>
        <w:trPr>
          <w:trHeight w:val="223"/>
        </w:trPr>
        <w:tc>
          <w:tcPr>
            <w:tcW w:w="2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Contract Revenue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35,731</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104,518</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1,233,690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3,565,726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(21,004)</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(20,988)</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(62,173)</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3,417,969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the third quarter of 2019, the North and West segments comprise the construction contract revenue above, $29.6 million and $13.6 million, respectively, compared to $24.8 million and $10.9 million, respectively, during the same period of 2018. Similarly, in the first nine months of 2019, the North and West segments comprise the construction contract revenue above, $77.0 million and $44.6 million, respectively, compared to $72.0 million and $32.5 million, respectively, during the same period of 2018. Construction contract revenue is primarily made up of site-built and framing customers.</w:t>
      </w:r>
    </w:p>
    <w:p>
      <w:pPr>
        <w:spacing w:after="0" w:line="184"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0"/>
        </w:trPr>
        <w:tc>
          <w:tcPr>
            <w:tcW w:w="20" w:type="dxa"/>
            <w:vAlign w:val="bottom"/>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0"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ind w:left="500" w:hanging="491"/>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50,560</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40,267</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138,367</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115,418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60,171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60,524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60,069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60,436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60,614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60,091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60,520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80" w:hanging="471"/>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8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a consolidated basis, we have reserved approximately $2.0 million and $2.5 million on September 28, 2019, and September 29, 2018, respectively, representing the estimated costs to complete future remediation efforts. These amounts have not been reduced by an insurance receivable.</w:t>
      </w:r>
    </w:p>
    <w:p>
      <w:pPr>
        <w:spacing w:after="0" w:line="17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on September 28, 2019,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On September 28, 2019, we had outstanding purchase commitments on commenced capital projects of approximately $46.1 million.</w:t>
      </w:r>
    </w:p>
    <w:p>
      <w:pPr>
        <w:spacing w:after="0" w:line="16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longer exists or has the ability to pay. Historically, these costs have not had a material effect on our consolidated financial statements.</w:t>
      </w:r>
    </w:p>
    <w:p>
      <w:pPr>
        <w:spacing w:after="0" w:line="16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these bonds. As of September 28, 2019, we had approximately $14.6 million outstanding payment and performance bonds for open projects. We had approximately $9.0 million in payment and performance bonds outstanding for completed projects which are still under warranty.</w:t>
      </w:r>
    </w:p>
    <w:p>
      <w:pPr>
        <w:spacing w:after="0" w:line="18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On September 28, 2019, we had outstanding letters of credit totaling $37.3 million, primarily related to certain insurance contracts and industrial development revenue bonds described further below.</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to guarantee our performance under certain insurance contracts. As of September 28, 2019, we have irrevocable letters of credit outstanding totaling approximately $27.5 million for these types of insurance arrangements. We have reserves recorded on our balance sheet, in accrued liabilities, that reflect our expected future liabilities under these insurance arrangements.</w:t>
      </w:r>
    </w:p>
    <w:p>
      <w:pPr>
        <w:spacing w:after="0" w:line="18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Universal Forest Products,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third quarter of 2019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ind w:left="460" w:hanging="451"/>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20"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2019 and 2018, which were accounted for using the purchase method in thousands unless otherwise noted:</w:t>
      </w:r>
    </w:p>
    <w:p>
      <w:pPr>
        <w:spacing w:after="0" w:line="66" w:lineRule="exact"/>
        <w:rPr>
          <w:sz w:val="20"/>
          <w:szCs w:val="20"/>
          <w:color w:val="auto"/>
        </w:rPr>
      </w:pPr>
    </w:p>
    <w:tbl>
      <w:tblPr>
        <w:tblLayout w:type="fixed"/>
        <w:tblInd w:w="30" w:type="dxa"/>
        <w:tblCellMar>
          <w:top w:w="0" w:type="dxa"/>
          <w:left w:w="0" w:type="dxa"/>
          <w:bottom w:w="0" w:type="dxa"/>
          <w:right w:w="0" w:type="dxa"/>
        </w:tblCellMar>
      </w:tblPr>
      <w:tr>
        <w:trPr>
          <w:trHeight w:val="200"/>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5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$12,276</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September 16, 2019</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7,318</w:t>
            </w:r>
          </w:p>
        </w:tc>
        <w:tc>
          <w:tcPr>
            <w:tcW w:w="140" w:type="dxa"/>
            <w:vAlign w:val="bottom"/>
            <w:shd w:val="clear" w:color="auto" w:fill="CCEB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East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Pallet USA, LLC ("Pallet USA")</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and distributor of wood pallet and crate products in the Midwest. Pallet USA had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annual sales of approximately $18 million. The acquisition of Pallet USA allows us to expand our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64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industrial product capacity and services in the Midwest.</w:t>
            </w: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$15,100</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12, 2019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5,301</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Northwest Painting, Inc. ("Northwest")</w:t>
            </w: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supplier of pre-painted building materials, including composite lap siding, soffit, panels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trim to the Western U.S. Northwest had annual sales of approximately $14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acquisition of Northwest will expand our capacity to produce value-added siding and trim for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4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customers in the Northwest and Mountain West regions.</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$5,034</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May 1, 2019</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4,046</w:t>
            </w:r>
          </w:p>
        </w:tc>
        <w:tc>
          <w:tcPr>
            <w:tcW w:w="140" w:type="dxa"/>
            <w:vAlign w:val="bottom"/>
            <w:shd w:val="clear" w:color="auto" w:fill="CCEB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North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Wolverine Wood Products, Inc.</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5640" w:type="dxa"/>
            <w:vAlign w:val="bottom"/>
            <w:tcBorders>
              <w:right w:val="single" w:sz="8" w:color="CCEBFF"/>
            </w:tcBorders>
            <w:gridSpan w:val="6"/>
            <w:shd w:val="clear" w:color="auto" w:fill="CCEBFF"/>
          </w:tcPr>
          <w:p>
            <w:pPr>
              <w:spacing w:after="0" w:line="172" w:lineRule="exact"/>
              <w:rPr>
                <w:sz w:val="20"/>
                <w:szCs w:val="20"/>
                <w:color w:val="auto"/>
              </w:rPr>
            </w:pPr>
            <w:r>
              <w:rPr>
                <w:rFonts w:ascii="Times New Roman" w:cs="Times New Roman" w:eastAsia="Times New Roman" w:hAnsi="Times New Roman"/>
                <w:sz w:val="16"/>
                <w:szCs w:val="16"/>
                <w:color w:val="auto"/>
              </w:rPr>
              <w:t>A manufacturer of wood panel components for furniture, store fixtures and case goods.</w:t>
            </w:r>
          </w:p>
        </w:tc>
        <w:tc>
          <w:tcPr>
            <w:tcW w:w="740" w:type="dxa"/>
            <w:vAlign w:val="bottom"/>
            <w:tcBorders>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("Wolverine")</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Wolverine had annual sales of approximately $5 million. The acquisition of Wolverine allows us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8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to expand capacity to produce value-added wood components for customers in the Midwest.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$15,115</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October 22, 2018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8,592</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North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Pak-Rite, LTD ("Pak-Rite")</w:t>
            </w: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designer and manufacturer of packaging for high-value products, such as medical, aerospace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and automation equipment. Pak-Rite had annual sales of approximately $15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acquisition of Pak-Rite allows us to grow our portfolio of packaging products and our presence in</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this region.</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July 31, 2018</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B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The Pallet Place, LLC ("Pallet Place")</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and distributor of total packaging solutions in timber, crates, skids, and pallets.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Pallet Place had annual sales of approximately $5 million. The acquisition of Pallet Place allows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us to increase our industrial business and creates operating leverage by consolidating with another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regional operation.</w:t>
            </w:r>
          </w:p>
        </w:tc>
        <w:tc>
          <w:tcPr>
            <w:tcW w:w="182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$23,866</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 2018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12,497</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11,369</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North American Container Corporation</w:t>
            </w: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Borders>
              <w:left w:val="single" w:sz="8" w:color="auto"/>
              <w:right w:val="single" w:sz="8" w:color="auto"/>
            </w:tcBorders>
            <w:vMerge w:val="continue"/>
          </w:tcPr>
          <w:p>
            <w:pPr>
              <w:spacing w:after="0"/>
              <w:rPr>
                <w:sz w:val="14"/>
                <w:szCs w:val="14"/>
                <w:color w:val="auto"/>
              </w:rPr>
            </w:pPr>
          </w:p>
        </w:tc>
        <w:tc>
          <w:tcPr>
            <w:tcW w:w="6380" w:type="dxa"/>
            <w:vAlign w:val="bottom"/>
            <w:tcBorders>
              <w:right w:val="single" w:sz="8" w:color="auto"/>
            </w:tcBorders>
            <w:gridSpan w:val="7"/>
          </w:tcPr>
          <w:p>
            <w:pPr>
              <w:spacing w:after="0" w:line="172" w:lineRule="exact"/>
              <w:rPr>
                <w:sz w:val="20"/>
                <w:szCs w:val="20"/>
                <w:color w:val="auto"/>
              </w:rPr>
            </w:pPr>
            <w:r>
              <w:rPr>
                <w:rFonts w:ascii="Times New Roman" w:cs="Times New Roman" w:eastAsia="Times New Roman" w:hAnsi="Times New Roman"/>
                <w:sz w:val="16"/>
                <w:szCs w:val="16"/>
                <w:color w:val="auto"/>
              </w:rPr>
              <w:t>A manufacturer of structural packaging products, including steel, corrugated and hardwood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("NACC")</w:t>
            </w: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packaging. NACC had annual sales of approximately $71 million. The acquisition of NACC</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allows us to enhance our presence in this region, expand our product offering, and serve</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customers more cost effectively.</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$3,890</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April 9, 2018</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2,235</w:t>
            </w:r>
          </w:p>
        </w:tc>
        <w:tc>
          <w:tcPr>
            <w:tcW w:w="140" w:type="dxa"/>
            <w:vAlign w:val="bottom"/>
            <w:shd w:val="clear" w:color="auto" w:fill="CCEB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Fontana Wood Products ("Fontana")</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and distributor of lumber and trusses in the Southern California region. Fontana</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had annual sales of approximately $12 million. The acquisition of Fontana allows us to expand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our manufactured housing business and creates operating leverage by consolidating with another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regional operation.</w:t>
            </w:r>
          </w:p>
        </w:tc>
        <w:tc>
          <w:tcPr>
            <w:tcW w:w="182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20" w:top="540" w:right="139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540" w:right="13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41" w:lineRule="exact"/>
        <w:rPr>
          <w:sz w:val="20"/>
          <w:szCs w:val="20"/>
          <w:color w:val="auto"/>
        </w:rPr>
      </w:pPr>
    </w:p>
    <w:tbl>
      <w:tblPr>
        <w:tblLayout w:type="fixed"/>
        <w:tblInd w:w="30" w:type="dxa"/>
        <w:tblCellMar>
          <w:top w:w="0" w:type="dxa"/>
          <w:left w:w="0" w:type="dxa"/>
          <w:bottom w:w="0" w:type="dxa"/>
          <w:right w:w="0" w:type="dxa"/>
        </w:tblCellMar>
      </w:tblPr>
      <w:tr>
        <w:trPr>
          <w:trHeight w:val="200"/>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5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$1,347</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April 3, 2018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All Other</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Expert Packaging ("Expert")</w:t>
            </w: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manufacturer and distributor of total packaging solutions in timber, crates, pallets, and skids.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Expert had annual sales of approximately $3.6 million. The acquisition of Expert allows us to</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5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make progress on our goal of becoming a global provider of packaging solutions.</w:t>
            </w: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$2,942</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January 23, 2018</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shd w:val="clear" w:color="auto" w:fill="CCEB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Spinner Wood Products, LLC</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80" w:type="dxa"/>
            <w:vAlign w:val="bottom"/>
            <w:tcBorders>
              <w:right w:val="single" w:sz="8" w:color="auto"/>
            </w:tcBorders>
            <w:gridSpan w:val="7"/>
            <w:shd w:val="clear" w:color="auto" w:fill="CCEBFF"/>
          </w:tcPr>
          <w:p>
            <w:pPr>
              <w:spacing w:after="0" w:line="172" w:lineRule="exact"/>
              <w:rPr>
                <w:sz w:val="20"/>
                <w:szCs w:val="20"/>
                <w:color w:val="auto"/>
              </w:rPr>
            </w:pPr>
            <w:r>
              <w:rPr>
                <w:rFonts w:ascii="Times New Roman" w:cs="Times New Roman" w:eastAsia="Times New Roman" w:hAnsi="Times New Roman"/>
                <w:sz w:val="16"/>
                <w:szCs w:val="16"/>
                <w:color w:val="auto"/>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("Spinner")</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regional operations.</w:t>
            </w:r>
          </w:p>
        </w:tc>
        <w:tc>
          <w:tcPr>
            <w:tcW w:w="182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$5,784</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January 15, 2018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North</w:t>
            </w:r>
          </w:p>
        </w:tc>
        <w:tc>
          <w:tcPr>
            <w:tcW w:w="0" w:type="dxa"/>
            <w:vAlign w:val="bottom"/>
          </w:tcPr>
          <w:p>
            <w:pPr>
              <w:spacing w:after="0"/>
              <w:rPr>
                <w:sz w:val="1"/>
                <w:szCs w:val="1"/>
                <w:color w:val="auto"/>
              </w:rPr>
            </w:pPr>
          </w:p>
        </w:tc>
      </w:tr>
      <w:tr>
        <w:trPr>
          <w:trHeight w:val="210"/>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Great Northern Lumber, LLC</w:t>
            </w:r>
          </w:p>
        </w:tc>
        <w:tc>
          <w:tcPr>
            <w:tcW w:w="15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and regional coverage.</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92"/>
        <w:spacing w:after="0" w:line="258" w:lineRule="auto"/>
        <w:rPr>
          <w:sz w:val="20"/>
          <w:szCs w:val="20"/>
          <w:color w:val="auto"/>
        </w:rPr>
      </w:pPr>
      <w:r>
        <w:rPr>
          <w:rFonts w:ascii="Times New Roman" w:cs="Times New Roman" w:eastAsia="Times New Roman" w:hAnsi="Times New Roman"/>
          <w:sz w:val="18"/>
          <w:szCs w:val="18"/>
          <w:color w:val="auto"/>
        </w:rPr>
        <w:t>The intangible assets for each acquisition were finalized and allocated to their respective identifiable intangible asset and goodwill accounts during 2018 and 2019, except for the Wolverine, Northwest, and Pallet USA acquisitions. In aggregate, acquisitions completed since the end of September 2018 and not consolidated with other operations contributed approximately $7.9 million and $56.8 million in revenue and a $0.7 million and $3.7 million in operating profit during the third quarter and first nine months of 2019, respectively.</w:t>
      </w:r>
    </w:p>
    <w:p>
      <w:pPr>
        <w:spacing w:after="0" w:line="180" w:lineRule="exact"/>
        <w:rPr>
          <w:sz w:val="20"/>
          <w:szCs w:val="20"/>
          <w:color w:val="auto"/>
        </w:rPr>
      </w:pPr>
    </w:p>
    <w:p>
      <w:pPr>
        <w:ind w:left="500" w:hanging="491"/>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76" w:lineRule="exact"/>
        <w:rPr>
          <w:sz w:val="20"/>
          <w:szCs w:val="20"/>
          <w:color w:val="auto"/>
        </w:rPr>
      </w:pPr>
    </w:p>
    <w:p>
      <w:pPr>
        <w:jc w:val="both"/>
        <w:ind w:right="20" w:firstLine="492"/>
        <w:spacing w:after="0" w:line="254" w:lineRule="auto"/>
        <w:rPr>
          <w:sz w:val="20"/>
          <w:szCs w:val="20"/>
          <w:color w:val="auto"/>
        </w:rPr>
      </w:pPr>
      <w:r>
        <w:rPr>
          <w:rFonts w:ascii="Times New Roman" w:cs="Times New Roman" w:eastAsia="Times New Roman" w:hAnsi="Times New Roman"/>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w:t>
      </w:r>
    </w:p>
    <w:p>
      <w:pPr>
        <w:spacing w:after="0" w:line="3" w:lineRule="exact"/>
        <w:rPr>
          <w:sz w:val="20"/>
          <w:szCs w:val="20"/>
          <w:color w:val="auto"/>
        </w:rPr>
      </w:pPr>
    </w:p>
    <w:p>
      <w:pPr>
        <w:jc w:val="both"/>
        <w:ind w:right="20" w:firstLine="9"/>
        <w:spacing w:after="0" w:line="255"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86"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76"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Our Alternative Materials, International and idX division have been included in the “All Other” column of the table below. The “Corporate” column includes unallocated administrative costs and certain incentive compensation expense.</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540" w:right="13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During the third quarter and the first nine months of 2019, management retrospectively reallocated the related bonus expense from Corporate to their respective segment to better assess the reporting unit’s productivity.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2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28, 2019</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352,642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$ 413,183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$ 169,305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1,163,026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20" w:type="dxa"/>
            <w:vAlign w:val="bottom"/>
          </w:tcPr>
          <w:p>
            <w:pPr>
              <w:spacing w:after="0"/>
              <w:rPr>
                <w:sz w:val="18"/>
                <w:szCs w:val="18"/>
                <w:color w:val="auto"/>
              </w:rPr>
            </w:pP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98,884</w:t>
            </w:r>
          </w:p>
        </w:tc>
        <w:tc>
          <w:tcPr>
            <w:tcW w:w="18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8"/>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70,467</w:t>
            </w:r>
          </w:p>
        </w:tc>
        <w:tc>
          <w:tcPr>
            <w:tcW w:w="180" w:type="dxa"/>
            <w:vAlign w:val="bottom"/>
            <w:shd w:val="clear" w:color="auto" w:fill="CCEEFF"/>
          </w:tcPr>
          <w:p>
            <w:pPr>
              <w:spacing w:after="0"/>
              <w:rPr>
                <w:sz w:val="18"/>
                <w:szCs w:val="18"/>
                <w:color w:val="auto"/>
              </w:rPr>
            </w:pPr>
          </w:p>
        </w:tc>
      </w:tr>
      <w:tr>
        <w:trPr>
          <w:trHeight w:val="60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29, 2018</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5"/>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5"/>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270,077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$ 434,123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$ 167,168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1,212,702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20" w:type="dxa"/>
            <w:vAlign w:val="bottom"/>
          </w:tcPr>
          <w:p>
            <w:pPr>
              <w:spacing w:after="0"/>
              <w:rPr>
                <w:sz w:val="18"/>
                <w:szCs w:val="18"/>
                <w:color w:val="auto"/>
              </w:rPr>
            </w:pP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56,771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107,511</w:t>
            </w:r>
          </w:p>
        </w:tc>
        <w:tc>
          <w:tcPr>
            <w:tcW w:w="18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0" w:type="dxa"/>
            <w:vAlign w:val="bottom"/>
            <w:shd w:val="clear" w:color="auto" w:fill="CCEEFF"/>
          </w:tcPr>
          <w:p>
            <w:pPr>
              <w:spacing w:after="0"/>
              <w:rPr>
                <w:sz w:val="18"/>
                <w:szCs w:val="18"/>
                <w:color w:val="auto"/>
              </w:rPr>
            </w:pPr>
          </w:p>
        </w:tc>
        <w:tc>
          <w:tcPr>
            <w:tcW w:w="9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56,991</w:t>
            </w:r>
          </w:p>
        </w:tc>
        <w:tc>
          <w:tcPr>
            <w:tcW w:w="180" w:type="dxa"/>
            <w:vAlign w:val="bottom"/>
            <w:shd w:val="clear" w:color="auto" w:fill="CCEEFF"/>
          </w:tcPr>
          <w:p>
            <w:pPr>
              <w:spacing w:after="0"/>
              <w:rPr>
                <w:sz w:val="18"/>
                <w:szCs w:val="18"/>
                <w:color w:val="auto"/>
              </w:rPr>
            </w:pPr>
          </w:p>
        </w:tc>
      </w:tr>
      <w:tr>
        <w:trPr>
          <w:trHeight w:val="60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September 28, 2019</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1,011,217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730,939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$ 1,194,553</w:t>
            </w:r>
          </w:p>
        </w:tc>
        <w:tc>
          <w:tcPr>
            <w:tcW w:w="40" w:type="dxa"/>
            <w:vAlign w:val="bottom"/>
            <w:tcBorders>
              <w:top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$ 481,260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3,417,969</w:t>
            </w: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54,796</w:t>
            </w:r>
          </w:p>
        </w:tc>
        <w:tc>
          <w:tcPr>
            <w:tcW w:w="20" w:type="dxa"/>
            <w:vAlign w:val="bottom"/>
          </w:tcPr>
          <w:p>
            <w:pPr>
              <w:spacing w:after="0"/>
              <w:rPr>
                <w:sz w:val="18"/>
                <w:szCs w:val="18"/>
                <w:color w:val="auto"/>
              </w:rPr>
            </w:pPr>
          </w:p>
        </w:tc>
        <w:tc>
          <w:tcPr>
            <w:tcW w:w="108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40,602</w:t>
            </w:r>
          </w:p>
        </w:tc>
        <w:tc>
          <w:tcPr>
            <w:tcW w:w="9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177,259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318,657</w:t>
            </w: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20" w:type="dxa"/>
            <w:vAlign w:val="bottom"/>
            <w:shd w:val="clear" w:color="auto" w:fill="CCEEFF"/>
          </w:tcPr>
          <w:p>
            <w:pPr>
              <w:spacing w:after="0"/>
              <w:rPr>
                <w:sz w:val="18"/>
                <w:szCs w:val="18"/>
                <w:color w:val="auto"/>
              </w:rPr>
            </w:pPr>
          </w:p>
        </w:tc>
        <w:tc>
          <w:tcPr>
            <w:tcW w:w="108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77,626</w:t>
            </w:r>
          </w:p>
        </w:tc>
        <w:tc>
          <w:tcPr>
            <w:tcW w:w="102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193,150</w:t>
            </w:r>
          </w:p>
        </w:tc>
      </w:tr>
      <w:tr>
        <w:trPr>
          <w:trHeight w:val="60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September 29, 2018</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1,002,341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803,417</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gridSpan w:val="4"/>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$ 1,253,416</w:t>
            </w:r>
          </w:p>
        </w:tc>
        <w:tc>
          <w:tcPr>
            <w:tcW w:w="60" w:type="dxa"/>
            <w:vAlign w:val="bottom"/>
            <w:tcBorders>
              <w:top w:val="single" w:sz="8" w:color="auto"/>
            </w:tcBorders>
            <w:gridSpan w:val="3"/>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$ 441,825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3,500,999</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60,683</w:t>
            </w:r>
          </w:p>
        </w:tc>
        <w:tc>
          <w:tcPr>
            <w:tcW w:w="20" w:type="dxa"/>
            <w:vAlign w:val="bottom"/>
          </w:tcPr>
          <w:p>
            <w:pPr>
              <w:spacing w:after="0"/>
              <w:rPr>
                <w:sz w:val="18"/>
                <w:szCs w:val="18"/>
                <w:color w:val="auto"/>
              </w:rPr>
            </w:pPr>
          </w:p>
        </w:tc>
        <w:tc>
          <w:tcPr>
            <w:tcW w:w="108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44,183</w:t>
            </w:r>
          </w:p>
        </w:tc>
        <w:tc>
          <w:tcPr>
            <w:tcW w:w="9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181,450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332,157</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20" w:type="dxa"/>
            <w:vAlign w:val="bottom"/>
            <w:shd w:val="clear" w:color="auto" w:fill="CCEEFF"/>
          </w:tcPr>
          <w:p>
            <w:pPr>
              <w:spacing w:after="0"/>
              <w:rPr>
                <w:sz w:val="18"/>
                <w:szCs w:val="18"/>
                <w:color w:val="auto"/>
              </w:rPr>
            </w:pPr>
          </w:p>
        </w:tc>
        <w:tc>
          <w:tcPr>
            <w:tcW w:w="108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65,923</w:t>
            </w:r>
          </w:p>
        </w:tc>
        <w:tc>
          <w:tcPr>
            <w:tcW w:w="96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161,825</w:t>
            </w:r>
          </w:p>
        </w:tc>
      </w:tr>
    </w:tbl>
    <w:p>
      <w:pPr>
        <w:spacing w:after="0" w:line="25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Beginning on January 1, 2020, the Company will be re-organized around the markets it serves rather than geography. The business segments will primarily align with the following markets: UFP Retail, UFP Construction and UFP Industrial. We believe this change in segmentation will, among other factors, allow for a more specialized and consistent sales approach among all Universal operations, more efficient use of resources and capital, and quicker introduction of new products and services.</w:t>
      </w:r>
    </w:p>
    <w:p>
      <w:pPr>
        <w:spacing w:after="0" w:line="180" w:lineRule="exact"/>
        <w:rPr>
          <w:sz w:val="20"/>
          <w:szCs w:val="20"/>
          <w:color w:val="auto"/>
        </w:rPr>
      </w:pPr>
    </w:p>
    <w:p>
      <w:pPr>
        <w:ind w:left="500" w:hanging="491"/>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23.8% in the third quarter of 2019 compared to 23.9% for same period in 2018. Our effective tax rate was 24.0% in the first nine months of 2019 compared to 23.1% for the same period in 2018. The increase was primarily due to recording certain discrete tax benefits in 2018 related to state income tax and stock-based compensation deduction, which lowered the effective tax rate last year and additional non-deductible compensation in 2019.</w:t>
      </w:r>
    </w:p>
    <w:p>
      <w:pPr>
        <w:spacing w:after="0" w:line="184" w:lineRule="exact"/>
        <w:rPr>
          <w:sz w:val="20"/>
          <w:szCs w:val="20"/>
          <w:color w:val="auto"/>
        </w:rPr>
      </w:pPr>
    </w:p>
    <w:p>
      <w:pPr>
        <w:ind w:left="440" w:hanging="431"/>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(ASU) No. 2016-02, “Leases (Topic 842)” (ASU 2016-02). Under ASU 2016-02,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2016-02 requires new disclosures that depict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 timing, and uncertainty of cash flows pertaining to an entity’s leases. Companies are required to adopt the new standard for annual and interim periods beginning after December 15, 2018. Early adoption of ASU 2016-02 is permitted. The FASB decided to amend certain aspects of its new leasing standard in an attempt to provide a relief from implementation costs. Specifically, entities may elect not to restate their comparative periods in the period of adoption when transitioning to the new standard.</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adoption of ASC 842, there was no cumulative effect adjustment to retained earnings or other components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elected the package of practical expedients whereby we are not required to 1) reassess whether any expired or existing contracts contain leases, 2) reassess the lease classification of existing leases, and 3) reassess initial direct costs for any existing leases. Additionally, we did not elect the hindsight practical expedient to determine the reasonably certain lease term for existing leases. We did elect to account for lease and related non-lease components as a single lease component. We elected to not recognize leases with an original term of 12 months or less as they are not significant to our consolidated balance sheet and income statement. We have assessed and updated our business processes, systems, and controls to ensure compliance with the new accounting and disclosure requirements in accordance with the new standard.</w:t>
      </w:r>
    </w:p>
    <w:p>
      <w:pPr>
        <w:spacing w:after="0" w:line="18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w:t>
      </w:r>
    </w:p>
    <w:p>
      <w:pPr>
        <w:spacing w:after="0" w:line="18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believe finance leases will have no significant impact to our consolidated balance sheet and income statement as of September 28, 2019.</w:t>
      </w:r>
    </w:p>
    <w:p>
      <w:pPr>
        <w:spacing w:after="0" w:line="16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As of September 28, 2019, we have no leases that have not yet commenced that would significantly impact the rights, obligations, and financial position of the Company.</w:t>
      </w:r>
    </w:p>
    <w:p>
      <w:pPr>
        <w:spacing w:after="0" w:line="16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rates implicit in our leases are primarily not readily available. To determine the discount rate used to present value the lease payments, the Company utilized the 5-year treasury note rate plus a blend of rate spreads associated with our revolver and 10-12-year senior notes along with estimated spreads based on current market conditions. We feel the determined rate is a reasonable collectively representation of our lease population.</w:t>
      </w:r>
    </w:p>
    <w:p>
      <w:pPr>
        <w:spacing w:after="0" w:line="180" w:lineRule="exact"/>
        <w:rPr>
          <w:sz w:val="20"/>
          <w:szCs w:val="20"/>
          <w:color w:val="auto"/>
        </w:rPr>
      </w:pPr>
    </w:p>
    <w:p>
      <w:pPr>
        <w:ind w:right="820" w:firstLine="492"/>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on September 28, 2019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0"/>
        </w:trPr>
        <w:tc>
          <w:tcPr>
            <w:tcW w:w="8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23"/>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22,471</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77,481</w:t>
            </w:r>
          </w:p>
        </w:tc>
      </w:tr>
      <w:tr>
        <w:trPr>
          <w:trHeight w:val="216"/>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10"/>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75,436</w:t>
            </w: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Rent expense was approximately $7.0 million and $4.7 million during the third quarter of 2019 and 2018,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comparison purposes, we have included the future minimum payments under non-cancelable operating leases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2018, (in thousands):</w:t>
      </w:r>
    </w:p>
    <w:tbl>
      <w:tblPr>
        <w:tblLayout w:type="fixed"/>
        <w:tblInd w:w="0" w:type="dxa"/>
        <w:tblCellMar>
          <w:top w:w="0" w:type="dxa"/>
          <w:left w:w="0" w:type="dxa"/>
          <w:bottom w:w="0" w:type="dxa"/>
          <w:right w:w="0" w:type="dxa"/>
        </w:tblCellMar>
      </w:tblPr>
      <w:tr>
        <w:trPr>
          <w:trHeight w:val="146"/>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9"/>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180"/>
        </w:trPr>
        <w:tc>
          <w:tcPr>
            <w:tcW w:w="8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12/29/2018</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22,498</w:t>
            </w:r>
          </w:p>
        </w:tc>
      </w:tr>
      <w:tr>
        <w:trPr>
          <w:trHeight w:val="216"/>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76,221</w:t>
            </w: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the Company completed a sale and leaseback transaction related to one facility in Medley, Florida. The sale price for the property was approximately $36 million and created a $7 million pre-tax gain, which was entirely recognized in 2018. The Company leased back the facility for two years as it executes its long-term plan for Florida and the Southeast region, however, only a minor portion of the property sold was leased back.</w:t>
      </w:r>
    </w:p>
    <w:p>
      <w:pPr>
        <w:spacing w:after="0" w:line="180"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As of September 28, 2019, the weighted average lease term for operating leases is 7.25 years. Similarly, the weighted average discount rate for operating leases is 3.02%.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7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Below is a summary of common stock issuances for the first nine months of 2019 and 2018:</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4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46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20" w:type="dxa"/>
            <w:vAlign w:val="bottom"/>
            <w:tcBorders>
              <w:bottom w:val="single" w:sz="8" w:color="auto"/>
            </w:tcBorders>
            <w:gridSpan w:val="3"/>
            <w:vMerge w:val="continue"/>
          </w:tcPr>
          <w:p>
            <w:pPr>
              <w:spacing w:after="0"/>
              <w:rPr>
                <w:sz w:val="11"/>
                <w:szCs w:val="11"/>
                <w:color w:val="auto"/>
              </w:rPr>
            </w:pPr>
          </w:p>
        </w:tc>
        <w:tc>
          <w:tcPr>
            <w:tcW w:w="54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bottom w:val="single" w:sz="8" w:color="CCEEFF"/>
            </w:tcBorders>
            <w:gridSpan w:val="2"/>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long term stock incentive plan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29, 2018</w:t>
            </w: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44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20" w:type="dxa"/>
            <w:vAlign w:val="bottom"/>
            <w:tcBorders>
              <w:bottom w:val="single" w:sz="8" w:color="auto"/>
            </w:tcBorders>
            <w:vMerge w:val="continue"/>
          </w:tcPr>
          <w:p>
            <w:pPr>
              <w:spacing w:after="0"/>
              <w:rPr>
                <w:sz w:val="11"/>
                <w:szCs w:val="11"/>
                <w:color w:val="auto"/>
              </w:rPr>
            </w:pPr>
          </w:p>
        </w:tc>
        <w:tc>
          <w:tcPr>
            <w:tcW w:w="54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34.97</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35.91</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16.91</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long term stock incentive plan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34.75</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32.94</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349</w:t>
            </w:r>
          </w:p>
        </w:tc>
        <w:tc>
          <w:tcPr>
            <w:tcW w:w="3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29.38</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36.09</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Universal Forest Products, Inc., or its affiliated operations, go to www.ufpi.com.</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2019.</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third quarter of 2019 were impacted by the following:</w:t>
      </w:r>
    </w:p>
    <w:p>
      <w:pPr>
        <w:spacing w:after="0" w:line="225" w:lineRule="exact"/>
        <w:rPr>
          <w:sz w:val="20"/>
          <w:szCs w:val="20"/>
          <w:color w:val="auto"/>
        </w:rPr>
      </w:pPr>
    </w:p>
    <w:p>
      <w:pPr>
        <w:jc w:val="both"/>
        <w:ind w:left="840" w:hanging="318"/>
        <w:spacing w:after="0" w:line="26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sales decreased by 4% compared to the third quarter of 2018, which was comprised of a 7% increase in unit sales, offset by an 11% decrease in selling prices primarily due to the commodity lumber market (see Historical Lumber Prices below). Organic growth contributed 6% of our unit sales increase, while acquisitions contributed 1%. We experienced favorable unit growth to each of the primary markets we serve.</w:t>
      </w:r>
    </w:p>
    <w:p>
      <w:pPr>
        <w:spacing w:after="0" w:line="180" w:lineRule="exact"/>
        <w:rPr>
          <w:rFonts w:ascii="Times New Roman" w:cs="Times New Roman" w:eastAsia="Times New Roman" w:hAnsi="Times New Roman"/>
          <w:sz w:val="18"/>
          <w:szCs w:val="18"/>
          <w:color w:val="auto"/>
        </w:rPr>
      </w:pPr>
    </w:p>
    <w:p>
      <w:pPr>
        <w:jc w:val="both"/>
        <w:ind w:left="840" w:hanging="318"/>
        <w:spacing w:after="0" w:line="258"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increased nearly 24%, which compares favorably with our 7% increase in unit sales. The improvement in our profitability was primarily due to a favorable change in our product mix to sales of more value-added products, strong organic growth combined with leveraging fixed costs, the impact of lower lumber costs on products we sell with fixed selling prices and a more favorable trend in lumber prices in 2019 which resulted in a higher profit per unit of products sold with a variable price.</w:t>
      </w:r>
    </w:p>
    <w:p>
      <w:pPr>
        <w:spacing w:after="0" w:line="183" w:lineRule="exact"/>
        <w:rPr>
          <w:rFonts w:ascii="Times New Roman" w:cs="Times New Roman" w:eastAsia="Times New Roman" w:hAnsi="Times New Roman"/>
          <w:sz w:val="18"/>
          <w:szCs w:val="18"/>
          <w:color w:val="auto"/>
        </w:rPr>
      </w:pPr>
    </w:p>
    <w:p>
      <w:pPr>
        <w:jc w:val="both"/>
        <w:ind w:left="840" w:hanging="318"/>
        <w:spacing w:after="0" w:line="266"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operating activities for the third quarter improved by $138 million compared to 2018 primarily due to lower lumber prices, which lowered our investment in working capital, and opportunistic buying of inventory in the fourth quarter of 2018 which was sold in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comprised approximately 45% and 44% of total lumber purchases through the first nine months of 2019 and 2018, respectively.</w:t>
      </w:r>
    </w:p>
    <w:p>
      <w:pPr>
        <w:spacing w:after="0" w:line="183"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0" w:type="dxa"/>
        <w:tblCellMar>
          <w:top w:w="0" w:type="dxa"/>
          <w:left w:w="0" w:type="dxa"/>
          <w:bottom w:w="0" w:type="dxa"/>
          <w:right w:w="0" w:type="dxa"/>
        </w:tblCellMar>
      </w:tblPr>
      <w:tr>
        <w:trPr>
          <w:trHeight w:val="162"/>
        </w:trPr>
        <w:tc>
          <w:tcPr>
            <w:tcW w:w="7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56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56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(22.2)%</w:t>
            </w:r>
          </w:p>
        </w:tc>
      </w:tr>
      <w:tr>
        <w:trPr>
          <w:trHeight w:val="864"/>
        </w:trPr>
        <w:tc>
          <w:tcPr>
            <w:tcW w:w="3400" w:type="dxa"/>
            <w:vAlign w:val="bottom"/>
          </w:tcPr>
          <w:p>
            <w:pPr>
              <w:spacing w:after="0"/>
              <w:rPr>
                <w:sz w:val="24"/>
                <w:szCs w:val="24"/>
                <w:color w:val="auto"/>
              </w:rPr>
            </w:pPr>
          </w:p>
        </w:tc>
        <w:tc>
          <w:tcPr>
            <w:tcW w:w="566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20</w:t>
            </w:r>
          </w:p>
        </w:tc>
      </w:tr>
      <w:tr>
        <w:trPr>
          <w:trHeight w:val="547"/>
        </w:trPr>
        <w:tc>
          <w:tcPr>
            <w:tcW w:w="34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0"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42.6% and 51.5% of our sales in the first nine months of 2019 and 2018,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40" w:hanging="318"/>
        <w:spacing w:after="0" w:line="255"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 We believe our sales of these products are at their highest relative level in our third and fourth quarter.</w:t>
      </w:r>
    </w:p>
    <w:p>
      <w:pPr>
        <w:spacing w:after="0" w:line="185" w:lineRule="exact"/>
        <w:rPr>
          <w:rFonts w:ascii="Times New Roman" w:cs="Times New Roman" w:eastAsia="Times New Roman" w:hAnsi="Times New Roman"/>
          <w:sz w:val="18"/>
          <w:szCs w:val="18"/>
          <w:color w:val="auto"/>
        </w:rPr>
      </w:pPr>
    </w:p>
    <w:p>
      <w:pPr>
        <w:jc w:val="both"/>
        <w:ind w:left="840" w:hanging="318"/>
        <w:spacing w:after="0" w:line="255"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profits.</w:t>
      </w:r>
      <w:r>
        <w:rPr>
          <w:rFonts w:ascii="Times New Roman" w:cs="Times New Roman" w:eastAsia="Times New Roman" w:hAnsi="Times New Roman"/>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40" w:hanging="318"/>
        <w:spacing w:after="0" w:line="255"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Times New Roman" w:cs="Times New Roman" w:eastAsia="Times New Roman" w:hAnsi="Times New Roman"/>
          <w:sz w:val="18"/>
          <w:szCs w:val="18"/>
          <w:i w:val="1"/>
          <w:iCs w:val="1"/>
          <w:color w:val="auto"/>
        </w:rPr>
        <w:t>Please refer to the “Risk Factors” section of our annual report on form 10-K, filed with the 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and Exchange Commission.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840" w:hanging="318"/>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by locking in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is apparent from the preceding example,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completed three business acquisitions during the first nine months of 2019 and seven during all of 2018. The annual historical sales attributable to acquisitions completed in the first nine months of 2019 and all of 2018 were approximately $37 million and $140 million, respectively. These business combinations were not significant to our quarterly or year-to-date operating results individually or in aggregate and thus pro forma results for 2019 or 2018 are not presented.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0"/>
                <w:szCs w:val="10"/>
                <w:color w:val="auto"/>
              </w:rPr>
            </w:pP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0"/>
                <w:szCs w:val="10"/>
                <w:color w:val="auto"/>
              </w:rPr>
            </w:pPr>
          </w:p>
        </w:tc>
        <w:tc>
          <w:tcPr>
            <w:tcW w:w="9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210"/>
        </w:trPr>
        <w:tc>
          <w:tcPr>
            <w:tcW w:w="44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30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Actual percentages are calculated and may not sum to total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net sales, adjusted to restate 2019 net sales and cost of goods sold at prior year lumber prices. The restated sales amounts were calculated by applying the decrease in lumber prices in 2019 to 2018 sales levels. By eliminating the “pass-through” impact of higher or lower lumber prices on net sales and cost of goods sold from year to year, we believe this provides an enhanced view of our change in profitability and costs as a percentage of sales. The amount of the adjustment to 2019 net sales was also applied to cost of goods sold so that gross profit remains unchanged.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for Lumber Market Change</w:t>
            </w: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for Lumber Market Change</w:t>
            </w:r>
          </w:p>
        </w:tc>
      </w:tr>
      <w:tr>
        <w:trPr>
          <w:trHeight w:val="180"/>
        </w:trPr>
        <w:tc>
          <w:tcPr>
            <w:tcW w:w="4060" w:type="dxa"/>
            <w:vAlign w:val="bottom"/>
          </w:tcPr>
          <w:p>
            <w:pPr>
              <w:spacing w:after="0"/>
              <w:rPr>
                <w:sz w:val="15"/>
                <w:szCs w:val="15"/>
                <w:color w:val="auto"/>
              </w:rPr>
            </w:pPr>
          </w:p>
        </w:tc>
        <w:tc>
          <w:tcPr>
            <w:tcW w:w="21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bottom w:val="single" w:sz="8" w:color="auto"/>
            </w:tcBorders>
          </w:tcPr>
          <w:p>
            <w:pPr>
              <w:spacing w:after="0"/>
              <w:rPr>
                <w:sz w:val="15"/>
                <w:szCs w:val="15"/>
                <w:color w:val="auto"/>
              </w:rPr>
            </w:pPr>
          </w:p>
        </w:tc>
      </w:tr>
      <w:tr>
        <w:trPr>
          <w:trHeight w:val="124"/>
        </w:trPr>
        <w:tc>
          <w:tcPr>
            <w:tcW w:w="406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60" w:type="dxa"/>
            <w:vAlign w:val="bottom"/>
          </w:tcPr>
          <w:p>
            <w:pPr>
              <w:spacing w:after="0"/>
              <w:rPr>
                <w:sz w:val="10"/>
                <w:szCs w:val="10"/>
                <w:color w:val="auto"/>
              </w:rPr>
            </w:pPr>
          </w:p>
        </w:tc>
        <w:tc>
          <w:tcPr>
            <w:tcW w:w="9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0"/>
                <w:szCs w:val="10"/>
                <w:color w:val="auto"/>
              </w:rPr>
            </w:pPr>
          </w:p>
        </w:tc>
        <w:tc>
          <w:tcPr>
            <w:tcW w:w="10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0"/>
                <w:szCs w:val="10"/>
                <w:color w:val="auto"/>
              </w:rPr>
            </w:pPr>
          </w:p>
        </w:tc>
      </w:tr>
      <w:tr>
        <w:trPr>
          <w:trHeight w:val="180"/>
        </w:trPr>
        <w:tc>
          <w:tcPr>
            <w:tcW w:w="4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4" w:lineRule="exact"/>
        <w:rPr>
          <w:sz w:val="20"/>
          <w:szCs w:val="20"/>
          <w:color w:val="auto"/>
        </w:rPr>
      </w:pPr>
    </w:p>
    <w:p>
      <w:pPr>
        <w:jc w:val="both"/>
        <w:ind w:left="840" w:hanging="318"/>
        <w:spacing w:after="0" w:line="258"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end market sales mix by increasing sales of specialty wood and non-wood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83"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geographically in our core businesses, domestically and internationally.</w:t>
      </w:r>
    </w:p>
    <w:p>
      <w:pPr>
        <w:spacing w:after="0" w:line="225" w:lineRule="exact"/>
        <w:rPr>
          <w:rFonts w:ascii="Times New Roman" w:cs="Times New Roman" w:eastAsia="Times New Roman" w:hAnsi="Times New Roman"/>
          <w:sz w:val="18"/>
          <w:szCs w:val="18"/>
          <w:color w:val="auto"/>
        </w:rPr>
      </w:pPr>
    </w:p>
    <w:p>
      <w:pPr>
        <w:jc w:val="both"/>
        <w:ind w:left="840" w:hanging="318"/>
        <w:spacing w:after="0" w:line="25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87"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unit sales growth while achieving return on investment goals.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ind w:left="840" w:hanging="318"/>
        <w:spacing w:after="0" w:line="258"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and expanding our value-added product offering for existing customers. New products are defined as products that are within a 4-year cycle (launch year plus 3 full fiscal years), generate sales of at least a $1 million per year and are still growing. New product sales and gross profits in the third quarter were up 7% and 28%, respectively. New product sales and gross profits for the year-to-date were up 12% and 25%, respectively. Our goal is to achieve annual new product sales of at least $525 million in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New Product Sales by Market</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Borders>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New Product Sales by Market</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left="21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r>
      <w:tr>
        <w:trPr>
          <w:trHeight w:val="124"/>
        </w:trPr>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30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480" w:type="dxa"/>
            <w:vAlign w:val="bottom"/>
          </w:tcPr>
          <w:p>
            <w:pPr>
              <w:jc w:val="right"/>
              <w:ind w:right="3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0"/>
                <w:szCs w:val="10"/>
                <w:color w:val="auto"/>
              </w:rPr>
            </w:pPr>
          </w:p>
        </w:tc>
        <w:tc>
          <w:tcPr>
            <w:tcW w:w="1500" w:type="dxa"/>
            <w:vAlign w:val="bottom"/>
            <w:gridSpan w:val="4"/>
          </w:tcPr>
          <w:p>
            <w:pPr>
              <w:jc w:val="center"/>
              <w:ind w:right="4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4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r>
      <w:tr>
        <w:trPr>
          <w:trHeight w:val="19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220" w:type="dxa"/>
            <w:vAlign w:val="bottom"/>
          </w:tcPr>
          <w:p>
            <w:pPr>
              <w:spacing w:after="0"/>
              <w:rPr>
                <w:sz w:val="16"/>
                <w:szCs w:val="16"/>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9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97,022</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88,949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295,962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258,171</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3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142,886</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428,788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381,574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Value-Added and Commodity-Based Sales: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tcPr>
          <w:p>
            <w:pPr>
              <w:spacing w:after="0"/>
              <w:rPr>
                <w:sz w:val="15"/>
                <w:szCs w:val="15"/>
                <w:color w:val="auto"/>
              </w:rPr>
            </w:pPr>
          </w:p>
        </w:tc>
        <w:tc>
          <w:tcPr>
            <w:tcW w:w="19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51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98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980" w:type="dxa"/>
            <w:vAlign w:val="bottom"/>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0"/>
        </w:trPr>
        <w:tc>
          <w:tcPr>
            <w:tcW w:w="5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w:t>
            </w:r>
          </w:p>
        </w:tc>
        <w:tc>
          <w:tcPr>
            <w:tcW w:w="1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67.6 %</w:t>
            </w: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62.1 %</w:t>
            </w:r>
          </w:p>
        </w:tc>
        <w:tc>
          <w:tcPr>
            <w:tcW w:w="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66.9 %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Commodity-Based</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32.4 %</w:t>
            </w: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37.9 %</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33.1 %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r>
    </w:tbl>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gross sales and percentage change in gross sales by market classification.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32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110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c>
          <w:tcPr>
            <w:tcW w:w="11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1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437,092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441,916</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$ 1,315,543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1,356,920</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Industrial </w:t>
            </w:r>
            <w:r>
              <w:rPr>
                <w:rFonts w:ascii="Times New Roman" w:cs="Times New Roman" w:eastAsia="Times New Roman" w:hAnsi="Times New Roman"/>
                <w:sz w:val="25"/>
                <w:szCs w:val="25"/>
                <w:color w:val="auto"/>
                <w:vertAlign w:val="superscript"/>
              </w:rPr>
              <w:t>(1)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353,660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986,410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6"/>
        </w:trPr>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438,115</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1,145,064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1,222,395</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1,184,030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1,233,691</w:t>
            </w: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3,480,142</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3,565,725</w:t>
            </w: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1,163,026</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1,212,702</w:t>
            </w: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top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$ 3,417,969</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3,500,999</w:t>
            </w: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4" w:lineRule="exact"/>
        <w:rPr>
          <w:sz w:val="20"/>
          <w:szCs w:val="20"/>
          <w:color w:val="auto"/>
        </w:rPr>
      </w:pPr>
    </w:p>
    <w:p>
      <w:pPr>
        <w:jc w:val="both"/>
        <w:ind w:left="840" w:hanging="318"/>
        <w:spacing w:after="0" w:line="241" w:lineRule="auto"/>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sales in the third quarter of 2019 decreased 4% compared to the same period of 2018, due to a 7% increase in unit sales, offset by an 11% decrease in selling prices primarily due to the Lumber Market. Acquired operations contributed 1% to our unit sales growth, and our organic unit sales growth was 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sales in the first nine months of 2019 decreased 2% compared to the same period of 2018, due to a 6% increase in unit sales, offset by an 8% decrease in selling prices primarily due to the Lumber Market. Acquired operations contributed 2% to our unit sales growth, and our organic unit sales growth was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sales to the retail market decreased 1% in the third quarter of 2019 compared to the same period of 2018, due to a 10% increase in unit sales, offset by an 11% decrease in selling prices. Within this market, sales to our big box customers increased over 5%, and sales to other independent retailers decreased almost 10%. Our organic unit growth was primarily due to an increase in new product sales, market share gains we achieved in our Deckorators product category and an increase in demand with one of our big box customers.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sales to the retail market decreased 3% in the first nine months of 2019 compared to the same period of 2018, due to a 6% increase in organic unit sales, offset by a 9% decrease in selling prices. Within this market, sales to our big box customers increased over 3%, and sales to other independent retailers decreased over 12%. Our organic unit growth was primarily due to the same reasons mentioned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sales to the industrial market decreased 6% in the third quarter of 2019 compared to the same period of 2018, resulting from a 4% increase in unit sales, offset by a 10% decrease in selling prices. Businesses we acquired since the third quarter of 2018 contributed 2% to our growth in unit sales. Our organic unit growth was primarily due to gaining $10 million of sales to new customers in 2019.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sales to the industrial market increased 3% in the first nine months of 2019 compared to the same period of 2018, resulting from an 8% increase in unit sales, offset by a 5% decrease in selling prices. Businesses we acquired since the third quarter of 2018 contributed 5% to our growth in unit sales. Our organic growth in unit sales of 3% was primarily due to increasing our share of business with existing customers and adding new products and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sales to the construction market decreased 5% in the third quarter of 2019 compared to 2018. The decrease was due to an 8% increase in unit sales, offset by a 13% decrease in our selling prices. Our increase in unit sales was driven by a 15% increase to commercial construction customers, a 6% increase to residential construction customers, and a 1% increase to manufactured housing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comparison (and based upon various industry publications):</w:t>
      </w:r>
    </w:p>
    <w:p>
      <w:pPr>
        <w:spacing w:after="0" w:line="225" w:lineRule="exact"/>
        <w:rPr>
          <w:sz w:val="20"/>
          <w:szCs w:val="20"/>
          <w:color w:val="auto"/>
        </w:rPr>
      </w:pPr>
    </w:p>
    <w:p>
      <w:pPr>
        <w:ind w:left="840" w:hanging="318"/>
        <w:spacing w:after="0" w:line="26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HUD-code manufactured homes in July and August 2019, the most recent period reported, was down 1.0% compared to the same period of 2018.</w:t>
      </w:r>
    </w:p>
    <w:p>
      <w:pPr>
        <w:ind w:left="840" w:right="20" w:hanging="318"/>
        <w:spacing w:after="0" w:line="26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starts increased by approximately 4.1% in the period from June through August 2019 (our sales trail housing starts by about a month) compared to the same period of 2018.</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growth in sales to commercial construction was primarily due to idX and adding 5 new customers in our Texas and Great Lakes regions.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sales to the construction market decreased 6% in the first nine months of 2019 compared to 2018. The decrease was due to a 5% increase in unit sales, offset by an 11% decrease in our selling prices. Our increase in unit sales was driven 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11% increase to commercial construction customers and a 6% increase to residential construction customers, offset by a 1% decrease to manufactured housing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AND 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increased to 16.1% from 13.1% comparing the third quarter of 2019 to the same period of 2018 due to:</w:t>
      </w:r>
    </w:p>
    <w:p>
      <w:pPr>
        <w:spacing w:after="0" w:line="225" w:lineRule="exact"/>
        <w:rPr>
          <w:sz w:val="20"/>
          <w:szCs w:val="20"/>
          <w:color w:val="auto"/>
        </w:rPr>
      </w:pPr>
    </w:p>
    <w:p>
      <w:pPr>
        <w:ind w:left="720" w:hanging="333"/>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lower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lumber prices (See “Impact of the Lumber Market on Our Operating Results”).</w:t>
      </w:r>
    </w:p>
    <w:p>
      <w:pPr>
        <w:spacing w:after="0" w:line="27" w:lineRule="exact"/>
        <w:rPr>
          <w:rFonts w:ascii="Times New Roman" w:cs="Times New Roman" w:eastAsia="Times New Roman" w:hAnsi="Times New Roman"/>
          <w:sz w:val="18"/>
          <w:szCs w:val="18"/>
          <w:color w:val="auto"/>
        </w:rPr>
      </w:pPr>
    </w:p>
    <w:p>
      <w:pPr>
        <w:ind w:left="720" w:hanging="333"/>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our sales mix of value-added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lower lumber costs on products we sell with fixed selling prices.</w:t>
      </w:r>
    </w:p>
    <w:p>
      <w:pPr>
        <w:spacing w:after="0" w:line="9" w:lineRule="exact"/>
        <w:rPr>
          <w:rFonts w:ascii="Times New Roman" w:cs="Times New Roman" w:eastAsia="Times New Roman" w:hAnsi="Times New Roman"/>
          <w:sz w:val="18"/>
          <w:szCs w:val="18"/>
          <w:color w:val="auto"/>
        </w:rPr>
      </w:pPr>
    </w:p>
    <w:p>
      <w:pPr>
        <w:ind w:left="720" w:hanging="333"/>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favorable lumber trend in lumber prices in 2019 which resulted in a higher profit per unit on products sold with variable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$28.6 million, or 18.0%, increase in gross profit dollars compares favorably to our 7% increase in unit sales during the same period due to the factors above. In addition, acquired operations contributed $2.2 million of gross profit in the third quarter of 2019. Excluding acquisitions, our gross profits increased by $26 million, or 16.3%, over the same period and was comprised of the following changes by market:</w:t>
      </w:r>
    </w:p>
    <w:p>
      <w:pPr>
        <w:spacing w:after="0" w:line="180" w:lineRule="exact"/>
        <w:rPr>
          <w:sz w:val="20"/>
          <w:szCs w:val="20"/>
          <w:color w:val="auto"/>
        </w:rPr>
      </w:pPr>
    </w:p>
    <w:p>
      <w:pPr>
        <w:ind w:left="840" w:hanging="318"/>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increased by approximately $13 million.</w:t>
      </w:r>
    </w:p>
    <w:p>
      <w:pPr>
        <w:spacing w:after="0" w:line="27"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increased by approximately $9 million.</w:t>
      </w:r>
    </w:p>
    <w:p>
      <w:pPr>
        <w:spacing w:after="0" w:line="9"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declined by approximately $2 million.</w:t>
      </w:r>
    </w:p>
    <w:p>
      <w:pPr>
        <w:spacing w:after="0" w:line="9" w:lineRule="exact"/>
        <w:rPr>
          <w:rFonts w:ascii="Times New Roman" w:cs="Times New Roman" w:eastAsia="Times New Roman" w:hAnsi="Times New Roman"/>
          <w:sz w:val="18"/>
          <w:szCs w:val="18"/>
          <w:color w:val="auto"/>
        </w:rPr>
      </w:pPr>
    </w:p>
    <w:p>
      <w:pPr>
        <w:ind w:left="840" w:right="20" w:hanging="318"/>
        <w:spacing w:after="0" w:line="261" w:lineRule="auto"/>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$6 million increase was due to a variety of factors including favorable labor and overhead cost variances in certain areas of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gross margin increased to 15.5% from 13.0% comparing the first nine months of 2019 to the same period of 2018 due to the same factors discussed above along with atypical buying opportunities when lumber prices were low in the fourth quarter of 2018, which benefitted our gross profits in Q1 and Q2. Our $73 million, or 16.0%, increase in gross profit dollars compares favorably to our 6% increase in unit sales during the same period due to the factors above. In addition, acquired operations contributed $9.5 million of gross profit in the first nine months of 2019. Excluding acquisitions, our gross profits increased by $64 million, or 14%, over the same period last year was comprised of the following changes by market:</w:t>
      </w:r>
    </w:p>
    <w:p>
      <w:pPr>
        <w:spacing w:after="0" w:line="188" w:lineRule="exact"/>
        <w:rPr>
          <w:sz w:val="20"/>
          <w:szCs w:val="20"/>
          <w:color w:val="auto"/>
        </w:rPr>
      </w:pPr>
    </w:p>
    <w:p>
      <w:pPr>
        <w:ind w:left="840" w:hanging="318"/>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increased by approximately $23 million.</w:t>
      </w:r>
    </w:p>
    <w:p>
      <w:pPr>
        <w:spacing w:after="0" w:line="27"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increased by approximately $24 million.</w:t>
      </w:r>
    </w:p>
    <w:p>
      <w:pPr>
        <w:spacing w:after="0" w:line="9"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increased by approximately $10 million.</w:t>
      </w:r>
    </w:p>
    <w:p>
      <w:pPr>
        <w:spacing w:after="0" w:line="9" w:lineRule="exact"/>
        <w:rPr>
          <w:rFonts w:ascii="Times New Roman" w:cs="Times New Roman" w:eastAsia="Times New Roman" w:hAnsi="Times New Roman"/>
          <w:sz w:val="18"/>
          <w:szCs w:val="18"/>
          <w:color w:val="auto"/>
        </w:rPr>
      </w:pPr>
    </w:p>
    <w:p>
      <w:pPr>
        <w:ind w:left="840" w:right="20" w:hanging="318"/>
        <w:spacing w:after="0" w:line="261"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$7 million increase was due to a variety of factors including favorable labor and overhead cost variances in certain areas of our business.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Due to several factors, including the variety of species we buy, the variety and number of products we sell, and pricing methodologies, estimating the impact of market-favorable lumber buying, that occurred in the fourth quarter of 2018, on our gross profits is difficult. Nevertheless, we estimate this contributed approximately $6 million to $7 million in additional gross profits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$13.7 million, or 13.4%, in the third quarter of 2019 compared to the same period of 2018, while we reported a 7% increase in unit sales. Accrued bonus expense, which varies with our overall profitability and return on investment, totaled $22.6 million in the third quarter of 2019 compared to $14.3 million in 2018. Acquired operations since the third quarter of 2018 contributed approximately $1.4 million to our year over year increase in SG&amp;A. The remaining increase was primarily due to sales incentives, marketing costs, and increases in wages, benefits, and payroll taxes associated with headcount and rate increases.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$33.9 million, or 11.3%, in the first nine months of 2019 compared to the same period of 2018, while we reported a 6% increase in unit sales. Accrued bonus expense, which varies with our overall profitability and return on investment, totaled $53.3 million in the first nine months of 2019 compared to $37.9 million in 2018. Acquired operations since the third quarter of 2018 contributed approximately $5.8 million to our year over year increase in SG&amp;A. The remaining increase was primarily due to an increase in wages and benefits costs associated with headcount and rate increases, sales incentives, medical costs, and marketing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was flat in the third quarter and higher in the first nine months of 2019 compared to the same periods of 2018. Our year to date interest rate increased as a result of a long-term debt issuance that we completed in June 2018 and used the proceeds to pay down our revolving credit facility. The impact of a higher overall rate was offset by lower debt levels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23.8% in the third quarter of 2019 compared to 23.9% for same period in 2018. Our effective tax rate was 24.0% in the first nine months of 2019 compared to 23.1% for the same period in 2018. The increase was primarily due to recording certain discrete tax benefits in 2018 related to state income tax and stock-based compensation deduction, which lowered the effective tax rate last year, and additional non-deductible compensation in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56"/>
        </w:trPr>
        <w:tc>
          <w:tcPr>
            <w:tcW w:w="1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24"/>
        </w:trPr>
        <w:tc>
          <w:tcPr>
            <w:tcW w:w="1120" w:type="dxa"/>
            <w:vAlign w:val="bottom"/>
          </w:tcPr>
          <w:p>
            <w:pPr>
              <w:spacing w:after="0"/>
              <w:rPr>
                <w:sz w:val="10"/>
                <w:szCs w:val="10"/>
                <w:color w:val="auto"/>
              </w:rPr>
            </w:pPr>
          </w:p>
        </w:tc>
        <w:tc>
          <w:tcPr>
            <w:tcW w:w="110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0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1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6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0"/>
                <w:szCs w:val="10"/>
                <w:color w:val="auto"/>
              </w:rPr>
            </w:pPr>
          </w:p>
        </w:tc>
        <w:tc>
          <w:tcPr>
            <w:tcW w:w="68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60" w:type="dxa"/>
            <w:vAlign w:val="bottom"/>
          </w:tcPr>
          <w:p>
            <w:pPr>
              <w:jc w:val="center"/>
              <w:ind w:left="134"/>
              <w:spacing w:after="0" w:line="124"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0"/>
                <w:szCs w:val="10"/>
                <w:color w:val="auto"/>
              </w:rPr>
            </w:pPr>
          </w:p>
        </w:tc>
      </w:tr>
      <w:tr>
        <w:trPr>
          <w:trHeight w:val="180"/>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1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352,642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341,334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South</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(42,181)</w:t>
            </w:r>
          </w:p>
        </w:tc>
        <w:tc>
          <w:tcPr>
            <w:tcW w:w="60" w:type="dxa"/>
            <w:vAlign w:val="bottom"/>
          </w:tcPr>
          <w:p>
            <w:pPr>
              <w:spacing w:after="0"/>
              <w:rPr>
                <w:sz w:val="18"/>
                <w:szCs w:val="18"/>
                <w:color w:val="auto"/>
              </w:rPr>
            </w:pP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(20,940)</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0"/>
        </w:trPr>
        <w:tc>
          <w:tcPr>
            <w:tcW w:w="1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$ 1,163,026</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$ 1,212,702</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 (49,676)</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70,467</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56,991</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13,476</w:t>
            </w: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60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24"/>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0"/>
                <w:szCs w:val="10"/>
                <w:color w:val="auto"/>
              </w:rPr>
            </w:pPr>
          </w:p>
        </w:tc>
        <w:tc>
          <w:tcPr>
            <w:tcW w:w="100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75"/>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5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6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0"/>
                <w:szCs w:val="10"/>
                <w:color w:val="auto"/>
              </w:rPr>
            </w:pPr>
          </w:p>
        </w:tc>
        <w:tc>
          <w:tcPr>
            <w:tcW w:w="68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60" w:type="dxa"/>
            <w:vAlign w:val="bottom"/>
          </w:tcPr>
          <w:p>
            <w:pPr>
              <w:jc w:val="right"/>
              <w:ind w:right="9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r>
      <w:tr>
        <w:trPr>
          <w:trHeight w:val="180"/>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1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$ 1,011,217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$ 1,002,341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South</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730,939</w:t>
            </w:r>
          </w:p>
        </w:tc>
        <w:tc>
          <w:tcPr>
            <w:tcW w:w="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803,417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(72,478)</w:t>
            </w: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1,194,553</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1,253,416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(58,863)</w:t>
            </w:r>
          </w:p>
        </w:tc>
        <w:tc>
          <w:tcPr>
            <w:tcW w:w="7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481,260</w:t>
            </w:r>
          </w:p>
        </w:tc>
        <w:tc>
          <w:tcPr>
            <w:tcW w:w="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441,825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39,435</w:t>
            </w:r>
          </w:p>
        </w:tc>
        <w:tc>
          <w:tcPr>
            <w:tcW w:w="60" w:type="dxa"/>
            <w:vAlign w:val="bottom"/>
          </w:tcPr>
          <w:p>
            <w:pPr>
              <w:spacing w:after="0"/>
              <w:rPr>
                <w:sz w:val="18"/>
                <w:szCs w:val="18"/>
                <w:color w:val="auto"/>
              </w:rPr>
            </w:pPr>
          </w:p>
        </w:tc>
        <w:tc>
          <w:tcPr>
            <w:tcW w:w="7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8.9 %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1"/>
        </w:trPr>
        <w:tc>
          <w:tcPr>
            <w:tcW w:w="1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$ 3,417,969</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$ 3,500,999</w:t>
            </w: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 (83,030)</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193,150</w:t>
            </w: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161,825</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31,325</w:t>
            </w:r>
          </w:p>
        </w:tc>
        <w:tc>
          <w:tcPr>
            <w:tcW w:w="14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5259070</wp:posOffset>
            </wp:positionH>
            <wp:positionV relativeFrom="paragraph">
              <wp:posOffset>-10795</wp:posOffset>
            </wp:positionV>
            <wp:extent cx="4889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950" cy="1714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-10795</wp:posOffset>
            </wp:positionV>
            <wp:extent cx="403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225" cy="17145"/>
                    </a:xfrm>
                    <a:prstGeom prst="rect">
                      <a:avLst/>
                    </a:prstGeom>
                    <a:noFill/>
                  </pic:spPr>
                </pic:pic>
              </a:graphicData>
            </a:graphic>
          </wp:anchor>
        </w:drawing>
      </w:r>
    </w:p>
    <w:p>
      <w:pPr>
        <w:ind w:left="340" w:hanging="331"/>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primarily represents over (under) allocated administrative costs.</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third quarter and the first nine months of 2019, management retrospectively reallocated the related bonus expense from Corporate to their respective segment to better assess the reporting unit’s productivity.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7" w:name="page28"/>
    <w:bookmarkEnd w:id="27"/>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North</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North Segment by Market</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North Segment by Market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left="41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center"/>
              <w:ind w:left="4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c>
          <w:tcPr>
            <w:tcW w:w="10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9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162,170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152,538</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448,055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439,432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53,281</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143,666</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397,315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423,728</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360,463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349,485</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1,032,604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1,024,427</w:t>
            </w: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(22,086)</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3"/>
        </w:trPr>
        <w:tc>
          <w:tcPr>
            <w:tcW w:w="22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352,642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341,334</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1,011,217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1,002,341</w:t>
            </w: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8"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increase in sales to the industrial market was primarily due to acquired operations, which contributed $6.0 million to sales. The increase to the retail market was primarily due to an increase in demand with one of our big box customers. The decrease to the construction market was due to a combination of market growth and market share gains, offset by lower lumber prices.</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Earnings from operations for the North reportable segment increased in the third quarter of 2019 by $10.9 million, or 90.0%, due to a $14.4 million increase in gross profits, offset by a $3.5 million increase in SG&amp;A expenses compared to last year. Gross profits were higher due to increases of $4.8 million, $4.2 million, and $3.5 million within the retail, industrial, and construction markets, respectively, and due to the same factors discussed above.</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spite of lower lumber prices, net sales attributable to the North reportable segment increased in the first nine months of 2019 compared to 2018 primarily due to an increase in unit sales to existing retail customers and acquired operations, which contributed $15 million in sales to the industrial market. The decrease to the construction market was due to market growth and market share gains, offset by lower lumber prices.</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Earnings from operations for the North reportable segment increased in the first nine months of 2019 by $26.4 million, or 72.0%, due to a $33.8 million increase in gross profits, offset by a $7.4 million increase in SG&amp;A expenses compared to last year. Gross profits were higher due to increases of $10.2 million, $11.1 million, and $12.5 million within the retail, industrial, and construction markets, respectively, and was due to the same factors discussed above.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South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South Segment by Market</w:t>
            </w:r>
          </w:p>
        </w:tc>
        <w:tc>
          <w:tcPr>
            <w:tcW w:w="1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South Segment by Market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left="49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center"/>
              <w:ind w:left="4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60" w:type="dxa"/>
            <w:vAlign w:val="bottom"/>
            <w:gridSpan w:val="2"/>
            <w:vMerge w:val="continue"/>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74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60" w:type="dxa"/>
            <w:vAlign w:val="bottom"/>
            <w:gridSpan w:val="3"/>
          </w:tcPr>
          <w:p>
            <w:pPr>
              <w:jc w:val="right"/>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6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2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97,104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109,212</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309,888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355,271</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111,564</w:t>
            </w:r>
          </w:p>
        </w:tc>
        <w:tc>
          <w:tcPr>
            <w:tcW w:w="1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45,251</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168,964</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275,113</w:t>
            </w:r>
          </w:p>
        </w:tc>
        <w:tc>
          <w:tcPr>
            <w:tcW w:w="140" w:type="dxa"/>
            <w:vAlign w:val="bottom"/>
          </w:tcPr>
          <w:p>
            <w:pPr>
              <w:spacing w:after="0"/>
              <w:rPr>
                <w:sz w:val="17"/>
                <w:szCs w:val="17"/>
                <w:color w:val="auto"/>
              </w:rPr>
            </w:pPr>
          </w:p>
        </w:tc>
        <w:tc>
          <w:tcPr>
            <w:tcW w:w="740" w:type="dxa"/>
            <w:vAlign w:val="bottom"/>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745,975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819,341</w:t>
            </w: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(5,036)</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227,896</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270,077</w:t>
            </w: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730,939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803,417</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00" w:top="540"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attributable to the South reportable segment decreased in the third quarter of 2019 compared to 2018 primarily due to the impact of a lower lumber market. In addition, sales to our manufactured housing customers in the Southeast and East Central regions decreased in certain commodity product categories.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from operations for the South reportable segment increased in the third quarter of 2019 by $4.7 million, or 56.2%, due to a $6.7 million increase in gross profits, offset by a $2.0 million increase in SG&amp;A expenses compared to last year. Gross profits were higher due to increases of $3.5 million, $3.2 million, and $1 million within the retail, industrial and construction markets,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attributable to the South reportable segment decreased in the first nine months of 2019 compared to 2018 primarily due to a lower lumber market, offset by acquired operations which contributed $37.0 million in sales to the industrial market. In addition, sales to our manufactured housing customers in the Southeast and East Central regions declined in certain commodity product categories.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Earnings from operations for the South reportable segment increased in the first nine months of 2019 compared to the same period of 2018. Excluding the impact of the gain on the sale of our Medley, FL, plant in 2018, earnings from operations increased $10.2 million due to an increase of $17.8 million in gross profits offset by an increase in SG&amp;A expenses of $7.6 million compared to the same period of 2018. Gross profits were higher due to increases of $3.4 million, $12.0 million, and $2.7 million within the retail, industrial, and construction markets, respectively, and due to the same factors discussed above. Acquired operations contributed $1.6 million to our earnings from operations during the first nine months of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West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West Segment by Market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center"/>
              <w:ind w:left="496"/>
              <w:spacing w:after="0" w:line="149" w:lineRule="exact"/>
              <w:rPr>
                <w:sz w:val="20"/>
                <w:szCs w:val="20"/>
                <w:color w:val="auto"/>
              </w:rPr>
            </w:pPr>
            <w:r>
              <w:rPr>
                <w:rFonts w:ascii="Times New Roman" w:cs="Times New Roman" w:eastAsia="Times New Roman" w:hAnsi="Times New Roman"/>
                <w:sz w:val="14"/>
                <w:szCs w:val="14"/>
                <w:b w:val="1"/>
                <w:bCs w:val="1"/>
                <w:color w:val="auto"/>
              </w:rPr>
              <w:t>West Segment by Market</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left="53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center"/>
              <w:ind w:left="4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c>
          <w:tcPr>
            <w:tcW w:w="118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127,431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125,534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1.5 %</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371,666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391,713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151,771</w:t>
            </w: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162,981</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413,765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447,463</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419,377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440,286</w:t>
            </w:r>
          </w:p>
        </w:tc>
        <w:tc>
          <w:tcPr>
            <w:tcW w:w="140" w:type="dxa"/>
            <w:vAlign w:val="bottom"/>
          </w:tcPr>
          <w:p>
            <w:pPr>
              <w:spacing w:after="0"/>
              <w:rPr>
                <w:sz w:val="17"/>
                <w:szCs w:val="17"/>
                <w:color w:val="auto"/>
              </w:rPr>
            </w:pPr>
          </w:p>
        </w:tc>
        <w:tc>
          <w:tcPr>
            <w:tcW w:w="780" w:type="dxa"/>
            <w:vAlign w:val="bottom"/>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1,212,512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1,271,847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413,183</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434,123</w:t>
            </w:r>
          </w:p>
        </w:tc>
        <w:tc>
          <w:tcPr>
            <w:tcW w:w="140" w:type="dxa"/>
            <w:vAlign w:val="bottom"/>
          </w:tcPr>
          <w:p>
            <w:pPr>
              <w:spacing w:after="0"/>
              <w:rPr>
                <w:sz w:val="17"/>
                <w:szCs w:val="17"/>
                <w:color w:val="auto"/>
              </w:rPr>
            </w:pPr>
          </w:p>
        </w:tc>
        <w:tc>
          <w:tcPr>
            <w:tcW w:w="780" w:type="dxa"/>
            <w:vAlign w:val="bottom"/>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1,194,553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1,253,416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attributable to the West reportable segment decreased in the third quarter of 2019 compared to 2018 primarily due to the impact of a lower lumber market, offset by increases in unit sales to the retail and industrial markets.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operations for the West reportable segment increased in the third quarter of 2019 by $7.5 million, or 35.3%, compared to the same period in 2018 due to a $11.4 million increase in gross profit, offset by a $3.9 million increase in SG&amp;A expenses. Gross profits were higher due to increases of $4.0 million and $5.9 million in the retail and industrial markets, respectively, offset by a $0.5 million decrease in our construction market, as well as the same factors discussed above.</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attributable to the West reportable segment decreased in the first nine months of 2019 compared to 2018 primarily due to the lower lumber market, offset by increases in unit sales to the retail and industrial markets.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West reportable segment increased in the first nine months of 2019 by $11.7 million, or 17.8%, compared to the same period in 2018 due to a $19.5 million increase in gross profit, offset by a $7.8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increase in SG&amp;A expenses. Gross profits were higher due to increases of $2.1 million, $13.8 million, and $1.3 million within the retail, industrial and construction markets, respectively, and due to the same factors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Other Segment by Market</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Other Segment by Market</w:t>
            </w: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center"/>
              <w:ind w:left="43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center"/>
              <w:ind w:left="45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50,386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54,631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185,934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170,505</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Industrial </w:t>
            </w:r>
            <w:r>
              <w:rPr>
                <w:rFonts w:ascii="Times New Roman" w:cs="Times New Roman" w:eastAsia="Times New Roman" w:hAnsi="Times New Roman"/>
                <w:sz w:val="25"/>
                <w:szCs w:val="25"/>
                <w:color w:val="auto"/>
                <w:vertAlign w:val="superscript"/>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w:t>
            </w:r>
            <w:r>
              <w:rPr>
                <w:rFonts w:ascii="Times New Roman" w:cs="Times New Roman" w:eastAsia="Times New Roman" w:hAnsi="Times New Roman"/>
                <w:sz w:val="25"/>
                <w:szCs w:val="25"/>
                <w:color w:val="auto"/>
                <w:vertAlign w:val="superscript"/>
              </w:rPr>
              <w:t>(1)</w:t>
            </w: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77,130</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182,240</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171,543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168,806</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489,127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450,112</w:t>
            </w: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 &amp; Other</w:t>
            </w: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6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169,305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167,168</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481,260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441,825</w:t>
            </w:r>
          </w:p>
        </w:tc>
        <w:tc>
          <w:tcPr>
            <w:tcW w:w="1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4" w:lineRule="exact"/>
        <w:rPr>
          <w:sz w:val="20"/>
          <w:szCs w:val="20"/>
          <w:color w:val="auto"/>
        </w:rPr>
      </w:pPr>
    </w:p>
    <w:p>
      <w:pPr>
        <w:jc w:val="both"/>
        <w:ind w:left="840" w:hanging="318"/>
        <w:spacing w:after="0" w:line="241" w:lineRule="auto"/>
        <w:tabs>
          <w:tab w:leader="none" w:pos="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Alternative Materials, International, idX, and certain other segments that are not significant.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attributable to All Other reportable segments increased in the third quarter of 2019 compared to 2018 primarily due to our sales to the construction market which increased primarily due to our idX business unit.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from operations for All Other reportable segments decreased during the third quarter of 2019 by $5.7 million primarily due to losses realized in our construction market within our idX business unit.</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sales attributable to All Other reportable segments increased in the first nine months of 2019 compared to 2018 due to increases in sales to all our markets. The increase in sales to the retail market was primarily due to a $50.3 million increase to one of our big-box customers within our Alternative Materials segment, offset by decreases in sales to certain independent retailers. Our sales to the construction market increased primarily due to our idX business unit.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operations for All Other reportable segments decreased during the first nine months of 2019 by $6.3 million primarily due to losses realized in our construction market within our idX business unit and expenses associated with an advertising campaign launched in 2019 for our Deckorators brand within our Alternative Materials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r>
      <w:tr>
        <w:trPr>
          <w:trHeight w:val="180"/>
        </w:trPr>
        <w:tc>
          <w:tcPr>
            <w:tcW w:w="20" w:type="dxa"/>
            <w:vAlign w:val="bottom"/>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60,101</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52 days from 51 days during the third quarter of 2019 compared to the prior periods.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2840" w:type="dxa"/>
            <w:vAlign w:val="bottom"/>
          </w:tcPr>
          <w:p>
            <w:pPr>
              <w:spacing w:after="0"/>
              <w:rPr>
                <w:sz w:val="15"/>
                <w:szCs w:val="15"/>
                <w:color w:val="auto"/>
              </w:rPr>
            </w:pP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2840" w:type="dxa"/>
            <w:vAlign w:val="bottom"/>
          </w:tcPr>
          <w:p>
            <w:pPr>
              <w:spacing w:after="0"/>
              <w:rPr>
                <w:sz w:val="10"/>
                <w:szCs w:val="10"/>
                <w:color w:val="auto"/>
              </w:rPr>
            </w:pPr>
          </w:p>
        </w:tc>
        <w:tc>
          <w:tcPr>
            <w:tcW w:w="11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9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80" w:type="dxa"/>
            <w:vAlign w:val="bottom"/>
          </w:tcPr>
          <w:p>
            <w:pPr>
              <w:spacing w:after="0"/>
              <w:rPr>
                <w:sz w:val="10"/>
                <w:szCs w:val="10"/>
                <w:color w:val="auto"/>
              </w:rPr>
            </w:pPr>
          </w:p>
        </w:tc>
        <w:tc>
          <w:tcPr>
            <w:tcW w:w="110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9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200" w:type="dxa"/>
            <w:vAlign w:val="bottom"/>
          </w:tcPr>
          <w:p>
            <w:pPr>
              <w:spacing w:after="0"/>
              <w:rPr>
                <w:sz w:val="10"/>
                <w:szCs w:val="10"/>
                <w:color w:val="auto"/>
              </w:rPr>
            </w:pPr>
          </w:p>
        </w:tc>
      </w:tr>
      <w:tr>
        <w:trPr>
          <w:trHeight w:val="180"/>
        </w:trPr>
        <w:tc>
          <w:tcPr>
            <w:tcW w:w="2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r>
      <w:tr>
        <w:trPr>
          <w:trHeight w:val="236"/>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28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days supply of inventory for the first nine months was primarily due to opportunistic buying when lumber prices were low during the fourth quarter of 2018 to improve 2019 gross profits and higher levels of “safety stock” we carried to address transportation challenges and ensure timely deliveries to our customers.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nine months of 2019, our cash provided by operating activities was $198.1 million, which was comprised of net earnings of $143.7 million, $51.3 million of non-cash expenses, and $3.1 million decrease in working capital since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 of December 2018. Comparatively, in the first nine months of 2018, our cash provided by operating activities was $60.1 million, which was comprised of net earnings of $120.8 million and $39.9 million of non-cash expenses, offset by a $100.5 million seasonal increase in working capital since the end of December 2017. Our investment in working capital declined in 2019 due to opportunistic inventory buying in the fourth quarter of 2018 of products sold in 2019, and lower lumber prices in 2019.</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Acquisitions and purchases of property, plant, and equipment comprised most of our cash used in investing activities during the first nine months of 2019 and totaled $38.7 million and $66 million, respectively. Outstanding purchase commitments on existing capital projects totaled approximately $46.1 million on September 28, 2019. We currently plan to spend up to $100 million for the year on capital expenditures. Notable areas of spending include projects to replace our capacity in South Florida resulting from the sale of our Medley facility last year, expand capacity and enhance the productivity of our Deckorators decking product line due to favorable demand trends and share gains we’ve achieved, as well as several projects to expand manufacturing capacity to serve industrial customers and achieve efficiencies through automation. We intend to fund capital expenditures and purchase commitments through our operating cash flows for the balance of the year. The sale and purchase of investments totaling $4.2 million and $6.5 million, respectively, are due to investment activity in our captive insurance subsidiary. Comparatively, acquisitions and purchases of property, plant, and equipment during the first nine months of 2018 totaled $39.0 million and $74.5 million, respectively, and proceeds from the sale of our Medley, FL, plant provided approximately $36 million in net cash proceeds.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primarily consisted of net repayments under our revolving credit facility of approximately $39.1 million. Additionally, we paid a semi-annual dividend totaling $12.3 million or $0.20 per share.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28, 2019, we had $3.3 million outstanding on our $375 million revolving credit facility, and we had approximately $361.9 million in remaining availability after considering $9.8 million in outstanding letters of credit. Additionally, we have $150 million in availability under an amended “shelf agreement” for long term debt with a current lender after considering the second quarter 2018 issuance of long-term Senior Notes.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28, 2019.</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29, 2018.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an ongoing basis, we evaluate long-lived assets for indicators of impairment. Although there were no indicators for impairment for any of our reporting units, we continue to monitor the results of the idX reporting unit. They have performed below expectations year-to-date through September; however, management believes the long-term projection for idX is still reasonable and attainable. While the risk of impairment exists, management does not feel an impairment is necessary. Should the Company’s future analysis indicate a significant change in any of the triggering events for this reporting unit, it could result in impairment of the carrying value of goodwill to its implied fair value. There can be no assurance that the Company’s future goodwill impairment testing will not result in a charge to earnings.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40" w:hanging="318"/>
        <w:spacing w:after="0" w:line="261"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28, 2019 (the “Evaluation Date”), have concluded that, as of such date, our disclosure controls and procedures were effective.</w:t>
      </w:r>
    </w:p>
    <w:p>
      <w:pPr>
        <w:spacing w:after="0" w:line="180" w:lineRule="exact"/>
        <w:rPr>
          <w:rFonts w:ascii="Times New Roman" w:cs="Times New Roman" w:eastAsia="Times New Roman" w:hAnsi="Times New Roman"/>
          <w:sz w:val="18"/>
          <w:szCs w:val="18"/>
          <w:color w:val="auto"/>
        </w:rPr>
      </w:pPr>
    </w:p>
    <w:p>
      <w:pPr>
        <w:jc w:val="both"/>
        <w:ind w:left="840" w:right="20" w:hanging="318"/>
        <w:spacing w:after="0" w:line="266"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September 28, 2019,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40" w:hanging="31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40" w:hanging="318"/>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r>
      <w:tr>
        <w:trPr>
          <w:trHeight w:val="210"/>
        </w:trPr>
        <w:tc>
          <w:tcPr>
            <w:tcW w:w="5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 August 3, 2019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216"/>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4 - August 31, 2019</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21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1 - 28, 2019</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108"/>
        </w:trPr>
        <w:tc>
          <w:tcPr>
            <w:tcW w:w="22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76" w:lineRule="exact"/>
        <w:rPr>
          <w:sz w:val="20"/>
          <w:szCs w:val="20"/>
          <w:color w:val="auto"/>
        </w:rPr>
      </w:pPr>
    </w:p>
    <w:p>
      <w:pPr>
        <w:ind w:left="340" w:hanging="331"/>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0"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00" w:right="9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00" w:hanging="491"/>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080" w:right="39" w:hanging="571"/>
        <w:spacing w:after="0" w:line="282" w:lineRule="auto"/>
        <w:tabs>
          <w:tab w:leader="none" w:pos="1080" w:val="left"/>
        </w:tabs>
        <w:numPr>
          <w:ilvl w:val="1"/>
          <w:numId w:val="28"/>
        </w:numPr>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Certificate of the Chief Executive Officer of Universal Forest Products, Inc., pursuant to Section 302 of the</w:t>
        </w:r>
      </w:hyperlink>
      <w:r>
        <w:rPr>
          <w:rFonts w:ascii="Times New Roman" w:cs="Times New Roman" w:eastAsia="Times New Roman" w:hAnsi="Times New Roman"/>
          <w:sz w:val="18"/>
          <w:szCs w:val="18"/>
          <w:u w:val="single" w:color="auto"/>
          <w:color w:val="0000EE"/>
        </w:rPr>
        <w:t xml:space="preserve"> </w:t>
      </w:r>
      <w:hyperlink w:anchor="page37">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080" w:right="39" w:hanging="571"/>
        <w:spacing w:after="0" w:line="282" w:lineRule="auto"/>
        <w:tabs>
          <w:tab w:leader="none" w:pos="1080" w:val="left"/>
        </w:tabs>
        <w:numPr>
          <w:ilvl w:val="1"/>
          <w:numId w:val="28"/>
        </w:numPr>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Certificate of the Chief Financial Officer of Universal Forest Products, Inc., pursuant to Section 302 of the</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500" w:hanging="491"/>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080" w:right="39" w:hanging="571"/>
        <w:spacing w:after="0" w:line="282" w:lineRule="auto"/>
        <w:tabs>
          <w:tab w:leader="none" w:pos="1080" w:val="left"/>
        </w:tabs>
        <w:numPr>
          <w:ilvl w:val="1"/>
          <w:numId w:val="28"/>
        </w:numPr>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Certificate of the Chief Executive Officer of Universal Forest Products, Inc., pursuant to Section 906 of the</w:t>
        </w:r>
      </w:hyperlink>
      <w:r>
        <w:rPr>
          <w:rFonts w:ascii="Times New Roman" w:cs="Times New Roman" w:eastAsia="Times New Roman" w:hAnsi="Times New Roman"/>
          <w:sz w:val="18"/>
          <w:szCs w:val="18"/>
          <w:u w:val="single" w:color="auto"/>
          <w:color w:val="0000EE"/>
        </w:rPr>
        <w:t xml:space="preserve"> </w:t>
      </w:r>
      <w:hyperlink w:anchor="page39">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080" w:right="39" w:hanging="571"/>
        <w:spacing w:after="0" w:line="282" w:lineRule="auto"/>
        <w:tabs>
          <w:tab w:leader="none" w:pos="1080" w:val="left"/>
        </w:tabs>
        <w:numPr>
          <w:ilvl w:val="1"/>
          <w:numId w:val="28"/>
        </w:numPr>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Certificate of the Chief Financial Officer of Universal Forest Products, Inc., pursuant to Section 906 of the</w:t>
        </w:r>
      </w:hyperlink>
      <w:r>
        <w:rPr>
          <w:rFonts w:ascii="Times New Roman" w:cs="Times New Roman" w:eastAsia="Times New Roman" w:hAnsi="Times New Roman"/>
          <w:sz w:val="18"/>
          <w:szCs w:val="18"/>
          <w:u w:val="single" w:color="auto"/>
          <w:color w:val="0000EE"/>
        </w:rPr>
        <w:t xml:space="preserve"> </w:t>
      </w:r>
      <w:hyperlink w:anchor="page40">
        <w:r>
          <w:rPr>
            <w:rFonts w:ascii="Times New Roman" w:cs="Times New Roman" w:eastAsia="Times New Roman" w:hAnsi="Times New Roman"/>
            <w:sz w:val="18"/>
            <w:szCs w:val="18"/>
            <w:u w:val="single" w:color="auto"/>
            <w:color w:val="0000EE"/>
          </w:rPr>
          <w:t>Sarbanes-Oxley Act of 2002 (18 U.S.C. 1350).</w:t>
        </w:r>
      </w:hyperlink>
    </w:p>
    <w:p>
      <w:pPr>
        <w:spacing w:after="0" w:line="162" w:lineRule="exact"/>
        <w:rPr>
          <w:rFonts w:ascii="Times New Roman" w:cs="Times New Roman" w:eastAsia="Times New Roman" w:hAnsi="Times New Roman"/>
          <w:sz w:val="18"/>
          <w:szCs w:val="18"/>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101</w:t>
        <w:tab/>
        <w:t>Interactive Data File formatted in iXBRL (Inline eXtensible Business Reporting Language).</w:t>
      </w:r>
    </w:p>
    <w:p>
      <w:pPr>
        <w:spacing w:after="0" w:line="225" w:lineRule="exact"/>
        <w:rPr>
          <w:rFonts w:ascii="Times New Roman" w:cs="Times New Roman" w:eastAsia="Times New Roman" w:hAnsi="Times New Roman"/>
          <w:sz w:val="18"/>
          <w:szCs w:val="18"/>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(INS)</w:t>
        <w:tab/>
        <w:t>iXBRL Instance Document.</w:t>
      </w:r>
    </w:p>
    <w:p>
      <w:pPr>
        <w:spacing w:after="0" w:line="225"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rFonts w:ascii="Times New Roman" w:cs="Times New Roman" w:eastAsia="Times New Roman" w:hAnsi="Times New Roman"/>
          <w:sz w:val="18"/>
          <w:szCs w:val="18"/>
          <w:color w:val="auto"/>
        </w:rPr>
      </w:pPr>
    </w:p>
    <w:p>
      <w:pPr>
        <w:ind w:left="500" w:hanging="491"/>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40" w:right="1440"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October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October 30, 2019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-130810</wp:posOffset>
            </wp:positionV>
            <wp:extent cx="27101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-130810</wp:posOffset>
            </wp:positionV>
            <wp:extent cx="27101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40" w:space="720"/>
            <w:col w:w="4579"/>
          </w:cols>
          <w:pgMar w:left="1420" w:top="540" w:right="1440" w:bottom="1440" w:gutter="0" w:footer="0" w:header="0"/>
          <w:type w:val="continuous"/>
        </w:sect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40" w:right="1440"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197" w:lineRule="exact"/>
        <w:rPr>
          <w:sz w:val="20"/>
          <w:szCs w:val="20"/>
          <w:color w:val="auto"/>
        </w:rPr>
      </w:pPr>
    </w:p>
    <w:p>
      <w:pPr>
        <w:ind w:left="480" w:hanging="477"/>
        <w:spacing w:after="0" w:line="207" w:lineRule="exact"/>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Universal Forest Products, Inc.;</w:t>
      </w:r>
    </w:p>
    <w:p>
      <w:pPr>
        <w:spacing w:after="0" w:line="253"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29" w:lineRule="exact"/>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20" w:hanging="331"/>
        <w:spacing w:after="0" w:line="282"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7"/>
          <w:szCs w:val="17"/>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90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-127635</wp:posOffset>
            </wp:positionV>
            <wp:extent cx="2872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197" w:lineRule="exact"/>
        <w:rPr>
          <w:sz w:val="20"/>
          <w:szCs w:val="20"/>
          <w:color w:val="auto"/>
        </w:rPr>
      </w:pPr>
    </w:p>
    <w:p>
      <w:pPr>
        <w:ind w:left="480" w:hanging="477"/>
        <w:spacing w:after="0" w:line="207" w:lineRule="exact"/>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Universal Forest Products, Inc.;</w:t>
      </w:r>
    </w:p>
    <w:p>
      <w:pPr>
        <w:spacing w:after="0" w:line="253"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29" w:lineRule="exact"/>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20" w:hanging="331"/>
        <w:spacing w:after="0" w:line="282" w:lineRule="auto"/>
        <w:tabs>
          <w:tab w:leader="none" w:pos="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7"/>
          <w:szCs w:val="17"/>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17145</wp:posOffset>
            </wp:positionV>
            <wp:extent cx="2590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-127635</wp:posOffset>
            </wp:positionV>
            <wp:extent cx="2872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jc w:val="both"/>
        <w:ind w:left="560" w:hanging="557"/>
        <w:spacing w:after="0" w:line="239" w:lineRule="exact"/>
        <w:tabs>
          <w:tab w:leader="none" w:pos="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September 28, 2019, which this statement accompanies, fully complies with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jc w:val="right"/>
        <w:ind w:left="640" w:hanging="637"/>
        <w:spacing w:after="0" w:line="239" w:lineRule="exact"/>
        <w:tabs>
          <w:tab w:leader="none" w:pos="5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September 28, 2019, fairly presents, in all material respects, the financial condition and results of operations of Universal Forest</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Products, Inc.</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90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-127635</wp:posOffset>
            </wp:positionV>
            <wp:extent cx="287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606425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9" w:name="page40"/>
    <w:bookmarkEnd w:id="39"/>
    <w:p>
      <w:pPr>
        <w:ind w:left="8060"/>
        <w:spacing w:after="0"/>
        <w:rPr>
          <w:sz w:val="20"/>
          <w:szCs w:val="20"/>
          <w:color w:val="auto"/>
        </w:rPr>
      </w:pPr>
      <w:r>
        <w:rPr>
          <w:rFonts w:ascii="Times New Roman" w:cs="Times New Roman" w:eastAsia="Times New Roman" w:hAnsi="Times New Roman"/>
          <w:sz w:val="17"/>
          <w:szCs w:val="17"/>
          <w:b w:val="1"/>
          <w:bCs w:val="1"/>
          <w:color w:val="auto"/>
        </w:rPr>
        <w:t>Exhibit 32(b)</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jc w:val="both"/>
        <w:ind w:left="560" w:hanging="557"/>
        <w:spacing w:after="0" w:line="239" w:lineRule="exact"/>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September 28, 2019, which this statement accompanies, fully complies with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jc w:val="both"/>
        <w:ind w:left="560" w:hanging="557"/>
        <w:spacing w:after="0" w:line="232" w:lineRule="exact"/>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September 28, 2019, fairly presents, in all material respects, the financial condition and results of operations of Universal Forest Products, Inc.</w:t>
      </w: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90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-127635</wp:posOffset>
            </wp:positionV>
            <wp:extent cx="2872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606425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upperLetter"/>
      <w:start w:val="2"/>
    </w:lvl>
  </w:abstractNum>
  <w:abstractNum w:abstractNumId="4">
    <w:nsid w:val="7C83E458"/>
    <w:multiLevelType w:val="hybridMultilevel"/>
    <w:lvl w:ilvl="0">
      <w:lvlJc w:val="left"/>
      <w:lvlText w:val="%1."/>
      <w:numFmt w:val="upperLetter"/>
      <w:start w:val="3"/>
    </w:lvl>
  </w:abstractNum>
  <w:abstractNum w:abstractNumId="5">
    <w:nsid w:val="257130A3"/>
    <w:multiLevelType w:val="hybridMultilevel"/>
    <w:lvl w:ilvl="0">
      <w:lvlJc w:val="left"/>
      <w:lvlText w:val="%1."/>
      <w:numFmt w:val="upperLetter"/>
      <w:start w:val="4"/>
    </w:lvl>
  </w:abstractNum>
  <w:abstractNum w:abstractNumId="6">
    <w:nsid w:val="62BBD95A"/>
    <w:multiLevelType w:val="hybridMultilevel"/>
    <w:lvl w:ilvl="0">
      <w:lvlJc w:val="left"/>
      <w:lvlText w:val="%1."/>
      <w:numFmt w:val="upperLetter"/>
      <w:start w:val="5"/>
    </w:lvl>
  </w:abstractNum>
  <w:abstractNum w:abstractNumId="7">
    <w:nsid w:val="436C6125"/>
    <w:multiLevelType w:val="hybridMultilevel"/>
    <w:lvl w:ilvl="0">
      <w:lvlJc w:val="left"/>
      <w:lvlText w:val="%1."/>
      <w:numFmt w:val="upperLetter"/>
      <w:start w:val="6"/>
    </w:lvl>
  </w:abstractNum>
  <w:abstractNum w:abstractNumId="8">
    <w:nsid w:val="628C895D"/>
    <w:multiLevelType w:val="hybridMultilevel"/>
    <w:lvl w:ilvl="0">
      <w:lvlJc w:val="left"/>
      <w:lvlText w:val="%1."/>
      <w:numFmt w:val="upperLetter"/>
      <w:start w:val="7"/>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upperLetter"/>
      <w:start w:val="8"/>
    </w:lvl>
  </w:abstractNum>
  <w:abstractNum w:abstractNumId="11">
    <w:nsid w:val="2443A858"/>
    <w:multiLevelType w:val="hybridMultilevel"/>
    <w:lvl w:ilvl="0">
      <w:lvlJc w:val="left"/>
      <w:lvlText w:val="%1."/>
      <w:numFmt w:val="upperLetter"/>
      <w:start w:val="9"/>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31"/>
    </w:lvl>
    <w:lvl w:ilvl="1">
      <w:lvlJc w:val="left"/>
      <w:lvlText w:val="(%2)"/>
      <w:numFmt w:val="lowerLetter"/>
      <w:start w:val="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2019-12-28T04:36:38Z</dcterms:created>
  <dcterms:modified xsi:type="dcterms:W3CDTF">2019-12-28T04:36:38Z</dcterms:modified>
</cp:coreProperties>
</file>