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X</w:t>
            </w:r>
          </w:p>
        </w:tc>
        <w:tc>
          <w:tcPr>
            <w:tcW w:w="2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9"/>
            <w:vMerge w:val="restart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restart"/>
          </w:tcPr>
          <w:p>
            <w:pPr>
              <w:jc w:val="center"/>
              <w:ind w:left="7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JAMES DONALD L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XVP Natl Retail Sales &amp; Mktg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</w:tcBorders>
            <w:gridSpan w:val="11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23,217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12/28/2019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215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13,903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401(k)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48.19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20,121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12/15/2019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48.19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23,046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Units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-6640830</wp:posOffset>
            </wp:positionV>
            <wp:extent cx="7297420" cy="66973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69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non-discretionary transactions affected in account pursuant to the Company's Profit Sharing and 401(k) Retirement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01/30/2020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186281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2020-01-31T13:12:34Z</dcterms:created>
  <dcterms:modified xsi:type="dcterms:W3CDTF">2020-01-31T13:12:34Z</dcterms:modified>
</cp:coreProperties>
</file>