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945515</wp:posOffset>
            </wp:positionH>
            <wp:positionV relativeFrom="page">
              <wp:posOffset>568960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629285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 SECURITIES AND EXCHANGE COMMISSION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2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62"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UFP INDUSTRIES, INC.</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1211" w:right="1440" w:bottom="1440" w:gutter="0" w:footer="0" w:header="0"/>
        </w:sectPr>
      </w:pPr>
    </w:p>
    <w:p>
      <w:pPr>
        <w:spacing w:after="0" w:line="13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Michigan</w:t>
      </w:r>
    </w:p>
    <w:p>
      <w:pPr>
        <w:spacing w:after="0" w:line="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38-1465835</w:t>
      </w:r>
    </w:p>
    <w:p>
      <w:pPr>
        <w:spacing w:after="0" w:line="28" w:lineRule="exact"/>
        <w:rPr>
          <w:sz w:val="24"/>
          <w:szCs w:val="24"/>
          <w:color w:val="auto"/>
        </w:rPr>
      </w:pPr>
    </w:p>
    <w:p>
      <w:pPr>
        <w:jc w:val="center"/>
        <w:ind w:right="1599"/>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124" w:lineRule="exact"/>
        <w:rPr>
          <w:sz w:val="24"/>
          <w:szCs w:val="24"/>
          <w:color w:val="auto"/>
        </w:rPr>
      </w:pPr>
    </w:p>
    <w:p>
      <w:pPr>
        <w:sectPr>
          <w:pgSz w:w="11900" w:h="16838" w:orient="portrait"/>
          <w:cols w:equalWidth="0" w:num="2">
            <w:col w:w="4340" w:space="720"/>
            <w:col w:w="3959"/>
          </w:cols>
          <w:pgMar w:left="1440" w:top="121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Rapids, Michigan 49525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 Employees’ Profit Sharing and 401(k)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Paul Guerre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2801 East Beltline, N.E.</w:t>
      </w:r>
    </w:p>
    <w:p>
      <w:pPr>
        <w:spacing w:after="0" w:line="9"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Grand Rapids, Michigan 49525</w:t>
      </w:r>
    </w:p>
    <w:p>
      <w:pPr>
        <w:spacing w:after="0" w:line="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364-6161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of Communications to: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Kimberly A. Baber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Varnum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333 Bridge Street, N.W., P.O. Box 352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Rapids, Michigan 49501-0352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(616) 336-6000</w:t>
      </w:r>
    </w:p>
    <w:p>
      <w:pPr>
        <w:spacing w:after="0" w:line="139" w:lineRule="exact"/>
        <w:rPr>
          <w:sz w:val="24"/>
          <w:szCs w:val="24"/>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211" w:right="1440" w:bottom="1440" w:gutter="0" w:footer="0" w:header="0"/>
          <w:type w:val="continuous"/>
        </w:sectPr>
      </w:pPr>
    </w:p>
    <w:p>
      <w:pPr>
        <w:spacing w:after="0" w:line="108" w:lineRule="exact"/>
        <w:rPr>
          <w:sz w:val="24"/>
          <w:szCs w:val="24"/>
          <w:color w:val="auto"/>
        </w:rPr>
      </w:pPr>
    </w:p>
    <w:p>
      <w:pPr>
        <w:ind w:left="10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4"/>
          <w:szCs w:val="14"/>
          <w:color w:val="auto"/>
        </w:rPr>
        <w:t>⌧</w:t>
      </w:r>
    </w:p>
    <w:p>
      <w:pPr>
        <w:spacing w:after="0" w:line="39" w:lineRule="exact"/>
        <w:rPr>
          <w:sz w:val="24"/>
          <w:szCs w:val="24"/>
          <w:color w:val="auto"/>
        </w:rPr>
      </w:pPr>
    </w:p>
    <w:p>
      <w:pPr>
        <w:ind w:left="10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4"/>
          <w:szCs w:val="14"/>
          <w:color w:val="auto"/>
        </w:rPr>
        <w: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54"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207" w:lineRule="exact"/>
        <w:rPr>
          <w:sz w:val="24"/>
          <w:szCs w:val="24"/>
          <w:color w:val="auto"/>
        </w:rPr>
      </w:pPr>
    </w:p>
    <w:p>
      <w:pPr>
        <w:sectPr>
          <w:pgSz w:w="11900" w:h="16838" w:orient="portrait"/>
          <w:cols w:equalWidth="0" w:num="3">
            <w:col w:w="3920" w:space="720"/>
            <w:col w:w="1980" w:space="80"/>
            <w:col w:w="2319"/>
          </w:cols>
          <w:pgMar w:left="1440" w:top="1211" w:right="1440" w:bottom="1440" w:gutter="0" w:footer="0" w:header="0"/>
          <w:type w:val="continuous"/>
        </w:sectPr>
      </w:pPr>
    </w:p>
    <w:p>
      <w:pPr>
        <w:spacing w:after="0" w:line="34" w:lineRule="exact"/>
        <w:rPr>
          <w:sz w:val="24"/>
          <w:szCs w:val="24"/>
          <w:color w:val="auto"/>
        </w:rPr>
      </w:pPr>
    </w:p>
    <w:p>
      <w:pPr>
        <w:ind w:left="60" w:right="79"/>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584200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163830</wp:posOffset>
            </wp:positionV>
            <wp:extent cx="5546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460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207010</wp:posOffset>
            </wp:positionV>
            <wp:extent cx="55460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46090" cy="34290"/>
                    </a:xfrm>
                    <a:prstGeom prst="rect">
                      <a:avLst/>
                    </a:prstGeom>
                    <a:noFill/>
                  </pic:spPr>
                </pic:pic>
              </a:graphicData>
            </a:graphic>
          </wp:anchor>
        </w:drawing>
      </w:r>
    </w:p>
    <w:p>
      <w:pPr>
        <w:sectPr>
          <w:pgSz w:w="11900" w:h="16838" w:orient="portrait"/>
          <w:cols w:equalWidth="0" w:num="1">
            <w:col w:w="9019"/>
          </w:cols>
          <w:pgMar w:left="1440" w:top="1211"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filed by UFP Industries, Inc., a Michigan corporation (the “Company”), registers 750,000 shares of the Company’s common stock that may be acquired under the UFP Industries, Inc. Employees’ Profit Sharing and 401(k) Plan (the “Plan”), plus an indeterminate amount of participation interests to be offered or sold pursuant to the Plan. The Company’s common shares acquired under the Plan will be purchased on behalf of the Plan by an unaffiliated, third-party trustee in open market transactions.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required in this Part I will be delivered to the participants in the Plan as specified in Rule 428(b)(1)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Such documents are not required to be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part of this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documents filed with the Commission are incorporated by reference:</w:t>
      </w:r>
    </w:p>
    <w:p>
      <w:pPr>
        <w:spacing w:after="0" w:line="225" w:lineRule="exact"/>
        <w:rPr>
          <w:sz w:val="20"/>
          <w:szCs w:val="20"/>
          <w:color w:val="auto"/>
        </w:rPr>
      </w:pPr>
    </w:p>
    <w:p>
      <w:pPr>
        <w:ind w:left="1020" w:right="79" w:hanging="322"/>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latest Annual Report on Form 10-K filed pursuant to Section 13(a) of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latest Annual Report on Form 11-K filed pursuant to Section 15(d) of the Exchange Act;</w:t>
      </w:r>
    </w:p>
    <w:p>
      <w:pPr>
        <w:spacing w:after="0" w:line="22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or documents filed by the Company pursuant to Section 13(a) or 15(d) of the Exchange Act since the end of the fiscal year covered by the Annual Report on Form 10-K referenced in (a) above; and</w:t>
      </w:r>
    </w:p>
    <w:p>
      <w:pPr>
        <w:spacing w:after="0" w:line="161"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Company’s Common Stock contained in Exhibit 4(a) to the Company’s Annual Report on Form 10-K filed February 26, 2025, including any subsequently-filed amendments, reports, or other documents filed for the purpose of updating such description.</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All other documents subsequently filed by the Company or the Plan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part of this Registration Statement from the date of filing of such documents. 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incorporated or deemed to be incorporated by reference in this Registration Statement modifies or supersedes such statement. Any such statement so modified or superseded shall not be deemed, except as modified or superseded, to constitute a part of this Registration Statement. Notwithstanding the foregoing, nothing in this Registration Statement shall be deemed to incorporate any information from Item 2.02 or Item 7.01 of any Form 8-K, or that is otherwise furnished under applicable Commission rules rather than filed, or any exhibits to the extent furnished in connection with such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612140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Restated Articles of Incorporation of the Company provide that its directors and officers are required to be indemnified as of right to the fullest extent permitted under the Michigan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in connection with any actual or threatened civil, criminal, administrative, or investigative action, suit, or proceeding (whether brought by or in the name of the Company, a subsidiary, or otherwise) in which a director or officer is a witness or that is brought against a director or officer in his or her capacity as a director, officer, employee, agent, or fiduciary of the Company or of any corporation, partnership, joint venture, trust, employee benefit plan, or other enterprise that the director or officer was serving at the request of the Company. Persons who are not directors or officers of the Company may be similarly indemnified in respect of said service to the extent authorized by the Board of Directors of the Company. Under the MBCA, directors, officers, employees, or agents are entitled to indemnification against expenses (including attorney fees) whenever they successfully defend legal proceedings brought against them by reason of the fact that they hold such a position with the Company. In addition, with respect to actions not brought by or in the right of the Company, indemnification is permitted under the MBCA for expenses (including attorney fees), judgments, fines, penalties, and reasonable settlements if it is determined that the person seeking indemnification acted in a good faith and in a manner he or she reasonably believed to be in and not opposed to the best interest of the Company or its shareholders and, with respect to criminal proceedings, he or she had no reasonable cause to believe that his or her conduct was unlawful. With respect to actions brought by or in the right of the Company, indemnification is permitted under the MBCA for expenses (including attorney fees) and reasonable settlement, if it is determined that the person seeking indemnification acted in good faith and in a manner he or she reasonably believed to be in and not opposed to the best interest of the Company or its shareholders; provided, indemnification is not permitted if the person is found liable to the Company, unless the court in which the action or suit was brought has determined that indemnification is fair and reasonable in view of all the circumstances of the case.</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MBCA and the Company’s Restated Articles of Incorporation also authorize the Company to provide indemnification broader than that set forth in the MBCA and the Restated Articles of Incorporation. Pursuant to this authority, the Company has entered into indemnification agreements with each of its directors, which provide for the prompt indemnification to the fullest extent permitted by applicable law and for the prompt advancement of expenses, including reasonable attorney fees, incurred in connection with any proceeding in which a director is a witness or which is brought against a director in his or her capacity as a director, officer, employee, agent, or fiduciary of the Company or of any corporation, partnership, joint venture, trust, employee benefit plan, or other enterprise that the director is serving at the request of the Company. Indemnification is permitted for expenses and reasonable settlement amounts incurred in connection with a proceeding by or in the right of the Company and for expenses, judgments, penalties, fines, and reasonable settlement amounts incurred in connection with the proceeding other than by or in the right of the Company. Indemnification under the indemnity agreements is conditioned on the director having acted in good faith and in a manner he or she reasonably believes to be in or not opposed to the best interest of the Company and, with respect to any criminal proceeding, he or she had no reasonable cause to believe his or her conduct was unlawful. The Restated Articles of Incorporation of the Company also limit the personal liability of members of its Board of Directors for monetary damages with respect to claims by the Company or its shareholders resulting from certain negligent acts or omissions.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341630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exhibits are filed or incorporated by reference as part of this Registration Statement:</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w:t>
            </w:r>
          </w:p>
        </w:tc>
        <w:tc>
          <w:tcPr>
            <w:tcW w:w="7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4"/>
                <w:szCs w:val="24"/>
                <w:color w:val="auto"/>
              </w:rPr>
            </w:pPr>
          </w:p>
        </w:tc>
        <w:tc>
          <w:tcPr>
            <w:tcW w:w="7740" w:type="dxa"/>
            <w:vAlign w:val="bottom"/>
            <w:tcBorders>
              <w:top w:val="single" w:sz="8" w:color="auto"/>
            </w:tcBorders>
            <w:gridSpan w:val="5"/>
          </w:tcPr>
          <w:p>
            <w:pPr>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Restated Articles of Incorporation, as amended through April 24, 2024 (incorporated by reference 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Exhibit 3(a) of the Registrant's Quarterly Report on Form 10-Q filed on May 8, 2024)</w:t>
              </w:r>
            </w:hyperlink>
          </w:p>
        </w:tc>
        <w:tc>
          <w:tcPr>
            <w:tcW w:w="1040" w:type="dxa"/>
            <w:vAlign w:val="bottom"/>
            <w:tcBorders>
              <w:top w:val="single" w:sz="8" w:color="0000EE"/>
            </w:tcBorders>
          </w:tcPr>
          <w:p>
            <w:pPr>
              <w:spacing w:after="0"/>
              <w:rPr>
                <w:sz w:val="17"/>
                <w:szCs w:val="17"/>
                <w:color w:val="auto"/>
              </w:rPr>
            </w:pPr>
          </w:p>
        </w:tc>
        <w:tc>
          <w:tcPr>
            <w:tcW w:w="520" w:type="dxa"/>
            <w:vAlign w:val="bottom"/>
            <w:gridSpan w:val="2"/>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24"/>
                <w:szCs w:val="24"/>
                <w:color w:val="auto"/>
              </w:rPr>
            </w:pPr>
          </w:p>
        </w:tc>
        <w:tc>
          <w:tcPr>
            <w:tcW w:w="76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Amended Bylaws, as amended through January 27, 2017 (incorporated by reference to Exhibit 3(b) of the</w:t>
              </w:r>
            </w:hyperlink>
          </w:p>
        </w:tc>
        <w:tc>
          <w:tcPr>
            <w:tcW w:w="1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Registrant's Annual Report on Form 10-K for the year ended December 31, 2016)</w:t>
              </w:r>
            </w:hyperlink>
          </w:p>
        </w:tc>
        <w:tc>
          <w:tcPr>
            <w:tcW w:w="1840" w:type="dxa"/>
            <w:vAlign w:val="bottom"/>
            <w:gridSpan w:val="4"/>
          </w:tcPr>
          <w:p>
            <w:pPr>
              <w:spacing w:after="0"/>
              <w:rPr>
                <w:sz w:val="17"/>
                <w:szCs w:val="17"/>
                <w:color w:val="auto"/>
              </w:rPr>
            </w:pPr>
          </w:p>
        </w:tc>
      </w:tr>
    </w:tbl>
    <w:p>
      <w:pPr>
        <w:spacing w:after="0" w:line="225" w:lineRule="exact"/>
        <w:rPr>
          <w:sz w:val="20"/>
          <w:szCs w:val="20"/>
          <w:color w:val="auto"/>
        </w:rPr>
      </w:pPr>
    </w:p>
    <w:p>
      <w:pPr>
        <w:ind w:left="1200" w:hanging="1150"/>
        <w:spacing w:after="0"/>
        <w:tabs>
          <w:tab w:leader="none" w:pos="12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Opinion of Varnum LLP with respect to the legality of the securities being registered</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23.1</w:t>
            </w:r>
          </w:p>
        </w:tc>
        <w:tc>
          <w:tcPr>
            <w:tcW w:w="6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Consent of Deloitte &amp; Touche LLP, Independent Registered Public Accounting Firm</w:t>
            </w:r>
          </w:p>
        </w:tc>
      </w:tr>
      <w:tr>
        <w:trPr>
          <w:trHeight w:val="412"/>
        </w:trPr>
        <w:tc>
          <w:tcPr>
            <w:tcW w:w="11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23.2</w:t>
            </w:r>
          </w:p>
        </w:tc>
        <w:tc>
          <w:tcPr>
            <w:tcW w:w="5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Varnum LLP (included with the opinion filed as Exhibit 5)</w:t>
            </w:r>
          </w:p>
        </w:tc>
        <w:tc>
          <w:tcPr>
            <w:tcW w:w="1020" w:type="dxa"/>
            <w:vAlign w:val="bottom"/>
          </w:tcPr>
          <w:p>
            <w:pPr>
              <w:spacing w:after="0"/>
              <w:rPr>
                <w:sz w:val="24"/>
                <w:szCs w:val="24"/>
                <w:color w:val="auto"/>
              </w:rPr>
            </w:pPr>
          </w:p>
        </w:tc>
      </w:tr>
    </w:tbl>
    <w:p>
      <w:pPr>
        <w:spacing w:after="0" w:line="225" w:lineRule="exact"/>
        <w:rPr>
          <w:sz w:val="20"/>
          <w:szCs w:val="20"/>
          <w:color w:val="auto"/>
        </w:rPr>
      </w:pPr>
    </w:p>
    <w:p>
      <w:pPr>
        <w:ind w:left="1200" w:hanging="1150"/>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Power of Attorney (included in the signature page hereto)</w:t>
      </w:r>
    </w:p>
    <w:p>
      <w:pPr>
        <w:spacing w:after="0" w:line="225" w:lineRule="exact"/>
        <w:rPr>
          <w:sz w:val="20"/>
          <w:szCs w:val="20"/>
          <w:color w:val="auto"/>
        </w:rPr>
      </w:pPr>
    </w:p>
    <w:p>
      <w:pPr>
        <w:ind w:left="1200" w:hanging="1150"/>
        <w:spacing w:after="0"/>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lieu of the opinion of counsel or determination letter contemplated by Item 601(b)(5)(ii) of Regulation S-K, the Company hereby undertakes that it has submitted the Plan and any amendments thereto to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in a timely manner and has made all changes required by the IRS in order to qualify the Plan under Section 401 of the Internal Revenue Code of 1986, as amended.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undertakes:</w:t>
      </w:r>
    </w:p>
    <w:p>
      <w:pPr>
        <w:spacing w:after="0" w:line="225" w:lineRule="exact"/>
        <w:rPr>
          <w:rFonts w:ascii="Times New Roman" w:cs="Times New Roman" w:eastAsia="Times New Roman" w:hAnsi="Times New Roman"/>
          <w:sz w:val="18"/>
          <w:szCs w:val="18"/>
          <w:color w:val="auto"/>
        </w:rPr>
      </w:pPr>
    </w:p>
    <w:p>
      <w:pPr>
        <w:ind w:left="60" w:right="59" w:firstLine="638"/>
        <w:spacing w:after="0" w:line="282" w:lineRule="auto"/>
        <w:tabs>
          <w:tab w:leader="none" w:pos="135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61" w:lineRule="exact"/>
        <w:rPr>
          <w:rFonts w:ascii="Times New Roman" w:cs="Times New Roman" w:eastAsia="Times New Roman" w:hAnsi="Times New Roman"/>
          <w:sz w:val="18"/>
          <w:szCs w:val="18"/>
          <w:color w:val="auto"/>
        </w:rPr>
      </w:pPr>
    </w:p>
    <w:p>
      <w:pPr>
        <w:ind w:left="700" w:right="59" w:firstLine="646"/>
        <w:spacing w:after="0" w:line="282" w:lineRule="auto"/>
        <w:tabs>
          <w:tab w:leader="none" w:pos="199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700" w:right="59" w:firstLine="646"/>
        <w:spacing w:after="0" w:line="254" w:lineRule="auto"/>
        <w:tabs>
          <w:tab w:leader="none" w:pos="199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spacing w:after="0" w:line="191" w:lineRule="exact"/>
        <w:rPr>
          <w:rFonts w:ascii="Times New Roman" w:cs="Times New Roman" w:eastAsia="Times New Roman" w:hAnsi="Times New Roman"/>
          <w:sz w:val="18"/>
          <w:szCs w:val="18"/>
          <w:color w:val="auto"/>
        </w:rPr>
      </w:pPr>
    </w:p>
    <w:p>
      <w:pPr>
        <w:ind w:left="700" w:right="79" w:firstLine="646"/>
        <w:spacing w:after="0" w:line="282" w:lineRule="auto"/>
        <w:tabs>
          <w:tab w:leader="none" w:pos="1996"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182" w:lineRule="exact"/>
        <w:rPr>
          <w:sz w:val="20"/>
          <w:szCs w:val="20"/>
          <w:color w:val="auto"/>
        </w:rPr>
      </w:pPr>
    </w:p>
    <w:p>
      <w:pPr>
        <w:jc w:val="both"/>
        <w:ind w:left="60" w:right="59" w:firstLine="638"/>
        <w:spacing w:after="0" w:line="266" w:lineRule="auto"/>
        <w:tabs>
          <w:tab w:leader="none" w:pos="13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328930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right="59" w:firstLine="638"/>
        <w:spacing w:after="0" w:line="282" w:lineRule="auto"/>
        <w:tabs>
          <w:tab w:leader="none" w:pos="135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0" w:right="59" w:hanging="10"/>
        <w:spacing w:after="0" w:line="258"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undertakes that, for purposes of determining any liability under the Securities Act, each filing of the Company’s annual report pursuant to Section 13(a) or Section 15(d) of the Exchange Act (and, where applicable, each filing of the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60" w:right="59" w:hanging="10"/>
        <w:spacing w:after="0" w:line="254"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the indemnification against such liabilities (other than the payment by the Company of expenses incurred or paid by a director, officer, or controlling person of the Company in the successful defense of any action, suit or proceeding) is asserted by the director, officer, or controlling person in connection with the securities being registered, the Company will, unless in the opinion of its counsel the matter has been settled by controlling precedent, submit to a court of appropriate jurisdiction the question whether the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474345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Registrant. </w:t>
      </w:r>
      <w:r>
        <w:rPr>
          <w:rFonts w:ascii="Times New Roman" w:cs="Times New Roman" w:eastAsia="Times New Roman" w:hAnsi="Times New Roman"/>
          <w:sz w:val="18"/>
          <w:szCs w:val="18"/>
          <w:color w:val="auto"/>
        </w:rPr>
        <w:t>Pursuant to the requirements of the Securities Act of 1933, the Registrant certifies that it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grounds to believe that it meets all of the requirements for filing on Form S-8 and has duly caused this Registration Statement to be signed on its behalf by the undersigned, thereunto duly authorized, in the City of Grand Rapids, State of Michigan, on the 20th day of June, 2025.</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20, 2025</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4460" w:type="dxa"/>
            <w:vAlign w:val="bottom"/>
          </w:tcPr>
          <w:p>
            <w:pPr>
              <w:spacing w:after="0"/>
              <w:rPr>
                <w:sz w:val="24"/>
                <w:szCs w:val="24"/>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By:Michael R. Cole</w:t>
            </w:r>
          </w:p>
        </w:tc>
        <w:tc>
          <w:tcPr>
            <w:tcW w:w="20" w:type="dxa"/>
            <w:vAlign w:val="bottom"/>
          </w:tcPr>
          <w:p>
            <w:pPr>
              <w:spacing w:after="0"/>
              <w:rPr>
                <w:sz w:val="16"/>
                <w:szCs w:val="16"/>
                <w:color w:val="auto"/>
              </w:rPr>
            </w:pP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Chief Financial Officer &amp; Treasurer</w:t>
            </w:r>
          </w:p>
        </w:tc>
      </w:tr>
      <w:tr>
        <w:trPr>
          <w:trHeight w:val="817"/>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William D. Schwartz, Jr. and Michael R. Cole, and each of them, as attorney-in-fact and agent, with full power of substitution and re-substitution, for and in the name, place, and stead of the undersigned,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all documents in connection therewith, with the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each said attorney-in-fact and agent, or any such substitute or substitutes, may lawfully do or cause to be done by virtue hereof.</w:t>
      </w:r>
    </w:p>
    <w:p>
      <w:pPr>
        <w:spacing w:after="0" w:line="19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34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20"/>
                <w:szCs w:val="20"/>
                <w:color w:val="auto"/>
              </w:rPr>
            </w:pPr>
          </w:p>
        </w:tc>
      </w:tr>
      <w:tr>
        <w:trPr>
          <w:trHeight w:val="426"/>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 Schwartz, Jr.</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 (Principal</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20,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 Schwartz, Jr.</w:t>
            </w:r>
          </w:p>
        </w:tc>
        <w:tc>
          <w:tcPr>
            <w:tcW w:w="2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R. Cole</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20,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R. Cole</w:t>
            </w:r>
          </w:p>
        </w:tc>
        <w:tc>
          <w:tcPr>
            <w:tcW w:w="24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&amp; Principal Accounting Officer)</w:t>
            </w: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J. Missad</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20,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J. Missad</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Joan A. Budden</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17,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Joan A. Budden</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Tuuk Kuras</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17,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Tuuk Kuras</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G. Wooldridge</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17,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G. Wooldridge</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J. McLean</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19,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J. McLean</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W. Rhodes</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17,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W. Rhodes</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C. Walker</w:t>
            </w:r>
          </w:p>
        </w:tc>
        <w:tc>
          <w:tcPr>
            <w:tcW w:w="24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June 18, 2025</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C. Walker</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12"/>
        </w:trPr>
        <w:tc>
          <w:tcPr>
            <w:tcW w:w="3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47" w:right="1440" w:bottom="1440" w:gutter="0" w:footer="0" w:header="0"/>
        </w:sectPr>
      </w:pPr>
    </w:p>
    <w:bookmarkStart w:id="7" w:name="page8"/>
    <w:bookmarkEnd w:id="7"/>
    <w:p>
      <w:pPr>
        <w:jc w:val="both"/>
        <w:ind w:left="60" w:right="79" w:firstLine="648"/>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Plan has duly caused this Registration Statement to be signed on its behalf by the undersigned, thereunto duly authorized, in the City of Grand Rapids, State of Michigan, on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June, 2025.</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 Employees’ Profit Sharing and 401(k)</w:t>
            </w: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w:t>
            </w:r>
          </w:p>
        </w:tc>
      </w:tr>
      <w:tr>
        <w:trPr>
          <w:trHeight w:val="64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20, 2025</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c>
          <w:tcPr>
            <w:tcW w:w="20" w:type="dxa"/>
            <w:vAlign w:val="bottom"/>
          </w:tcPr>
          <w:p>
            <w:pPr>
              <w:spacing w:after="0"/>
              <w:rPr>
                <w:sz w:val="16"/>
                <w:szCs w:val="16"/>
                <w:color w:val="auto"/>
              </w:rPr>
            </w:pP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r>
        <w:trPr>
          <w:trHeight w:val="64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20, 2025</w:t>
            </w: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Nancy A. DeGood</w:t>
            </w:r>
          </w:p>
        </w:tc>
      </w:tr>
      <w:tr>
        <w:trPr>
          <w:trHeight w:val="191"/>
        </w:trPr>
        <w:tc>
          <w:tcPr>
            <w:tcW w:w="446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Nancy A. DeGood</w:t>
            </w:r>
          </w:p>
        </w:tc>
        <w:tc>
          <w:tcPr>
            <w:tcW w:w="20" w:type="dxa"/>
            <w:vAlign w:val="bottom"/>
          </w:tcPr>
          <w:p>
            <w:pPr>
              <w:spacing w:after="0"/>
              <w:rPr>
                <w:sz w:val="16"/>
                <w:szCs w:val="16"/>
                <w:color w:val="auto"/>
              </w:rPr>
            </w:pPr>
          </w:p>
        </w:tc>
      </w:tr>
      <w:tr>
        <w:trPr>
          <w:trHeight w:val="234"/>
        </w:trPr>
        <w:tc>
          <w:tcPr>
            <w:tcW w:w="44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UFP Industries, Inc., Plan Administrator</w:t>
            </w:r>
          </w:p>
        </w:tc>
      </w:tr>
      <w:tr>
        <w:trPr>
          <w:trHeight w:val="777"/>
        </w:trPr>
        <w:tc>
          <w:tcPr>
            <w:tcW w:w="44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2801 East Beltline,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 49525</w:t>
      </w:r>
    </w:p>
    <w:p>
      <w:pPr>
        <w:sectPr>
          <w:pgSz w:w="11900" w:h="16838" w:orient="portrait"/>
          <w:cols w:equalWidth="0" w:num="1">
            <w:col w:w="9920"/>
          </w:cols>
          <w:pgMar w:left="980" w:top="117" w:right="999" w:bottom="1440" w:gutter="0" w:footer="0" w:header="0"/>
        </w:sectPr>
      </w:pPr>
    </w:p>
    <w:p>
      <w:pPr>
        <w:spacing w:after="0" w:line="21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S-8 Relating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UFP Industries, Inc. Employees’ Profit Sharing and 401(k) Plan (the "Plan")</w:t>
      </w:r>
    </w:p>
    <w:p>
      <w:pPr>
        <w:spacing w:after="0" w:line="200" w:lineRule="exact"/>
        <w:rPr>
          <w:sz w:val="20"/>
          <w:szCs w:val="20"/>
          <w:color w:val="auto"/>
        </w:rPr>
      </w:pPr>
    </w:p>
    <w:p>
      <w:pPr>
        <w:sectPr>
          <w:pgSz w:w="11900" w:h="16838" w:orient="portrait"/>
          <w:cols w:equalWidth="0" w:num="2">
            <w:col w:w="1080" w:space="520"/>
            <w:col w:w="8320"/>
          </w:cols>
          <w:pgMar w:left="980" w:top="117" w:right="99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or to be filed by UFP Industries, Inc.,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on or about the date of this letter for the purpose of registering under the Securities Act of 1933, as amended, 750,000 shares of the Company's common stock for issuance pursuant to the Plan, we have examined such documents and questions of law we consider necessary or appropriate for the purpose of giving this opinion. On the basis of such evaluation, we advise you that, in our opinion, the 750,000 shares of common stock covered by the Registration Statement, upon delivery of such shares and payment for such shares in accordance with the terms stated in the Plan and the Registration Statement, will be duly and legally authorized, issued, and outstanding, and fully paid and non-assessable.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this consent, we do not admit that we are within the category of persons whose consent is required under Section 7 of the Securities Act of 1933, as amended, or under the rules and regulations of the Securities and Exchange Commission.</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VARNUM LLP</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Varnum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26, 2025, relating to the consolidated financial statements of UFP Industries, Inc. and subsidiaries (the “Company”) and the effectiveness of the Company’s internal control over financial reporting, appearing in the Annual Report on Form 10-K of the Company for the period ended December 28,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 w:name="page11"/>
    <w:bookmarkEnd w:id="10"/>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36"/>
          <w:szCs w:val="36"/>
          <w:b w:val="1"/>
          <w:bCs w:val="1"/>
          <w:color w:val="auto"/>
        </w:rPr>
        <w:t>UFP INDUSTRIES INC</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4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vMerge w:val="restart"/>
            <w:shd w:val="clear" w:color="auto" w:fill="9ADAF6"/>
          </w:tcPr>
          <w:p>
            <w:pPr>
              <w:ind w:left="60"/>
              <w:spacing w:after="0"/>
              <w:rPr>
                <w:sz w:val="20"/>
                <w:szCs w:val="20"/>
                <w:color w:val="auto"/>
              </w:rPr>
            </w:pPr>
            <w:r>
              <w:rPr>
                <w:rFonts w:ascii="Arial" w:cs="Arial" w:eastAsia="Arial" w:hAnsi="Arial"/>
                <w:sz w:val="22"/>
                <w:szCs w:val="22"/>
                <w:b w:val="1"/>
                <w:bCs w:val="1"/>
                <w:color w:val="auto"/>
                <w:w w:val="99"/>
              </w:rPr>
              <w:t>Security</w:t>
            </w:r>
          </w:p>
        </w:tc>
        <w:tc>
          <w:tcPr>
            <w:tcW w:w="40" w:type="dxa"/>
            <w:vAlign w:val="bottom"/>
          </w:tcPr>
          <w:p>
            <w:pPr>
              <w:spacing w:after="0"/>
              <w:rPr>
                <w:sz w:val="21"/>
                <w:szCs w:val="21"/>
                <w:color w:val="auto"/>
              </w:rPr>
            </w:pPr>
          </w:p>
        </w:tc>
        <w:tc>
          <w:tcPr>
            <w:tcW w:w="9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Fee</w:t>
            </w:r>
          </w:p>
        </w:tc>
        <w:tc>
          <w:tcPr>
            <w:tcW w:w="40" w:type="dxa"/>
            <w:vAlign w:val="bottom"/>
          </w:tcPr>
          <w:p>
            <w:pPr>
              <w:spacing w:after="0"/>
              <w:rPr>
                <w:sz w:val="21"/>
                <w:szCs w:val="21"/>
                <w:color w:val="auto"/>
              </w:rPr>
            </w:pPr>
          </w:p>
        </w:tc>
        <w:tc>
          <w:tcPr>
            <w:tcW w:w="114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1"/>
                <w:szCs w:val="21"/>
                <w:color w:val="auto"/>
              </w:rPr>
            </w:pPr>
          </w:p>
        </w:tc>
        <w:tc>
          <w:tcPr>
            <w:tcW w:w="13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40" w:type="dxa"/>
            <w:vAlign w:val="bottom"/>
          </w:tcPr>
          <w:p>
            <w:pPr>
              <w:spacing w:after="0"/>
              <w:rPr>
                <w:sz w:val="21"/>
                <w:szCs w:val="21"/>
                <w:color w:val="auto"/>
              </w:rPr>
            </w:pPr>
          </w:p>
        </w:tc>
        <w:tc>
          <w:tcPr>
            <w:tcW w:w="15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5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Calculation</w:t>
            </w: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Offering</w:t>
            </w:r>
          </w:p>
        </w:tc>
        <w:tc>
          <w:tcPr>
            <w:tcW w:w="40" w:type="dxa"/>
            <w:vAlign w:val="bottom"/>
          </w:tcPr>
          <w:p>
            <w:pPr>
              <w:spacing w:after="0"/>
              <w:rPr>
                <w:sz w:val="18"/>
                <w:szCs w:val="18"/>
                <w:color w:val="auto"/>
              </w:rPr>
            </w:pPr>
          </w:p>
        </w:tc>
        <w:tc>
          <w:tcPr>
            <w:tcW w:w="15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9"/>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ind w:left="240"/>
              <w:spacing w:after="0"/>
              <w:rPr>
                <w:sz w:val="20"/>
                <w:szCs w:val="20"/>
                <w:color w:val="auto"/>
              </w:rPr>
            </w:pPr>
            <w:r>
              <w:rPr>
                <w:rFonts w:ascii="Arial" w:cs="Arial" w:eastAsia="Arial" w:hAnsi="Arial"/>
                <w:sz w:val="22"/>
                <w:szCs w:val="22"/>
                <w:b w:val="1"/>
                <w:bCs w:val="1"/>
                <w:color w:val="auto"/>
              </w:rPr>
              <w:t>Type</w:t>
            </w:r>
          </w:p>
        </w:tc>
        <w:tc>
          <w:tcPr>
            <w:tcW w:w="4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Rule</w:t>
            </w:r>
          </w:p>
        </w:tc>
        <w:tc>
          <w:tcPr>
            <w:tcW w:w="4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2"/>
                <w:szCs w:val="22"/>
                <w:b w:val="1"/>
                <w:bCs w:val="1"/>
                <w:color w:val="auto"/>
                <w:w w:val="96"/>
              </w:rPr>
              <w:t>Registered</w:t>
            </w: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Price Per</w:t>
            </w:r>
          </w:p>
        </w:tc>
        <w:tc>
          <w:tcPr>
            <w:tcW w:w="40" w:type="dxa"/>
            <w:vAlign w:val="bottom"/>
          </w:tcPr>
          <w:p>
            <w:pPr>
              <w:spacing w:after="0"/>
              <w:rPr>
                <w:sz w:val="23"/>
                <w:szCs w:val="23"/>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4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40" w:type="dxa"/>
            <w:vAlign w:val="bottom"/>
          </w:tcPr>
          <w:p>
            <w:pPr>
              <w:spacing w:after="0"/>
              <w:rPr>
                <w:sz w:val="20"/>
                <w:szCs w:val="20"/>
                <w:color w:val="auto"/>
              </w:rPr>
            </w:pPr>
          </w:p>
        </w:tc>
        <w:tc>
          <w:tcPr>
            <w:tcW w:w="960" w:type="dxa"/>
            <w:vAlign w:val="bottom"/>
            <w:shd w:val="clear" w:color="auto" w:fill="E7E7E2"/>
          </w:tcPr>
          <w:p>
            <w:pPr>
              <w:jc w:val="center"/>
              <w:spacing w:after="0" w:line="230" w:lineRule="exact"/>
              <w:rPr>
                <w:sz w:val="20"/>
                <w:szCs w:val="20"/>
                <w:color w:val="auto"/>
              </w:rPr>
            </w:pPr>
            <w:r>
              <w:rPr>
                <w:rFonts w:ascii="Arial" w:cs="Arial" w:eastAsia="Arial" w:hAnsi="Arial"/>
                <w:sz w:val="22"/>
                <w:szCs w:val="22"/>
                <w:color w:val="auto"/>
                <w:w w:val="96"/>
              </w:rPr>
              <w:t>Common</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7"/>
              </w:rPr>
              <w:t>457(a)</w:t>
            </w:r>
          </w:p>
        </w:tc>
        <w:tc>
          <w:tcPr>
            <w:tcW w:w="4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750,000</w:t>
            </w:r>
          </w:p>
        </w:tc>
        <w:tc>
          <w:tcPr>
            <w:tcW w:w="20" w:type="dxa"/>
            <w:vAlign w:val="bottom"/>
          </w:tcPr>
          <w:p>
            <w:pPr>
              <w:spacing w:after="0"/>
              <w:rPr>
                <w:sz w:val="20"/>
                <w:szCs w:val="2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$ 96.02</w:t>
            </w:r>
          </w:p>
        </w:tc>
        <w:tc>
          <w:tcPr>
            <w:tcW w:w="40" w:type="dxa"/>
            <w:vAlign w:val="bottom"/>
            <w:vMerge w:val="continue"/>
          </w:tcPr>
          <w:p>
            <w:pPr>
              <w:spacing w:after="0"/>
              <w:rPr>
                <w:sz w:val="20"/>
                <w:szCs w:val="20"/>
                <w:color w:val="auto"/>
              </w:rPr>
            </w:pPr>
          </w:p>
        </w:tc>
        <w:tc>
          <w:tcPr>
            <w:tcW w:w="15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$ 11,025.50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2"/>
                <w:szCs w:val="22"/>
                <w:color w:val="auto"/>
              </w:rPr>
              <w:t>Stock</w:t>
            </w:r>
          </w:p>
        </w:tc>
        <w:tc>
          <w:tcPr>
            <w:tcW w:w="20" w:type="dxa"/>
            <w:vAlign w:val="bottom"/>
          </w:tcPr>
          <w:p>
            <w:pPr>
              <w:spacing w:after="0"/>
              <w:rPr>
                <w:sz w:val="24"/>
                <w:szCs w:val="24"/>
                <w:color w:val="auto"/>
              </w:rPr>
            </w:pPr>
          </w:p>
        </w:tc>
        <w:tc>
          <w:tcPr>
            <w:tcW w:w="12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shd w:val="clear" w:color="auto" w:fill="E7E7E2"/>
          </w:tcPr>
          <w:p>
            <w:pPr>
              <w:jc w:val="right"/>
              <w:spacing w:after="0"/>
              <w:rPr>
                <w:sz w:val="20"/>
                <w:szCs w:val="20"/>
                <w:color w:val="auto"/>
              </w:rPr>
            </w:pPr>
            <w:r>
              <w:rPr>
                <w:rFonts w:ascii="Arial" w:cs="Arial" w:eastAsia="Arial" w:hAnsi="Arial"/>
                <w:sz w:val="22"/>
                <w:szCs w:val="22"/>
                <w:color w:val="auto"/>
              </w:rPr>
              <w:t>72,015,000.00</w:t>
            </w:r>
          </w:p>
        </w:tc>
        <w:tc>
          <w:tcPr>
            <w:tcW w:w="20" w:type="dxa"/>
            <w:vAlign w:val="bottom"/>
          </w:tcPr>
          <w:p>
            <w:pPr>
              <w:spacing w:after="0"/>
              <w:rPr>
                <w:sz w:val="24"/>
                <w:szCs w:val="24"/>
                <w:color w:val="auto"/>
              </w:rPr>
            </w:pPr>
          </w:p>
        </w:tc>
        <w:tc>
          <w:tcPr>
            <w:tcW w:w="10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vMerge w:val="continue"/>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$ 11,025.50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72,015,000.00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2"/>
                <w:szCs w:val="22"/>
                <w:color w:val="auto"/>
              </w:rPr>
              <w:t>$ 11,025.50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right="20"/>
        <w:spacing w:after="0" w:line="249" w:lineRule="auto"/>
        <w:rPr>
          <w:sz w:val="20"/>
          <w:szCs w:val="20"/>
          <w:color w:val="auto"/>
        </w:rPr>
      </w:pPr>
      <w:r>
        <w:rPr>
          <w:rFonts w:ascii="Arial" w:cs="Arial" w:eastAsia="Arial" w:hAnsi="Arial"/>
          <w:sz w:val="21"/>
          <w:szCs w:val="21"/>
          <w:color w:val="auto"/>
        </w:rPr>
        <w:t>Represents an additional 750,000 shares of common stock authorized for issuance under the Plan. In addition, pursuant to Rule 416(a) under the Securities Act, this Registration Statement also covers such indeterminate number of additional shares as may be authorized in the event of an adjustment as a result of an increase in the number of issued shares of common stock resulting from the payment of stock dividends or stock splits or certain other capital adjustments. In addition, pursuant to Rule 416(c) under the Securities Act, this Registration Statement also covers an indeterminate amount of interests to be offered or sold pursuant to the Plan.</w:t>
      </w:r>
    </w:p>
    <w:p>
      <w:pPr>
        <w:spacing w:after="0" w:line="198" w:lineRule="exact"/>
        <w:rPr>
          <w:sz w:val="20"/>
          <w:szCs w:val="20"/>
          <w:color w:val="auto"/>
        </w:rPr>
      </w:pPr>
    </w:p>
    <w:p>
      <w:pPr>
        <w:ind w:left="240"/>
        <w:spacing w:after="0" w:line="245" w:lineRule="auto"/>
        <w:rPr>
          <w:sz w:val="20"/>
          <w:szCs w:val="20"/>
          <w:color w:val="auto"/>
        </w:rPr>
      </w:pPr>
      <w:r>
        <w:rPr>
          <w:rFonts w:ascii="Arial" w:cs="Arial" w:eastAsia="Arial" w:hAnsi="Arial"/>
          <w:sz w:val="22"/>
          <w:szCs w:val="22"/>
          <w:color w:val="auto"/>
        </w:rPr>
        <w:t>For the purpose of computing the registration fee only, the price shown is based upon the price of $96.02 per share, the average of the high and low prices for the Company's common stock as reported in the Nasdaq Global Select Market on Monday, June 16, 2025, in accordance with Rule 457(c) and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78105</wp:posOffset>
            </wp:positionV>
            <wp:extent cx="697738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040"/>
      </w:cols>
      <w:pgMar w:left="360" w:top="1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5"/>
      <w:numFmt w:val="bullet"/>
      <w:start w:val="1"/>
    </w:lvl>
  </w:abstractNum>
  <w:abstractNum w:abstractNumId="2">
    <w:nsid w:val="3D1B58BA"/>
    <w:multiLevelType w:val="hybridMultilevel"/>
    <w:lvl w:ilvl="0">
      <w:lvlJc w:val="left"/>
      <w:lvlText w:val="%1"/>
      <w:numFmt w:val="decimal"/>
      <w:start w:val="24"/>
    </w:lvl>
  </w:abstractNum>
  <w:abstractNum w:abstractNumId="3">
    <w:nsid w:val="507ED7AB"/>
    <w:multiLevelType w:val="hybridMultilevel"/>
    <w:lvl w:ilvl="0">
      <w:lvlJc w:val="left"/>
      <w:lvlText w:val="%1"/>
      <w:numFmt w:val="decimal"/>
      <w:start w:val="107"/>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lowerLetter"/>
      <w:start w:val="1"/>
    </w:lvl>
    <w:lvl w:ilvl="1">
      <w:lvlJc w:val="left"/>
      <w:lvlText w:val="(%2)"/>
      <w:numFmt w:val="decimal"/>
      <w:start w:val="3"/>
    </w:lvl>
  </w:abstractNum>
  <w:abstractNum w:abstractNumId="7">
    <w:nsid w:val="7545E146"/>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5" Type="http://schemas.openxmlformats.org/officeDocument/2006/relationships/hyperlink" Target="https://www.sec.gov/Archives/edgar/data/0000912767/000155837024007280/ufpi-20240330xex3da.htm" TargetMode="External"/><Relationship Id="rId16" Type="http://schemas.openxmlformats.org/officeDocument/2006/relationships/hyperlink" Target="https://www.sec.gov/Archives/edgar/data/912767/000091276717000007/ufpi-20161231xexhibit3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2025-06-20T14:35:23Z</dcterms:created>
  <dcterms:modified xsi:type="dcterms:W3CDTF">2025-06-20T14:35:23Z</dcterms:modified>
</cp:coreProperties>
</file>