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903605</wp:posOffset>
            </wp:positionH>
            <wp:positionV relativeFrom="page">
              <wp:posOffset>363220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397510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color w:val="auto"/>
        </w:rPr>
        <w:t>‑</w:t>
      </w:r>
      <w:r>
        <w:rPr>
          <w:rFonts w:ascii="Arial" w:cs="Arial" w:eastAsia="Arial" w:hAnsi="Arial"/>
          <w:sz w:val="32"/>
          <w:szCs w:val="32"/>
          <w:b w:val="1"/>
          <w:bCs w:val="1"/>
          <w:color w:val="auto"/>
        </w:rPr>
        <w:t>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18, 2017</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2940" w:type="dxa"/>
            <w:vAlign w:val="bottom"/>
          </w:tcPr>
          <w:p>
            <w:pPr>
              <w:jc w:val="center"/>
              <w:ind w:right="730"/>
              <w:spacing w:after="0"/>
              <w:rPr>
                <w:sz w:val="20"/>
                <w:szCs w:val="20"/>
                <w:color w:val="auto"/>
              </w:rPr>
            </w:pPr>
            <w:r>
              <w:rPr>
                <w:rFonts w:ascii="Arial" w:cs="Arial" w:eastAsia="Arial" w:hAnsi="Arial"/>
                <w:sz w:val="18"/>
                <w:szCs w:val="18"/>
                <w:b w:val="1"/>
                <w:bCs w:val="1"/>
                <w:color w:val="auto"/>
                <w:w w:val="92"/>
              </w:rPr>
              <w:t>Michigan</w:t>
            </w:r>
          </w:p>
        </w:tc>
        <w:tc>
          <w:tcPr>
            <w:tcW w:w="252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17"/>
        </w:trPr>
        <w:tc>
          <w:tcPr>
            <w:tcW w:w="294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2520" w:type="dxa"/>
            <w:vAlign w:val="bottom"/>
          </w:tcPr>
          <w:p>
            <w:pPr>
              <w:jc w:val="right"/>
              <w:ind w:right="990"/>
              <w:spacing w:after="0"/>
              <w:rPr>
                <w:sz w:val="20"/>
                <w:szCs w:val="20"/>
                <w:color w:val="auto"/>
              </w:rPr>
            </w:pPr>
            <w:r>
              <w:rPr>
                <w:rFonts w:ascii="Arial" w:cs="Arial" w:eastAsia="Arial" w:hAnsi="Arial"/>
                <w:sz w:val="18"/>
                <w:szCs w:val="18"/>
                <w:b w:val="1"/>
                <w:bCs w:val="1"/>
                <w:color w:val="auto"/>
              </w:rPr>
              <w:t>0-22684</w:t>
            </w:r>
          </w:p>
        </w:tc>
        <w:tc>
          <w:tcPr>
            <w:tcW w:w="2880" w:type="dxa"/>
            <w:vAlign w:val="bottom"/>
          </w:tcPr>
          <w:p>
            <w:pPr>
              <w:jc w:val="right"/>
              <w:ind w:right="710"/>
              <w:spacing w:after="0"/>
              <w:rPr>
                <w:sz w:val="20"/>
                <w:szCs w:val="20"/>
                <w:color w:val="auto"/>
              </w:rPr>
            </w:pPr>
            <w:r>
              <w:rPr>
                <w:rFonts w:ascii="Arial" w:cs="Arial" w:eastAsia="Arial" w:hAnsi="Arial"/>
                <w:sz w:val="18"/>
                <w:szCs w:val="18"/>
                <w:b w:val="1"/>
                <w:bCs w:val="1"/>
                <w:color w:val="auto"/>
              </w:rPr>
              <w:t>38-1465835</w:t>
            </w:r>
          </w:p>
        </w:tc>
      </w:tr>
      <w:tr>
        <w:trPr>
          <w:trHeight w:val="270"/>
        </w:trPr>
        <w:tc>
          <w:tcPr>
            <w:tcW w:w="2940" w:type="dxa"/>
            <w:vAlign w:val="bottom"/>
          </w:tcPr>
          <w:p>
            <w:pPr>
              <w:jc w:val="center"/>
              <w:ind w:right="730"/>
              <w:spacing w:after="0"/>
              <w:rPr>
                <w:sz w:val="20"/>
                <w:szCs w:val="20"/>
                <w:color w:val="auto"/>
              </w:rPr>
            </w:pPr>
            <w:r>
              <w:rPr>
                <w:rFonts w:ascii="Arial" w:cs="Arial" w:eastAsia="Arial" w:hAnsi="Arial"/>
                <w:sz w:val="18"/>
                <w:szCs w:val="18"/>
                <w:color w:val="auto"/>
                <w:w w:val="93"/>
              </w:rPr>
              <w:t>Incorporation)</w:t>
            </w:r>
          </w:p>
        </w:tc>
        <w:tc>
          <w:tcPr>
            <w:tcW w:w="2520" w:type="dxa"/>
            <w:vAlign w:val="bottom"/>
          </w:tcPr>
          <w:p>
            <w:pPr>
              <w:jc w:val="center"/>
              <w:ind w:right="170"/>
              <w:spacing w:after="0"/>
              <w:rPr>
                <w:sz w:val="20"/>
                <w:szCs w:val="20"/>
                <w:color w:val="auto"/>
              </w:rPr>
            </w:pPr>
            <w:r>
              <w:rPr>
                <w:rFonts w:ascii="Arial" w:cs="Arial" w:eastAsia="Arial" w:hAnsi="Arial"/>
                <w:sz w:val="18"/>
                <w:szCs w:val="18"/>
                <w:color w:val="auto"/>
                <w:w w:val="92"/>
              </w:rPr>
              <w:t>(Commission File Number)</w:t>
            </w:r>
          </w:p>
        </w:tc>
        <w:tc>
          <w:tcPr>
            <w:tcW w:w="2880" w:type="dxa"/>
            <w:vAlign w:val="bottom"/>
          </w:tcPr>
          <w:p>
            <w:pPr>
              <w:jc w:val="center"/>
              <w:ind w:left="310"/>
              <w:spacing w:after="0"/>
              <w:rPr>
                <w:sz w:val="20"/>
                <w:szCs w:val="20"/>
                <w:color w:val="auto"/>
              </w:rPr>
            </w:pPr>
            <w:r>
              <w:rPr>
                <w:rFonts w:ascii="Arial" w:cs="Arial" w:eastAsia="Arial" w:hAnsi="Arial"/>
                <w:sz w:val="18"/>
                <w:szCs w:val="18"/>
                <w:color w:val="auto"/>
                <w:w w:val="94"/>
              </w:rPr>
              <w:t>(IRS Employer Identification No.)</w:t>
            </w:r>
          </w:p>
        </w:tc>
      </w:tr>
      <w:tr>
        <w:trPr>
          <w:trHeight w:val="454"/>
        </w:trPr>
        <w:tc>
          <w:tcPr>
            <w:tcW w:w="294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2801 East Beltline, NE</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0"/>
        </w:trPr>
        <w:tc>
          <w:tcPr>
            <w:tcW w:w="2940" w:type="dxa"/>
            <w:vAlign w:val="bottom"/>
          </w:tcPr>
          <w:p>
            <w:pPr>
              <w:jc w:val="center"/>
              <w:ind w:left="650"/>
              <w:spacing w:after="0"/>
              <w:rPr>
                <w:sz w:val="20"/>
                <w:szCs w:val="20"/>
                <w:color w:val="auto"/>
              </w:rPr>
            </w:pPr>
            <w:r>
              <w:rPr>
                <w:rFonts w:ascii="Arial" w:cs="Arial" w:eastAsia="Arial" w:hAnsi="Arial"/>
                <w:sz w:val="18"/>
                <w:szCs w:val="18"/>
                <w:b w:val="1"/>
                <w:bCs w:val="1"/>
                <w:color w:val="auto"/>
                <w:w w:val="93"/>
              </w:rPr>
              <w:t>Grand Rapids, Michigan</w:t>
            </w:r>
          </w:p>
        </w:tc>
        <w:tc>
          <w:tcPr>
            <w:tcW w:w="2520" w:type="dxa"/>
            <w:vAlign w:val="bottom"/>
          </w:tcPr>
          <w:p>
            <w:pPr>
              <w:spacing w:after="0"/>
              <w:rPr>
                <w:sz w:val="19"/>
                <w:szCs w:val="19"/>
                <w:color w:val="auto"/>
              </w:rPr>
            </w:pPr>
          </w:p>
        </w:tc>
        <w:tc>
          <w:tcPr>
            <w:tcW w:w="2880" w:type="dxa"/>
            <w:vAlign w:val="bottom"/>
          </w:tcPr>
          <w:p>
            <w:pPr>
              <w:jc w:val="right"/>
              <w:ind w:right="1630"/>
              <w:spacing w:after="0"/>
              <w:rPr>
                <w:sz w:val="20"/>
                <w:szCs w:val="20"/>
                <w:color w:val="auto"/>
              </w:rPr>
            </w:pPr>
            <w:r>
              <w:rPr>
                <w:rFonts w:ascii="Arial" w:cs="Arial" w:eastAsia="Arial" w:hAnsi="Arial"/>
                <w:sz w:val="18"/>
                <w:szCs w:val="18"/>
                <w:b w:val="1"/>
                <w:bCs w:val="1"/>
                <w:color w:val="auto"/>
              </w:rPr>
              <w:t>49525</w:t>
            </w:r>
          </w:p>
        </w:tc>
      </w:tr>
      <w:tr>
        <w:trPr>
          <w:trHeight w:val="230"/>
        </w:trPr>
        <w:tc>
          <w:tcPr>
            <w:tcW w:w="5460" w:type="dxa"/>
            <w:vAlign w:val="bottom"/>
            <w:gridSpan w:val="2"/>
          </w:tcPr>
          <w:p>
            <w:pPr>
              <w:jc w:val="center"/>
              <w:ind w:right="169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jc w:val="center"/>
              <w:ind w:right="910"/>
              <w:spacing w:after="0"/>
              <w:rPr>
                <w:sz w:val="20"/>
                <w:szCs w:val="20"/>
                <w:color w:val="auto"/>
              </w:rPr>
            </w:pPr>
            <w:r>
              <w:rPr>
                <w:rFonts w:ascii="Arial" w:cs="Arial" w:eastAsia="Arial" w:hAnsi="Arial"/>
                <w:sz w:val="18"/>
                <w:szCs w:val="18"/>
                <w:color w:val="auto"/>
                <w:w w:val="94"/>
              </w:rPr>
              <w:t>(Zip Code)</w:t>
            </w:r>
          </w:p>
        </w:tc>
      </w:tr>
    </w:tbl>
    <w:p>
      <w:pPr>
        <w:spacing w:after="0" w:line="184"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71"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520" w:hanging="517"/>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20" w:hanging="517"/>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20" w:hanging="517"/>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69" w:lineRule="exact"/>
        <w:rPr>
          <w:rFonts w:ascii="MS PGothic" w:cs="MS PGothic" w:eastAsia="MS PGothic" w:hAnsi="MS PGothic"/>
          <w:sz w:val="17"/>
          <w:szCs w:val="17"/>
          <w:color w:val="auto"/>
        </w:rPr>
      </w:pPr>
    </w:p>
    <w:p>
      <w:pPr>
        <w:ind w:left="520" w:hanging="517"/>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69"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623570</wp:posOffset>
            </wp:positionV>
            <wp:extent cx="57543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778" w:right="141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18, 2017, the Registrant issued a press release announcing its financial results for the quarter ended July 1, 2017. A copy of the Registrant’s press release is attached as Exhibit 99(a) to this Current Report.</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283" w:lineRule="exact"/>
        <w:rPr>
          <w:sz w:val="20"/>
          <w:szCs w:val="20"/>
          <w:color w:val="auto"/>
        </w:rPr>
      </w:pPr>
    </w:p>
    <w:p>
      <w:pPr>
        <w:ind w:left="1320" w:hanging="669"/>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July 18,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UNIVERSAL FOREST PRODUCTS, INC.</w:t>
      </w:r>
    </w:p>
    <w:p>
      <w:pPr>
        <w:spacing w:after="0" w:line="5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60"/>
        <w:spacing w:after="0"/>
        <w:tabs>
          <w:tab w:leader="none" w:pos="4380" w:val="left"/>
          <w:tab w:leader="none" w:pos="4900" w:val="left"/>
        </w:tabs>
        <w:rPr>
          <w:sz w:val="20"/>
          <w:szCs w:val="20"/>
          <w:color w:val="auto"/>
        </w:rPr>
      </w:pPr>
      <w:r>
        <w:rPr>
          <w:rFonts w:ascii="Arial" w:cs="Arial" w:eastAsia="Arial" w:hAnsi="Arial"/>
          <w:sz w:val="18"/>
          <w:szCs w:val="18"/>
          <w:color w:val="auto"/>
        </w:rPr>
        <w:t>Dated: July 18,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-130175</wp:posOffset>
            </wp:positionV>
            <wp:extent cx="2667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7200" w:type="dxa"/>
            <w:vAlign w:val="bottom"/>
          </w:tcPr>
          <w:p>
            <w:pPr>
              <w:spacing w:after="0"/>
              <w:rPr>
                <w:sz w:val="20"/>
                <w:szCs w:val="20"/>
                <w:color w:val="auto"/>
              </w:rPr>
            </w:pPr>
            <w:r>
              <w:rPr>
                <w:rFonts w:ascii="Arial" w:cs="Arial" w:eastAsia="Arial" w:hAnsi="Arial"/>
                <w:sz w:val="18"/>
                <w:szCs w:val="18"/>
                <w:b w:val="1"/>
                <w:bCs w:val="1"/>
                <w:color w:val="auto"/>
              </w:rPr>
              <w:t>Document</w:t>
            </w:r>
          </w:p>
        </w:tc>
      </w:tr>
      <w:tr>
        <w:trPr>
          <w:trHeight w:val="224"/>
        </w:trPr>
        <w:tc>
          <w:tcPr>
            <w:tcW w:w="2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99(a)</w:t>
            </w:r>
          </w:p>
        </w:tc>
        <w:tc>
          <w:tcPr>
            <w:tcW w:w="420" w:type="dxa"/>
            <w:vAlign w:val="bottom"/>
          </w:tcPr>
          <w:p>
            <w:pPr>
              <w:spacing w:after="0"/>
              <w:rPr>
                <w:sz w:val="19"/>
                <w:szCs w:val="19"/>
                <w:color w:val="auto"/>
              </w:rPr>
            </w:pPr>
          </w:p>
        </w:tc>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July 18, 2017.</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61225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5143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154940</wp:posOffset>
            </wp:positionV>
            <wp:extent cx="1732280"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22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News release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---------------AT THE COMPANY---------------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Tuesday, July 18, 2017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UFPI posts record second quarter results</w:t>
      </w:r>
    </w:p>
    <w:p>
      <w:pPr>
        <w:spacing w:after="0" w:line="29" w:lineRule="exact"/>
        <w:rPr>
          <w:sz w:val="20"/>
          <w:szCs w:val="20"/>
          <w:color w:val="auto"/>
        </w:rPr>
      </w:pPr>
    </w:p>
    <w:p>
      <w:pPr>
        <w:ind w:left="3540" w:hanging="119"/>
        <w:spacing w:after="0"/>
        <w:tabs>
          <w:tab w:leader="none" w:pos="35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Sales up 23 percent over previous year</w:t>
      </w:r>
    </w:p>
    <w:p>
      <w:pPr>
        <w:spacing w:after="0" w:line="1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GRAND RAPIDS, Mich., July 18, 2017 – Universal Forest Products, Inc. (Nasdaq: UFPI) today reported financial results for the second quarter ended July 1, 2017.</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net sales rose 23 percent over the same quarter of 2016, led by double-digit gains in each of its markets. Net earnings were up slightly over 2016. Both results are records for the company.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“Many companies would be satisfied with our second-quarter performance. Not us,” said CEO Matt Missad. “We are excited about our sales growth, yet disappointed that we only had a modest growth in profits. We won’t make excuses and will aggressively pursue our goal to convert more of our sales revenue to earnings growth. I am confident that the great people of Universal will overcome challenges such as the lumber market volatility that occurred in the second quarter and continue to improve.”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excited about the second half of 2017 and look forward to returning to more normal lumber market conditions as the details of the next Canadian softwood lumber agreement become known,” Matt added. “We expect to see the benefits of our investments in acquisitions, new product development and our international division. We also expect to see the benefits of our efforts to manage costs, as acquisitions such as idX Corp. continue to implement cost-saving synergies ahead of schedule.”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2017 Highlights (comparisons on a year-over-year basis):</w:t>
      </w:r>
    </w:p>
    <w:p>
      <w:pPr>
        <w:spacing w:after="0" w:line="229" w:lineRule="exact"/>
        <w:rPr>
          <w:sz w:val="20"/>
          <w:szCs w:val="20"/>
          <w:color w:val="auto"/>
        </w:rPr>
      </w:pPr>
    </w:p>
    <w:p>
      <w:pPr>
        <w:ind w:left="640" w:hanging="32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earnings attributable to controlling interest were $33.6 million, up 1 percent</w:t>
      </w:r>
    </w:p>
    <w:p>
      <w:pPr>
        <w:spacing w:after="0" w:line="11" w:lineRule="exact"/>
        <w:rPr>
          <w:rFonts w:ascii="Arial" w:cs="Arial" w:eastAsia="Arial" w:hAnsi="Arial"/>
          <w:sz w:val="18"/>
          <w:szCs w:val="18"/>
          <w:color w:val="auto"/>
        </w:rPr>
      </w:pPr>
    </w:p>
    <w:p>
      <w:pPr>
        <w:ind w:left="640" w:hanging="325"/>
        <w:spacing w:after="0" w:line="23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were $1.64</w:t>
      </w:r>
    </w:p>
    <w:p>
      <w:pPr>
        <w:ind w:left="640" w:hanging="32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of $1,072.4 million represent a 23 percent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66122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11" w:lineRule="exact"/>
        <w:rPr>
          <w:sz w:val="20"/>
          <w:szCs w:val="20"/>
          <w:color w:val="auto"/>
        </w:rPr>
      </w:pPr>
    </w:p>
    <w:p>
      <w:pPr>
        <w:ind w:left="640" w:hanging="32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 sales accounted for 16 percent of the Company’s gross sales growth; higher lumber prices accounted for 7 percent</w:t>
      </w:r>
    </w:p>
    <w:p>
      <w:pPr>
        <w:spacing w:after="0" w:line="11" w:lineRule="exact"/>
        <w:rPr>
          <w:rFonts w:ascii="Arial" w:cs="Arial" w:eastAsia="Arial" w:hAnsi="Arial"/>
          <w:sz w:val="18"/>
          <w:szCs w:val="18"/>
          <w:color w:val="auto"/>
        </w:rPr>
      </w:pPr>
    </w:p>
    <w:p>
      <w:pPr>
        <w:ind w:left="640" w:right="640" w:hanging="325"/>
        <w:spacing w:after="0" w:line="24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product sales were $115.9 million, up from $97.8 million. The Company has introduced 23 new products in 2017 to date, including 11 during the second quarter.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By market, the Company posted the following second-quarter 2017 gross sales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$459.1 million, up 13 percent over the same period of 2016</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Sales to the Retail market grew 13 percent, led by acquisitions, which contributed 8 percent of unit sales growth, while price increases accounted for 5 percent of sales growth.</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has benefited from new product sales and growth with independent and big box retailers, the latter of which have reported increases in comparable sales in their most recently reported 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$295.2 million, up 17 percent over the same period of 2016</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17 percent increase in Construction sales was led by sales to manufactured housing builders, which grew 24 percent, and residential builders, which grew 14 percent. Sales to commercial builders rose 10 percent. Overall, unit sales grew 9 percent, while prices increased 8 percent.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benefited from the increase in manufactured home production, which is up 18.5 percent for the year through April 2017, and from rising U.S. housing starts. The Company remains focused on growing business selectively in areas where housing markets are the most stable.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$335.9 million, up 47 percent over the same period of 2016</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Company’s growth in this market is primarily due to its September 2016 acquisition of idX Corp. Excluding acquisitions, the Company grew unit sales in this market by 8 percent in the second quarter through market share gains and by adding new customers.</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66122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Universal Forest Products will conduct a conference call to discuss information included in this news release and related matters at 8:30 a.m. ET on Wednesday, July 19, 2017. The call will be hosted by CEO Matthew J. Missad and CFO Michael Cole, and will be available for analysts and institutional investors domestically at (888) 685-5759 and internationally at (503) 343-6031. Use conference ID 84420896. The conference call will be available simultaneously and in its entirety to all interested investors and news media through a webcast at http://www.ufpi.com. A replay of the call will be available through August 18, 2017, at any of the following numbers: (855) 859-2056, (404) 537-3406 or (800) 585-8367.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Universal Forest Products, Inc. is a holding company whose subsidiaries supply wood, wood composite and other products to three robust markets: retail, construction and industrial. Founded in 1955, the Company is headquartered in Grand Rapids, Mich., with affiliates throughout North America, Europe, Asia and Australia. For more about Universal Forest Products, go to www.ufpi.com.</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5"/>
          <w:szCs w:val="15"/>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66122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4</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JUNE 2017/2016</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80" w:type="dxa"/>
            <w:vAlign w:val="bottom"/>
            <w:tcBorders>
              <w:top w:val="single" w:sz="8" w:color="auto"/>
              <w:left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7"/>
          </w:tcPr>
          <w:p>
            <w:pPr>
              <w:jc w:val="right"/>
              <w:ind w:right="440"/>
              <w:spacing w:after="0"/>
              <w:rPr>
                <w:sz w:val="20"/>
                <w:szCs w:val="20"/>
                <w:color w:val="auto"/>
              </w:rPr>
            </w:pPr>
            <w:r>
              <w:rPr>
                <w:rFonts w:ascii="Arial" w:cs="Arial" w:eastAsia="Arial" w:hAnsi="Arial"/>
                <w:sz w:val="16"/>
                <w:szCs w:val="16"/>
                <w:b w:val="1"/>
                <w:bCs w:val="1"/>
                <w:color w:val="auto"/>
                <w:w w:val="94"/>
              </w:rPr>
              <w:t>Quarter Period</w:t>
            </w:r>
          </w:p>
        </w:tc>
        <w:tc>
          <w:tcPr>
            <w:tcW w:w="4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right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7"/>
          </w:tcPr>
          <w:p>
            <w:pPr>
              <w:jc w:val="right"/>
              <w:ind w:right="580"/>
              <w:spacing w:after="0"/>
              <w:rPr>
                <w:sz w:val="20"/>
                <w:szCs w:val="20"/>
                <w:color w:val="auto"/>
              </w:rPr>
            </w:pPr>
            <w:r>
              <w:rPr>
                <w:rFonts w:ascii="Arial" w:cs="Arial" w:eastAsia="Arial" w:hAnsi="Arial"/>
                <w:sz w:val="16"/>
                <w:szCs w:val="16"/>
                <w:b w:val="1"/>
                <w:bCs w:val="1"/>
                <w:color w:val="auto"/>
                <w:w w:val="98"/>
              </w:rPr>
              <w:t>Year to Date</w:t>
            </w:r>
          </w:p>
        </w:tc>
        <w:tc>
          <w:tcPr>
            <w:tcW w:w="54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1,072,375</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w w:val="97"/>
              </w:rPr>
              <w:t>100</w:t>
            </w:r>
          </w:p>
        </w:tc>
        <w:tc>
          <w:tcPr>
            <w:tcW w:w="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872,093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6"/>
                <w:szCs w:val="16"/>
                <w:color w:val="auto"/>
              </w:rPr>
              <w:t>100</w:t>
            </w:r>
          </w:p>
        </w:tc>
        <w:tc>
          <w:tcPr>
            <w:tcW w:w="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1,918,505</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100</w:t>
            </w:r>
          </w:p>
        </w:tc>
        <w:tc>
          <w:tcPr>
            <w:tcW w:w="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1,554,244</w:t>
            </w:r>
          </w:p>
        </w:tc>
        <w:tc>
          <w:tcPr>
            <w:tcW w:w="8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COST OF GOODS SOLD</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924,135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86.2</w:t>
            </w: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740,606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1,649,526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86.0</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1,320,018</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148,240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13.8</w:t>
            </w: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131,487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268,979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14.0</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234,226</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SELLING,  GENERAL AND</w:t>
            </w: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ADMINISTRATIVE EXPENSES</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94,341</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77,822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181,259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148,651</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 FROM OPERATIONS</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53,899</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53,665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87,720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85,575</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 NET</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1,675</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52,409</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52,880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84,814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83,900</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INCOME TAXES</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18,643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28,605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29,407</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34,574</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34,237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56,209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54,493</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LESS NET EARNINGS ATTRIBUTABLE TO</w:t>
            </w: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(932)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(839)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(0.1)</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(1,882)</w:t>
            </w:r>
          </w:p>
        </w:tc>
        <w:tc>
          <w:tcPr>
            <w:tcW w:w="540" w:type="dxa"/>
            <w:vAlign w:val="bottom"/>
            <w:tcBorders>
              <w:right w:val="single" w:sz="8" w:color="auto"/>
            </w:tcBorders>
            <w:shd w:val="clear" w:color="auto" w:fill="CCEEFF"/>
          </w:tcPr>
          <w:p>
            <w:pPr>
              <w:jc w:val="right"/>
              <w:ind w:right="55"/>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ATTRIBUTABLE TO</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33,642</w:t>
            </w:r>
          </w:p>
        </w:tc>
        <w:tc>
          <w:tcPr>
            <w:tcW w:w="1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33,398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54,704</w:t>
            </w: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52,611</w:t>
            </w:r>
          </w:p>
        </w:tc>
        <w:tc>
          <w:tcPr>
            <w:tcW w:w="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bottom w:val="single" w:sz="8" w:color="CCEEFF"/>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CONTROLLING INTEREST</w:t>
            </w:r>
          </w:p>
        </w:tc>
        <w:tc>
          <w:tcPr>
            <w:tcW w:w="8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right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35,961</w:t>
            </w:r>
          </w:p>
        </w:tc>
        <w:tc>
          <w:tcPr>
            <w:tcW w:w="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33,430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60,631</w:t>
            </w: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54,128</w:t>
            </w:r>
          </w:p>
        </w:tc>
        <w:tc>
          <w:tcPr>
            <w:tcW w:w="8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LESS COMPREHENSIVE INCOME ATTRIBUTABLE</w:t>
            </w: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 NONCONTROLLING INTEREST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(1,460)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(235)</w:t>
            </w:r>
          </w:p>
        </w:tc>
        <w:tc>
          <w:tcPr>
            <w:tcW w:w="4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(2,887)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(1,081)</w:t>
            </w:r>
          </w:p>
        </w:tc>
        <w:tc>
          <w:tcPr>
            <w:tcW w:w="54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ATTRIBUTABLE TO</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34,501</w:t>
            </w:r>
          </w:p>
        </w:tc>
        <w:tc>
          <w:tcPr>
            <w:tcW w:w="1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33,195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57,744</w:t>
            </w: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53,047</w:t>
            </w:r>
          </w:p>
        </w:tc>
        <w:tc>
          <w:tcPr>
            <w:tcW w:w="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CONTROLLING INTEREST</w:t>
            </w:r>
          </w:p>
        </w:tc>
        <w:tc>
          <w:tcPr>
            <w:tcW w:w="8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220" w:type="dxa"/>
            <w:vAlign w:val="bottom"/>
            <w:gridSpan w:val="3"/>
          </w:tcPr>
          <w:p>
            <w:pPr>
              <w:ind w:left="20"/>
              <w:spacing w:after="0"/>
              <w:rPr>
                <w:sz w:val="20"/>
                <w:szCs w:val="20"/>
                <w:color w:val="auto"/>
              </w:rPr>
            </w:pPr>
            <w:r>
              <w:rPr>
                <w:rFonts w:ascii="Arial" w:cs="Arial" w:eastAsia="Arial" w:hAnsi="Arial"/>
                <w:sz w:val="18"/>
                <w:szCs w:val="18"/>
                <w:b w:val="1"/>
                <w:bCs w:val="1"/>
                <w:color w:val="auto"/>
              </w:rPr>
              <w:t>SUPPLEMENTAL SALES DATA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8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8"/>
                <w:szCs w:val="18"/>
                <w:b w:val="1"/>
                <w:bCs w:val="1"/>
                <w:color w:val="auto"/>
                <w:w w:val="96"/>
              </w:rPr>
              <w:t>Quarter Period</w:t>
            </w: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8"/>
                <w:szCs w:val="18"/>
                <w:b w:val="1"/>
                <w:bCs w:val="1"/>
                <w:color w:val="auto"/>
                <w:w w:val="98"/>
              </w:rPr>
              <w:t>Year to Date</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220" w:type="dxa"/>
            <w:vAlign w:val="bottom"/>
            <w:tcBorders>
              <w:left w:val="single" w:sz="8" w:color="auto"/>
            </w:tcBorders>
            <w:gridSpan w:val="3"/>
          </w:tcPr>
          <w:p>
            <w:pPr>
              <w:ind w:left="20"/>
              <w:spacing w:after="0" w:line="170" w:lineRule="exact"/>
              <w:rPr>
                <w:sz w:val="20"/>
                <w:szCs w:val="20"/>
                <w:color w:val="auto"/>
              </w:rPr>
            </w:pPr>
            <w:r>
              <w:rPr>
                <w:rFonts w:ascii="Arial" w:cs="Arial" w:eastAsia="Arial" w:hAnsi="Arial"/>
                <w:sz w:val="18"/>
                <w:szCs w:val="18"/>
                <w:b w:val="1"/>
                <w:bCs w:val="1"/>
                <w:color w:val="auto"/>
              </w:rPr>
              <w:t>Market Classification</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6"/>
              <w:spacing w:after="0" w:line="170"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spacing w:after="0" w:line="170" w:lineRule="exact"/>
              <w:rPr>
                <w:sz w:val="20"/>
                <w:szCs w:val="20"/>
                <w:color w:val="auto"/>
              </w:rPr>
            </w:pPr>
            <w:r>
              <w:rPr>
                <w:rFonts w:ascii="Arial" w:cs="Arial" w:eastAsia="Arial" w:hAnsi="Arial"/>
                <w:sz w:val="18"/>
                <w:szCs w:val="18"/>
                <w:b w:val="1"/>
                <w:bCs w:val="1"/>
                <w:color w:val="auto"/>
              </w:rPr>
              <w:t>2016</w:t>
            </w:r>
          </w:p>
        </w:tc>
        <w:tc>
          <w:tcPr>
            <w:tcW w:w="4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95"/>
              <w:spacing w:after="0" w:line="170"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0" w:type="dxa"/>
            <w:vAlign w:val="bottom"/>
          </w:tcPr>
          <w:p>
            <w:pPr>
              <w:jc w:val="right"/>
              <w:ind w:right="56"/>
              <w:spacing w:after="0" w:line="170"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200"/>
              <w:spacing w:after="0" w:line="170" w:lineRule="exact"/>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75"/>
              <w:spacing w:after="0" w:line="170" w:lineRule="exact"/>
              <w:rPr>
                <w:sz w:val="20"/>
                <w:szCs w:val="20"/>
                <w:color w:val="auto"/>
              </w:rPr>
            </w:pPr>
            <w:r>
              <w:rPr>
                <w:rFonts w:ascii="Arial" w:cs="Arial" w:eastAsia="Arial" w:hAnsi="Arial"/>
                <w:sz w:val="18"/>
                <w:szCs w:val="18"/>
                <w:b w:val="1"/>
                <w:bCs w:val="1"/>
                <w:color w:val="auto"/>
              </w:rPr>
              <w:t>%</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left w:val="single" w:sz="8" w:color="auto"/>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Retail</w:t>
            </w:r>
          </w:p>
        </w:tc>
        <w:tc>
          <w:tcPr>
            <w:tcW w:w="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459,140</w:t>
            </w:r>
          </w:p>
        </w:tc>
        <w:tc>
          <w:tcPr>
            <w:tcW w:w="26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407,670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   770,891</w:t>
            </w: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678,928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Industrial</w:t>
            </w: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335,928</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rPr>
              <w:t>228,052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8"/>
                <w:szCs w:val="18"/>
                <w:color w:val="auto"/>
              </w:rPr>
              <w:t>47%</w:t>
            </w:r>
          </w:p>
        </w:tc>
        <w:tc>
          <w:tcPr>
            <w:tcW w:w="100" w:type="dxa"/>
            <w:vAlign w:val="bottom"/>
            <w:tcBorders>
              <w:right w:val="single" w:sz="8" w:color="auto"/>
            </w:tcBorders>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613,170</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rPr>
              <w:t>429,701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Construction</w:t>
            </w:r>
          </w:p>
        </w:tc>
        <w:tc>
          <w:tcPr>
            <w:tcW w:w="8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295,153</w:t>
            </w:r>
          </w:p>
        </w:tc>
        <w:tc>
          <w:tcPr>
            <w:tcW w:w="26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251,665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17%</w:t>
            </w:r>
          </w:p>
        </w:tc>
        <w:tc>
          <w:tcPr>
            <w:tcW w:w="100" w:type="dxa"/>
            <w:vAlign w:val="bottom"/>
            <w:tcBorders>
              <w:right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562,969</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472,622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Gross Sales</w:t>
            </w: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1,090,221</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rPr>
              <w:t>887,387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8"/>
                <w:szCs w:val="18"/>
                <w:color w:val="auto"/>
              </w:rPr>
              <w:t>23%</w:t>
            </w:r>
          </w:p>
        </w:tc>
        <w:tc>
          <w:tcPr>
            <w:tcW w:w="100" w:type="dxa"/>
            <w:vAlign w:val="bottom"/>
            <w:tcBorders>
              <w:right w:val="single" w:sz="8" w:color="auto"/>
            </w:tcBorders>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1,947,030</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w w:val="97"/>
              </w:rPr>
              <w:t>1,581,251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Sales Allowances</w:t>
            </w:r>
          </w:p>
        </w:tc>
        <w:tc>
          <w:tcPr>
            <w:tcW w:w="80" w:type="dxa"/>
            <w:vAlign w:val="bottom"/>
            <w:tcBorders>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(17,846)</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(15,294)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-17%</w:t>
            </w:r>
          </w:p>
        </w:tc>
        <w:tc>
          <w:tcPr>
            <w:tcW w:w="100" w:type="dxa"/>
            <w:vAlign w:val="bottom"/>
            <w:tcBorders>
              <w:right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3"/>
            <w:shd w:val="clear" w:color="auto" w:fill="CCEEFF"/>
          </w:tcPr>
          <w:p>
            <w:pPr>
              <w:jc w:val="right"/>
              <w:ind w:right="118"/>
              <w:spacing w:after="0"/>
              <w:rPr>
                <w:sz w:val="20"/>
                <w:szCs w:val="20"/>
                <w:color w:val="auto"/>
              </w:rPr>
            </w:pPr>
            <w:r>
              <w:rPr>
                <w:rFonts w:ascii="Arial" w:cs="Arial" w:eastAsia="Arial" w:hAnsi="Arial"/>
                <w:sz w:val="18"/>
                <w:szCs w:val="18"/>
                <w:color w:val="auto"/>
              </w:rPr>
              <w:t>(28,525)</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(27,007)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422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Net Sales</w:t>
            </w:r>
          </w:p>
        </w:tc>
        <w:tc>
          <w:tcPr>
            <w:tcW w:w="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1,072,375</w:t>
            </w:r>
          </w:p>
        </w:tc>
        <w:tc>
          <w:tcPr>
            <w:tcW w:w="2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rPr>
              <w:t>872,093</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$ 1,918,505</w:t>
            </w:r>
          </w:p>
        </w:tc>
        <w:tc>
          <w:tcPr>
            <w:tcW w:w="2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gridSpan w:val="4"/>
          </w:tcPr>
          <w:p>
            <w:pPr>
              <w:jc w:val="right"/>
              <w:ind w:right="139"/>
              <w:spacing w:after="0"/>
              <w:rPr>
                <w:sz w:val="20"/>
                <w:szCs w:val="20"/>
                <w:color w:val="auto"/>
              </w:rPr>
            </w:pPr>
            <w:r>
              <w:rPr>
                <w:rFonts w:ascii="Arial" w:cs="Arial" w:eastAsia="Arial" w:hAnsi="Arial"/>
                <w:sz w:val="18"/>
                <w:szCs w:val="18"/>
                <w:color w:val="auto"/>
                <w:w w:val="92"/>
              </w:rPr>
              <w:t>$ 1,554,244</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40" w:top="121" w:right="69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2017/2016</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29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99"/>
        </w:trPr>
        <w:tc>
          <w:tcPr>
            <w:tcW w:w="280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29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24,625</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87,517</w:t>
            </w:r>
          </w:p>
        </w:tc>
        <w:tc>
          <w:tcPr>
            <w:tcW w:w="296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Cash overdraft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22,769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905</w:t>
            </w:r>
          </w:p>
        </w:tc>
        <w:tc>
          <w:tcPr>
            <w:tcW w:w="22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2960" w:type="dxa"/>
            <w:vAlign w:val="bottom"/>
            <w:tcBorders>
              <w:right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160,250</w:t>
            </w:r>
          </w:p>
        </w:tc>
        <w:tc>
          <w:tcPr>
            <w:tcW w:w="2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126,095</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Investments</w:t>
            </w:r>
          </w:p>
        </w:tc>
        <w:tc>
          <w:tcPr>
            <w:tcW w:w="220" w:type="dxa"/>
            <w:vAlign w:val="bottom"/>
          </w:tcPr>
          <w:p>
            <w:pPr>
              <w:spacing w:after="0"/>
              <w:rPr>
                <w:sz w:val="17"/>
                <w:szCs w:val="17"/>
                <w:color w:val="auto"/>
              </w:rPr>
            </w:pPr>
          </w:p>
        </w:tc>
        <w:tc>
          <w:tcPr>
            <w:tcW w:w="106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10,401</w:t>
            </w:r>
          </w:p>
        </w:tc>
        <w:tc>
          <w:tcPr>
            <w:tcW w:w="22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9,740</w:t>
            </w:r>
          </w:p>
        </w:tc>
        <w:tc>
          <w:tcPr>
            <w:tcW w:w="296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126,210</w:t>
            </w:r>
          </w:p>
        </w:tc>
        <w:tc>
          <w:tcPr>
            <w:tcW w:w="20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111,995</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398,529</w:t>
            </w:r>
          </w:p>
        </w:tc>
        <w:tc>
          <w:tcPr>
            <w:tcW w:w="22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318,505</w:t>
            </w:r>
          </w:p>
        </w:tc>
        <w:tc>
          <w:tcPr>
            <w:tcW w:w="2960" w:type="dxa"/>
            <w:vAlign w:val="bottom"/>
            <w:tcBorders>
              <w:right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Current portion of debt</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2,378</w:t>
            </w: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193"/>
        </w:trPr>
        <w:tc>
          <w:tcPr>
            <w:tcW w:w="28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6"/>
                <w:szCs w:val="16"/>
                <w:color w:val="auto"/>
              </w:rPr>
            </w:pPr>
          </w:p>
        </w:tc>
        <w:tc>
          <w:tcPr>
            <w:tcW w:w="106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438,435</w:t>
            </w:r>
          </w:p>
        </w:tc>
        <w:tc>
          <w:tcPr>
            <w:tcW w:w="220" w:type="dxa"/>
            <w:vAlign w:val="bottom"/>
          </w:tcPr>
          <w:p>
            <w:pPr>
              <w:spacing w:after="0"/>
              <w:rPr>
                <w:sz w:val="16"/>
                <w:szCs w:val="16"/>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297,796</w:t>
            </w:r>
          </w:p>
        </w:tc>
        <w:tc>
          <w:tcPr>
            <w:tcW w:w="29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0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21,970</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15,238</w:t>
            </w:r>
          </w:p>
        </w:tc>
        <w:tc>
          <w:tcPr>
            <w:tcW w:w="29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894,865</w:t>
            </w:r>
          </w:p>
        </w:tc>
        <w:tc>
          <w:tcPr>
            <w:tcW w:w="22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729,705</w:t>
            </w:r>
          </w:p>
        </w:tc>
        <w:tc>
          <w:tcPr>
            <w:tcW w:w="29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311,607</w:t>
            </w:r>
          </w:p>
        </w:tc>
        <w:tc>
          <w:tcPr>
            <w:tcW w:w="2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239,183</w:t>
            </w: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17,734</w:t>
            </w:r>
          </w:p>
        </w:tc>
        <w:tc>
          <w:tcPr>
            <w:tcW w:w="22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10,011</w:t>
            </w:r>
          </w:p>
        </w:tc>
        <w:tc>
          <w:tcPr>
            <w:tcW w:w="29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960" w:type="dxa"/>
            <w:vAlign w:val="bottom"/>
            <w:tcBorders>
              <w:right w:val="single" w:sz="8" w:color="auto"/>
            </w:tcBorders>
          </w:tcPr>
          <w:p>
            <w:pPr>
              <w:ind w:left="180"/>
              <w:spacing w:after="0"/>
              <w:rPr>
                <w:sz w:val="20"/>
                <w:szCs w:val="20"/>
                <w:color w:val="auto"/>
              </w:rPr>
            </w:pPr>
            <w:r>
              <w:rPr>
                <w:rFonts w:ascii="Arial" w:cs="Arial" w:eastAsia="Arial" w:hAnsi="Arial"/>
                <w:sz w:val="16"/>
                <w:szCs w:val="16"/>
                <w:b w:val="1"/>
                <w:bCs w:val="1"/>
                <w:color w:val="auto"/>
              </w:rPr>
              <w:t>LONG-TERM DEBT AND</w:t>
            </w: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INTANGIBLE ASSETS, NET</w:t>
            </w:r>
          </w:p>
        </w:tc>
        <w:tc>
          <w:tcPr>
            <w:tcW w:w="220" w:type="dxa"/>
            <w:vAlign w:val="bottom"/>
          </w:tcPr>
          <w:p>
            <w:pPr>
              <w:spacing w:after="0"/>
              <w:rPr>
                <w:sz w:val="18"/>
                <w:szCs w:val="18"/>
                <w:color w:val="auto"/>
              </w:rPr>
            </w:pPr>
          </w:p>
        </w:tc>
        <w:tc>
          <w:tcPr>
            <w:tcW w:w="106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253,484</w:t>
            </w:r>
          </w:p>
        </w:tc>
        <w:tc>
          <w:tcPr>
            <w:tcW w:w="22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197,891</w:t>
            </w:r>
          </w:p>
        </w:tc>
        <w:tc>
          <w:tcPr>
            <w:tcW w:w="2960" w:type="dxa"/>
            <w:vAlign w:val="bottom"/>
            <w:tcBorders>
              <w:right w:val="single" w:sz="8" w:color="auto"/>
            </w:tcBorders>
          </w:tcPr>
          <w:p>
            <w:pPr>
              <w:ind w:left="180"/>
              <w:spacing w:after="0"/>
              <w:rPr>
                <w:sz w:val="20"/>
                <w:szCs w:val="20"/>
                <w:color w:val="auto"/>
              </w:rPr>
            </w:pPr>
            <w:r>
              <w:rPr>
                <w:rFonts w:ascii="Arial" w:cs="Arial" w:eastAsia="Arial" w:hAnsi="Arial"/>
                <w:sz w:val="16"/>
                <w:szCs w:val="16"/>
                <w:b w:val="1"/>
                <w:bCs w:val="1"/>
                <w:color w:val="auto"/>
              </w:rPr>
              <w:t>CAPITAL LEASE OBLIGATIONS</w:t>
            </w:r>
          </w:p>
        </w:tc>
        <w:tc>
          <w:tcPr>
            <w:tcW w:w="200" w:type="dxa"/>
            <w:vAlign w:val="bottom"/>
          </w:tcPr>
          <w:p>
            <w:pPr>
              <w:spacing w:after="0"/>
              <w:rPr>
                <w:sz w:val="18"/>
                <w:szCs w:val="18"/>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204,752</w:t>
            </w:r>
          </w:p>
        </w:tc>
        <w:tc>
          <w:tcPr>
            <w:tcW w:w="200" w:type="dxa"/>
            <w:vAlign w:val="bottom"/>
          </w:tcPr>
          <w:p>
            <w:pPr>
              <w:spacing w:after="0"/>
              <w:rPr>
                <w:sz w:val="18"/>
                <w:szCs w:val="18"/>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84,530</w:t>
            </w:r>
          </w:p>
        </w:tc>
        <w:tc>
          <w:tcPr>
            <w:tcW w:w="0" w:type="dxa"/>
            <w:vAlign w:val="bottom"/>
          </w:tcPr>
          <w:p>
            <w:pPr>
              <w:spacing w:after="0"/>
              <w:rPr>
                <w:sz w:val="1"/>
                <w:szCs w:val="1"/>
                <w:color w:val="auto"/>
              </w:rPr>
            </w:pPr>
          </w:p>
        </w:tc>
      </w:tr>
      <w:tr>
        <w:trPr>
          <w:trHeight w:val="206"/>
        </w:trPr>
        <w:tc>
          <w:tcPr>
            <w:tcW w:w="2800" w:type="dxa"/>
            <w:vAlign w:val="bottom"/>
            <w:tcBorders>
              <w:left w:val="single" w:sz="8" w:color="auto"/>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29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49,319</w:t>
            </w:r>
          </w:p>
        </w:tc>
        <w:tc>
          <w:tcPr>
            <w:tcW w:w="2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51,158</w:t>
            </w: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w:t>
            </w:r>
          </w:p>
        </w:tc>
        <w:tc>
          <w:tcPr>
            <w:tcW w:w="2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0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EQUIPMENT, NET</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315,956</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256,899</w:t>
            </w:r>
          </w:p>
        </w:tc>
        <w:tc>
          <w:tcPr>
            <w:tcW w:w="2960" w:type="dxa"/>
            <w:vAlign w:val="bottom"/>
            <w:tcBorders>
              <w:bottom w:val="single" w:sz="8" w:color="CCEEFF"/>
              <w:right w:val="single" w:sz="8" w:color="auto"/>
            </w:tcBorders>
          </w:tcPr>
          <w:p>
            <w:pPr>
              <w:ind w:left="180"/>
              <w:spacing w:after="0"/>
              <w:rPr>
                <w:sz w:val="20"/>
                <w:szCs w:val="20"/>
                <w:color w:val="auto"/>
              </w:rPr>
            </w:pPr>
            <w:r>
              <w:rPr>
                <w:rFonts w:ascii="Arial" w:cs="Arial" w:eastAsia="Arial" w:hAnsi="Arial"/>
                <w:sz w:val="16"/>
                <w:szCs w:val="16"/>
                <w:b w:val="1"/>
                <w:bCs w:val="1"/>
                <w:color w:val="auto"/>
              </w:rPr>
              <w:t>EQUITY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color w:val="auto"/>
              </w:rPr>
              <w:t>916,361</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819,635</w:t>
            </w:r>
          </w:p>
        </w:tc>
        <w:tc>
          <w:tcPr>
            <w:tcW w:w="0" w:type="dxa"/>
            <w:vAlign w:val="bottom"/>
          </w:tcPr>
          <w:p>
            <w:pPr>
              <w:spacing w:after="0"/>
              <w:rPr>
                <w:sz w:val="1"/>
                <w:szCs w:val="1"/>
                <w:color w:val="auto"/>
              </w:rPr>
            </w:pPr>
          </w:p>
        </w:tc>
      </w:tr>
      <w:tr>
        <w:trPr>
          <w:trHeight w:val="199"/>
        </w:trPr>
        <w:tc>
          <w:tcPr>
            <w:tcW w:w="2800" w:type="dxa"/>
            <w:vAlign w:val="bottom"/>
            <w:tcBorders>
              <w:left w:val="single" w:sz="8" w:color="auto"/>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29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right w:val="single" w:sz="8" w:color="auto"/>
            </w:tcBorders>
            <w:shd w:val="clear" w:color="auto" w:fill="CCEEFF"/>
          </w:tcPr>
          <w:p>
            <w:pPr>
              <w:spacing w:after="0"/>
              <w:rPr>
                <w:sz w:val="16"/>
                <w:szCs w:val="16"/>
                <w:color w:val="auto"/>
              </w:rPr>
            </w:pPr>
          </w:p>
        </w:tc>
        <w:tc>
          <w:tcPr>
            <w:tcW w:w="2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1,482,039</w:t>
            </w:r>
          </w:p>
        </w:tc>
        <w:tc>
          <w:tcPr>
            <w:tcW w:w="2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1,194,506</w:t>
            </w:r>
          </w:p>
        </w:tc>
        <w:tc>
          <w:tcPr>
            <w:tcW w:w="29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 AND</w:t>
            </w:r>
          </w:p>
        </w:tc>
        <w:tc>
          <w:tcPr>
            <w:tcW w:w="200" w:type="dxa"/>
            <w:vAlign w:val="bottom"/>
            <w:vMerge w:val="restart"/>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1,482,039</w:t>
            </w:r>
          </w:p>
        </w:tc>
        <w:tc>
          <w:tcPr>
            <w:tcW w:w="2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1,194,506</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9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21" w:right="7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2017/2016</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196"/>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56,209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54,493</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Adjustments to reconcile net earnings to net cash from operating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23,248</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19,178</w:t>
            </w:r>
          </w:p>
        </w:tc>
      </w:tr>
      <w:tr>
        <w:trPr>
          <w:trHeight w:val="203"/>
        </w:trPr>
        <w:tc>
          <w:tcPr>
            <w:tcW w:w="78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2,377</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1,285</w:t>
            </w: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Expense associated with share-based compensation arrangements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1,282</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977</w:t>
            </w:r>
          </w:p>
        </w:tc>
      </w:tr>
      <w:tr>
        <w:trPr>
          <w:trHeight w:val="203"/>
        </w:trPr>
        <w:tc>
          <w:tcPr>
            <w:tcW w:w="78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Expense associated with stock grant plans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99</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w:t>
            </w: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355</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55</w:t>
            </w:r>
          </w:p>
        </w:tc>
      </w:tr>
      <w:tr>
        <w:trPr>
          <w:trHeight w:val="203"/>
        </w:trPr>
        <w:tc>
          <w:tcPr>
            <w:tcW w:w="78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Equity in earnings of investee</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r>
      <w:tr>
        <w:trPr>
          <w:trHeight w:val="203"/>
        </w:trPr>
        <w:tc>
          <w:tcPr>
            <w:tcW w:w="7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Net gain on disposition and impairment of assets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(328)</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50</w:t>
            </w:r>
          </w:p>
        </w:tc>
      </w:tr>
      <w:tr>
        <w:trPr>
          <w:trHeight w:val="203"/>
        </w:trPr>
        <w:tc>
          <w:tcPr>
            <w:tcW w:w="78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Changes in:</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(101,239)</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(95,198)</w:t>
            </w:r>
          </w:p>
        </w:tc>
      </w:tr>
      <w:tr>
        <w:trPr>
          <w:trHeight w:val="203"/>
        </w:trPr>
        <w:tc>
          <w:tcPr>
            <w:tcW w:w="788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(26,979)</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7,564</w:t>
            </w:r>
          </w:p>
        </w:tc>
      </w:tr>
      <w:tr>
        <w:trPr>
          <w:trHeight w:val="203"/>
        </w:trPr>
        <w:tc>
          <w:tcPr>
            <w:tcW w:w="78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Accounts payable and cash overdraft</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38,146</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31,320</w:t>
            </w:r>
          </w:p>
        </w:tc>
      </w:tr>
      <w:tr>
        <w:trPr>
          <w:trHeight w:val="203"/>
        </w:trPr>
        <w:tc>
          <w:tcPr>
            <w:tcW w:w="788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Accrued liabilities and other</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22,067</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20,439</w:t>
            </w:r>
          </w:p>
        </w:tc>
      </w:tr>
      <w:tr>
        <w:trPr>
          <w:trHeight w:val="196"/>
        </w:trPr>
        <w:tc>
          <w:tcPr>
            <w:tcW w:w="788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6"/>
                <w:szCs w:val="16"/>
                <w:b w:val="1"/>
                <w:bCs w:val="1"/>
                <w:color w:val="auto"/>
              </w:rPr>
              <w:t>NET CASH FROM OPERATING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15,211</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40,041</w:t>
            </w: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(34,549)</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(24,269)</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1,039</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309</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Acquisitions and purchase of noncontrolling interest, net of cash received</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(59,658)</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Purchase of remaining noncontrolling interest of subsidiary</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(1,100)</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contributed from noncontrolling interest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464</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Advances of notes receivable</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(228)</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(2,946)</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Collections of notes receivable and related interest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1,041</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3,731</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Purchases of investments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(15,118)</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(3,571)</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7,247</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901</w:t>
            </w: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(125)</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r>
      <w:tr>
        <w:trPr>
          <w:trHeight w:val="196"/>
        </w:trPr>
        <w:tc>
          <w:tcPr>
            <w:tcW w:w="7880" w:type="dxa"/>
            <w:vAlign w:val="bottom"/>
            <w:tcBorders>
              <w:left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(99,887)</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(29,363)</w:t>
            </w:r>
          </w:p>
        </w:tc>
      </w:tr>
      <w:tr>
        <w:trPr>
          <w:trHeight w:val="203"/>
        </w:trPr>
        <w:tc>
          <w:tcPr>
            <w:tcW w:w="78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Borrowings under revolving credit facilities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444,601</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3,162</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Repayments under revolving credit facilities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(349,311)</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(3,210)</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331</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290</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(1,953)</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(8,529)</w:t>
            </w: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Dividends paid to shareholders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(9,207)</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(1,731)</w:t>
            </w: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(9,934)</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196"/>
        </w:trPr>
        <w:tc>
          <w:tcPr>
            <w:tcW w:w="7880" w:type="dxa"/>
            <w:vAlign w:val="bottom"/>
            <w:tcBorders>
              <w:left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FROM (USED IN) FINANCING ACTIVITIES</w:t>
            </w: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74,521</w:t>
            </w: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(10,033)</w:t>
            </w:r>
          </w:p>
        </w:tc>
      </w:tr>
      <w:tr>
        <w:trPr>
          <w:trHeight w:val="203"/>
        </w:trPr>
        <w:tc>
          <w:tcPr>
            <w:tcW w:w="78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1,196</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r>
      <w:tr>
        <w:trPr>
          <w:trHeight w:val="196"/>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260" w:type="dxa"/>
            <w:vAlign w:val="bottom"/>
          </w:tcPr>
          <w:p>
            <w:pPr>
              <w:spacing w:after="0"/>
              <w:rPr>
                <w:sz w:val="17"/>
                <w:szCs w:val="17"/>
                <w:color w:val="auto"/>
              </w:rPr>
            </w:pPr>
          </w:p>
        </w:tc>
        <w:tc>
          <w:tcPr>
            <w:tcW w:w="11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(8,959)</w:t>
            </w:r>
          </w:p>
        </w:tc>
        <w:tc>
          <w:tcPr>
            <w:tcW w:w="26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84</w:t>
            </w: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ALL CASH AND CASH EQUIVALENTS, BEGINNING OF PERIOD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34,489</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88,342</w:t>
            </w:r>
          </w:p>
        </w:tc>
      </w:tr>
      <w:tr>
        <w:trPr>
          <w:trHeight w:val="196"/>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10"/>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ALL CASH AND CASH EQUIVALENTS, END OF PERIOD</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25,530</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88,426</w:t>
            </w:r>
          </w:p>
        </w:tc>
      </w:tr>
      <w:tr>
        <w:trPr>
          <w:trHeight w:val="203"/>
        </w:trPr>
        <w:tc>
          <w:tcPr>
            <w:tcW w:w="7880" w:type="dxa"/>
            <w:vAlign w:val="bottom"/>
            <w:tcBorders>
              <w:left w:val="single" w:sz="8" w:color="auto"/>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34,091</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87,756</w:t>
            </w: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Restricted cash, beginning of period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398</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586</w:t>
            </w:r>
          </w:p>
        </w:tc>
      </w:tr>
      <w:tr>
        <w:trPr>
          <w:trHeight w:val="196"/>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 cash and cash equivalents, beginning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34,489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88,342</w:t>
            </w:r>
          </w:p>
        </w:tc>
      </w:tr>
      <w:tr>
        <w:trPr>
          <w:trHeight w:val="203"/>
        </w:trPr>
        <w:tc>
          <w:tcPr>
            <w:tcW w:w="78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24,625</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87,517</w:t>
            </w:r>
          </w:p>
        </w:tc>
      </w:tr>
      <w:tr>
        <w:trPr>
          <w:trHeight w:val="203"/>
        </w:trPr>
        <w:tc>
          <w:tcPr>
            <w:tcW w:w="788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Restricted cash, end of period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905</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909</w:t>
            </w:r>
          </w:p>
        </w:tc>
      </w:tr>
      <w:tr>
        <w:trPr>
          <w:trHeight w:val="203"/>
        </w:trPr>
        <w:tc>
          <w:tcPr>
            <w:tcW w:w="78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 cash and cash equivalents, end of period</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25,530</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88,426</w:t>
            </w:r>
          </w:p>
        </w:tc>
      </w:tr>
      <w:tr>
        <w:trPr>
          <w:trHeight w:val="203"/>
        </w:trPr>
        <w:tc>
          <w:tcPr>
            <w:tcW w:w="7880" w:type="dxa"/>
            <w:vAlign w:val="bottom"/>
            <w:tcBorders>
              <w:left w:val="single" w:sz="8" w:color="auto"/>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446"/>
        </w:trPr>
        <w:tc>
          <w:tcPr>
            <w:tcW w:w="7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420"/>
      </w:cols>
      <w:pgMar w:left="740" w:top="12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2019-12-05T22:48:17Z</dcterms:created>
  <dcterms:modified xsi:type="dcterms:W3CDTF">2019-12-05T22:48:17Z</dcterms:modified>
</cp:coreProperties>
</file>