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0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1580"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29, 2007</w:t>
      </w:r>
    </w:p>
    <w:p>
      <w:pPr>
        <w:spacing w:after="0" w:line="18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1560"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04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5120" w:type="dxa"/>
            <w:vAlign w:val="bottom"/>
            <w:gridSpan w:val="2"/>
          </w:tcPr>
          <w:p>
            <w:pPr>
              <w:jc w:val="right"/>
              <w:ind w:right="1790"/>
              <w:spacing w:after="0"/>
              <w:rPr>
                <w:sz w:val="20"/>
                <w:szCs w:val="20"/>
                <w:color w:val="auto"/>
              </w:rPr>
            </w:pPr>
            <w:r>
              <w:rPr>
                <w:rFonts w:ascii="Arial" w:cs="Arial" w:eastAsia="Arial" w:hAnsi="Arial"/>
                <w:sz w:val="18"/>
                <w:szCs w:val="18"/>
                <w:color w:val="auto"/>
              </w:rPr>
              <w:t>38-1465835</w:t>
            </w:r>
          </w:p>
        </w:tc>
      </w:tr>
      <w:tr>
        <w:trPr>
          <w:trHeight w:val="209"/>
        </w:trPr>
        <w:tc>
          <w:tcPr>
            <w:tcW w:w="46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Identification Number)</w:t>
            </w:r>
          </w:p>
        </w:tc>
      </w:tr>
      <w:tr>
        <w:trPr>
          <w:trHeight w:val="432"/>
        </w:trPr>
        <w:tc>
          <w:tcPr>
            <w:tcW w:w="460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5120" w:type="dxa"/>
            <w:vAlign w:val="bottom"/>
            <w:gridSpan w:val="2"/>
          </w:tcPr>
          <w:p>
            <w:pPr>
              <w:jc w:val="right"/>
              <w:ind w:right="2010"/>
              <w:spacing w:after="0"/>
              <w:rPr>
                <w:sz w:val="20"/>
                <w:szCs w:val="20"/>
                <w:color w:val="auto"/>
              </w:rPr>
            </w:pPr>
            <w:r>
              <w:rPr>
                <w:rFonts w:ascii="Arial" w:cs="Arial" w:eastAsia="Arial" w:hAnsi="Arial"/>
                <w:sz w:val="18"/>
                <w:szCs w:val="18"/>
                <w:color w:val="auto"/>
              </w:rPr>
              <w:t>49525</w:t>
            </w:r>
          </w:p>
        </w:tc>
      </w:tr>
      <w:tr>
        <w:trPr>
          <w:trHeight w:val="224"/>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8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-130810</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4" w:lineRule="exact"/>
        <w:rPr>
          <w:sz w:val="20"/>
          <w:szCs w:val="20"/>
          <w:color w:val="auto"/>
        </w:rPr>
      </w:pPr>
    </w:p>
    <w:p>
      <w:pPr>
        <w:jc w:val="both"/>
        <w:ind w:left="340" w:right="136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380"/>
        <w:spacing w:after="0" w:line="255" w:lineRule="auto"/>
        <w:rPr>
          <w:sz w:val="20"/>
          <w:szCs w:val="20"/>
          <w:color w:val="auto"/>
        </w:rPr>
      </w:pPr>
      <w:r>
        <w:rPr>
          <w:rFonts w:ascii="Arial" w:cs="Arial" w:eastAsia="Arial" w:hAnsi="Arial"/>
          <w:sz w:val="18"/>
          <w:szCs w:val="18"/>
          <w:color w:val="auto"/>
        </w:rPr>
        <w:t>Indicate by checkmark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340"/>
        <w:spacing w:after="0" w:line="207" w:lineRule="exact"/>
        <w:tabs>
          <w:tab w:leader="none" w:pos="2440" w:val="left"/>
          <w:tab w:leader="none" w:pos="4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156"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Outstanding as of September 29, 2007</w:t>
            </w:r>
          </w:p>
        </w:tc>
        <w:tc>
          <w:tcPr>
            <w:tcW w:w="13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480" w:type="dxa"/>
            <w:vAlign w:val="bottom"/>
          </w:tcPr>
          <w:p>
            <w:pPr>
              <w:spacing w:after="0"/>
              <w:rPr>
                <w:sz w:val="19"/>
                <w:szCs w:val="19"/>
                <w:color w:val="auto"/>
              </w:rPr>
            </w:pPr>
          </w:p>
        </w:tc>
        <w:tc>
          <w:tcPr>
            <w:tcW w:w="4640" w:type="dxa"/>
            <w:vAlign w:val="bottom"/>
          </w:tcPr>
          <w:p>
            <w:pPr>
              <w:jc w:val="right"/>
              <w:ind w:right="1830"/>
              <w:spacing w:after="0"/>
              <w:rPr>
                <w:sz w:val="20"/>
                <w:szCs w:val="20"/>
                <w:color w:val="auto"/>
              </w:rPr>
            </w:pPr>
            <w:r>
              <w:rPr>
                <w:rFonts w:ascii="Arial" w:cs="Arial" w:eastAsia="Arial" w:hAnsi="Arial"/>
                <w:sz w:val="18"/>
                <w:szCs w:val="18"/>
                <w:color w:val="auto"/>
              </w:rPr>
              <w:t>19,009,416</w:t>
            </w:r>
          </w:p>
        </w:tc>
        <w:tc>
          <w:tcPr>
            <w:tcW w:w="1360" w:type="dxa"/>
            <w:vAlign w:val="bottom"/>
          </w:tcPr>
          <w:p>
            <w:pPr>
              <w:spacing w:after="0"/>
              <w:rPr>
                <w:sz w:val="19"/>
                <w:szCs w:val="19"/>
                <w:color w:val="auto"/>
              </w:rPr>
            </w:pPr>
          </w:p>
        </w:tc>
      </w:tr>
      <w:tr>
        <w:trPr>
          <w:trHeight w:val="236"/>
        </w:trPr>
        <w:tc>
          <w:tcPr>
            <w:tcW w:w="34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8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PART I.</w:t>
            </w:r>
          </w:p>
        </w:tc>
        <w:tc>
          <w:tcPr>
            <w:tcW w:w="75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520" w:type="dxa"/>
            <w:vAlign w:val="bottom"/>
            <w:gridSpan w:val="2"/>
          </w:tcPr>
          <w:p>
            <w:pPr>
              <w:jc w:val="right"/>
              <w:ind w:right="1740"/>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00" w:type="dxa"/>
            <w:vAlign w:val="bottom"/>
            <w:gridSpan w:val="8"/>
            <w:vMerge w:val="continue"/>
          </w:tcPr>
          <w:p>
            <w:pPr>
              <w:spacing w:after="0"/>
              <w:rPr>
                <w:sz w:val="18"/>
                <w:szCs w:val="18"/>
                <w:color w:val="auto"/>
              </w:rPr>
            </w:pPr>
          </w:p>
        </w:tc>
        <w:tc>
          <w:tcPr>
            <w:tcW w:w="7560" w:type="dxa"/>
            <w:vAlign w:val="bottom"/>
            <w:gridSpan w:val="17"/>
            <w:vMerge w:val="continue"/>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6"/>
          </w:tcPr>
          <w:p>
            <w:pPr>
              <w:spacing w:after="0"/>
              <w:rPr>
                <w:sz w:val="20"/>
                <w:szCs w:val="20"/>
                <w:color w:val="auto"/>
              </w:rPr>
            </w:pPr>
            <w:r>
              <w:rPr>
                <w:rFonts w:ascii="Arial" w:cs="Arial" w:eastAsia="Arial" w:hAnsi="Arial"/>
                <w:sz w:val="18"/>
                <w:szCs w:val="18"/>
                <w:color w:val="auto"/>
              </w:rPr>
              <w:t>Item 1.</w:t>
            </w:r>
          </w:p>
        </w:tc>
        <w:tc>
          <w:tcPr>
            <w:tcW w:w="75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Condensed Balance Sheets at September 29, 2007, December 30, 2006, and September</w:t>
              </w:r>
            </w:hyperlink>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30, 2006.</w:t>
              </w:r>
            </w:hyperlink>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jc w:val="right"/>
              <w:ind w:right="16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Earnings for the Three and Nine Months Ended September</w:t>
              </w:r>
            </w:hyperlink>
          </w:p>
        </w:tc>
        <w:tc>
          <w:tcPr>
            <w:tcW w:w="44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29, 2007 and September 30, 2006.</w:t>
              </w:r>
            </w:hyperlink>
          </w:p>
        </w:tc>
        <w:tc>
          <w:tcPr>
            <w:tcW w:w="5080" w:type="dxa"/>
            <w:vAlign w:val="bottom"/>
            <w:gridSpan w:val="9"/>
          </w:tcPr>
          <w:p>
            <w:pPr>
              <w:spacing w:after="0"/>
              <w:rPr>
                <w:sz w:val="17"/>
                <w:szCs w:val="17"/>
                <w:color w:val="auto"/>
              </w:rPr>
            </w:pPr>
          </w:p>
        </w:tc>
        <w:tc>
          <w:tcPr>
            <w:tcW w:w="2520" w:type="dxa"/>
            <w:vAlign w:val="bottom"/>
            <w:gridSpan w:val="2"/>
          </w:tcPr>
          <w:p>
            <w:pPr>
              <w:jc w:val="right"/>
              <w:ind w:right="16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for the Nine Months Ended September 29, 2007 and</w:t>
              </w:r>
            </w:hyperlink>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September 30, 2006.</w:t>
              </w:r>
            </w:hyperlink>
          </w:p>
        </w:tc>
        <w:tc>
          <w:tcPr>
            <w:tcW w:w="6060" w:type="dxa"/>
            <w:vAlign w:val="bottom"/>
            <w:gridSpan w:val="13"/>
          </w:tcPr>
          <w:p>
            <w:pPr>
              <w:spacing w:after="0"/>
              <w:rPr>
                <w:sz w:val="17"/>
                <w:szCs w:val="17"/>
                <w:color w:val="auto"/>
              </w:rPr>
            </w:pPr>
          </w:p>
        </w:tc>
        <w:tc>
          <w:tcPr>
            <w:tcW w:w="2520" w:type="dxa"/>
            <w:vAlign w:val="bottom"/>
            <w:gridSpan w:val="2"/>
          </w:tcPr>
          <w:p>
            <w:pPr>
              <w:jc w:val="right"/>
              <w:ind w:right="16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Consolidated Condensed Statements of Cash Flows for the Nine Months Ended September 29, 2007</w:t>
              </w:r>
            </w:hyperlink>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and September 30, 2006.</w:t>
              </w:r>
            </w:hyperlink>
          </w:p>
        </w:tc>
        <w:tc>
          <w:tcPr>
            <w:tcW w:w="5420" w:type="dxa"/>
            <w:vAlign w:val="bottom"/>
            <w:tcBorders>
              <w:top w:val="single" w:sz="8" w:color="0000EE"/>
            </w:tcBorders>
            <w:gridSpan w:val="9"/>
          </w:tcPr>
          <w:p>
            <w:pPr>
              <w:spacing w:after="0"/>
              <w:rPr>
                <w:sz w:val="17"/>
                <w:szCs w:val="17"/>
                <w:color w:val="auto"/>
              </w:rPr>
            </w:pPr>
          </w:p>
        </w:tc>
        <w:tc>
          <w:tcPr>
            <w:tcW w:w="34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Condensed Financial Statements.</w:t>
              </w:r>
            </w:hyperlink>
          </w:p>
        </w:tc>
        <w:tc>
          <w:tcPr>
            <w:tcW w:w="2520" w:type="dxa"/>
            <w:vAlign w:val="bottom"/>
            <w:gridSpan w:val="2"/>
          </w:tcPr>
          <w:p>
            <w:pPr>
              <w:jc w:val="right"/>
              <w:ind w:right="16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260" w:type="dxa"/>
            <w:vAlign w:val="bottom"/>
            <w:gridSpan w:val="3"/>
          </w:tcPr>
          <w:p>
            <w:pPr>
              <w:spacing w:after="0"/>
              <w:rPr>
                <w:sz w:val="24"/>
                <w:szCs w:val="24"/>
                <w:color w:val="auto"/>
              </w:rPr>
            </w:pPr>
          </w:p>
        </w:tc>
        <w:tc>
          <w:tcPr>
            <w:tcW w:w="65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06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18-31</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3.</w:t>
              </w:r>
            </w:hyperlink>
          </w:p>
        </w:tc>
        <w:tc>
          <w:tcPr>
            <w:tcW w:w="260" w:type="dxa"/>
            <w:vAlign w:val="bottom"/>
            <w:gridSpan w:val="3"/>
          </w:tcPr>
          <w:p>
            <w:pPr>
              <w:spacing w:after="0"/>
              <w:rPr>
                <w:sz w:val="24"/>
                <w:szCs w:val="24"/>
                <w:color w:val="auto"/>
              </w:rPr>
            </w:pPr>
          </w:p>
        </w:tc>
        <w:tc>
          <w:tcPr>
            <w:tcW w:w="44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31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280" w:type="dxa"/>
            <w:vAlign w:val="bottom"/>
            <w:gridSpan w:val="4"/>
          </w:tcPr>
          <w:p>
            <w:pPr>
              <w:spacing w:after="0"/>
              <w:rPr>
                <w:sz w:val="24"/>
                <w:szCs w:val="24"/>
                <w:color w:val="auto"/>
              </w:rPr>
            </w:pPr>
          </w:p>
        </w:tc>
        <w:tc>
          <w:tcPr>
            <w:tcW w:w="18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574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PART II.</w:t>
              </w:r>
            </w:hyperlink>
          </w:p>
        </w:tc>
        <w:tc>
          <w:tcPr>
            <w:tcW w:w="300" w:type="dxa"/>
            <w:vAlign w:val="bottom"/>
            <w:gridSpan w:val="5"/>
          </w:tcPr>
          <w:p>
            <w:pPr>
              <w:spacing w:after="0"/>
              <w:rPr>
                <w:sz w:val="24"/>
                <w:szCs w:val="24"/>
                <w:color w:val="auto"/>
              </w:rPr>
            </w:pPr>
          </w:p>
        </w:tc>
        <w:tc>
          <w:tcPr>
            <w:tcW w:w="20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5480" w:type="dxa"/>
            <w:vAlign w:val="bottom"/>
            <w:gridSpan w:val="10"/>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6"/>
          </w:tcPr>
          <w:p>
            <w:pPr>
              <w:spacing w:after="0"/>
              <w:rPr>
                <w:sz w:val="20"/>
                <w:szCs w:val="20"/>
                <w:color w:val="auto"/>
              </w:rPr>
            </w:pPr>
            <w:r>
              <w:rPr>
                <w:rFonts w:ascii="Arial" w:cs="Arial" w:eastAsia="Arial" w:hAnsi="Arial"/>
                <w:sz w:val="18"/>
                <w:szCs w:val="18"/>
                <w:color w:val="auto"/>
              </w:rPr>
              <w:t>Item 1.</w:t>
            </w:r>
          </w:p>
        </w:tc>
        <w:tc>
          <w:tcPr>
            <w:tcW w:w="7560" w:type="dxa"/>
            <w:vAlign w:val="bottom"/>
            <w:gridSpan w:val="17"/>
          </w:tcPr>
          <w:p>
            <w:pPr>
              <w:spacing w:after="0"/>
              <w:rPr>
                <w:sz w:val="20"/>
                <w:szCs w:val="20"/>
                <w:color w:val="auto"/>
              </w:rPr>
            </w:pPr>
            <w:r>
              <w:rPr>
                <w:rFonts w:ascii="Arial" w:cs="Arial" w:eastAsia="Arial" w:hAnsi="Arial"/>
                <w:sz w:val="18"/>
                <w:szCs w:val="18"/>
                <w:color w:val="auto"/>
              </w:rPr>
              <w:t>Legal Proceedings - NONE.</w:t>
            </w: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7560" w:type="dxa"/>
            <w:vAlign w:val="bottom"/>
            <w:gridSpan w:val="17"/>
          </w:tcPr>
          <w:p>
            <w:pPr>
              <w:spacing w:after="0"/>
              <w:rPr>
                <w:sz w:val="20"/>
                <w:szCs w:val="20"/>
                <w:color w:val="auto"/>
              </w:rPr>
            </w:pPr>
            <w:r>
              <w:rPr>
                <w:rFonts w:ascii="Arial" w:cs="Arial" w:eastAsia="Arial" w:hAnsi="Arial"/>
                <w:sz w:val="18"/>
                <w:szCs w:val="18"/>
                <w:color w:val="auto"/>
              </w:rPr>
              <w:t>Risk Factors - NONE.</w:t>
            </w: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2.</w:t>
              </w:r>
            </w:hyperlink>
          </w:p>
        </w:tc>
        <w:tc>
          <w:tcPr>
            <w:tcW w:w="260" w:type="dxa"/>
            <w:vAlign w:val="bottom"/>
            <w:gridSpan w:val="3"/>
          </w:tcPr>
          <w:p>
            <w:pPr>
              <w:spacing w:after="0"/>
              <w:rPr>
                <w:sz w:val="24"/>
                <w:szCs w:val="24"/>
                <w:color w:val="auto"/>
              </w:rPr>
            </w:pPr>
          </w:p>
        </w:tc>
        <w:tc>
          <w:tcPr>
            <w:tcW w:w="4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316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6"/>
          </w:tcPr>
          <w:p>
            <w:pPr>
              <w:spacing w:after="0"/>
              <w:rPr>
                <w:sz w:val="20"/>
                <w:szCs w:val="20"/>
                <w:color w:val="auto"/>
              </w:rPr>
            </w:pPr>
            <w:r>
              <w:rPr>
                <w:rFonts w:ascii="Arial" w:cs="Arial" w:eastAsia="Arial" w:hAnsi="Arial"/>
                <w:sz w:val="18"/>
                <w:szCs w:val="18"/>
                <w:color w:val="auto"/>
              </w:rPr>
              <w:t>Item 3.</w:t>
            </w:r>
          </w:p>
        </w:tc>
        <w:tc>
          <w:tcPr>
            <w:tcW w:w="7560" w:type="dxa"/>
            <w:vAlign w:val="bottom"/>
            <w:gridSpan w:val="17"/>
          </w:tcPr>
          <w:p>
            <w:pPr>
              <w:spacing w:after="0"/>
              <w:rPr>
                <w:sz w:val="20"/>
                <w:szCs w:val="20"/>
                <w:color w:val="auto"/>
              </w:rPr>
            </w:pPr>
            <w:r>
              <w:rPr>
                <w:rFonts w:ascii="Arial" w:cs="Arial" w:eastAsia="Arial" w:hAnsi="Arial"/>
                <w:sz w:val="18"/>
                <w:szCs w:val="18"/>
                <w:color w:val="auto"/>
              </w:rPr>
              <w:t>Defaults Upon Senior Securities - NONE.</w:t>
            </w: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560" w:type="dxa"/>
            <w:vAlign w:val="bottom"/>
            <w:gridSpan w:val="17"/>
          </w:tcPr>
          <w:p>
            <w:pPr>
              <w:spacing w:after="0"/>
              <w:rPr>
                <w:sz w:val="20"/>
                <w:szCs w:val="20"/>
                <w:color w:val="auto"/>
              </w:rPr>
            </w:pPr>
            <w:r>
              <w:rPr>
                <w:rFonts w:ascii="Arial" w:cs="Arial" w:eastAsia="Arial" w:hAnsi="Arial"/>
                <w:sz w:val="18"/>
                <w:szCs w:val="18"/>
                <w:color w:val="auto"/>
              </w:rPr>
              <w:t>Submission of Matters to a Vote of Security Holders - NONE.</w:t>
            </w: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5.</w:t>
              </w:r>
            </w:hyperlink>
          </w:p>
        </w:tc>
        <w:tc>
          <w:tcPr>
            <w:tcW w:w="260" w:type="dxa"/>
            <w:vAlign w:val="bottom"/>
            <w:gridSpan w:val="3"/>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6.</w:t>
              </w:r>
            </w:hyperlink>
          </w:p>
        </w:tc>
        <w:tc>
          <w:tcPr>
            <w:tcW w:w="260" w:type="dxa"/>
            <w:vAlign w:val="bottom"/>
            <w:gridSpan w:val="3"/>
          </w:tcPr>
          <w:p>
            <w:pPr>
              <w:spacing w:after="0"/>
              <w:rPr>
                <w:sz w:val="24"/>
                <w:szCs w:val="24"/>
                <w:color w:val="auto"/>
              </w:rPr>
            </w:pPr>
          </w:p>
        </w:tc>
        <w:tc>
          <w:tcPr>
            <w:tcW w:w="1360" w:type="dxa"/>
            <w:vAlign w:val="bottom"/>
            <w:tcBorders>
              <w:top w:val="single" w:sz="8" w:color="0000EE"/>
            </w:tcBorders>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6200" w:type="dxa"/>
            <w:vAlign w:val="bottom"/>
            <w:gridSpan w:val="14"/>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Exhibit 31.A</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31.B</w:t>
            </w:r>
          </w:p>
        </w:tc>
        <w:tc>
          <w:tcPr>
            <w:tcW w:w="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Exhibit 32.A</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7"/>
          </w:tcPr>
          <w:p>
            <w:pPr>
              <w:spacing w:after="0" w:line="196" w:lineRule="exact"/>
              <w:rPr>
                <w:sz w:val="20"/>
                <w:szCs w:val="20"/>
                <w:color w:val="auto"/>
              </w:rPr>
            </w:pPr>
            <w:r>
              <w:rPr>
                <w:rFonts w:ascii="Arial" w:cs="Arial" w:eastAsia="Arial" w:hAnsi="Arial"/>
                <w:sz w:val="18"/>
                <w:szCs w:val="18"/>
                <w:color w:val="0000EE"/>
                <w:w w:val="97"/>
              </w:rPr>
              <w:t>Exhibit 32.B</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9"/>
          </w:tcPr>
          <w:p>
            <w:pPr>
              <w:ind w:left="38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September 29,</w:t>
            </w:r>
          </w:p>
        </w:tc>
        <w:tc>
          <w:tcPr>
            <w:tcW w:w="1540" w:type="dxa"/>
            <w:vAlign w:val="bottom"/>
            <w:gridSpan w:val="4"/>
          </w:tcPr>
          <w:p>
            <w:pPr>
              <w:ind w:left="160"/>
              <w:spacing w:after="0"/>
              <w:rPr>
                <w:sz w:val="20"/>
                <w:szCs w:val="20"/>
                <w:color w:val="auto"/>
              </w:rPr>
            </w:pPr>
            <w:r>
              <w:rPr>
                <w:rFonts w:ascii="Arial" w:cs="Arial" w:eastAsia="Arial" w:hAnsi="Arial"/>
                <w:sz w:val="18"/>
                <w:szCs w:val="18"/>
                <w:color w:val="auto"/>
              </w:rPr>
              <w:t>December 30,</w:t>
            </w:r>
          </w:p>
        </w:tc>
        <w:tc>
          <w:tcPr>
            <w:tcW w:w="1120" w:type="dxa"/>
            <w:vAlign w:val="bottom"/>
            <w:gridSpan w:val="3"/>
          </w:tcPr>
          <w:p>
            <w:pPr>
              <w:spacing w:after="0"/>
              <w:rPr>
                <w:sz w:val="20"/>
                <w:szCs w:val="20"/>
                <w:color w:val="auto"/>
              </w:rPr>
            </w:pPr>
            <w:r>
              <w:rPr>
                <w:rFonts w:ascii="Arial" w:cs="Arial" w:eastAsia="Arial" w:hAnsi="Arial"/>
                <w:sz w:val="18"/>
                <w:szCs w:val="18"/>
                <w:color w:val="auto"/>
                <w:w w:val="93"/>
              </w:rPr>
              <w:t>September 30,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46,747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51,108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46,184</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191,023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148,242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227,428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122,431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128,621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121,324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116,497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245,118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30,667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24,752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531,248</w:t>
            </w:r>
          </w:p>
        </w:tc>
        <w:tc>
          <w:tcPr>
            <w:tcW w:w="0" w:type="dxa"/>
            <w:vAlign w:val="bottom"/>
          </w:tcPr>
          <w:p>
            <w:pPr>
              <w:spacing w:after="0"/>
              <w:rPr>
                <w:sz w:val="1"/>
                <w:szCs w:val="1"/>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7,744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7,404</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INDEFINITE-LIVED INTANGIBLE ASSETS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155,177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146,602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28,133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25,390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524,118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466,021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443,751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(240,939)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(215,686)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(211,323)</w:t>
            </w:r>
          </w:p>
        </w:tc>
        <w:tc>
          <w:tcPr>
            <w:tcW w:w="0" w:type="dxa"/>
            <w:vAlign w:val="bottom"/>
          </w:tcPr>
          <w:p>
            <w:pPr>
              <w:spacing w:after="0"/>
              <w:rPr>
                <w:sz w:val="1"/>
                <w:szCs w:val="1"/>
                <w:color w:val="auto"/>
              </w:rPr>
            </w:pPr>
          </w:p>
        </w:tc>
      </w:tr>
      <w:tr>
        <w:trPr>
          <w:trHeight w:val="230"/>
        </w:trPr>
        <w:tc>
          <w:tcPr>
            <w:tcW w:w="5820" w:type="dxa"/>
            <w:vAlign w:val="bottom"/>
          </w:tcPr>
          <w:p>
            <w:pPr>
              <w:ind w:left="6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283,179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250,335</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994,746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913,441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929,987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105,938</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94,441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109,581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52,961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71,990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73,551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25,111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216,638</w:t>
            </w:r>
          </w:p>
        </w:tc>
        <w:tc>
          <w:tcPr>
            <w:tcW w:w="0" w:type="dxa"/>
            <w:vAlign w:val="bottom"/>
          </w:tcPr>
          <w:p>
            <w:pPr>
              <w:spacing w:after="0"/>
              <w:rPr>
                <w:sz w:val="1"/>
                <w:szCs w:val="1"/>
                <w:color w:val="auto"/>
              </w:rPr>
            </w:pP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LONG-TERM DEBT AND CAPITAL LEASE OBLIGATIONS, less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197,435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169,417</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171,009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10,343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10,819</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13,544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24"/>
        </w:trPr>
        <w:tc>
          <w:tcPr>
            <w:tcW w:w="58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443,624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398,699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200"/>
              <w:spacing w:after="0" w:line="201" w:lineRule="exact"/>
              <w:rPr>
                <w:sz w:val="20"/>
                <w:szCs w:val="20"/>
                <w:color w:val="auto"/>
              </w:rPr>
            </w:pPr>
            <w:r>
              <w:rPr>
                <w:rFonts w:ascii="Arial" w:cs="Arial" w:eastAsia="Arial" w:hAnsi="Arial"/>
                <w:sz w:val="18"/>
                <w:szCs w:val="18"/>
                <w:color w:val="auto"/>
                <w:w w:val="98"/>
              </w:rPr>
              <w:t>Preferred stock, no par value; shares authorized 1,000,000; issued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400"/>
              <w:spacing w:after="0"/>
              <w:rPr>
                <w:sz w:val="20"/>
                <w:szCs w:val="20"/>
                <w:color w:val="auto"/>
              </w:rPr>
            </w:pPr>
            <w:r>
              <w:rPr>
                <w:rFonts w:ascii="Arial" w:cs="Arial" w:eastAsia="Arial" w:hAnsi="Arial"/>
                <w:sz w:val="18"/>
                <w:szCs w:val="18"/>
                <w:color w:val="auto"/>
              </w:rPr>
              <w:t>outstanding, none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stock, no par value; shares authorized 40,000,000; issued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19,009,416, 18,858,892 and 18,851,040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19,009</w:t>
            </w: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18,851</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122,560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113,754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113,157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406,761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380,931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372,728</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Accumulated other comprehensive earnings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515,995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507,656</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Employee stock notes receivable</w:t>
            </w:r>
          </w:p>
        </w:tc>
        <w:tc>
          <w:tcPr>
            <w:tcW w:w="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(1,615)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506,403</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994,746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913,441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2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EARNINGS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195"/>
        </w:trPr>
        <w:tc>
          <w:tcPr>
            <w:tcW w:w="438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29,</w:t>
            </w:r>
          </w:p>
        </w:tc>
        <w:tc>
          <w:tcPr>
            <w:tcW w:w="1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6"/>
              </w:rPr>
              <w:t>September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29,</w:t>
            </w:r>
          </w:p>
        </w:tc>
        <w:tc>
          <w:tcPr>
            <w:tcW w:w="1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September 30,</w:t>
            </w:r>
          </w:p>
        </w:tc>
        <w:tc>
          <w:tcPr>
            <w:tcW w:w="100" w:type="dxa"/>
            <w:vAlign w:val="bottom"/>
          </w:tcPr>
          <w:p>
            <w:pPr>
              <w:spacing w:after="0"/>
              <w:rPr>
                <w:sz w:val="16"/>
                <w:szCs w:val="16"/>
                <w:color w:val="auto"/>
              </w:rPr>
            </w:pPr>
          </w:p>
        </w:tc>
      </w:tr>
      <w:tr>
        <w:trPr>
          <w:trHeight w:val="230"/>
        </w:trPr>
        <w:tc>
          <w:tcPr>
            <w:tcW w:w="4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678,398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672,873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2,165,329</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596,233</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574,048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1,743,151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1,851,775</w:t>
            </w:r>
          </w:p>
        </w:tc>
      </w:tr>
      <w:tr>
        <w:trPr>
          <w:trHeight w:val="223"/>
        </w:trPr>
        <w:tc>
          <w:tcPr>
            <w:tcW w:w="4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82,165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257,390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313,554</w:t>
            </w:r>
          </w:p>
        </w:tc>
      </w:tr>
      <w:tr>
        <w:trPr>
          <w:trHeight w:val="418"/>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58,783</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65,970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192,623</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201,272</w:t>
            </w:r>
          </w:p>
        </w:tc>
      </w:tr>
      <w:tr>
        <w:trPr>
          <w:trHeight w:val="223"/>
        </w:trPr>
        <w:tc>
          <w:tcPr>
            <w:tcW w:w="4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64,767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112,282</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13,457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 of real estate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4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INCOME TAXES AND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19,500</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30,516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53,268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103,244</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7,383</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11,322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19,633</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38,963</w:t>
            </w:r>
          </w:p>
        </w:tc>
      </w:tr>
      <w:tr>
        <w:trPr>
          <w:trHeight w:val="223"/>
        </w:trPr>
        <w:tc>
          <w:tcPr>
            <w:tcW w:w="4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33,635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64,281</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(3,396)</w:t>
            </w:r>
          </w:p>
        </w:tc>
      </w:tr>
      <w:tr>
        <w:trPr>
          <w:trHeight w:val="223"/>
        </w:trPr>
        <w:tc>
          <w:tcPr>
            <w:tcW w:w="4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60,885</w:t>
            </w:r>
          </w:p>
        </w:tc>
      </w:tr>
      <w:tr>
        <w:trPr>
          <w:trHeight w:val="20"/>
        </w:trPr>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38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19,097</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18,906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19,070</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18,788</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COMMON STOCK EQUIVALENTS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19,361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19,419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19,368</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220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STATEMENTS OF SHAREHOLDERS’ EQUITY </w:t>
      </w:r>
      <w:r>
        <w:rPr>
          <w:rFonts w:ascii="Arial" w:cs="Arial" w:eastAsia="Arial" w:hAnsi="Arial"/>
          <w:sz w:val="18"/>
          <w:szCs w:val="18"/>
          <w:color w:val="auto"/>
        </w:rPr>
        <w:t>(Unaudited)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 except share and per share data)</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Deferred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Employees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Deferred</w:t>
            </w: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Stock</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Paid-In</w:t>
            </w: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8"/>
              </w:rPr>
              <w:t>Rabbi</w:t>
            </w: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Retained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Notes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Capital</w:t>
            </w: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Trust</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Earnings</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Earnings</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Receivable</w:t>
            </w:r>
          </w:p>
        </w:tc>
        <w:tc>
          <w:tcPr>
            <w:tcW w:w="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90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at December 31,</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18,403</w:t>
            </w:r>
          </w:p>
        </w:tc>
        <w:tc>
          <w:tcPr>
            <w:tcW w:w="1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97,372</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4,212</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(2,117)</w:t>
            </w:r>
          </w:p>
        </w:tc>
        <w:tc>
          <w:tcPr>
            <w:tcW w:w="10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$ 312,878</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2,408</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(1,304)</w:t>
            </w: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$ 431,852</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2005</w:t>
            </w:r>
          </w:p>
        </w:tc>
        <w:tc>
          <w:tcPr>
            <w:tcW w:w="1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60,885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400"/>
              <w:spacing w:after="0"/>
              <w:rPr>
                <w:sz w:val="20"/>
                <w:szCs w:val="20"/>
                <w:color w:val="auto"/>
              </w:rPr>
            </w:pPr>
            <w:r>
              <w:rPr>
                <w:rFonts w:ascii="Arial" w:cs="Arial" w:eastAsia="Arial" w:hAnsi="Arial"/>
                <w:sz w:val="14"/>
                <w:szCs w:val="14"/>
                <w:color w:val="auto"/>
              </w:rPr>
              <w:t>translation adjustment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Total comprehensive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earnings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61,397</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Cash dividends — $.055 per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rPr>
              <w:t>(1,035)</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Reversal of deferred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upon</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adoption of SFAS 123(R)</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2,095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Issuance of 341,921 shares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under employee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5,459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3,338 shares</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under stock grant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Issuance of 101,278 shares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under deferred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Received 1,367 shares for the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 of stock options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Tax benefits from non-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qualified stock options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exercised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4,357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4,357</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share-based</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arrangements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Accrued expense under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2,984</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3,222 shares in</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employee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notes receivable</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(204)</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Payments received 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employee stock notes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9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September 30,</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18,851</w:t>
            </w:r>
          </w:p>
        </w:tc>
        <w:tc>
          <w:tcPr>
            <w:tcW w:w="1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w w:val="98"/>
              </w:rPr>
              <w:t>113,157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$ 372,728</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2,920</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(1,253)</w:t>
            </w: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$ 506,403</w:t>
            </w:r>
          </w:p>
        </w:tc>
        <w:tc>
          <w:tcPr>
            <w:tcW w:w="0" w:type="dxa"/>
            <w:vAlign w:val="bottom"/>
          </w:tcPr>
          <w:p>
            <w:pPr>
              <w:spacing w:after="0"/>
              <w:rPr>
                <w:sz w:val="1"/>
                <w:szCs w:val="1"/>
                <w:color w:val="auto"/>
              </w:rPr>
            </w:pPr>
          </w:p>
        </w:tc>
      </w:tr>
      <w:tr>
        <w:trPr>
          <w:trHeight w:val="171"/>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2006</w:t>
            </w:r>
          </w:p>
        </w:tc>
        <w:tc>
          <w:tcPr>
            <w:tcW w:w="1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line="160" w:lineRule="exact"/>
              <w:rPr>
                <w:sz w:val="20"/>
                <w:szCs w:val="20"/>
                <w:color w:val="auto"/>
              </w:rPr>
            </w:pPr>
            <w:r>
              <w:rPr>
                <w:rFonts w:ascii="Arial" w:cs="Arial" w:eastAsia="Arial" w:hAnsi="Arial"/>
                <w:sz w:val="14"/>
                <w:szCs w:val="14"/>
                <w:b w:val="1"/>
                <w:bCs w:val="1"/>
                <w:color w:val="auto"/>
              </w:rPr>
              <w:t>Balance at December 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00" w:type="dxa"/>
            <w:vAlign w:val="bottom"/>
            <w:vMerge w:val="continue"/>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18,859</w:t>
            </w:r>
          </w:p>
        </w:tc>
        <w:tc>
          <w:tcPr>
            <w:tcW w:w="160" w:type="dxa"/>
            <w:vAlign w:val="bottom"/>
          </w:tcPr>
          <w:p>
            <w:pPr>
              <w:spacing w:after="0"/>
              <w:rPr>
                <w:sz w:val="10"/>
                <w:szCs w:val="10"/>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113,754</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$ 380,931</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2,451</w:t>
            </w:r>
          </w:p>
        </w:tc>
        <w:tc>
          <w:tcPr>
            <w:tcW w:w="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(1,253)</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$ 514,742</w:t>
            </w:r>
          </w:p>
        </w:tc>
        <w:tc>
          <w:tcPr>
            <w:tcW w:w="0" w:type="dxa"/>
            <w:vAlign w:val="bottom"/>
          </w:tcPr>
          <w:p>
            <w:pPr>
              <w:spacing w:after="0"/>
              <w:rPr>
                <w:sz w:val="1"/>
                <w:szCs w:val="1"/>
                <w:color w:val="auto"/>
              </w:rPr>
            </w:pPr>
          </w:p>
        </w:tc>
      </w:tr>
      <w:tr>
        <w:trPr>
          <w:trHeight w:val="171"/>
        </w:trPr>
        <w:tc>
          <w:tcPr>
            <w:tcW w:w="1900" w:type="dxa"/>
            <w:vAlign w:val="bottom"/>
          </w:tcPr>
          <w:p>
            <w:pPr>
              <w:ind w:left="200"/>
              <w:spacing w:after="0"/>
              <w:rPr>
                <w:sz w:val="20"/>
                <w:szCs w:val="20"/>
                <w:color w:val="auto"/>
              </w:rPr>
            </w:pPr>
            <w:r>
              <w:rPr>
                <w:rFonts w:ascii="Arial" w:cs="Arial" w:eastAsia="Arial" w:hAnsi="Arial"/>
                <w:sz w:val="14"/>
                <w:szCs w:val="14"/>
                <w:b w:val="1"/>
                <w:bCs w:val="1"/>
                <w:color w:val="auto"/>
              </w:rPr>
              <w:t>2006</w:t>
            </w: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32,025</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Foreign currency</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1,956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tcPr>
          <w:p>
            <w:pPr>
              <w:ind w:left="200"/>
              <w:spacing w:after="0" w:line="130" w:lineRule="exact"/>
              <w:rPr>
                <w:sz w:val="20"/>
                <w:szCs w:val="20"/>
                <w:color w:val="auto"/>
              </w:rPr>
            </w:pPr>
            <w:r>
              <w:rPr>
                <w:rFonts w:ascii="Arial" w:cs="Arial" w:eastAsia="Arial" w:hAnsi="Arial"/>
                <w:sz w:val="14"/>
                <w:szCs w:val="14"/>
                <w:color w:val="auto"/>
              </w:rPr>
              <w:t>Total comprehensive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40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33,981</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 $.055 per</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(1,047)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Issuance of 210,495 shares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under employee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3,490 shares</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under stock grant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Issuance of 67,373 shares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under deferred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 125,100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(5,148)</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(5,273)</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Received 15,866 shares for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the exercise of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qualified stock options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Expense associated with</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share-based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3,587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3,587</w:t>
            </w:r>
          </w:p>
        </w:tc>
        <w:tc>
          <w:tcPr>
            <w:tcW w:w="0" w:type="dxa"/>
            <w:vAlign w:val="bottom"/>
          </w:tcPr>
          <w:p>
            <w:pPr>
              <w:spacing w:after="0"/>
              <w:rPr>
                <w:sz w:val="1"/>
                <w:szCs w:val="1"/>
                <w:color w:val="auto"/>
              </w:rPr>
            </w:pPr>
          </w:p>
        </w:tc>
      </w:tr>
      <w:tr>
        <w:trPr>
          <w:trHeight w:val="130"/>
        </w:trPr>
        <w:tc>
          <w:tcPr>
            <w:tcW w:w="1900" w:type="dxa"/>
            <w:vAlign w:val="bottom"/>
          </w:tcPr>
          <w:p>
            <w:pPr>
              <w:spacing w:after="0" w:line="130" w:lineRule="exact"/>
              <w:rPr>
                <w:sz w:val="20"/>
                <w:szCs w:val="20"/>
                <w:color w:val="auto"/>
              </w:rPr>
            </w:pPr>
            <w:r>
              <w:rPr>
                <w:rFonts w:ascii="Arial" w:cs="Arial" w:eastAsia="Arial" w:hAnsi="Arial"/>
                <w:sz w:val="14"/>
                <w:szCs w:val="14"/>
                <w:color w:val="auto"/>
              </w:rPr>
              <w:t>Issuance of 10,132 shares in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exchange for employee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0"/>
              <w:spacing w:after="0"/>
              <w:rPr>
                <w:sz w:val="20"/>
                <w:szCs w:val="20"/>
                <w:color w:val="auto"/>
              </w:rPr>
            </w:pPr>
            <w:r>
              <w:rPr>
                <w:rFonts w:ascii="Arial" w:cs="Arial" w:eastAsia="Arial" w:hAnsi="Arial"/>
                <w:sz w:val="14"/>
                <w:szCs w:val="14"/>
                <w:color w:val="auto"/>
              </w:rPr>
              <w:t>stock notes receivable</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(502)</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Payments received on</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employee stock notes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receivable</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rPr>
              <w:t>Balance at September 29,</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00" w:type="dxa"/>
            <w:vAlign w:val="bottom"/>
            <w:vMerge w:val="continue"/>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19,009</w:t>
            </w:r>
          </w:p>
        </w:tc>
        <w:tc>
          <w:tcPr>
            <w:tcW w:w="160" w:type="dxa"/>
            <w:vAlign w:val="bottom"/>
          </w:tcPr>
          <w:p>
            <w:pPr>
              <w:spacing w:after="0"/>
              <w:rPr>
                <w:sz w:val="11"/>
                <w:szCs w:val="11"/>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122,560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$ 406,761</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4,407</w:t>
            </w:r>
          </w:p>
        </w:tc>
        <w:tc>
          <w:tcPr>
            <w:tcW w:w="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(1,615)</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$ 551,122</w:t>
            </w:r>
          </w:p>
        </w:tc>
        <w:tc>
          <w:tcPr>
            <w:tcW w:w="0" w:type="dxa"/>
            <w:vAlign w:val="bottom"/>
          </w:tcPr>
          <w:p>
            <w:pPr>
              <w:spacing w:after="0"/>
              <w:rPr>
                <w:sz w:val="1"/>
                <w:szCs w:val="1"/>
                <w:color w:val="auto"/>
              </w:rPr>
            </w:pPr>
          </w:p>
        </w:tc>
      </w:tr>
      <w:tr>
        <w:trPr>
          <w:trHeight w:val="171"/>
        </w:trPr>
        <w:tc>
          <w:tcPr>
            <w:tcW w:w="1900" w:type="dxa"/>
            <w:vAlign w:val="bottom"/>
          </w:tcPr>
          <w:p>
            <w:pPr>
              <w:ind w:left="200"/>
              <w:spacing w:after="0"/>
              <w:rPr>
                <w:sz w:val="20"/>
                <w:szCs w:val="20"/>
                <w:color w:val="auto"/>
              </w:rPr>
            </w:pPr>
            <w:r>
              <w:rPr>
                <w:rFonts w:ascii="Arial" w:cs="Arial" w:eastAsia="Arial" w:hAnsi="Arial"/>
                <w:sz w:val="14"/>
                <w:szCs w:val="14"/>
                <w:b w:val="1"/>
                <w:bCs w:val="1"/>
                <w:color w:val="auto"/>
              </w:rPr>
              <w:t>2007</w:t>
            </w: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19"/>
          </w:cols>
          <w:pgMar w:left="240" w:top="419" w:right="1440" w:bottom="0"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16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CASH FLOWS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195"/>
        </w:trPr>
        <w:tc>
          <w:tcPr>
            <w:tcW w:w="6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September 29,</w:t>
            </w:r>
          </w:p>
        </w:tc>
        <w:tc>
          <w:tcPr>
            <w:tcW w:w="10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6"/>
                <w:szCs w:val="16"/>
                <w:color w:val="auto"/>
              </w:rPr>
            </w:pPr>
          </w:p>
        </w:tc>
      </w:tr>
      <w:tr>
        <w:trPr>
          <w:trHeight w:val="230"/>
        </w:trPr>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earnings</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32,025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60,885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29,105</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25,558</w:t>
            </w: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6,402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3,953</w:t>
            </w: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(871)</w:t>
            </w: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3,396</w:t>
            </w: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sale or impairment of property, plant and equipment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Changes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(30,298)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(37,947)</w:t>
            </w: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34,736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23,693</w:t>
            </w: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12,874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(5,483)</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11,326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(3,959)</w:t>
            </w:r>
          </w:p>
        </w:tc>
      </w:tr>
      <w:tr>
        <w:trPr>
          <w:trHeight w:val="224"/>
        </w:trPr>
        <w:tc>
          <w:tcPr>
            <w:tcW w:w="6220" w:type="dxa"/>
            <w:vAlign w:val="bottom"/>
          </w:tcPr>
          <w:p>
            <w:pPr>
              <w:ind w:left="200"/>
              <w:spacing w:after="0"/>
              <w:rPr>
                <w:sz w:val="20"/>
                <w:szCs w:val="20"/>
                <w:color w:val="auto"/>
              </w:rPr>
            </w:pPr>
            <w:r>
              <w:rPr>
                <w:rFonts w:ascii="Arial" w:cs="Arial" w:eastAsia="Arial" w:hAnsi="Arial"/>
                <w:sz w:val="18"/>
                <w:szCs w:val="18"/>
                <w:color w:val="auto"/>
              </w:rPr>
              <w:t>NET CASH FROM OPERATING ACTIVITIES</w:t>
            </w:r>
          </w:p>
        </w:tc>
        <w:tc>
          <w:tcPr>
            <w:tcW w:w="8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80,414</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87,893</w:t>
            </w:r>
          </w:p>
        </w:tc>
        <w:tc>
          <w:tcPr>
            <w:tcW w:w="120" w:type="dxa"/>
            <w:vAlign w:val="bottom"/>
          </w:tcPr>
          <w:p>
            <w:pPr>
              <w:spacing w:after="0"/>
              <w:rPr>
                <w:sz w:val="19"/>
                <w:szCs w:val="19"/>
                <w:color w:val="auto"/>
              </w:rPr>
            </w:pPr>
          </w:p>
        </w:tc>
      </w:tr>
      <w:tr>
        <w:trPr>
          <w:trHeight w:val="215"/>
        </w:trPr>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(26,909)</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(27,600)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(57,087)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(27,137)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Proceeds from sale of interest in subsidiary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Collections of notes receivable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1,612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7"/>
        </w:trPr>
        <w:tc>
          <w:tcPr>
            <w:tcW w:w="6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(80,022)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(55,048)</w:t>
            </w:r>
          </w:p>
        </w:tc>
      </w:tr>
      <w:tr>
        <w:trPr>
          <w:trHeight w:val="432"/>
        </w:trPr>
        <w:tc>
          <w:tcPr>
            <w:tcW w:w="62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27,204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(38,725)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(28,200)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3,321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Distributions to minority shareholders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(1,569)</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(5,273)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7"/>
        </w:trPr>
        <w:tc>
          <w:tcPr>
            <w:tcW w:w="6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(32,876)</w:t>
            </w:r>
          </w:p>
        </w:tc>
      </w:tr>
      <w:tr>
        <w:trPr>
          <w:trHeight w:val="20"/>
        </w:trPr>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6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(4,361)</w:t>
            </w: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51,108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46,215</w:t>
            </w:r>
          </w:p>
        </w:tc>
      </w:tr>
      <w:tr>
        <w:trPr>
          <w:trHeight w:val="20"/>
        </w:trPr>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62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46,747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46,184</w:t>
            </w:r>
          </w:p>
        </w:tc>
      </w:tr>
      <w:tr>
        <w:trPr>
          <w:trHeight w:val="20"/>
        </w:trPr>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9,309</w:t>
            </w:r>
          </w:p>
        </w:tc>
      </w:tr>
      <w:tr>
        <w:trPr>
          <w:trHeight w:val="230"/>
        </w:trPr>
        <w:tc>
          <w:tcPr>
            <w:tcW w:w="62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9,875</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44,448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76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UNIVERSAL FOREST PRODUCTS, INC.</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8"/>
              </w:rPr>
              <w:t>CONSOLIDATED CONDENSED STATEMENTS OF CASH FLOWS —</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jc w:val="center"/>
              <w:ind w:left="1810"/>
              <w:spacing w:after="0"/>
              <w:rPr>
                <w:sz w:val="20"/>
                <w:szCs w:val="20"/>
                <w:color w:val="auto"/>
              </w:rPr>
            </w:pPr>
            <w:r>
              <w:rPr>
                <w:rFonts w:ascii="Arial" w:cs="Arial" w:eastAsia="Arial" w:hAnsi="Arial"/>
                <w:sz w:val="18"/>
                <w:szCs w:val="18"/>
                <w:b w:val="1"/>
                <w:bCs w:val="1"/>
                <w:color w:val="auto"/>
              </w:rPr>
              <w:t>(CONTINUED)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September 29,</w:t>
            </w:r>
          </w:p>
        </w:tc>
        <w:tc>
          <w:tcPr>
            <w:tcW w:w="10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OPERATING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Accounts receivable exchanged for note receivable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purchase price of acquisition exchanged for current payable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30"/>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Deferred purchase price of acquisition exchanged for long-term liability</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721</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Property, plant and equipment exchanged for debt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1,379</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acquired through employees’ stock notes receivable</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r>
      <w:tr>
        <w:trPr>
          <w:trHeight w:val="432"/>
        </w:trPr>
        <w:tc>
          <w:tcPr>
            <w:tcW w:w="3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2,984</w:t>
            </w:r>
          </w:p>
        </w:tc>
      </w:tr>
      <w:tr>
        <w:trPr>
          <w:trHeight w:val="230"/>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0"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07" w:lineRule="exact"/>
        <w:rPr>
          <w:rFonts w:ascii="Arial" w:cs="Arial" w:eastAsia="Arial" w:hAnsi="Arial"/>
          <w:sz w:val="18"/>
          <w:szCs w:val="18"/>
          <w:b w:val="1"/>
          <w:bCs w:val="1"/>
          <w:color w:val="auto"/>
        </w:rPr>
      </w:pPr>
    </w:p>
    <w:p>
      <w:pPr>
        <w:jc w:val="both"/>
        <w:ind w:left="720"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significant intercompany transactions and balances have been eliminated.</w:t>
      </w:r>
    </w:p>
    <w:p>
      <w:pPr>
        <w:spacing w:after="0" w:line="71" w:lineRule="exact"/>
        <w:rPr>
          <w:rFonts w:ascii="Arial" w:cs="Arial" w:eastAsia="Arial" w:hAnsi="Arial"/>
          <w:sz w:val="18"/>
          <w:szCs w:val="18"/>
          <w:b w:val="1"/>
          <w:bCs w:val="1"/>
          <w:color w:val="auto"/>
        </w:rPr>
      </w:pPr>
    </w:p>
    <w:p>
      <w:pPr>
        <w:jc w:val="both"/>
        <w:ind w:left="720" w:right="159"/>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30, 2006.</w:t>
      </w:r>
    </w:p>
    <w:p>
      <w:pPr>
        <w:spacing w:after="0" w:line="3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6"/>
          <w:szCs w:val="16"/>
          <w:color w:val="auto"/>
        </w:rPr>
        <w:t>Certain reclassifications have been made to the Financial Statements for 2006 to conform to the classifications used in 2007.</w:t>
      </w:r>
    </w:p>
    <w:p>
      <w:pPr>
        <w:spacing w:after="0" w:line="122" w:lineRule="exact"/>
        <w:rPr>
          <w:rFonts w:ascii="Arial" w:cs="Arial" w:eastAsia="Arial" w:hAnsi="Arial"/>
          <w:sz w:val="18"/>
          <w:szCs w:val="18"/>
          <w:b w:val="1"/>
          <w:bCs w:val="1"/>
          <w:color w:val="auto"/>
        </w:rPr>
      </w:pPr>
    </w:p>
    <w:p>
      <w:pPr>
        <w:ind w:left="720" w:hanging="388"/>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07" w:lineRule="exact"/>
        <w:rPr>
          <w:rFonts w:ascii="Arial" w:cs="Arial" w:eastAsia="Arial" w:hAnsi="Arial"/>
          <w:sz w:val="18"/>
          <w:szCs w:val="18"/>
          <w:b w:val="1"/>
          <w:bCs w:val="1"/>
          <w:color w:val="auto"/>
        </w:rPr>
      </w:pPr>
    </w:p>
    <w:p>
      <w:pPr>
        <w:jc w:val="both"/>
        <w:ind w:left="720" w:right="159"/>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becomes apparent.</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4" w:lineRule="exact"/>
        <w:rPr>
          <w:sz w:val="20"/>
          <w:szCs w:val="20"/>
          <w:color w:val="auto"/>
        </w:rPr>
      </w:pPr>
    </w:p>
    <w:p>
      <w:pPr>
        <w:ind w:left="720" w:right="1380"/>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September 29,</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98"/>
              </w:rPr>
              <w:t>September 30,</w:t>
            </w:r>
          </w:p>
        </w:tc>
      </w:tr>
      <w:tr>
        <w:trPr>
          <w:trHeight w:val="230"/>
        </w:trPr>
        <w:tc>
          <w:tcPr>
            <w:tcW w:w="49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3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6,203</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6,910</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5,733</w:t>
            </w:r>
          </w:p>
        </w:tc>
      </w:tr>
    </w:tbl>
    <w:p>
      <w:pPr>
        <w:spacing w:after="0" w:line="143"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720" w:right="1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Three Months Ended 09/29/07</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09/30/06</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5"/>
              </w:rPr>
              <w:t>Per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78"/>
              </w:rPr>
              <w:t>Per</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Income</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8"/>
                <w:szCs w:val="18"/>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8"/>
                <w:szCs w:val="18"/>
                <w:color w:val="auto"/>
                <w:w w:val="83"/>
              </w:rPr>
              <w:t>Share</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Income</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(Denominator)</w:t>
            </w:r>
          </w:p>
        </w:tc>
        <w:tc>
          <w:tcPr>
            <w:tcW w:w="1080" w:type="dxa"/>
            <w:vAlign w:val="bottom"/>
            <w:gridSpan w:val="3"/>
          </w:tcPr>
          <w:p>
            <w:pPr>
              <w:jc w:val="center"/>
              <w:ind w:right="360"/>
              <w:spacing w:after="0"/>
              <w:rPr>
                <w:sz w:val="20"/>
                <w:szCs w:val="20"/>
                <w:color w:val="auto"/>
              </w:rPr>
            </w:pPr>
            <w:r>
              <w:rPr>
                <w:rFonts w:ascii="Arial" w:cs="Arial" w:eastAsia="Arial" w:hAnsi="Arial"/>
                <w:sz w:val="18"/>
                <w:szCs w:val="18"/>
                <w:color w:val="auto"/>
                <w:w w:val="96"/>
              </w:rPr>
              <w:t>Amount</w:t>
            </w:r>
          </w:p>
        </w:tc>
        <w:tc>
          <w:tcPr>
            <w:tcW w:w="122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(Denominator)</w:t>
            </w:r>
          </w:p>
        </w:tc>
        <w:tc>
          <w:tcPr>
            <w:tcW w:w="18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Amount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11,339</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17,705</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11,339</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17,705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Effect of dilutive securities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and assumed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11,339</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19,361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17,705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8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0"/>
          </w:tcPr>
          <w:p>
            <w:pPr>
              <w:jc w:val="right"/>
              <w:ind w:right="940"/>
              <w:spacing w:after="0"/>
              <w:rPr>
                <w:sz w:val="20"/>
                <w:szCs w:val="20"/>
                <w:color w:val="auto"/>
              </w:rPr>
            </w:pPr>
            <w:r>
              <w:rPr>
                <w:rFonts w:ascii="Arial" w:cs="Arial" w:eastAsia="Arial" w:hAnsi="Arial"/>
                <w:sz w:val="18"/>
                <w:szCs w:val="18"/>
                <w:b w:val="1"/>
                <w:bCs w:val="1"/>
                <w:color w:val="auto"/>
              </w:rPr>
              <w:t>UNIVERSAL FOREST PRODUCTS, INC.</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80" w:type="dxa"/>
            <w:vAlign w:val="bottom"/>
            <w:gridSpan w:val="14"/>
          </w:tcPr>
          <w:p>
            <w:pPr>
              <w:jc w:val="right"/>
              <w:ind w:right="900"/>
              <w:spacing w:after="0"/>
              <w:rPr>
                <w:sz w:val="20"/>
                <w:szCs w:val="20"/>
                <w:color w:val="auto"/>
              </w:rPr>
            </w:pPr>
            <w:r>
              <w:rPr>
                <w:rFonts w:ascii="Arial" w:cs="Arial" w:eastAsia="Arial" w:hAnsi="Arial"/>
                <w:sz w:val="18"/>
                <w:szCs w:val="18"/>
                <w:b w:val="1"/>
                <w:bCs w:val="1"/>
                <w:color w:val="auto"/>
              </w:rPr>
              <w:t>NOTES TO CONSOLIDATED CONDENSED FINANCIAL STATEMENTS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Nine Months Ended 09/29/07</w:t>
            </w:r>
          </w:p>
        </w:tc>
        <w:tc>
          <w:tcPr>
            <w:tcW w:w="6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09/30/06</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5"/>
              </w:rPr>
              <w:t>Per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78"/>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Income</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Share</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Income</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Share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(Denominator)</w:t>
            </w:r>
          </w:p>
        </w:tc>
        <w:tc>
          <w:tcPr>
            <w:tcW w:w="1080" w:type="dxa"/>
            <w:vAlign w:val="bottom"/>
            <w:gridSpan w:val="3"/>
          </w:tcPr>
          <w:p>
            <w:pPr>
              <w:jc w:val="center"/>
              <w:ind w:right="360"/>
              <w:spacing w:after="0"/>
              <w:rPr>
                <w:sz w:val="20"/>
                <w:szCs w:val="20"/>
                <w:color w:val="auto"/>
              </w:rPr>
            </w:pPr>
            <w:r>
              <w:rPr>
                <w:rFonts w:ascii="Arial" w:cs="Arial" w:eastAsia="Arial" w:hAnsi="Arial"/>
                <w:sz w:val="18"/>
                <w:szCs w:val="18"/>
                <w:color w:val="auto"/>
                <w:w w:val="96"/>
              </w:rPr>
              <w:t>Amount</w:t>
            </w:r>
          </w:p>
        </w:tc>
        <w:tc>
          <w:tcPr>
            <w:tcW w:w="122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(Denominator)</w:t>
            </w:r>
          </w:p>
        </w:tc>
        <w:tc>
          <w:tcPr>
            <w:tcW w:w="18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32,025</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60,885</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EPS — Basic</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32,025</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60,885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dilutive securities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EPS — Diluted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stockholders and assumed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32,025</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60,885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color w:val="auto"/>
        </w:rPr>
        <w:t>No outstanding options were excluded from the computation of diluted EPS for the quarters and nine months ended September 29, 2007 or September 30, 2006.</w:t>
      </w:r>
    </w:p>
    <w:p>
      <w:pPr>
        <w:spacing w:after="0" w:line="126"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SALE OF ACCOUNTS RECEIVABLE</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6"/>
          <w:szCs w:val="16"/>
          <w:color w:val="auto"/>
        </w:rPr>
        <w:t>On March 8, 2006 we entered into a new accounts receivable sale agreement with a bank. Under the terms of this agreement:</w:t>
      </w:r>
    </w:p>
    <w:p>
      <w:pPr>
        <w:spacing w:after="0" w:line="207" w:lineRule="exact"/>
        <w:rPr>
          <w:rFonts w:ascii="Arial" w:cs="Arial" w:eastAsia="Arial" w:hAnsi="Arial"/>
          <w:sz w:val="18"/>
          <w:szCs w:val="18"/>
          <w:b w:val="1"/>
          <w:bCs w:val="1"/>
          <w:color w:val="auto"/>
        </w:rPr>
      </w:pPr>
    </w:p>
    <w:p>
      <w:pPr>
        <w:ind w:left="1080" w:hanging="370"/>
        <w:spacing w:after="0"/>
        <w:tabs>
          <w:tab w:leader="none" w:pos="10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We sell specific receivables to the bank at an agreed-upon price at terms ranging from one month to one year.</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We service the receivables sold and outstanding on behalf of the bank at a rate of 0.50% per annum.</w:t>
      </w:r>
    </w:p>
    <w:p>
      <w:pPr>
        <w:spacing w:after="0" w:line="103" w:lineRule="exact"/>
        <w:rPr>
          <w:rFonts w:ascii="Arial" w:cs="Arial" w:eastAsia="Arial" w:hAnsi="Arial"/>
          <w:sz w:val="18"/>
          <w:szCs w:val="18"/>
          <w:b w:val="1"/>
          <w:bCs w:val="1"/>
          <w:color w:val="auto"/>
        </w:rPr>
      </w:pPr>
    </w:p>
    <w:p>
      <w:pPr>
        <w:jc w:val="both"/>
        <w:ind w:left="1080" w:right="159" w:hanging="370"/>
        <w:spacing w:after="0" w:line="264" w:lineRule="auto"/>
        <w:tabs>
          <w:tab w:leader="none" w:pos="10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We receive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recorded against the retained interest.</w:t>
      </w:r>
    </w:p>
    <w:p>
      <w:pPr>
        <w:spacing w:after="0" w:line="59"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may be sold and outstanding at any point in time under this arrangement is $50 million.</w:t>
      </w:r>
    </w:p>
    <w:p>
      <w:pPr>
        <w:spacing w:after="0" w:line="143" w:lineRule="exact"/>
        <w:rPr>
          <w:sz w:val="20"/>
          <w:szCs w:val="20"/>
          <w:color w:val="auto"/>
        </w:rPr>
      </w:pPr>
    </w:p>
    <w:p>
      <w:pPr>
        <w:jc w:val="both"/>
        <w:ind w:left="720" w:right="159"/>
        <w:spacing w:after="0" w:line="286" w:lineRule="auto"/>
        <w:rPr>
          <w:sz w:val="20"/>
          <w:szCs w:val="20"/>
          <w:color w:val="auto"/>
        </w:rPr>
      </w:pPr>
      <w:r>
        <w:rPr>
          <w:rFonts w:ascii="Arial" w:cs="Arial" w:eastAsia="Arial" w:hAnsi="Arial"/>
          <w:sz w:val="17"/>
          <w:szCs w:val="17"/>
          <w:color w:val="auto"/>
        </w:rPr>
        <w:t>On September 29, 2007 $54.1 million of receivables were sold and outstanding, and we recorded $4.1 million of retained interest in other current assets. On September 30, 2006, no receivables were sold and outstanding. A summary of the transactions we completed for the first nine months of 2007 and 2006 are presented below (in thousands).</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41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UNIVERSAL FOREST PRODUCTS, INC.</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16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99"/>
              </w:rPr>
              <w:t>NOTES TO CONSOLIDATED CONDENSED FINANCIAL STATEMENTS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Nine Months Ended</w:t>
            </w:r>
          </w:p>
        </w:tc>
        <w:tc>
          <w:tcPr>
            <w:tcW w:w="1540" w:type="dxa"/>
            <w:vAlign w:val="bottom"/>
            <w:gridSpan w:val="3"/>
          </w:tcPr>
          <w:p>
            <w:pPr>
              <w:spacing w:after="0"/>
              <w:rPr>
                <w:sz w:val="20"/>
                <w:szCs w:val="20"/>
                <w:color w:val="auto"/>
              </w:rPr>
            </w:pPr>
            <w:r>
              <w:rPr>
                <w:rFonts w:ascii="Arial" w:cs="Arial" w:eastAsia="Arial" w:hAnsi="Arial"/>
                <w:sz w:val="18"/>
                <w:szCs w:val="18"/>
                <w:color w:val="auto"/>
                <w:w w:val="96"/>
              </w:rPr>
              <w:t>Nine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September 29, 2007</w:t>
            </w:r>
          </w:p>
        </w:tc>
        <w:tc>
          <w:tcPr>
            <w:tcW w:w="1540" w:type="dxa"/>
            <w:vAlign w:val="bottom"/>
            <w:gridSpan w:val="3"/>
          </w:tcPr>
          <w:p>
            <w:pPr>
              <w:spacing w:after="0"/>
              <w:rPr>
                <w:sz w:val="20"/>
                <w:szCs w:val="20"/>
                <w:color w:val="auto"/>
              </w:rPr>
            </w:pPr>
            <w:r>
              <w:rPr>
                <w:rFonts w:ascii="Arial" w:cs="Arial" w:eastAsia="Arial" w:hAnsi="Arial"/>
                <w:sz w:val="18"/>
                <w:szCs w:val="18"/>
                <w:color w:val="auto"/>
                <w:w w:val="93"/>
              </w:rPr>
              <w:t>September 30, 2006</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414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495,247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342,898</w:t>
            </w:r>
          </w:p>
        </w:tc>
      </w:tr>
      <w:tr>
        <w:trPr>
          <w:trHeight w:val="216"/>
        </w:trPr>
        <w:tc>
          <w:tcPr>
            <w:tcW w:w="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Retained interest in receivables</w:t>
            </w:r>
          </w:p>
        </w:tc>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(1,982)</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3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(2,182)</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r>
      <w:tr>
        <w:trPr>
          <w:trHeight w:val="216"/>
        </w:trPr>
        <w:tc>
          <w:tcPr>
            <w:tcW w:w="3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Servicing fee received</w:t>
            </w:r>
          </w:p>
        </w:tc>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414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491,257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341,503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amounts were included in other intangible assets, net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8"/>
                <w:szCs w:val="18"/>
                <w:color w:val="auto"/>
              </w:rPr>
              <w:t>September 29, 2007</w:t>
            </w:r>
          </w:p>
        </w:tc>
        <w:tc>
          <w:tcPr>
            <w:tcW w:w="180" w:type="dxa"/>
            <w:vAlign w:val="bottom"/>
          </w:tcPr>
          <w:p>
            <w:pPr>
              <w:spacing w:after="0"/>
              <w:rPr>
                <w:sz w:val="20"/>
                <w:szCs w:val="20"/>
                <w:color w:val="auto"/>
              </w:rPr>
            </w:pP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September 30, 2006</w:t>
            </w:r>
          </w:p>
        </w:tc>
      </w:tr>
      <w:tr>
        <w:trPr>
          <w:trHeight w:val="195"/>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Accumulated</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Assets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Assets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Amortization</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26,505</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16,177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2,510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(2,295)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14,883</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2,980</w:t>
            </w:r>
          </w:p>
        </w:tc>
        <w:tc>
          <w:tcPr>
            <w:tcW w:w="3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44,368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25,369</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1380"/>
        <w:spacing w:after="0" w:line="277" w:lineRule="auto"/>
        <w:rPr>
          <w:sz w:val="20"/>
          <w:szCs w:val="20"/>
          <w:color w:val="auto"/>
        </w:rPr>
      </w:pPr>
      <w:r>
        <w:rPr>
          <w:rFonts w:ascii="Arial" w:cs="Arial" w:eastAsia="Arial" w:hAnsi="Arial"/>
          <w:sz w:val="18"/>
          <w:szCs w:val="18"/>
          <w:color w:val="auto"/>
        </w:rPr>
        <w:t>The estimated amortization expense for intangible assets as of September 29, 2007 for each of the five succeeding fiscal years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2007 remaining</w:t>
            </w:r>
          </w:p>
        </w:tc>
        <w:tc>
          <w:tcPr>
            <w:tcW w:w="5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2008</w:t>
            </w:r>
          </w:p>
        </w:tc>
        <w:tc>
          <w:tcPr>
            <w:tcW w:w="59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8,646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9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2010</w:t>
            </w:r>
          </w:p>
        </w:tc>
        <w:tc>
          <w:tcPr>
            <w:tcW w:w="59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5,696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9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3,611</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980" w:type="dxa"/>
            <w:vAlign w:val="bottom"/>
          </w:tcPr>
          <w:p>
            <w:pPr>
              <w:jc w:val="right"/>
              <w:ind w:right="389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in the net carrying amount of goodwill and indefinite-lived intangible assets for the nine months ended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September 29, 2007 and September 30, 2006 are as follows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Indefinite-</w:t>
            </w:r>
          </w:p>
        </w:tc>
      </w:t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Lived</w:t>
            </w:r>
          </w:p>
        </w:tc>
      </w:t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Intangible</w:t>
            </w:r>
          </w:p>
        </w:tc>
      </w:tr>
      <w:tr>
        <w:trPr>
          <w:trHeight w:val="230"/>
        </w:trPr>
        <w:tc>
          <w:tcPr>
            <w:tcW w:w="7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Final or Preliminary purchase price allocations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7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29, 2007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w:t>
            </w:r>
          </w:p>
        </w:tc>
      </w:tr>
      <w:tr>
        <w:trPr>
          <w:trHeight w:val="20"/>
        </w:trPr>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14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131,556</w:t>
            </w: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Final purchase price allocation of DecKorators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Balance as of September 30, 2006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NOTES RECEIVABLE</w:t>
      </w:r>
    </w:p>
    <w:p>
      <w:pPr>
        <w:spacing w:after="0" w:line="107" w:lineRule="exact"/>
        <w:rPr>
          <w:rFonts w:ascii="Arial" w:cs="Arial" w:eastAsia="Arial" w:hAnsi="Arial"/>
          <w:sz w:val="18"/>
          <w:szCs w:val="18"/>
          <w:b w:val="1"/>
          <w:bCs w:val="1"/>
          <w:color w:val="auto"/>
        </w:rPr>
      </w:pPr>
    </w:p>
    <w:p>
      <w:pPr>
        <w:ind w:left="720" w:right="17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Employee stock notes receivable represents notes issued to us by certain employees and officers to finance the purchase of our common stock. Directors and executive officers do not, and are not allowed to, participate in this program.</w:t>
      </w:r>
    </w:p>
    <w:p>
      <w:pPr>
        <w:spacing w:after="0" w:line="20" w:lineRule="exact"/>
        <w:rPr>
          <w:rFonts w:ascii="Arial" w:cs="Arial" w:eastAsia="Arial" w:hAnsi="Arial"/>
          <w:sz w:val="18"/>
          <w:szCs w:val="18"/>
          <w:b w:val="1"/>
          <w:bCs w:val="1"/>
          <w:color w:val="auto"/>
        </w:rPr>
      </w:pPr>
    </w:p>
    <w:p>
      <w:pPr>
        <w:ind w:left="720" w:hanging="388"/>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7" w:lineRule="exact"/>
        <w:rPr>
          <w:rFonts w:ascii="Arial" w:cs="Arial" w:eastAsia="Arial" w:hAnsi="Arial"/>
          <w:sz w:val="18"/>
          <w:szCs w:val="18"/>
          <w:b w:val="1"/>
          <w:bCs w:val="1"/>
          <w:color w:val="auto"/>
        </w:rPr>
      </w:pPr>
    </w:p>
    <w:p>
      <w:pPr>
        <w:jc w:val="both"/>
        <w:ind w:left="720"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provide compensation benefits to employees and non-employee directors under several share-based payment arrangements including various employee stock option plans, the Employee Stock Purchase Plan, the Directors’ Retainer Stock Plan, the Directors’ Stock Grant Plan, and the 1999 Long Term Stock Incentive Plan.</w:t>
      </w:r>
    </w:p>
    <w:p>
      <w:pPr>
        <w:spacing w:after="0" w:line="59" w:lineRule="exact"/>
        <w:rPr>
          <w:rFonts w:ascii="Arial" w:cs="Arial" w:eastAsia="Arial" w:hAnsi="Arial"/>
          <w:sz w:val="18"/>
          <w:szCs w:val="18"/>
          <w:b w:val="1"/>
          <w:bCs w:val="1"/>
          <w:color w:val="auto"/>
        </w:rPr>
      </w:pPr>
    </w:p>
    <w:p>
      <w:pPr>
        <w:jc w:val="both"/>
        <w:ind w:left="720"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We account for share-based compensation using the fair value recognition provisions of FASB Statement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123(R)”), which we adopted using the modified-prospective-transition method effective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2006.</w:t>
      </w:r>
    </w:p>
    <w:p>
      <w:pPr>
        <w:spacing w:after="0" w:line="55" w:lineRule="exact"/>
        <w:rPr>
          <w:rFonts w:ascii="Arial" w:cs="Arial" w:eastAsia="Arial" w:hAnsi="Arial"/>
          <w:sz w:val="18"/>
          <w:szCs w:val="18"/>
          <w:b w:val="1"/>
          <w:bCs w:val="1"/>
          <w:color w:val="auto"/>
        </w:rPr>
      </w:pPr>
    </w:p>
    <w:p>
      <w:pPr>
        <w:ind w:left="720" w:hanging="388"/>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07" w:lineRule="exact"/>
        <w:rPr>
          <w:rFonts w:ascii="Arial" w:cs="Arial" w:eastAsia="Arial" w:hAnsi="Arial"/>
          <w:sz w:val="18"/>
          <w:szCs w:val="18"/>
          <w:b w:val="1"/>
          <w:bCs w:val="1"/>
          <w:color w:val="auto"/>
        </w:rPr>
      </w:pPr>
    </w:p>
    <w:p>
      <w:pPr>
        <w:jc w:val="both"/>
        <w:ind w:left="720" w:right="159"/>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We are self-insured for environmental impairment liability through a wholly owned subsidiary, UFP Insurance Ltd., a licensed captive insurance company. 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Insurance reserves, calculated with no discount rate, have been established to cover remediation activities at our affiliates’ facilities in Stockertown, PA; Elizabeth City, NC; Auburndale, FL; Janesville, WI; Medley, FL; and Ponce, PR wood preservation facilities. In addition, a reserve was established for our affiliate’s facility in Thornton, CA to remove asbestos and certain lead containing materials which existed on the property at the time of purchase.</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4"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color w:val="auto"/>
        </w:rPr>
        <w:t>Including amounts from our wholly owned captive insurance company, we have reserved approximately $4.0 million on September 29, 2007 and $1.7 million on September 30, 2006, representing the estimated costs to complete future remediation efforts. These amounts have not been reduced by an insurance receivable.</w:t>
      </w:r>
    </w:p>
    <w:p>
      <w:pPr>
        <w:spacing w:after="0" w:line="141" w:lineRule="exact"/>
        <w:rPr>
          <w:sz w:val="20"/>
          <w:szCs w:val="20"/>
          <w:color w:val="auto"/>
        </w:rPr>
      </w:pPr>
    </w:p>
    <w:p>
      <w:pPr>
        <w:jc w:val="both"/>
        <w:ind w:left="720" w:right="159"/>
        <w:spacing w:after="0" w:line="229" w:lineRule="auto"/>
        <w:rPr>
          <w:sz w:val="20"/>
          <w:szCs w:val="20"/>
          <w:color w:val="auto"/>
        </w:rPr>
      </w:pPr>
      <w:r>
        <w:rPr>
          <w:rFonts w:ascii="Arial" w:cs="Arial" w:eastAsia="Arial" w:hAnsi="Arial"/>
          <w:sz w:val="18"/>
          <w:szCs w:val="18"/>
          <w:color w:val="auto"/>
        </w:rPr>
        <w:t>The manufacturers of CCA preservative voluntarily discontinued the registration of CCA for certain residential applications as of December 31, 2003. Our wood preservation facilities have been converted to alternate preservatives, either ACQ, borates or ProWood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Micro. In March 2005, one facility began using CCA to treat certain marine products and panel goods for which the alternative preservatives are not suitable.</w:t>
      </w:r>
    </w:p>
    <w:p>
      <w:pPr>
        <w:spacing w:after="0" w:line="162" w:lineRule="exact"/>
        <w:rPr>
          <w:sz w:val="20"/>
          <w:szCs w:val="20"/>
          <w:color w:val="auto"/>
        </w:rPr>
      </w:pPr>
    </w:p>
    <w:p>
      <w:pPr>
        <w:jc w:val="both"/>
        <w:ind w:left="720" w:right="159"/>
        <w:spacing w:after="0" w:line="293" w:lineRule="auto"/>
        <w:rPr>
          <w:sz w:val="20"/>
          <w:szCs w:val="20"/>
          <w:color w:val="auto"/>
        </w:rPr>
      </w:pPr>
      <w:r>
        <w:rPr>
          <w:rFonts w:ascii="Arial" w:cs="Arial" w:eastAsia="Arial" w:hAnsi="Arial"/>
          <w:sz w:val="16"/>
          <w:szCs w:val="16"/>
          <w:color w:val="auto"/>
        </w:rPr>
        <w:t>In November 2003, the EPA published its report on the risks associated with the use of CCA in children’s playsets. While the study observed that the range of potential exposure to CCA increased by the continuous use of playsets, the EPA concluded that the risks were not sufficient to require removal or replacement of any CCA treated structures. The results of the EPA study are consistent with a prior Consumer Products Safety Commission (CPSC) study which reached a similar conclusion. The EPA did refer a question on the use of sealants to a scientific advisory panel. The panel issued a report which provides guidance to the EPA on the use of various sealants but does not mandate their use. The EPA is expected to issue a final report at the end of 2007.</w:t>
      </w:r>
    </w:p>
    <w:p>
      <w:pPr>
        <w:spacing w:after="0" w:line="138" w:lineRule="exact"/>
        <w:rPr>
          <w:sz w:val="20"/>
          <w:szCs w:val="20"/>
          <w:color w:val="auto"/>
        </w:rPr>
      </w:pPr>
    </w:p>
    <w:p>
      <w:pPr>
        <w:jc w:val="both"/>
        <w:ind w:left="720" w:right="179"/>
        <w:spacing w:after="0" w:line="259" w:lineRule="auto"/>
        <w:rPr>
          <w:sz w:val="20"/>
          <w:szCs w:val="20"/>
          <w:color w:val="auto"/>
        </w:rPr>
      </w:pPr>
      <w:r>
        <w:rPr>
          <w:rFonts w:ascii="Arial" w:cs="Arial" w:eastAsia="Arial" w:hAnsi="Arial"/>
          <w:sz w:val="18"/>
          <w:szCs w:val="18"/>
          <w:color w:val="auto"/>
        </w:rPr>
        <w:t>In addition,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w:t>
      </w:r>
    </w:p>
    <w:p>
      <w:pPr>
        <w:spacing w:after="0" w:line="146" w:lineRule="exact"/>
        <w:rPr>
          <w:sz w:val="20"/>
          <w:szCs w:val="20"/>
          <w:color w:val="auto"/>
        </w:rPr>
      </w:pPr>
    </w:p>
    <w:p>
      <w:pPr>
        <w:jc w:val="both"/>
        <w:ind w:left="720" w:right="1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30"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color w:val="auto"/>
        </w:rPr>
        <w:t>In addition, on September 29, 2007,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September 29, 2007, we had outstanding purchase commitments on capital projects of approximately $3.6 million.</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w:t>
      </w:r>
    </w:p>
    <w:p>
      <w:pPr>
        <w:spacing w:after="0" w:line="185" w:lineRule="exact"/>
        <w:rPr>
          <w:sz w:val="20"/>
          <w:szCs w:val="20"/>
          <w:color w:val="auto"/>
        </w:rPr>
      </w:pPr>
    </w:p>
    <w:p>
      <w:pPr>
        <w:jc w:val="both"/>
        <w:ind w:left="720" w:right="159"/>
        <w:spacing w:after="0" w:line="255" w:lineRule="auto"/>
        <w:rPr>
          <w:sz w:val="20"/>
          <w:szCs w:val="20"/>
          <w:color w:val="auto"/>
        </w:rPr>
      </w:pPr>
      <w:r>
        <w:rPr>
          <w:rFonts w:ascii="Arial" w:cs="Arial" w:eastAsia="Arial" w:hAnsi="Arial"/>
          <w:sz w:val="18"/>
          <w:szCs w:val="18"/>
          <w:color w:val="auto"/>
        </w:rPr>
        <w:t>In certain cases we jointly bid on contracts with framing companies to supply building materials to site-built construction projects. In some of these instances we are required to post payment and performance bonds to insure the owner that the products and installation services are completed in accordance with our contractual obligations. We have agreed to indemnify the surety for claims made against the bonds. Historically, we have not had any claims for indemnity from our sureties. As of September 29, 2007, we had approximately $32.2 million in outstanding payment and performance bonds, which expire during the next two years. In addition, approximately $6.4 million in payment and performance bonds are outstanding for completed projects which are still under warranty.</w:t>
      </w:r>
    </w:p>
    <w:p>
      <w:pPr>
        <w:spacing w:after="0" w:line="162" w:lineRule="exact"/>
        <w:rPr>
          <w:sz w:val="20"/>
          <w:szCs w:val="20"/>
          <w:color w:val="auto"/>
        </w:rPr>
      </w:pPr>
    </w:p>
    <w:p>
      <w:pPr>
        <w:jc w:val="both"/>
        <w:ind w:left="720" w:right="179"/>
        <w:spacing w:after="0" w:line="257" w:lineRule="auto"/>
        <w:rPr>
          <w:sz w:val="20"/>
          <w:szCs w:val="20"/>
          <w:color w:val="auto"/>
        </w:rPr>
      </w:pPr>
      <w:r>
        <w:rPr>
          <w:rFonts w:ascii="Arial" w:cs="Arial" w:eastAsia="Arial" w:hAnsi="Arial"/>
          <w:sz w:val="18"/>
          <w:szCs w:val="18"/>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$2.4 million.</w:t>
      </w:r>
    </w:p>
    <w:p>
      <w:pPr>
        <w:spacing w:after="0" w:line="148" w:lineRule="exact"/>
        <w:rPr>
          <w:sz w:val="20"/>
          <w:szCs w:val="20"/>
          <w:color w:val="auto"/>
        </w:rPr>
      </w:pPr>
    </w:p>
    <w:p>
      <w:pPr>
        <w:jc w:val="both"/>
        <w:ind w:left="720" w:right="159"/>
        <w:spacing w:after="0" w:line="277" w:lineRule="auto"/>
        <w:rPr>
          <w:sz w:val="20"/>
          <w:szCs w:val="20"/>
          <w:color w:val="auto"/>
        </w:rPr>
      </w:pPr>
      <w:r>
        <w:rPr>
          <w:rFonts w:ascii="Arial" w:cs="Arial" w:eastAsia="Arial" w:hAnsi="Arial"/>
          <w:sz w:val="18"/>
          <w:szCs w:val="18"/>
          <w:color w:val="auto"/>
        </w:rPr>
        <w:t>Under our sale of accounts receivable agreement, we guarantee that a subsidiary, as accounts servicer, will remit collections on receivables sold to the bank. (See Note D, “Sale of Accounts Receivable.”)</w:t>
      </w:r>
    </w:p>
    <w:p>
      <w:pPr>
        <w:spacing w:after="0" w:line="130" w:lineRule="exact"/>
        <w:rPr>
          <w:sz w:val="20"/>
          <w:szCs w:val="20"/>
          <w:color w:val="auto"/>
        </w:rPr>
      </w:pPr>
    </w:p>
    <w:p>
      <w:pPr>
        <w:jc w:val="both"/>
        <w:ind w:left="720" w:right="179"/>
        <w:spacing w:after="0" w:line="277" w:lineRule="auto"/>
        <w:rPr>
          <w:sz w:val="20"/>
          <w:szCs w:val="20"/>
          <w:color w:val="auto"/>
        </w:rPr>
      </w:pPr>
      <w:r>
        <w:rPr>
          <w:rFonts w:ascii="Arial" w:cs="Arial" w:eastAsia="Arial" w:hAnsi="Arial"/>
          <w:sz w:val="18"/>
          <w:szCs w:val="18"/>
          <w:color w:val="auto"/>
        </w:rPr>
        <w:t>On September 29, 2007, we had outstanding letters of credit totaling $36.8 million, primarily related to certain insurance contracts, industrial development revenue bonds and commercial trade, as further described below.</w:t>
      </w:r>
    </w:p>
    <w:p>
      <w:pPr>
        <w:spacing w:after="0" w:line="143"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color w:val="auto"/>
        </w:rPr>
        <w:t>In lieu of cash deposits, we provide irrevocable letters of credit in favor of our insurers to guarantee our performance under certain insurance contracts. We currently have irrevocable letters of credit outstanding totaling approximately $20.4 million for these types of insurance arrangements. We have reserves recorded on our balance sheet, in accrued liabilities, that reflect our expected future liabilities under these insurance arrangements.</w:t>
      </w:r>
    </w:p>
    <w:p>
      <w:pPr>
        <w:spacing w:after="0" w:line="146" w:lineRule="exact"/>
        <w:rPr>
          <w:sz w:val="20"/>
          <w:szCs w:val="20"/>
          <w:color w:val="auto"/>
        </w:rPr>
      </w:pPr>
    </w:p>
    <w:p>
      <w:pPr>
        <w:jc w:val="both"/>
        <w:ind w:left="720" w:right="159"/>
        <w:spacing w:after="0" w:line="302" w:lineRule="auto"/>
        <w:rPr>
          <w:sz w:val="20"/>
          <w:szCs w:val="20"/>
          <w:color w:val="auto"/>
        </w:rPr>
      </w:pPr>
      <w:r>
        <w:rPr>
          <w:rFonts w:ascii="Arial" w:cs="Arial" w:eastAsia="Arial" w:hAnsi="Arial"/>
          <w:sz w:val="16"/>
          <w:szCs w:val="16"/>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$16.1 million related to our outstanding industrial development revenue bonds. These letters of credit have varying terms but may be renewed at the option of the issuing banks.</w:t>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4"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color w:val="auto"/>
        </w:rPr>
        <w:t>We are required to provide irrevocable commercial letters of credit in favor of certain import vendors to guarantee our payment upon their performance under certain import purchase orders. We currently have irrevocable commercial letters of credit outstanding totaling approximately $0.1 million related to pending import purchase orders.</w:t>
      </w:r>
    </w:p>
    <w:p>
      <w:pPr>
        <w:spacing w:after="0" w:line="141"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Universal Forest Products, Inc. in certain debt agreements, including the Series 1998-A Senior Notes,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46" w:lineRule="exact"/>
        <w:rPr>
          <w:sz w:val="20"/>
          <w:szCs w:val="20"/>
          <w:color w:val="auto"/>
        </w:rPr>
      </w:pPr>
    </w:p>
    <w:p>
      <w:pPr>
        <w:jc w:val="both"/>
        <w:ind w:left="720" w:right="159"/>
        <w:spacing w:after="0" w:line="272" w:lineRule="auto"/>
        <w:rPr>
          <w:sz w:val="20"/>
          <w:szCs w:val="20"/>
          <w:color w:val="auto"/>
        </w:rPr>
      </w:pPr>
      <w:r>
        <w:rPr>
          <w:rFonts w:ascii="Arial" w:cs="Arial" w:eastAsia="Arial" w:hAnsi="Arial"/>
          <w:sz w:val="17"/>
          <w:szCs w:val="17"/>
          <w:color w:val="auto"/>
        </w:rPr>
        <w:t>Our treating operations utilize “Subpart W” drip pads, defined as hazardous waste management units by the EPA. The rules regulating drip pads require that the pad be “closed” at the point that it is no longer used to manage hazardous waste. Closure involves identification and disposal of contamination which requires removal from the wood treating operations. The ultimate cost of closure is dependent upon a number of factors including, but not limited to, identification and removal of contamination, cleanup standards that vary from state to state, and the time period over which the cleanup would be completed. Based on our present knowledge of existing circumstances, it is considered probable that these costs will approximate $0.5 million. As a result, this amount is recorded in other long-term liabilities on September 29, 2007.</w:t>
      </w:r>
    </w:p>
    <w:p>
      <w:pPr>
        <w:spacing w:after="0" w:line="151" w:lineRule="exact"/>
        <w:rPr>
          <w:sz w:val="20"/>
          <w:szCs w:val="20"/>
          <w:color w:val="auto"/>
        </w:rPr>
      </w:pPr>
    </w:p>
    <w:p>
      <w:pPr>
        <w:jc w:val="both"/>
        <w:ind w:left="720" w:right="159"/>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2007 which would require us to recognize a liability on our balance sheet.</w:t>
      </w:r>
    </w:p>
    <w:p>
      <w:pPr>
        <w:spacing w:after="0" w:line="126"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UNCERTAINTY IN INCOME TAXES</w:t>
      </w:r>
    </w:p>
    <w:p>
      <w:pPr>
        <w:spacing w:after="0" w:line="107" w:lineRule="exact"/>
        <w:rPr>
          <w:rFonts w:ascii="Arial" w:cs="Arial" w:eastAsia="Arial" w:hAnsi="Arial"/>
          <w:sz w:val="18"/>
          <w:szCs w:val="18"/>
          <w:b w:val="1"/>
          <w:bCs w:val="1"/>
          <w:color w:val="auto"/>
        </w:rPr>
      </w:pPr>
    </w:p>
    <w:p>
      <w:pPr>
        <w:jc w:val="both"/>
        <w:ind w:left="720"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July 2006, the FASB issued FASB Interpretation No. 48 (“FIN 48”) “Accounting for Uncertainty in Income Taxes.” FIN 48 clarifies the accounting for income taxes by prescribing the minimum recognition threshold a tax position is required to meet before being recognized in the financial statements. FIN 48 also provides guidance on derecognition, measurement, classification, interest and penalties, and disclosure requirements. FIN 48 is effective for fiscal years beginning after December 15, 2006. Accordingly, we adopted FIN 48 beginning December 31, 2006. The implementation of FIN 48 did not have a significant impact on our financial position or results of operations.</w:t>
      </w:r>
    </w:p>
    <w:p>
      <w:pPr>
        <w:spacing w:after="0" w:line="71" w:lineRule="exact"/>
        <w:rPr>
          <w:rFonts w:ascii="Arial" w:cs="Arial" w:eastAsia="Arial" w:hAnsi="Arial"/>
          <w:sz w:val="18"/>
          <w:szCs w:val="18"/>
          <w:b w:val="1"/>
          <w:bCs w:val="1"/>
          <w:color w:val="auto"/>
        </w:rPr>
      </w:pPr>
    </w:p>
    <w:p>
      <w:pPr>
        <w:jc w:val="both"/>
        <w:ind w:left="720"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the beginning of fiscal year 2007, we had unrecognized tax benefits of $6.5 million including accrued interest and penalties. During the third quarter and nine months ending September 29, 2007, we had additional unrecognized tax benefits of $0.9 million. If recognized, the effective tax rate would be affected by the unrecognized tax benefits.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4" w:lineRule="exact"/>
        <w:rPr>
          <w:sz w:val="20"/>
          <w:szCs w:val="20"/>
          <w:color w:val="auto"/>
        </w:rPr>
      </w:pPr>
    </w:p>
    <w:p>
      <w:pPr>
        <w:jc w:val="both"/>
        <w:ind w:left="720" w:right="1380"/>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which are included in Income Taxes. Interest and penalties accrued as of September 29, 2007 are insignificant. Interest and penalties recorded during the quarter ended September 29, 2007 were not considered significant.</w:t>
      </w:r>
    </w:p>
    <w:p>
      <w:pPr>
        <w:spacing w:after="0" w:line="141"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We are subject to periodic audits by domestic and foreign tax authorities. Currently, we are undergoing routine periodic audits in domestic jurisdictions. It is reasonably possible that the amounts of unrecognized tax benefits could change in the next 12 months as a result of the audits. Based on the current audits in process, the payment of taxes as a result of audit settlements could be from $0.1 million to $3.6 million.</w:t>
      </w:r>
    </w:p>
    <w:p>
      <w:pPr>
        <w:spacing w:after="0" w:line="146" w:lineRule="exact"/>
        <w:rPr>
          <w:sz w:val="20"/>
          <w:szCs w:val="20"/>
          <w:color w:val="auto"/>
        </w:rPr>
      </w:pPr>
    </w:p>
    <w:p>
      <w:pPr>
        <w:jc w:val="both"/>
        <w:ind w:left="720" w:right="1380"/>
        <w:spacing w:after="0" w:line="277" w:lineRule="auto"/>
        <w:rPr>
          <w:sz w:val="20"/>
          <w:szCs w:val="20"/>
          <w:color w:val="auto"/>
        </w:rPr>
      </w:pPr>
      <w:r>
        <w:rPr>
          <w:rFonts w:ascii="Arial" w:cs="Arial" w:eastAsia="Arial" w:hAnsi="Arial"/>
          <w:sz w:val="18"/>
          <w:szCs w:val="18"/>
          <w:color w:val="auto"/>
        </w:rPr>
        <w:t>For the majority of tax jurisdictions, we are no longer subject to income tax examinations by tax authorities for years before 2003.</w:t>
      </w:r>
    </w:p>
    <w:p>
      <w:pPr>
        <w:spacing w:after="0" w:line="139"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7" w:lineRule="exact"/>
        <w:rPr>
          <w:rFonts w:ascii="Arial" w:cs="Arial" w:eastAsia="Arial" w:hAnsi="Arial"/>
          <w:sz w:val="18"/>
          <w:szCs w:val="18"/>
          <w:b w:val="1"/>
          <w:bCs w:val="1"/>
          <w:color w:val="auto"/>
        </w:rPr>
      </w:pPr>
    </w:p>
    <w:p>
      <w:pPr>
        <w:jc w:val="both"/>
        <w:ind w:left="720" w:right="13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SFAS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(“SFAS 131”)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43" w:lineRule="exact"/>
        <w:rPr>
          <w:rFonts w:ascii="Arial" w:cs="Arial" w:eastAsia="Arial" w:hAnsi="Arial"/>
          <w:sz w:val="18"/>
          <w:szCs w:val="18"/>
          <w:b w:val="1"/>
          <w:bCs w:val="1"/>
          <w:color w:val="auto"/>
        </w:rPr>
      </w:pPr>
    </w:p>
    <w:p>
      <w:pPr>
        <w:jc w:val="both"/>
        <w:ind w:left="720" w:right="1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which was formed in 2006, is included in the “All Other” column in the table below. Our divisions operate manufacturing and treating facilities throughout North America. A summary of results for the first nine months of 2007 and 2006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gridSpan w:val="7"/>
          </w:tcPr>
          <w:p>
            <w:pPr>
              <w:jc w:val="center"/>
              <w:ind w:right="380"/>
              <w:spacing w:after="0"/>
              <w:rPr>
                <w:sz w:val="20"/>
                <w:szCs w:val="20"/>
                <w:color w:val="auto"/>
              </w:rPr>
            </w:pPr>
            <w:r>
              <w:rPr>
                <w:rFonts w:ascii="Arial" w:cs="Arial" w:eastAsia="Arial" w:hAnsi="Arial"/>
                <w:sz w:val="18"/>
                <w:szCs w:val="18"/>
                <w:color w:val="auto"/>
                <w:w w:val="91"/>
              </w:rPr>
              <w:t>Nine Months Ended 09/29/07</w:t>
            </w:r>
          </w:p>
        </w:tc>
        <w:tc>
          <w:tcPr>
            <w:tcW w:w="3280" w:type="dxa"/>
            <w:vAlign w:val="bottom"/>
            <w:gridSpan w:val="7"/>
          </w:tcPr>
          <w:p>
            <w:pPr>
              <w:jc w:val="center"/>
              <w:ind w:right="100"/>
              <w:spacing w:after="0"/>
              <w:rPr>
                <w:sz w:val="20"/>
                <w:szCs w:val="20"/>
                <w:color w:val="auto"/>
              </w:rPr>
            </w:pPr>
            <w:r>
              <w:rPr>
                <w:rFonts w:ascii="Arial" w:cs="Arial" w:eastAsia="Arial" w:hAnsi="Arial"/>
                <w:sz w:val="18"/>
                <w:szCs w:val="18"/>
                <w:color w:val="auto"/>
                <w:w w:val="91"/>
              </w:rPr>
              <w:t>Nine Months Ended 09/30/06</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color w:val="auto"/>
                <w:w w:val="86"/>
              </w:rPr>
              <w:t>Eastern and</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color w:val="auto"/>
                <w:w w:val="86"/>
              </w:rPr>
              <w:t>Eastern and</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Western</w:t>
            </w: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Western</w:t>
            </w: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380" w:type="dxa"/>
            <w:vAlign w:val="bottom"/>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$ 1,905,482</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95,059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$2,000,541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$ 2,098,667</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66,662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$2,165,329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21,308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21,308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16,254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16,254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56,692</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8,075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64,767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112,282</w:t>
            </w: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180"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107" w:lineRule="exact"/>
        <w:rPr>
          <w:rFonts w:ascii="Arial" w:cs="Arial" w:eastAsia="Arial" w:hAnsi="Arial"/>
          <w:sz w:val="18"/>
          <w:szCs w:val="18"/>
          <w:b w:val="1"/>
          <w:bCs w:val="1"/>
          <w:color w:val="auto"/>
        </w:rPr>
      </w:pPr>
    </w:p>
    <w:p>
      <w:pPr>
        <w:jc w:val="both"/>
        <w:ind w:left="720" w:right="1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acquired vacant land as part of the acquisition of Aljoma Lumber Company. When we acquired Banks Lumber, we closed one of their operations and consolidated it with one of our existing operations. A letter of intent has been signed for both properties and we expect to complete each sale within the next twelve months. Based on preliminary estimates of fair market value, we expect the net selling prices to be approximately $24.0 million and $1.4 million, respectively, and to receive payment in cash.</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4"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below and certain economic and business factors which may be beyond our control. Investors are cautioned that all forward-looking statements involve risks and uncertainty.</w:t>
      </w:r>
    </w:p>
    <w:p>
      <w:pPr>
        <w:spacing w:after="0" w:line="14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for the third quarter of 2007 were impacted by the following:</w:t>
      </w:r>
    </w:p>
    <w:p>
      <w:pPr>
        <w:spacing w:after="0" w:line="198" w:lineRule="exact"/>
        <w:rPr>
          <w:sz w:val="20"/>
          <w:szCs w:val="20"/>
          <w:color w:val="auto"/>
        </w:rPr>
      </w:pPr>
    </w:p>
    <w:p>
      <w:pPr>
        <w:ind w:left="720" w:right="179" w:hanging="388"/>
        <w:spacing w:after="0" w:line="277"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overall unit sales increased 4%, as sales out of existing facilities and operations we closed decreased by 6% this quarter and we experienced a 10% increase in unit sales as a result of acquisitions and new operations.</w:t>
      </w:r>
    </w:p>
    <w:p>
      <w:pPr>
        <w:spacing w:after="0" w:line="48" w:lineRule="exact"/>
        <w:rPr>
          <w:rFonts w:ascii="Arial" w:cs="Arial" w:eastAsia="Arial" w:hAnsi="Arial"/>
          <w:sz w:val="18"/>
          <w:szCs w:val="18"/>
          <w:b w:val="1"/>
          <w:bCs w:val="1"/>
          <w:color w:val="auto"/>
        </w:rPr>
      </w:pPr>
    </w:p>
    <w:p>
      <w:pPr>
        <w:ind w:left="720" w:right="159" w:hanging="388"/>
        <w:spacing w:after="0" w:line="277"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Lumber prices were 4% lower compared to the same period of 2006, impacting our overall selling prices (see “Impact of the Lumber Market on Our Operating Results” below) and sales dollars.</w:t>
      </w:r>
    </w:p>
    <w:p>
      <w:pPr>
        <w:spacing w:after="0" w:line="48" w:lineRule="exact"/>
        <w:rPr>
          <w:rFonts w:ascii="Arial" w:cs="Arial" w:eastAsia="Arial" w:hAnsi="Arial"/>
          <w:sz w:val="18"/>
          <w:szCs w:val="18"/>
          <w:b w:val="1"/>
          <w:bCs w:val="1"/>
          <w:color w:val="auto"/>
        </w:rPr>
      </w:pPr>
    </w:p>
    <w:p>
      <w:pPr>
        <w:jc w:val="both"/>
        <w:ind w:left="720" w:right="179" w:hanging="388"/>
        <w:spacing w:after="0" w:line="264"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We saw double-digit sales increases in our manufactured housing, DIY/retail and industrial markets as we gained market share in all of these markets primarily due to recent acquisitions. These sales increases were offset by the steep decline in sales to our site-built customers.</w:t>
      </w:r>
    </w:p>
    <w:p>
      <w:pPr>
        <w:spacing w:after="0" w:line="59" w:lineRule="exact"/>
        <w:rPr>
          <w:rFonts w:ascii="Arial" w:cs="Arial" w:eastAsia="Arial" w:hAnsi="Arial"/>
          <w:sz w:val="18"/>
          <w:szCs w:val="18"/>
          <w:b w:val="1"/>
          <w:bCs w:val="1"/>
          <w:color w:val="auto"/>
        </w:rPr>
      </w:pPr>
    </w:p>
    <w:p>
      <w:pPr>
        <w:jc w:val="both"/>
        <w:ind w:left="720" w:right="159" w:hanging="388"/>
        <w:spacing w:after="0" w:line="264"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Single-family housing starts fell approximately 28% comparing July through September 2007 to the same period of 2006 as a result of an excess supply of homes, tighter credit conditions, and an increase in foreclosures associated with sub-prime lending practices.</w:t>
      </w:r>
    </w:p>
    <w:p>
      <w:pPr>
        <w:spacing w:after="0" w:line="59" w:lineRule="exact"/>
        <w:rPr>
          <w:rFonts w:ascii="Arial" w:cs="Arial" w:eastAsia="Arial" w:hAnsi="Arial"/>
          <w:sz w:val="18"/>
          <w:szCs w:val="18"/>
          <w:b w:val="1"/>
          <w:bCs w:val="1"/>
          <w:color w:val="auto"/>
        </w:rPr>
      </w:pPr>
    </w:p>
    <w:p>
      <w:pPr>
        <w:jc w:val="both"/>
        <w:ind w:left="720" w:right="159" w:hanging="388"/>
        <w:spacing w:after="0" w:line="264"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Consumer spending for large repair/remodel projects has decreased due to a combination of an increase in home equity loans, concerns over home values due to housing market conditions, and a greater use of adjustable rate mortgages in recent years that are beginning to reset at higher rates resulting in higher monthly payments.</w:t>
      </w:r>
    </w:p>
    <w:p>
      <w:pPr>
        <w:spacing w:after="0" w:line="59" w:lineRule="exact"/>
        <w:rPr>
          <w:rFonts w:ascii="Arial" w:cs="Arial" w:eastAsia="Arial" w:hAnsi="Arial"/>
          <w:sz w:val="18"/>
          <w:szCs w:val="18"/>
          <w:b w:val="1"/>
          <w:bCs w:val="1"/>
          <w:color w:val="auto"/>
        </w:rPr>
      </w:pPr>
    </w:p>
    <w:p>
      <w:pPr>
        <w:ind w:left="720" w:right="179" w:hanging="388"/>
        <w:spacing w:after="0" w:line="277"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Production of HUD code manufactured homes and modular homes has continued to decline due, in part, to an excess supply of site-built homes in certain key regions and continued tight credit conditions.</w:t>
      </w:r>
    </w:p>
    <w:p>
      <w:pPr>
        <w:spacing w:after="0" w:line="48" w:lineRule="exact"/>
        <w:rPr>
          <w:rFonts w:ascii="Arial" w:cs="Arial" w:eastAsia="Arial" w:hAnsi="Arial"/>
          <w:sz w:val="18"/>
          <w:szCs w:val="18"/>
          <w:b w:val="1"/>
          <w:bCs w:val="1"/>
          <w:color w:val="auto"/>
        </w:rPr>
      </w:pPr>
    </w:p>
    <w:p>
      <w:pPr>
        <w:ind w:left="720" w:right="179" w:hanging="388"/>
        <w:spacing w:after="0" w:line="277"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gross profits decreased almost 17% compared to the same period of 2006 due to a combination of lower unit sales out of existing facilities and fixed manufacturing costs and intense pricing pressure in the site-built market.</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ind w:left="720" w:right="179" w:hanging="388"/>
        <w:spacing w:after="0" w:line="277"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spite of difficult market conditions, we generated over $80 million in operating cash flow in the first nine months of 2007 which was used to fund acquisitions and capital expenditures.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Outlook</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With the continued impact of the weak housing market on many sectors of the economy and our prediction that recovery in housing market conditions won’t begin until 2009, and based on current economic conditions, we are revising our annual net sales target to a range of $2.48 billion to $2.52 billion and our net earnings target to a range of $32.0 million to $35.0 million in 2007. This implies the following targets for the fourth quarter of 2007: net sales of $480.0 million to $520.0 million and net earnings of break-even to $3.0 million. By comparison, net sales and net earnings for the fourth quarter of 2006 were $499.2 million and $9.2 million, respectively. Excluding certain nonrecurring tax adjustments</w:t>
      </w:r>
      <w:r>
        <w:rPr>
          <w:rFonts w:ascii="Arial" w:cs="Arial" w:eastAsia="Arial" w:hAnsi="Arial"/>
          <w:sz w:val="15"/>
          <w:szCs w:val="15"/>
          <w:b w:val="1"/>
          <w:bCs w:val="1"/>
          <w:color w:val="auto"/>
        </w:rPr>
        <w:t>1</w:t>
      </w:r>
      <w:r>
        <w:rPr>
          <w:rFonts w:ascii="Arial" w:cs="Arial" w:eastAsia="Arial" w:hAnsi="Arial"/>
          <w:sz w:val="18"/>
          <w:szCs w:val="18"/>
          <w:color w:val="auto"/>
        </w:rPr>
        <w:t>, net earnings were approximately $5.8 million in the fourth quarter of 2006.</w:t>
      </w:r>
    </w:p>
    <w:p>
      <w:pPr>
        <w:spacing w:after="0" w:line="159" w:lineRule="exact"/>
        <w:rPr>
          <w:sz w:val="20"/>
          <w:szCs w:val="20"/>
          <w:color w:val="auto"/>
        </w:rPr>
      </w:pPr>
    </w:p>
    <w:p>
      <w:pPr>
        <w:jc w:val="both"/>
        <w:ind w:left="720" w:right="159"/>
        <w:spacing w:after="0" w:line="260" w:lineRule="auto"/>
        <w:rPr>
          <w:sz w:val="20"/>
          <w:szCs w:val="20"/>
          <w:color w:val="auto"/>
        </w:rPr>
      </w:pPr>
      <w:r>
        <w:rPr>
          <w:rFonts w:ascii="Arial" w:cs="Arial" w:eastAsia="Arial" w:hAnsi="Arial"/>
          <w:sz w:val="15"/>
          <w:szCs w:val="15"/>
          <w:b w:val="1"/>
          <w:bCs w:val="1"/>
          <w:color w:val="auto"/>
        </w:rPr>
        <w:t>1</w:t>
      </w:r>
      <w:r>
        <w:rPr>
          <w:rFonts w:ascii="Arial" w:cs="Arial" w:eastAsia="Arial" w:hAnsi="Arial"/>
          <w:sz w:val="18"/>
          <w:szCs w:val="18"/>
          <w:color w:val="auto"/>
        </w:rPr>
        <w:t>In the fourth quarter of 2006, we recognized a $4.5 million estimated benefit from federal research &amp; development tax credits</w:t>
      </w:r>
      <w:r>
        <w:rPr>
          <w:rFonts w:ascii="Arial" w:cs="Arial" w:eastAsia="Arial" w:hAnsi="Arial"/>
          <w:sz w:val="15"/>
          <w:szCs w:val="15"/>
          <w:b w:val="1"/>
          <w:bCs w:val="1"/>
          <w:color w:val="auto"/>
        </w:rPr>
        <w:t xml:space="preserve"> </w:t>
      </w:r>
      <w:r>
        <w:rPr>
          <w:rFonts w:ascii="Arial" w:cs="Arial" w:eastAsia="Arial" w:hAnsi="Arial"/>
          <w:sz w:val="18"/>
          <w:szCs w:val="18"/>
          <w:color w:val="auto"/>
        </w:rPr>
        <w:t>for 2001 — 2006, partially offset by a $1.1 million expense to establish a valuation allowance against net operating loss carry forward from our Canadian subsidiary. Net of these two nonrecurring tax adjustments, we would have recorded net earnings of $5.8 million.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targets are based on the following assumptions:</w:t>
      </w:r>
    </w:p>
    <w:p>
      <w:pPr>
        <w:spacing w:after="0" w:line="185" w:lineRule="exact"/>
        <w:rPr>
          <w:sz w:val="20"/>
          <w:szCs w:val="20"/>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Continued challenging conditions in site-built construction;</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Manufactured housing production remains stable for the remainder of the year;</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continue to achieve market share gains in DIY/retail, industrial, and site-built;</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Weak consumer spending continues to challenge the DIY/retail market;</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No events occur that result in asset impairment charges; and</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lumber market continues at present levels for the balance of the year.</w:t>
      </w:r>
    </w:p>
    <w:p>
      <w:pPr>
        <w:spacing w:after="0" w:line="19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addition, please refer to the “Risk Factors” section of our annual report on form 10-K, filed with the United States Securities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Commission.</w:t>
      </w:r>
      <w:r>
        <w:rPr>
          <w:rFonts w:ascii="Arial" w:cs="Arial" w:eastAsia="Arial" w:hAnsi="Arial"/>
          <w:sz w:val="18"/>
          <w:szCs w:val="18"/>
          <w:color w:val="auto"/>
        </w:rPr>
        <w:t>)</w:t>
      </w:r>
    </w:p>
    <w:p>
      <w:pPr>
        <w:spacing w:after="0" w:line="1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HISTORICAL LUMBER PRICES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Random Lengths framing lumber composite price for the nine months ended September 29, 2007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2006:</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Random Lengths Composite</w:t>
            </w:r>
          </w:p>
        </w:tc>
      </w:tr>
      <w:tr>
        <w:trPr>
          <w:trHeight w:val="230"/>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Average $/MBF</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2006</w:t>
            </w:r>
          </w:p>
        </w:tc>
        <w:tc>
          <w:tcPr>
            <w:tcW w:w="120" w:type="dxa"/>
            <w:vAlign w:val="bottom"/>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February</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April</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June</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August</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r>
      <w:tr>
        <w:trPr>
          <w:trHeight w:val="432"/>
        </w:trPr>
        <w:tc>
          <w:tcPr>
            <w:tcW w:w="7060" w:type="dxa"/>
            <w:vAlign w:val="bottom"/>
          </w:tcPr>
          <w:p>
            <w:pPr>
              <w:spacing w:after="0"/>
              <w:rPr>
                <w:sz w:val="20"/>
                <w:szCs w:val="20"/>
                <w:color w:val="auto"/>
              </w:rPr>
            </w:pPr>
            <w:r>
              <w:rPr>
                <w:rFonts w:ascii="Arial" w:cs="Arial" w:eastAsia="Arial" w:hAnsi="Arial"/>
                <w:sz w:val="18"/>
                <w:szCs w:val="18"/>
                <w:color w:val="auto"/>
              </w:rPr>
              <w:t>Third quarter average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288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r>
      <w:tr>
        <w:trPr>
          <w:trHeight w:val="432"/>
        </w:trPr>
        <w:tc>
          <w:tcPr>
            <w:tcW w:w="7060" w:type="dxa"/>
            <w:vAlign w:val="bottom"/>
          </w:tcPr>
          <w:p>
            <w:pPr>
              <w:spacing w:after="0"/>
              <w:rPr>
                <w:sz w:val="20"/>
                <w:szCs w:val="20"/>
                <w:color w:val="auto"/>
              </w:rPr>
            </w:pPr>
            <w:r>
              <w:rPr>
                <w:rFonts w:ascii="Arial" w:cs="Arial" w:eastAsia="Arial" w:hAnsi="Arial"/>
                <w:sz w:val="18"/>
                <w:szCs w:val="18"/>
                <w:color w:val="auto"/>
              </w:rPr>
              <w:t>Third quarter percentage change from 2006</w:t>
            </w:r>
          </w:p>
        </w:tc>
        <w:tc>
          <w:tcPr>
            <w:tcW w:w="1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 from 2006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8"/>
                <w:szCs w:val="18"/>
                <w:color w:val="auto"/>
              </w:rPr>
              <w:t>Random Lengths SYP</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Average $/MBF</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2006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February</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April</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June</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August</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Third quarter average</w:t>
            </w:r>
          </w:p>
        </w:tc>
        <w:tc>
          <w:tcPr>
            <w:tcW w:w="3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3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Third quarter percentage change from 2006</w:t>
            </w: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 from 2006</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120" w:type="dxa"/>
            <w:vAlign w:val="bottom"/>
          </w:tcPr>
          <w:p>
            <w:pPr>
              <w:jc w:val="right"/>
              <w:ind w:right="20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CONTINUED</w:t>
      </w:r>
    </w:p>
    <w:p>
      <w:pPr>
        <w:spacing w:after="0" w:line="18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14"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 xml:space="preserve">Our gross margins are impacted by both (1) the relative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Lumber Market (i.e. whether prices are higher or lower from comparative periods), and (2)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the Lumber Market impact our products differently.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720" w:right="179" w:hanging="388"/>
        <w:spacing w:after="0" w:line="293" w:lineRule="auto"/>
        <w:tabs>
          <w:tab w:leader="none" w:pos="720" w:val="left"/>
        </w:tabs>
        <w:numPr>
          <w:ilvl w:val="0"/>
          <w:numId w:val="14"/>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43" w:lineRule="exact"/>
        <w:rPr>
          <w:rFonts w:ascii="Arial" w:cs="Arial" w:eastAsia="Arial" w:hAnsi="Arial"/>
          <w:sz w:val="16"/>
          <w:szCs w:val="16"/>
          <w:b w:val="1"/>
          <w:bCs w:val="1"/>
          <w:color w:val="auto"/>
        </w:rPr>
      </w:pPr>
    </w:p>
    <w:p>
      <w:pPr>
        <w:jc w:val="both"/>
        <w:ind w:left="720" w:right="159" w:hanging="388"/>
        <w:spacing w:after="0" w:line="276" w:lineRule="auto"/>
        <w:tabs>
          <w:tab w:leader="none" w:pos="720" w:val="left"/>
        </w:tabs>
        <w:numPr>
          <w:ilvl w:val="0"/>
          <w:numId w:val="14"/>
        </w:numPr>
        <w:rPr>
          <w:rFonts w:ascii="Arial" w:cs="Arial" w:eastAsia="Arial" w:hAnsi="Arial"/>
          <w:sz w:val="17"/>
          <w:szCs w:val="17"/>
          <w:b w:val="1"/>
          <w:bCs w:val="1"/>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trend of lumber prices.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98" w:lineRule="exact"/>
        <w:rPr>
          <w:sz w:val="20"/>
          <w:szCs w:val="20"/>
          <w:color w:val="auto"/>
        </w:rPr>
      </w:pPr>
    </w:p>
    <w:p>
      <w:pPr>
        <w:jc w:val="both"/>
        <w:ind w:left="720" w:right="159" w:hanging="388"/>
        <w:spacing w:after="0" w:line="255" w:lineRule="auto"/>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12%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ind w:left="720" w:right="1380" w:hanging="388"/>
        <w:spacing w:after="0" w:line="277" w:lineRule="auto"/>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30" w:lineRule="exact"/>
        <w:rPr>
          <w:sz w:val="20"/>
          <w:szCs w:val="20"/>
          <w:color w:val="auto"/>
        </w:rPr>
      </w:pPr>
    </w:p>
    <w:p>
      <w:pPr>
        <w:jc w:val="both"/>
        <w:ind w:left="340" w:right="1360"/>
        <w:spacing w:after="0" w:line="286" w:lineRule="auto"/>
        <w:rPr>
          <w:sz w:val="20"/>
          <w:szCs w:val="20"/>
          <w:color w:val="auto"/>
        </w:rPr>
      </w:pPr>
      <w:r>
        <w:rPr>
          <w:rFonts w:ascii="Arial" w:cs="Arial" w:eastAsia="Arial" w:hAnsi="Arial"/>
          <w:sz w:val="17"/>
          <w:szCs w:val="17"/>
          <w:color w:val="auto"/>
        </w:rPr>
        <w:t xml:space="preserve">In addition to the impact of the Lumber Market </w:t>
      </w:r>
      <w:r>
        <w:rPr>
          <w:rFonts w:ascii="Arial" w:cs="Arial" w:eastAsia="Arial" w:hAnsi="Arial"/>
          <w:sz w:val="17"/>
          <w:szCs w:val="17"/>
          <w:u w:val="single" w:color="auto"/>
          <w:color w:val="auto"/>
        </w:rPr>
        <w:t>trends</w:t>
      </w:r>
      <w:r>
        <w:rPr>
          <w:rFonts w:ascii="Arial" w:cs="Arial" w:eastAsia="Arial" w:hAnsi="Arial"/>
          <w:sz w:val="17"/>
          <w:szCs w:val="17"/>
          <w:color w:val="auto"/>
        </w:rPr>
        <w:t xml:space="preserve"> on gross margins, changes in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7"/>
          <w:szCs w:val="17"/>
          <w:u w:val="single" w:color="auto"/>
          <w:color w:val="auto"/>
        </w:rPr>
        <w:t>trend</w:t>
      </w:r>
      <w:r>
        <w:rPr>
          <w:rFonts w:ascii="Arial" w:cs="Arial" w:eastAsia="Arial" w:hAnsi="Arial"/>
          <w:sz w:val="17"/>
          <w:szCs w:val="17"/>
          <w:color w:val="auto"/>
        </w:rPr>
        <w:t xml:space="preserve"> within each period.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Period 1</w:t>
            </w:r>
          </w:p>
        </w:tc>
        <w:tc>
          <w:tcPr>
            <w:tcW w:w="1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Period 2</w:t>
            </w:r>
          </w:p>
        </w:tc>
      </w:tr>
      <w:tr>
        <w:trPr>
          <w:trHeight w:val="210"/>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Conversion cost</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Adder</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50"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We completed the following business combinations in fiscal 2007 and fiscal 2006, which were accounted for using the purchase method.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 Name</w:t>
            </w:r>
          </w:p>
        </w:tc>
        <w:tc>
          <w:tcPr>
            <w:tcW w:w="200" w:type="dxa"/>
            <w:vAlign w:val="bottom"/>
          </w:tcPr>
          <w:p>
            <w:pPr>
              <w:spacing w:after="0"/>
              <w:rPr>
                <w:sz w:val="20"/>
                <w:szCs w:val="20"/>
                <w:color w:val="auto"/>
              </w:rPr>
            </w:pPr>
          </w:p>
        </w:tc>
        <w:tc>
          <w:tcPr>
            <w:tcW w:w="1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5"/>
              </w:rPr>
              <w:t>Acquisition Date</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Business Description</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Deck Images</w:t>
            </w:r>
          </w:p>
        </w:tc>
        <w:tc>
          <w:tcPr>
            <w:tcW w:w="182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July 10, 2007</w:t>
            </w:r>
          </w:p>
        </w:tc>
        <w:tc>
          <w:tcPr>
            <w:tcW w:w="320" w:type="dxa"/>
            <w:vAlign w:val="bottom"/>
            <w:shd w:val="clear" w:color="auto" w:fill="CCEEFF"/>
          </w:tcPr>
          <w:p>
            <w:pPr>
              <w:spacing w:after="0"/>
              <w:rPr>
                <w:sz w:val="16"/>
                <w:szCs w:val="16"/>
                <w:color w:val="auto"/>
              </w:rPr>
            </w:pPr>
          </w:p>
        </w:tc>
        <w:tc>
          <w:tcPr>
            <w:tcW w:w="46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Manufacture and distribute aluminum railing systems.</w:t>
            </w: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$0.9 million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Located in Hastings, MN.</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2006 sales: $1.9 million</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Shawnlee Construction, LLC</w:t>
            </w:r>
          </w:p>
        </w:tc>
        <w:tc>
          <w:tcPr>
            <w:tcW w:w="1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April 2, 2007</w:t>
            </w:r>
          </w:p>
        </w:tc>
        <w:tc>
          <w:tcPr>
            <w:tcW w:w="320" w:type="dxa"/>
            <w:vAlign w:val="bottom"/>
          </w:tcPr>
          <w:p>
            <w:pPr>
              <w:spacing w:after="0"/>
              <w:rPr>
                <w:sz w:val="17"/>
                <w:szCs w:val="17"/>
                <w:color w:val="auto"/>
              </w:rPr>
            </w:pPr>
          </w:p>
        </w:tc>
        <w:tc>
          <w:tcPr>
            <w:tcW w:w="46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3"/>
              </w:rPr>
              <w:t>Provides framing services for multi-family construction in the</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(“Shawnlee”)</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April 3, 2006</w:t>
            </w: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w w:val="92"/>
              </w:rPr>
              <w:t>northeast. Located in Plainville, MA. Purchased an additional</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2007 Purchase price: $1.4 million</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w w:val="93"/>
              </w:rPr>
              <w:t>5% membership interest each in 2007 &amp; 2006. We currently</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2006 Purchase price: $0.8 million</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own an 85% membership interest.</w:t>
            </w:r>
          </w:p>
        </w:tc>
        <w:tc>
          <w:tcPr>
            <w:tcW w:w="13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22</w:t>
            </w: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 Name</w:t>
            </w:r>
          </w:p>
        </w:tc>
        <w:tc>
          <w:tcPr>
            <w:tcW w:w="200" w:type="dxa"/>
            <w:vAlign w:val="bottom"/>
          </w:tcPr>
          <w:p>
            <w:pPr>
              <w:spacing w:after="0"/>
              <w:rPr>
                <w:sz w:val="20"/>
                <w:szCs w:val="20"/>
                <w:color w:val="auto"/>
              </w:rPr>
            </w:pPr>
          </w:p>
        </w:tc>
        <w:tc>
          <w:tcPr>
            <w:tcW w:w="1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5"/>
              </w:rPr>
              <w:t>Acquisition Date</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Business Description</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Perfection Trusses, Inc. (“Perfection”)</w:t>
            </w:r>
          </w:p>
        </w:tc>
        <w:tc>
          <w:tcPr>
            <w:tcW w:w="182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March 5, 2007</w:t>
            </w:r>
          </w:p>
        </w:tc>
        <w:tc>
          <w:tcPr>
            <w:tcW w:w="320" w:type="dxa"/>
            <w:vAlign w:val="bottom"/>
            <w:shd w:val="clear" w:color="auto" w:fill="CCEEFF"/>
          </w:tcPr>
          <w:p>
            <w:pPr>
              <w:spacing w:after="0"/>
              <w:rPr>
                <w:sz w:val="16"/>
                <w:szCs w:val="16"/>
                <w:color w:val="auto"/>
              </w:rPr>
            </w:pPr>
          </w:p>
        </w:tc>
        <w:tc>
          <w:tcPr>
            <w:tcW w:w="46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Manufacture and distribute roof and floor trusses to the</w:t>
            </w: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$1.3 million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Eastern Florida market. The company is located in Vero</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2006 sales: $3.9 million</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Beach, FL.</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Aljoma Lumber Company (“Aljoma”)</w:t>
            </w:r>
          </w:p>
        </w:tc>
        <w:tc>
          <w:tcPr>
            <w:tcW w:w="1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February 12, 2007</w:t>
            </w:r>
          </w:p>
        </w:tc>
        <w:tc>
          <w:tcPr>
            <w:tcW w:w="320" w:type="dxa"/>
            <w:vAlign w:val="bottom"/>
          </w:tcPr>
          <w:p>
            <w:pPr>
              <w:spacing w:after="0"/>
              <w:rPr>
                <w:sz w:val="17"/>
                <w:szCs w:val="17"/>
                <w:color w:val="auto"/>
              </w:rPr>
            </w:pPr>
          </w:p>
        </w:tc>
        <w:tc>
          <w:tcPr>
            <w:tcW w:w="46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Manufacture, treat and distribute various wood products,</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 price: $53.5 million</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w w:val="92"/>
              </w:rPr>
              <w:t>building materials and specialty hardwoods. The company is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2006 sales: $225 million</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w w:val="91"/>
              </w:rPr>
              <w:t>located in Medley, FL. They serve Florida, the Eastern United</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w w:val="99"/>
              </w:rPr>
              <w:t>States and the Caribbean islands. Aljoma has one of the</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largest treating facilities in the country.</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Banks Lumber (“Banks”)</w:t>
            </w:r>
          </w:p>
        </w:tc>
        <w:tc>
          <w:tcPr>
            <w:tcW w:w="1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November 17, 2006</w:t>
            </w:r>
          </w:p>
        </w:tc>
        <w:tc>
          <w:tcPr>
            <w:tcW w:w="32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Manufactures roof trusses and cut-to-size structural lumber</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$46.7 million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 manufactured housing and recreational vehicle (RV)</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2006 sales: $147.0 million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manufacturers nationwide. The company currently has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 in Elkhart, IN, Edwardsburg, MI,</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Morristown, TN, Auburndale, FL and Hillsboro, TX.</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GeoMatrix, Inc. (“GeoMatrix”)</w:t>
            </w:r>
          </w:p>
        </w:tc>
        <w:tc>
          <w:tcPr>
            <w:tcW w:w="1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August 18, 2006</w:t>
            </w:r>
          </w:p>
        </w:tc>
        <w:tc>
          <w:tcPr>
            <w:tcW w:w="320" w:type="dxa"/>
            <w:vAlign w:val="bottom"/>
          </w:tcPr>
          <w:p>
            <w:pPr>
              <w:spacing w:after="0"/>
              <w:rPr>
                <w:sz w:val="17"/>
                <w:szCs w:val="17"/>
                <w:color w:val="auto"/>
              </w:rPr>
            </w:pPr>
          </w:p>
        </w:tc>
        <w:tc>
          <w:tcPr>
            <w:tcW w:w="46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A developer and distributor of plastic lattice products and</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 price: $11.5 million</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other proprietary plastic products located in Troy, MI.</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2005 sales: $19.0 million</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Lumber &amp; Reman, LLC</w:t>
            </w:r>
          </w:p>
        </w:tc>
        <w:tc>
          <w:tcPr>
            <w:tcW w:w="1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July 10, 2006</w:t>
            </w:r>
          </w:p>
        </w:tc>
        <w:tc>
          <w:tcPr>
            <w:tcW w:w="32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An industrial wood manufacturing plant located in Muscle</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(“United”)</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Shoals, AL. Acquired a 50% membership interest.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$4.9 million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2005 sales: $26.0 million</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Dura-Bilt Mfg. Co. (“Dura-Bilt”)</w:t>
            </w:r>
          </w:p>
        </w:tc>
        <w:tc>
          <w:tcPr>
            <w:tcW w:w="1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June 5, 2006</w:t>
            </w:r>
          </w:p>
        </w:tc>
        <w:tc>
          <w:tcPr>
            <w:tcW w:w="320" w:type="dxa"/>
            <w:vAlign w:val="bottom"/>
          </w:tcPr>
          <w:p>
            <w:pPr>
              <w:spacing w:after="0"/>
              <w:rPr>
                <w:sz w:val="17"/>
                <w:szCs w:val="17"/>
                <w:color w:val="auto"/>
              </w:rPr>
            </w:pPr>
          </w:p>
        </w:tc>
        <w:tc>
          <w:tcPr>
            <w:tcW w:w="46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Designs and manufactures roof and floor trusses for site-built</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 price: $9.2 million</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construction. The company is located in Riverbank, CA.</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2005 sales: $16.0 million</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Classic Truss Company, Inc. (“Classic”)</w:t>
            </w:r>
          </w:p>
        </w:tc>
        <w:tc>
          <w:tcPr>
            <w:tcW w:w="1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January 9, 2006</w:t>
            </w:r>
          </w:p>
        </w:tc>
        <w:tc>
          <w:tcPr>
            <w:tcW w:w="32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Manufactures and distributes engineered wood components</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$2.1 million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for site-built construction. The company is located in Fort</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2005 sales: $6.0 million</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Pierce, FL.</w:t>
            </w:r>
          </w:p>
        </w:tc>
        <w:tc>
          <w:tcPr>
            <w:tcW w:w="13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23</w:t>
            </w: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CONTINUED</w:t>
      </w:r>
    </w:p>
    <w:p>
      <w:pPr>
        <w:spacing w:after="0" w:line="180"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right="136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820" w:type="dxa"/>
            <w:vAlign w:val="bottom"/>
            <w:gridSpan w:val="4"/>
          </w:tcPr>
          <w:p>
            <w:pPr>
              <w:jc w:val="right"/>
              <w:ind w:right="600"/>
              <w:spacing w:after="0"/>
              <w:rPr>
                <w:sz w:val="20"/>
                <w:szCs w:val="20"/>
                <w:color w:val="auto"/>
              </w:rPr>
            </w:pPr>
            <w:r>
              <w:rPr>
                <w:rFonts w:ascii="Arial" w:cs="Arial" w:eastAsia="Arial" w:hAnsi="Arial"/>
                <w:sz w:val="18"/>
                <w:szCs w:val="18"/>
                <w:color w:val="auto"/>
                <w:w w:val="95"/>
              </w:rPr>
              <w:t>For the Three Months Ended</w:t>
            </w:r>
          </w:p>
        </w:tc>
        <w:tc>
          <w:tcPr>
            <w:tcW w:w="2520" w:type="dxa"/>
            <w:vAlign w:val="bottom"/>
            <w:gridSpan w:val="4"/>
          </w:tcPr>
          <w:p>
            <w:pPr>
              <w:ind w:left="160"/>
              <w:spacing w:after="0"/>
              <w:rPr>
                <w:sz w:val="20"/>
                <w:szCs w:val="20"/>
                <w:color w:val="auto"/>
              </w:rPr>
            </w:pPr>
            <w:r>
              <w:rPr>
                <w:rFonts w:ascii="Arial" w:cs="Arial" w:eastAsia="Arial" w:hAnsi="Arial"/>
                <w:sz w:val="18"/>
                <w:szCs w:val="18"/>
                <w:color w:val="auto"/>
              </w:rPr>
              <w:t>For the Nine Months Ended</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8"/>
              </w:rPr>
              <w:t>Sept. 29,</w:t>
            </w:r>
          </w:p>
        </w:tc>
        <w:tc>
          <w:tcPr>
            <w:tcW w:w="9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Sept. 30,</w:t>
            </w:r>
          </w:p>
        </w:tc>
        <w:tc>
          <w:tcPr>
            <w:tcW w:w="460" w:type="dxa"/>
            <w:vAlign w:val="bottom"/>
          </w:tcPr>
          <w:p>
            <w:pPr>
              <w:spacing w:after="0"/>
              <w:rPr>
                <w:sz w:val="16"/>
                <w:szCs w:val="16"/>
                <w:color w:val="auto"/>
              </w:rPr>
            </w:pPr>
          </w:p>
        </w:tc>
        <w:tc>
          <w:tcPr>
            <w:tcW w:w="140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Sept. 29,</w:t>
            </w:r>
          </w:p>
        </w:tc>
        <w:tc>
          <w:tcPr>
            <w:tcW w:w="9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Sept. 30,</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87.9</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85.3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87.1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85.5</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9.6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net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gain on sale of real estate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Minority interest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( 0.1)</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( 0.1)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We engineer, manufacture, treat, distribute and install lumber, composite wood, plastic, and other building products for the DIY/retail, site-built construction, industrial, and manufactured housing markets. Our strategic sales objectives include:</w:t>
      </w:r>
    </w:p>
    <w:p>
      <w:pPr>
        <w:spacing w:after="0" w:line="130"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Diversifying our end market sales mix by increasing sales of specialty wood packaging to industrial users.</w:t>
      </w:r>
    </w:p>
    <w:p>
      <w:pPr>
        <w:spacing w:after="0" w:line="103" w:lineRule="exact"/>
        <w:rPr>
          <w:rFonts w:ascii="Arial" w:cs="Arial" w:eastAsia="Arial" w:hAnsi="Arial"/>
          <w:sz w:val="18"/>
          <w:szCs w:val="18"/>
          <w:b w:val="1"/>
          <w:bCs w:val="1"/>
          <w:color w:val="auto"/>
        </w:rPr>
      </w:pPr>
    </w:p>
    <w:p>
      <w:pPr>
        <w:ind w:left="720" w:hanging="388"/>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03" w:lineRule="exact"/>
        <w:rPr>
          <w:rFonts w:ascii="Arial" w:cs="Arial" w:eastAsia="Arial" w:hAnsi="Arial"/>
          <w:sz w:val="18"/>
          <w:szCs w:val="18"/>
          <w:b w:val="1"/>
          <w:bCs w:val="1"/>
          <w:color w:val="auto"/>
        </w:rPr>
      </w:pPr>
    </w:p>
    <w:p>
      <w:pPr>
        <w:jc w:val="both"/>
        <w:ind w:left="720" w:right="159" w:hanging="388"/>
        <w:spacing w:after="0" w:line="255" w:lineRule="auto"/>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71" w:lineRule="exact"/>
        <w:rPr>
          <w:rFonts w:ascii="Arial" w:cs="Arial" w:eastAsia="Arial" w:hAnsi="Arial"/>
          <w:sz w:val="18"/>
          <w:szCs w:val="18"/>
          <w:b w:val="1"/>
          <w:bCs w:val="1"/>
          <w:color w:val="auto"/>
        </w:rPr>
      </w:pPr>
    </w:p>
    <w:p>
      <w:pPr>
        <w:ind w:left="720" w:hanging="388"/>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9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right"/>
              <w:ind w:right="720"/>
              <w:spacing w:after="0"/>
              <w:rPr>
                <w:sz w:val="20"/>
                <w:szCs w:val="20"/>
                <w:color w:val="auto"/>
              </w:rPr>
            </w:pPr>
            <w:r>
              <w:rPr>
                <w:rFonts w:ascii="Arial" w:cs="Arial" w:eastAsia="Arial" w:hAnsi="Arial"/>
                <w:sz w:val="18"/>
                <w:szCs w:val="18"/>
                <w:color w:val="auto"/>
              </w:rPr>
              <w:t>For the Three Months Ended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7"/>
          </w:tcPr>
          <w:p>
            <w:pPr>
              <w:jc w:val="right"/>
              <w:ind w:right="740"/>
              <w:spacing w:after="0"/>
              <w:rPr>
                <w:sz w:val="20"/>
                <w:szCs w:val="20"/>
                <w:color w:val="auto"/>
              </w:rPr>
            </w:pPr>
            <w:r>
              <w:rPr>
                <w:rFonts w:ascii="Arial" w:cs="Arial" w:eastAsia="Arial" w:hAnsi="Arial"/>
                <w:sz w:val="18"/>
                <w:szCs w:val="18"/>
                <w:color w:val="auto"/>
              </w:rPr>
              <w:t>For the Nine Months Ended</w:t>
            </w:r>
          </w:p>
        </w:tc>
      </w:tr>
      <w:tr>
        <w:trPr>
          <w:trHeight w:val="195"/>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440"/>
              <w:spacing w:after="0" w:line="195" w:lineRule="exact"/>
              <w:rPr>
                <w:sz w:val="20"/>
                <w:szCs w:val="20"/>
                <w:color w:val="auto"/>
              </w:rPr>
            </w:pPr>
            <w:r>
              <w:rPr>
                <w:rFonts w:ascii="Arial" w:cs="Arial" w:eastAsia="Arial" w:hAnsi="Arial"/>
                <w:sz w:val="18"/>
                <w:szCs w:val="18"/>
                <w:color w:val="auto"/>
                <w:w w:val="94"/>
              </w:rPr>
              <w:t>Sept. 29,</w:t>
            </w:r>
          </w:p>
        </w:tc>
        <w:tc>
          <w:tcPr>
            <w:tcW w:w="7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4"/>
              </w:rPr>
              <w:t>Sept.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60"/>
              <w:spacing w:after="0" w:line="195" w:lineRule="exact"/>
              <w:rPr>
                <w:sz w:val="20"/>
                <w:szCs w:val="20"/>
                <w:color w:val="auto"/>
              </w:rPr>
            </w:pPr>
            <w:r>
              <w:rPr>
                <w:rFonts w:ascii="Arial" w:cs="Arial" w:eastAsia="Arial" w:hAnsi="Arial"/>
                <w:sz w:val="18"/>
                <w:szCs w:val="18"/>
                <w:color w:val="auto"/>
                <w:w w:val="83"/>
              </w:rPr>
              <w:t>Sept. 29,</w:t>
            </w:r>
          </w:p>
        </w:tc>
        <w:tc>
          <w:tcPr>
            <w:tcW w:w="78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5"/>
              </w:rPr>
              <w:t>Sept. 30,</w:t>
            </w:r>
          </w:p>
        </w:tc>
        <w:tc>
          <w:tcPr>
            <w:tcW w:w="100" w:type="dxa"/>
            <w:vAlign w:val="bottom"/>
          </w:tcPr>
          <w:p>
            <w:pPr>
              <w:spacing w:after="0"/>
              <w:rPr>
                <w:sz w:val="16"/>
                <w:szCs w:val="16"/>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Market Classification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2007</w:t>
            </w:r>
          </w:p>
        </w:tc>
        <w:tc>
          <w:tcPr>
            <w:tcW w:w="36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r>
      <w:tr>
        <w:trPr>
          <w:trHeight w:val="210"/>
        </w:trPr>
        <w:tc>
          <w:tcPr>
            <w:tcW w:w="2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DIY/Retail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268,023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241,034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825,041</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812,338</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Site-Built Construction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158,940</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209,015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459,751</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653,445</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156,549</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142,009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452,442</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433,601</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Manufactured Housing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109,656</w:t>
            </w:r>
          </w:p>
        </w:tc>
        <w:tc>
          <w:tcPr>
            <w:tcW w:w="3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92,778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303,157</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301,241</w:t>
            </w: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693,168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684,836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2,040,391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2,200,625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Sales allowances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(14,770)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(39,850)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(35,296)</w:t>
            </w: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678,398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672,873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2,000,541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2,165,329</w:t>
            </w:r>
          </w:p>
        </w:tc>
      </w:tr>
      <w:tr>
        <w:trPr>
          <w:trHeight w:val="20"/>
        </w:trPr>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Gross sales in the third quarter of 2007 increased 1% compared to the third quarter of 2006. We estimate that our unit sales increased by 4% and overall selling prices decreased by an estimated 3% comparing the two periods. We estimate that our unit sales increased 10% as a result of acquisitions, while unit sales from existing and closed facilities decreased 6%. Our overall selling prices fluctuate as a result of the Lumber Market (see “Historical Lumber Prices”) and were negatively impacted by pricing pressure in the site-built market.</w:t>
      </w:r>
    </w:p>
    <w:p>
      <w:pPr>
        <w:spacing w:after="0" w:line="148"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Gross sales in the first nine months of 2007 decreased 7% compared to the first nine months of 2006 resulting from an estimated decrease in units shipped of approximately 1%, while overall selling prices decreased by 6%. We estimate that our unit sales increased 9% as a result of business acquisitions and new plants, while our unit sales out of existing and closed facilities decreased by 10%.</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Gross sales to the DIY/retail market increased 11% in the third quarter of 2007 compared to 2006 primarily due to a 10% increase in overall unit sales. Unit sales growth was the result of our acquisition of Aljoma, while sales out of existing facilities and closed operations were relatively flat in spite of challenging market conditions. This was primarily the result of significant market share gains we realized with “big box” retail customers. Our sales to these customers increased 19% (8% due to acquisitions and 11% due to existing facilities) for the quarter while our sales to other retailers whose business is more closely correlated with housing starts was off 6%. Our increase in sales to “big box” customers was less than expected, however, which we believe was caused by a decline in consumer spending on large home improvement projects.</w:t>
      </w:r>
    </w:p>
    <w:p>
      <w:pPr>
        <w:spacing w:after="0" w:line="151"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Gross sales to the DIY/retail market increased 2% in the first nine months of 2007 compared to 2006, as a result of a 6% increase in units shipped and a 4% decrease in overall selling prices. We estimate that our unit sales increased 9% as a result of acquisitions, while unit sales from existing and closed facilities decreased 3%. As discussed above, we achieved market share gains with “big box” retail customers. Our sales to these customers increased 11% for the first nine month of 2007 while our sales to other retailers whose business is more closely correlated with housing starts were off 20%.</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Gross sales to the site-built construction market decreased 24% in the third quarter of 2007 compared to 2006 due to an 8% decrease in unit sales out of existing plants, a 4% decline due to our decision to exit the Las Vegas framing market, and a 12% decrease in our average selling prices primarily due to intense pricing pressure with other suppliers. We continue to be negatively impacted by difficult housing market conditions, particularly in regional markets such as Southern California, Colorado and Florida. National single family housing starts were off a reported 28% from July through September of 2007.</w:t>
      </w:r>
    </w:p>
    <w:p>
      <w:pPr>
        <w:spacing w:after="0" w:line="14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Gross sales to the site-built construction market decreased 30% in the first nine months of 2007 compared to 2006, due to an estimated 16% decrease in unit sales out of existing plants, a 4% decline due to our decision to exit the Las Vegas framing market, and an estimated 11% decrease in selling prices primarily due to intense pricing pressure. Single-family housing starts have fallen approximately 28% in 2007 compared to 2006 as a result of an excess supply of homes, tighter credit conditions, and an increase in foreclosures associated with sub-prime lending practices.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8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Gross sales to the industrial market increased 10% in the third quarter of 2007 compared to the same period of 2006, due to an 8% increase in unit sales and a 2% increase in selling prices. Acquisitions and our continued focus on adding new customers, including concrete forming, helped us mitigate the effect of a decline in sales to certain of our customers that supply the housing market.</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Gross sales to the industrial market increased 4% in the first nine months of 2007 compared to the same period of 2006, due to an estimated 7% increase in units shipped offset by a 3% decline in selling prices. Unit sales increased for the reasons mentioned in the paragraph above.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Gross sales to the manufactured housing market increased 18% in the third quarter of 2007 compared to the same period of 2006, due to a 20% increase in unit sales offset by a 2% decrease in overall selling prices due to the Lumber Market. Our acquisition of Banks contributed unit sales growth of 29% for the quarter, while unit sales from existing facilities decreased 9%. Our decline in unit sales from existing facilities was a result of a decline in industry production. The industry most recently reported a decrease in HUD code production of approximately 8% in July and August. The modular market originally forecasted a flat year, but the second quarter results reported a decline in production of 18% and we believe this trend continued into the third quarter.</w:t>
      </w:r>
    </w:p>
    <w:p>
      <w:pPr>
        <w:spacing w:after="0" w:line="138"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Gross sales to the manufactured housing market increased 1% in the first nine months of 2007 compared to the same period of 2006. This increase resulted from a 9% increase in unit sales offset by an 8% decrease in selling prices. We estimate that our unit sales increased 23% as a result of acquisitions, while unit sales from existing and closed facilities decreased 14% due to the continued decline in industry production.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20" w:type="dxa"/>
            <w:vAlign w:val="bottom"/>
            <w:gridSpan w:val="4"/>
          </w:tcPr>
          <w:p>
            <w:pPr>
              <w:jc w:val="right"/>
              <w:ind w:right="880"/>
              <w:spacing w:after="0"/>
              <w:rPr>
                <w:sz w:val="20"/>
                <w:szCs w:val="20"/>
                <w:color w:val="auto"/>
              </w:rPr>
            </w:pPr>
            <w:r>
              <w:rPr>
                <w:rFonts w:ascii="Arial" w:cs="Arial" w:eastAsia="Arial" w:hAnsi="Arial"/>
                <w:sz w:val="18"/>
                <w:szCs w:val="18"/>
                <w:color w:val="auto"/>
              </w:rPr>
              <w:t>Three Months Ended</w:t>
            </w:r>
          </w:p>
        </w:tc>
        <w:tc>
          <w:tcPr>
            <w:tcW w:w="2520" w:type="dxa"/>
            <w:vAlign w:val="bottom"/>
            <w:gridSpan w:val="4"/>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195"/>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8"/>
              </w:rPr>
              <w:t>Sept. 29,</w:t>
            </w:r>
          </w:p>
        </w:tc>
        <w:tc>
          <w:tcPr>
            <w:tcW w:w="9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Sept. 30,</w:t>
            </w:r>
          </w:p>
        </w:tc>
        <w:tc>
          <w:tcPr>
            <w:tcW w:w="4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85"/>
              </w:rPr>
              <w:t>Sept. 29,</w:t>
            </w:r>
          </w:p>
        </w:tc>
        <w:tc>
          <w:tcPr>
            <w:tcW w:w="9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Sept. 30,</w:t>
            </w:r>
          </w:p>
        </w:tc>
        <w:tc>
          <w:tcPr>
            <w:tcW w:w="1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Value-Added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Commodity-Based</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r>
      <w:tr>
        <w:trPr>
          <w:trHeight w:val="376"/>
        </w:trPr>
        <w:tc>
          <w:tcPr>
            <w:tcW w:w="580" w:type="dxa"/>
            <w:vAlign w:val="bottom"/>
          </w:tcPr>
          <w:p>
            <w:pPr>
              <w:spacing w:after="0"/>
              <w:rPr>
                <w:sz w:val="20"/>
                <w:szCs w:val="20"/>
                <w:color w:val="auto"/>
              </w:rPr>
            </w:pPr>
            <w:r>
              <w:rPr>
                <w:rFonts w:ascii="Arial" w:cs="Arial" w:eastAsia="Arial" w:hAnsi="Arial"/>
                <w:sz w:val="18"/>
                <w:szCs w:val="18"/>
                <w:color w:val="auto"/>
              </w:rPr>
              <w:t>Note:</w:t>
            </w:r>
          </w:p>
        </w:tc>
        <w:tc>
          <w:tcPr>
            <w:tcW w:w="9140" w:type="dxa"/>
            <w:vAlign w:val="bottom"/>
            <w:gridSpan w:val="9"/>
          </w:tcPr>
          <w:p>
            <w:pPr>
              <w:jc w:val="right"/>
              <w:ind w:right="20"/>
              <w:spacing w:after="0"/>
              <w:rPr>
                <w:sz w:val="20"/>
                <w:szCs w:val="20"/>
                <w:color w:val="auto"/>
              </w:rPr>
            </w:pPr>
            <w:r>
              <w:rPr>
                <w:rFonts w:ascii="Arial" w:cs="Arial" w:eastAsia="Arial" w:hAnsi="Arial"/>
                <w:sz w:val="18"/>
                <w:szCs w:val="18"/>
                <w:color w:val="auto"/>
                <w:w w:val="95"/>
              </w:rPr>
              <w:t>In the third quarter of 2007, we reviewed the classification of our product codes and made certain reclassifications. Prior</w:t>
            </w:r>
          </w:p>
        </w:tc>
      </w:tr>
      <w:tr>
        <w:trPr>
          <w:trHeight w:val="230"/>
        </w:trPr>
        <w:tc>
          <w:tcPr>
            <w:tcW w:w="580" w:type="dxa"/>
            <w:vAlign w:val="bottom"/>
          </w:tcPr>
          <w:p>
            <w:pPr>
              <w:spacing w:after="0"/>
              <w:rPr>
                <w:sz w:val="20"/>
                <w:szCs w:val="20"/>
                <w:color w:val="auto"/>
              </w:rPr>
            </w:pPr>
          </w:p>
        </w:tc>
        <w:tc>
          <w:tcPr>
            <w:tcW w:w="520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year information has been restated to reflect these reclassifications.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Value-added sales decreased 3.5% in the third quarter of 2007 compared to 2006, primarily due to decreased sales of engineered wood components to the site-built construction market. Commodity-based sales increased 9% comparing the third quarter of 2007 with the same period of 2006, primarily due to an increase in unit sales of treated lumber and panelized lumber products resulting from market share gains with “big box” retail customers and our acquisition of Aljoma.</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Value-added sales decreased 10% in the first nine months of 2007 compared to 2006, primarily due to decreased sales of engineered wood components and lumber packages to the site-built construction market, offset partially by increased sales of fencing, decking, lattice and other specialty products sold to the DIY/retail market. Commodity-based sales decreased approximately 3% during the first nine months of 2007 primarily due to a decrease in selling prices due to the Lumber Market.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Our gross profit percentage decreased to 12.1% from 14.7% and gross profit dollars decreased almost 17% comparing the third quarter of 2007 with the same period of 2006. The decline in our profitability was primarily due to a combination of:</w:t>
      </w:r>
    </w:p>
    <w:p>
      <w:pPr>
        <w:spacing w:after="0" w:line="120" w:lineRule="exact"/>
        <w:rPr>
          <w:sz w:val="20"/>
          <w:szCs w:val="20"/>
          <w:color w:val="auto"/>
        </w:rPr>
      </w:pPr>
    </w:p>
    <w:p>
      <w:pPr>
        <w:ind w:left="720" w:right="179" w:hanging="388"/>
        <w:spacing w:after="0" w:line="277" w:lineRule="auto"/>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change in sales mix whereby historically higher margin engineered wood components sold to site-built customers comprised a lower percentage of our sales this quarter.</w:t>
      </w:r>
    </w:p>
    <w:p>
      <w:pPr>
        <w:spacing w:after="0" w:line="48" w:lineRule="exact"/>
        <w:rPr>
          <w:rFonts w:ascii="Arial" w:cs="Arial" w:eastAsia="Arial" w:hAnsi="Arial"/>
          <w:sz w:val="18"/>
          <w:szCs w:val="18"/>
          <w:b w:val="1"/>
          <w:bCs w:val="1"/>
          <w:color w:val="auto"/>
        </w:rPr>
      </w:pPr>
    </w:p>
    <w:p>
      <w:pPr>
        <w:ind w:left="720" w:hanging="388"/>
        <w:spacing w:after="0"/>
        <w:tabs>
          <w:tab w:leader="none" w:pos="72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Cost inefficiencies as a result of the impact of decreased unit sales out of existing facilities and fixed manufacturing costs.</w:t>
      </w:r>
    </w:p>
    <w:p>
      <w:pPr>
        <w:spacing w:after="0" w:line="115" w:lineRule="exact"/>
        <w:rPr>
          <w:rFonts w:ascii="Arial" w:cs="Arial" w:eastAsia="Arial" w:hAnsi="Arial"/>
          <w:sz w:val="17"/>
          <w:szCs w:val="17"/>
          <w:b w:val="1"/>
          <w:bCs w:val="1"/>
          <w:color w:val="auto"/>
        </w:rPr>
      </w:pPr>
    </w:p>
    <w:p>
      <w:pPr>
        <w:ind w:left="720" w:hanging="388"/>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Sales incentives offered to customers to gain market share.</w:t>
      </w:r>
    </w:p>
    <w:p>
      <w:pPr>
        <w:spacing w:after="0" w:line="103" w:lineRule="exact"/>
        <w:rPr>
          <w:rFonts w:ascii="Arial" w:cs="Arial" w:eastAsia="Arial" w:hAnsi="Arial"/>
          <w:sz w:val="18"/>
          <w:szCs w:val="18"/>
          <w:b w:val="1"/>
          <w:bCs w:val="1"/>
          <w:color w:val="auto"/>
        </w:rPr>
      </w:pPr>
    </w:p>
    <w:p>
      <w:pPr>
        <w:ind w:left="720" w:right="159" w:hanging="388"/>
        <w:spacing w:after="0" w:line="277" w:lineRule="auto"/>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Increased pricing pressure on sales to the site-built construction market due to the overall decline in market demand and excess capacity of suppliers.</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gross profit percentage decreased to 12.9% from 14.5%, and gross profit dollars decreased approximately 18% comparing the first nine months of 2007 with the same period of 2006. Our decline in profitability comparing these two periods was primarily due to the factors mentioned in the paragraph above.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340" w:right="179"/>
        <w:spacing w:after="0" w:line="255" w:lineRule="auto"/>
        <w:rPr>
          <w:sz w:val="20"/>
          <w:szCs w:val="20"/>
          <w:color w:val="auto"/>
        </w:rPr>
      </w:pPr>
      <w:r>
        <w:rPr>
          <w:rFonts w:ascii="Arial" w:cs="Arial" w:eastAsia="Arial" w:hAnsi="Arial"/>
          <w:sz w:val="18"/>
          <w:szCs w:val="18"/>
          <w:color w:val="auto"/>
        </w:rPr>
        <w:t>Selling, general and administrative (“SG&amp;A”) expenses decreased by approximately $7 million, or 11%, in the third quarter of 2007 compared to the same period of 2006 in spite of a 4% increase in unit sales. Existing facilities and operations we closed this year decreased SG&amp;A expenses approximately $10.7 million, while business acquisitions added $3.7 million in SG&amp;A expenses. The decreases in SG&amp;A expenses at our existing facilities were primarily due to decreases in accrued bonus expense, which is tied to operating profits and return on investment, a decline in wages due to a reduction in headcount, and a decrease in amortization expense related to intangible assets.</w:t>
      </w:r>
    </w:p>
    <w:p>
      <w:pPr>
        <w:spacing w:after="0" w:line="153"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SG&amp;A expenses decreased by 4% in the first nine months of 2007 compared to the same period of 2006, primarily due to a reduction in accrued bonus expense, offset by SG&amp;A expenses of acquired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Net interest costs were higher in the third quarter and first nine months of 2007 compared to the same period of 2006 due to an increase in borrowings on the revolving credit facility as a result of acquisitions.</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increased to 37.9% in the third quarter of 2007 from 37.1% in the same period of 2006. The increase in the effective rate was primarily due to an adjustment in September of 2006 to lower our estimated tax provision for the year.</w:t>
      </w:r>
    </w:p>
    <w:p>
      <w:pPr>
        <w:spacing w:after="0" w:line="146"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effective tax rate decreased to 36.9% in the first nine months of 2007 from 37.7% in the same period of 2006 primarily due to an increase in the U.S. manufacturing deduction allowed, a research and development tax credit and a permanent tax difference resulting from one of our joint ventures, offset by a valuation allowance provided on a deferred tax asset of one of our foreign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 Note I, “Accounting for Uncertainty in Income Taxes.”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OFF-BALANCE SHEET TRANSACTIONS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7140" w:type="dxa"/>
            <w:vAlign w:val="bottom"/>
          </w:tcPr>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7140" w:type="dxa"/>
            <w:vAlign w:val="bottom"/>
          </w:tcPr>
          <w:p>
            <w:pPr>
              <w:ind w:left="3160"/>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380" w:type="dxa"/>
            <w:vAlign w:val="bottom"/>
            <w:gridSpan w:val="5"/>
          </w:tcPr>
          <w:p>
            <w:pPr>
              <w:spacing w:after="0"/>
              <w:rPr>
                <w:sz w:val="20"/>
                <w:szCs w:val="20"/>
                <w:color w:val="auto"/>
              </w:rPr>
            </w:pPr>
            <w:r>
              <w:rPr>
                <w:rFonts w:ascii="Arial" w:cs="Arial" w:eastAsia="Arial" w:hAnsi="Arial"/>
                <w:sz w:val="18"/>
                <w:szCs w:val="18"/>
                <w:color w:val="auto"/>
                <w:w w:val="99"/>
              </w:rPr>
              <w:t>The table below presents, for the periods indicated, a summary of our cash flow statement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Sept. 29,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Sept. 30,</w:t>
            </w:r>
          </w:p>
        </w:tc>
      </w:tr>
      <w:tr>
        <w:trPr>
          <w:trHeight w:val="230"/>
        </w:trPr>
        <w:tc>
          <w:tcPr>
            <w:tcW w:w="7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80,414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87,893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1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(80,022)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(55,048)</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(32,876)</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46,215</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46,747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46,184</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CONTINUED</w:t>
      </w:r>
    </w:p>
    <w:p>
      <w:pPr>
        <w:spacing w:after="0" w:line="184"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 For comparative purposes, we have included the September 30, 2006 balances in the accompanying un-audited consolidated condensed balance sheets.</w:t>
      </w:r>
    </w:p>
    <w:p>
      <w:pPr>
        <w:spacing w:after="0" w:line="114"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(excluding the impact of our sale of receivables program) increased to 43 days in the first nine months of 2007 from 38 days in the first nine months of 2006, due to a 4 day increase in our days supply of inventory and a 1 day increase in our days of sales outstanding. Our days supply of inventory primarily increased because we planned for higher sales volumes in the first and second quarter 2007 than has occurred due to market conditions, but we significantly improved our days supply of inventory in the third quarter.</w:t>
      </w:r>
    </w:p>
    <w:p>
      <w:pPr>
        <w:spacing w:after="0" w:line="124"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cash flow from operating activities was approximately $80 million in the first nine months of 2007 in spite of difficult market conditions due, in part, to a $25 million increase in our sale of receivables program. We used our cash flow from operations to fund capital expenditures and business acquisitions in the first nine months of 2007.</w:t>
      </w:r>
    </w:p>
    <w:p>
      <w:pPr>
        <w:spacing w:after="0" w:line="154"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Cash used for investing activities increased by $25 million in the first nine months of 2007 compared to the same period of 2006, which was primarily due to a $30 million increase in amounts spent for business acquisitions (see “Business Combinations”).</w:t>
      </w:r>
    </w:p>
    <w:p>
      <w:pPr>
        <w:spacing w:after="0" w:line="10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currently plan to spend approximately $40 million on capital expenditures in 2007, which includes outstanding purchase commitments on existing capital projects totaling approximately $4 million on September 29, 2007. We intend to fund capital expenditures and purchase commitments through a combination of operating cash flows and availability under our revolving credit facility.</w:t>
      </w:r>
    </w:p>
    <w:p>
      <w:pPr>
        <w:spacing w:after="0" w:line="146"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Cash used in financing activities was almost $5 million in the first nine months of 2007 primarily due to purchases we made of our common stock. We have authorization from our Board of Directors to purchase up to 1.4 million additional shares.</w:t>
      </w:r>
    </w:p>
    <w:p>
      <w:pPr>
        <w:spacing w:after="0" w:line="12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September 29, 2007, we had $47 million outstanding on our $300 million revolving credit facility. The revolving credit facility also supports letters of credit totaling approximately $34 million on September 29, 2007.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September 29, 2007.</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CONTINUED</w:t>
      </w:r>
    </w:p>
    <w:p>
      <w:pPr>
        <w:spacing w:after="0" w:line="1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 Note H, “Commitments, Contingencies, and Guarantees.”</w:t>
      </w:r>
    </w:p>
    <w:p>
      <w:pPr>
        <w:spacing w:after="0" w:line="18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2006.</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720" w:right="159" w:hanging="388"/>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29, 2007 (the “Evaluation Date”), have concluded that, as of such date, our disclosure controls and procedures were effective.</w:t>
      </w:r>
    </w:p>
    <w:p>
      <w:pPr>
        <w:spacing w:after="0" w:line="65" w:lineRule="exact"/>
        <w:rPr>
          <w:rFonts w:ascii="Arial" w:cs="Arial" w:eastAsia="Arial" w:hAnsi="Arial"/>
          <w:sz w:val="18"/>
          <w:szCs w:val="18"/>
          <w:color w:val="auto"/>
        </w:rPr>
      </w:pPr>
    </w:p>
    <w:p>
      <w:pPr>
        <w:jc w:val="both"/>
        <w:ind w:left="720" w:right="179" w:hanging="388"/>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third quarter ended September 29, 2007,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None.</w:t>
      </w:r>
    </w:p>
    <w:p>
      <w:pPr>
        <w:spacing w:after="0" w:line="104"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None.</w:t>
      </w:r>
    </w:p>
    <w:p>
      <w:pPr>
        <w:spacing w:after="0" w:line="104"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Fiscal Month</w:t>
            </w:r>
          </w:p>
        </w:tc>
        <w:tc>
          <w:tcPr>
            <w:tcW w:w="30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(b)</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(c)</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(d)</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July 1, 2007 — August 4, 2007</w:t>
            </w:r>
            <w:r>
              <w:rPr>
                <w:rFonts w:ascii="Arial" w:cs="Arial" w:eastAsia="Arial" w:hAnsi="Arial"/>
                <w:sz w:val="15"/>
                <w:szCs w:val="15"/>
                <w:color w:val="auto"/>
              </w:rPr>
              <w:t>(1)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1,404,010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August 5, 2007 — September 1, 2007</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45,000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38.13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45,000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1,359,010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September 2, 2007 — September 29, 2007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1,359,910</w:t>
            </w:r>
          </w:p>
        </w:tc>
      </w:tr>
    </w:tbl>
    <w:p>
      <w:pPr>
        <w:spacing w:after="0" w:line="175"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720" w:right="179" w:hanging="388"/>
        <w:spacing w:after="0" w:line="264"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September 29, 2007, cumulative total authorized shares available for repurchase is 1.4 million shares.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85"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In the third quarter of 2007, the Audit Committee approved no non-audit services to be provided by our independent auditors, Ernst &amp; Young LLP, for 2007.</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(listed by number corresponding to the Exhibit Table as Item 601 in Regulation S-K) are filed with this report:</w:t>
      </w:r>
    </w:p>
    <w:p>
      <w:pPr>
        <w:spacing w:after="0" w:line="221" w:lineRule="exact"/>
        <w:rPr>
          <w:sz w:val="20"/>
          <w:szCs w:val="20"/>
          <w:color w:val="auto"/>
        </w:rPr>
      </w:pPr>
    </w:p>
    <w:p>
      <w:pPr>
        <w:ind w:left="720" w:hanging="38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84" w:lineRule="exact"/>
        <w:rPr>
          <w:rFonts w:ascii="Arial" w:cs="Arial" w:eastAsia="Arial" w:hAnsi="Arial"/>
          <w:sz w:val="18"/>
          <w:szCs w:val="18"/>
          <w:color w:val="auto"/>
        </w:rPr>
      </w:pPr>
    </w:p>
    <w:p>
      <w:pPr>
        <w:ind w:left="1080" w:right="179" w:hanging="370"/>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48" w:lineRule="exact"/>
        <w:rPr>
          <w:rFonts w:ascii="Arial" w:cs="Arial" w:eastAsia="Arial" w:hAnsi="Arial"/>
          <w:sz w:val="18"/>
          <w:szCs w:val="18"/>
          <w:color w:val="auto"/>
        </w:rPr>
      </w:pPr>
    </w:p>
    <w:p>
      <w:pPr>
        <w:ind w:left="1080" w:right="179" w:hanging="370"/>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29" w:lineRule="exact"/>
        <w:rPr>
          <w:rFonts w:ascii="Arial" w:cs="Arial" w:eastAsia="Arial" w:hAnsi="Arial"/>
          <w:sz w:val="18"/>
          <w:szCs w:val="18"/>
          <w:color w:val="auto"/>
        </w:rPr>
      </w:pPr>
    </w:p>
    <w:p>
      <w:pPr>
        <w:ind w:left="720" w:hanging="38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98" w:lineRule="exact"/>
        <w:rPr>
          <w:rFonts w:ascii="Arial" w:cs="Arial" w:eastAsia="Arial" w:hAnsi="Arial"/>
          <w:sz w:val="18"/>
          <w:szCs w:val="18"/>
          <w:color w:val="auto"/>
        </w:rPr>
      </w:pPr>
    </w:p>
    <w:p>
      <w:pPr>
        <w:ind w:left="1080" w:right="179" w:hanging="370"/>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48" w:lineRule="exact"/>
        <w:rPr>
          <w:rFonts w:ascii="Arial" w:cs="Arial" w:eastAsia="Arial" w:hAnsi="Arial"/>
          <w:sz w:val="18"/>
          <w:szCs w:val="18"/>
          <w:color w:val="auto"/>
        </w:rPr>
      </w:pPr>
    </w:p>
    <w:p>
      <w:pPr>
        <w:ind w:left="1080" w:right="179" w:hanging="370"/>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340"/>
        <w:spacing w:after="0"/>
        <w:tabs>
          <w:tab w:leader="none" w:pos="5120" w:val="left"/>
          <w:tab w:leader="none" w:pos="55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October 25,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14605</wp:posOffset>
            </wp:positionV>
            <wp:extent cx="2830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Its:</w:t>
        <w:tab/>
        <w:t>Chief Executive Officer</w:t>
      </w:r>
    </w:p>
    <w:p>
      <w:pPr>
        <w:spacing w:after="0" w:line="211" w:lineRule="exact"/>
        <w:rPr>
          <w:sz w:val="20"/>
          <w:szCs w:val="20"/>
          <w:color w:val="auto"/>
        </w:rPr>
      </w:pPr>
    </w:p>
    <w:p>
      <w:pPr>
        <w:ind w:left="340"/>
        <w:spacing w:after="0"/>
        <w:tabs>
          <w:tab w:leader="none" w:pos="5120" w:val="left"/>
          <w:tab w:leader="none" w:pos="55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October 25,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14605</wp:posOffset>
            </wp:positionV>
            <wp:extent cx="28301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Its:</w:t>
        <w:tab/>
        <w:t>Chief Financial Officer</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55225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19" w:lineRule="exact"/>
        <w:rPr>
          <w:sz w:val="20"/>
          <w:szCs w:val="20"/>
          <w:color w:val="auto"/>
        </w:rPr>
      </w:pPr>
    </w:p>
    <w:p>
      <w:pPr>
        <w:ind w:left="1360" w:hanging="1028"/>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760" w:right="739" w:hanging="401"/>
        <w:spacing w:after="0" w:line="277" w:lineRule="auto"/>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760" w:right="779" w:hanging="401"/>
        <w:spacing w:after="0" w:line="277" w:lineRule="auto"/>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360" w:hanging="1028"/>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760" w:right="739" w:hanging="401"/>
        <w:spacing w:after="0" w:line="277" w:lineRule="auto"/>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760" w:right="779" w:hanging="401"/>
        <w:spacing w:after="0" w:line="277" w:lineRule="auto"/>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ectPr>
          <w:pgSz w:w="11900" w:h="16838" w:orient="portrait"/>
          <w:cols w:equalWidth="0" w:num="1">
            <w:col w:w="10219"/>
          </w:cols>
          <w:pgMar w:left="240" w:top="419"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color w:val="auto"/>
        </w:rPr>
        <w:t>Exhibit 31(a)</w:t>
      </w:r>
    </w:p>
    <w:p>
      <w:pPr>
        <w:spacing w:after="0" w:line="194"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98" w:lineRule="exact"/>
        <w:rPr>
          <w:sz w:val="20"/>
          <w:szCs w:val="20"/>
          <w:color w:val="auto"/>
        </w:rPr>
      </w:pPr>
    </w:p>
    <w:p>
      <w:pPr>
        <w:ind w:left="388" w:hanging="388"/>
        <w:spacing w:after="0"/>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54" w:lineRule="exact"/>
        <w:rPr>
          <w:rFonts w:ascii="Arial" w:cs="Arial" w:eastAsia="Arial" w:hAnsi="Arial"/>
          <w:sz w:val="18"/>
          <w:szCs w:val="18"/>
          <w:color w:val="auto"/>
        </w:rPr>
      </w:pPr>
    </w:p>
    <w:p>
      <w:pPr>
        <w:jc w:val="both"/>
        <w:ind w:left="748" w:right="159" w:hanging="370"/>
        <w:spacing w:after="0" w:line="264" w:lineRule="auto"/>
        <w:tabs>
          <w:tab w:leader="none" w:pos="7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Date: October 25, 2007</w:t>
            </w:r>
          </w:p>
        </w:tc>
        <w:tc>
          <w:tcPr>
            <w:tcW w:w="3600" w:type="dxa"/>
            <w:vAlign w:val="bottom"/>
          </w:tcPr>
          <w:p>
            <w:pPr>
              <w:spacing w:after="0"/>
              <w:rPr>
                <w:sz w:val="20"/>
                <w:szCs w:val="20"/>
                <w:color w:val="auto"/>
              </w:rPr>
            </w:pPr>
            <w:r>
              <w:rPr>
                <w:rFonts w:ascii="Arial" w:cs="Arial" w:eastAsia="Arial" w:hAnsi="Arial"/>
                <w:sz w:val="18"/>
                <w:szCs w:val="18"/>
                <w:color w:val="auto"/>
              </w:rPr>
              <w:t>/s/ Michael B. Glenn</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935"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color w:val="auto"/>
        </w:rPr>
        <w:t>Exhibit 31(b)</w:t>
      </w:r>
    </w:p>
    <w:p>
      <w:pPr>
        <w:spacing w:after="0" w:line="194"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98" w:lineRule="exact"/>
        <w:rPr>
          <w:sz w:val="20"/>
          <w:szCs w:val="20"/>
          <w:color w:val="auto"/>
        </w:rPr>
      </w:pPr>
    </w:p>
    <w:p>
      <w:pPr>
        <w:ind w:left="388" w:hanging="388"/>
        <w:spacing w:after="0"/>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54" w:lineRule="exact"/>
        <w:rPr>
          <w:rFonts w:ascii="Arial" w:cs="Arial" w:eastAsia="Arial" w:hAnsi="Arial"/>
          <w:sz w:val="18"/>
          <w:szCs w:val="18"/>
          <w:color w:val="auto"/>
        </w:rPr>
      </w:pPr>
    </w:p>
    <w:p>
      <w:pPr>
        <w:jc w:val="both"/>
        <w:ind w:left="748" w:right="159" w:hanging="370"/>
        <w:spacing w:after="0" w:line="264" w:lineRule="auto"/>
        <w:tabs>
          <w:tab w:leader="none" w:pos="7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Date: October 25, 2007</w:t>
            </w:r>
          </w:p>
        </w:tc>
        <w:tc>
          <w:tcPr>
            <w:tcW w:w="360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936" w:right="1440" w:bottom="1440" w:gutter="0" w:footer="0" w:header="0"/>
        </w:sectPr>
      </w:pPr>
    </w:p>
    <w:bookmarkStart w:id="41" w:name="page42"/>
    <w:bookmarkEnd w:id="41"/>
    <w:p>
      <w:pPr>
        <w:jc w:val="right"/>
        <w:ind w:right="159"/>
        <w:spacing w:after="0"/>
        <w:rPr>
          <w:sz w:val="20"/>
          <w:szCs w:val="20"/>
          <w:color w:val="auto"/>
        </w:rPr>
      </w:pPr>
      <w:r>
        <w:rPr>
          <w:rFonts w:ascii="Arial" w:cs="Arial" w:eastAsia="Arial" w:hAnsi="Arial"/>
          <w:sz w:val="18"/>
          <w:szCs w:val="18"/>
          <w:color w:val="auto"/>
        </w:rPr>
        <w:t>Exhibit 32(a)</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UNIVERSAL FOREST PRODUCTS, INC.</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159" w:firstLine="381"/>
        <w:spacing w:after="0" w:line="277" w:lineRule="auto"/>
        <w:tabs>
          <w:tab w:leader="none" w:pos="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29, 2007,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159" w:firstLine="381"/>
        <w:spacing w:after="0" w:line="308" w:lineRule="auto"/>
        <w:tabs>
          <w:tab w:leader="none" w:pos="65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29, 2007 fairly presents, in all material respects, the financial condition and results of operations of Universal Forest Products, Inc.</w:t>
      </w:r>
    </w:p>
    <w:p>
      <w:pPr>
        <w:spacing w:after="0" w:line="14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780" w:val="left"/>
          <w:tab w:leader="none" w:pos="52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October 25,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2830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Its:</w:t>
        <w:tab/>
        <w:t>Chief Executive Officer</w:t>
      </w:r>
    </w:p>
    <w:p>
      <w:pPr>
        <w:sectPr>
          <w:pgSz w:w="11900" w:h="16838" w:orient="portrait"/>
          <w:cols w:equalWidth="0" w:num="1">
            <w:col w:w="9879"/>
          </w:cols>
          <w:pgMar w:left="580" w:top="935" w:right="1440" w:bottom="1440" w:gutter="0" w:footer="0" w:header="0"/>
        </w:sectPr>
      </w:pPr>
    </w:p>
    <w:bookmarkStart w:id="42" w:name="page43"/>
    <w:bookmarkEnd w:id="42"/>
    <w:p>
      <w:pPr>
        <w:jc w:val="right"/>
        <w:ind w:right="159"/>
        <w:spacing w:after="0"/>
        <w:rPr>
          <w:sz w:val="20"/>
          <w:szCs w:val="20"/>
          <w:color w:val="auto"/>
        </w:rPr>
      </w:pPr>
      <w:r>
        <w:rPr>
          <w:rFonts w:ascii="Arial" w:cs="Arial" w:eastAsia="Arial" w:hAnsi="Arial"/>
          <w:sz w:val="18"/>
          <w:szCs w:val="18"/>
          <w:color w:val="auto"/>
        </w:rPr>
        <w:t>Exhibit 32(b)</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UNIVERSAL FOREST PRODUCTS, INC.</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159" w:firstLine="381"/>
        <w:spacing w:after="0" w:line="277" w:lineRule="auto"/>
        <w:tabs>
          <w:tab w:leader="none" w:pos="6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29, 2007,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159" w:firstLine="381"/>
        <w:spacing w:after="0" w:line="308" w:lineRule="auto"/>
        <w:tabs>
          <w:tab w:leader="none" w:pos="65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29, 2007 fairly presents, in all material respects, the financial condition and results of operations of Universal Forest Products, Inc.</w:t>
      </w:r>
    </w:p>
    <w:p>
      <w:pPr>
        <w:spacing w:after="0" w:line="14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780" w:val="left"/>
          <w:tab w:leader="none" w:pos="52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October 25,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Its:</w:t>
        <w:tab/>
        <w:t>Chief Financial Officer</w:t>
      </w:r>
    </w:p>
    <w:sectPr>
      <w:pgSz w:w="11900" w:h="16838" w:orient="portrait"/>
      <w:cols w:equalWidth="0" w:num="1">
        <w:col w:w="9879"/>
      </w:cols>
      <w:pgMar w:left="580" w:top="9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3"/>
    </w:lvl>
  </w:abstractNum>
  <w:abstractNum w:abstractNumId="4">
    <w:nsid w:val="6B68079A"/>
    <w:multiLevelType w:val="hybridMultilevel"/>
    <w:lvl w:ilvl="0">
      <w:lvlJc w:val="left"/>
      <w:lvlText w:val="%1."/>
      <w:numFmt w:val="upperLetter"/>
      <w:start w:val="4"/>
    </w:lvl>
    <w:lvl w:ilvl="1">
      <w:lvlJc w:val="left"/>
      <w:lvlText w:val="•"/>
      <w:numFmt w:val="bullet"/>
      <w:start w:val="1"/>
    </w:lvl>
  </w:abstractNum>
  <w:abstractNum w:abstractNumId="5">
    <w:nsid w:val="4E6AFB66"/>
    <w:multiLevelType w:val="hybridMultilevel"/>
    <w:lvl w:ilvl="0">
      <w:lvlJc w:val="left"/>
      <w:lvlText w:val="%1."/>
      <w:numFmt w:val="upperLetter"/>
      <w:start w:val="5"/>
    </w:lvl>
  </w:abstractNum>
  <w:abstractNum w:abstractNumId="6">
    <w:nsid w:val="25E45D32"/>
    <w:multiLevelType w:val="hybridMultilevel"/>
    <w:lvl w:ilvl="0">
      <w:lvlJc w:val="left"/>
      <w:lvlText w:val="%1."/>
      <w:numFmt w:val="upperLetter"/>
      <w:start w:val="6"/>
    </w:lvl>
  </w:abstractNum>
  <w:abstractNum w:abstractNumId="7">
    <w:nsid w:val="519B500D"/>
    <w:multiLevelType w:val="hybridMultilevel"/>
    <w:lvl w:ilvl="0">
      <w:lvlJc w:val="left"/>
      <w:lvlText w:val="%1."/>
      <w:numFmt w:val="upperLetter"/>
      <w:start w:val="9"/>
    </w:lvl>
  </w:abstractNum>
  <w:abstractNum w:abstractNumId="8">
    <w:nsid w:val="431BD7B7"/>
    <w:multiLevelType w:val="hybridMultilevel"/>
    <w:lvl w:ilvl="0">
      <w:lvlJc w:val="left"/>
      <w:lvlText w:val="%1."/>
      <w:numFmt w:val="upperLetter"/>
      <w:start w:val="10"/>
    </w:lvl>
  </w:abstractNum>
  <w:abstractNum w:abstractNumId="9">
    <w:nsid w:val="3F2DBA31"/>
    <w:multiLevelType w:val="hybridMultilevel"/>
    <w:lvl w:ilvl="0">
      <w:lvlJc w:val="left"/>
      <w:lvlText w:val="%1."/>
      <w:numFmt w:val="upperLetter"/>
      <w:start w:val="1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31"/>
    </w:lvl>
    <w:lvl w:ilvl="1">
      <w:lvlJc w:val="left"/>
      <w:lvlText w:val="(%2)"/>
      <w:numFmt w:val="lowerLetter"/>
      <w:start w:val="1"/>
    </w:lvl>
  </w:abstractNum>
  <w:abstractNum w:abstractNumId="22">
    <w:nsid w:val="79838CB2"/>
    <w:multiLevelType w:val="hybridMultilevel"/>
    <w:lvl w:ilvl="0">
      <w:lvlJc w:val="left"/>
      <w:lvlText w:val="%1"/>
      <w:numFmt w:val="decimal"/>
      <w:start w:val="3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2019-12-12T11:32:29Z</dcterms:created>
  <dcterms:modified xsi:type="dcterms:W3CDTF">2019-12-12T11:32:29Z</dcterms:modified>
</cp:coreProperties>
</file>