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31"/>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111"/>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ind w:left="4832"/>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310" w:lineRule="exact"/>
        <w:rPr>
          <w:sz w:val="24"/>
          <w:szCs w:val="24"/>
          <w:color w:val="auto"/>
        </w:rPr>
      </w:pPr>
    </w:p>
    <w:p>
      <w:pPr>
        <w:ind w:left="4092" w:right="320" w:hanging="4092"/>
        <w:spacing w:after="0" w:line="559" w:lineRule="auto"/>
        <w:tabs>
          <w:tab w:leader="none" w:pos="33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15(d) OF THE SECURITIES EXCHANGE ACT OF 1934 [NO FEE REQUIRED]. For the fiscal year ended December 31, 2010</w:t>
      </w:r>
    </w:p>
    <w:p>
      <w:pPr>
        <w:spacing w:after="0" w:line="197" w:lineRule="exact"/>
        <w:rPr>
          <w:sz w:val="24"/>
          <w:szCs w:val="24"/>
          <w:color w:val="auto"/>
        </w:rPr>
      </w:pPr>
    </w:p>
    <w:p>
      <w:pPr>
        <w:ind w:left="5572"/>
        <w:spacing w:after="0"/>
        <w:rPr>
          <w:sz w:val="20"/>
          <w:szCs w:val="20"/>
          <w:color w:val="auto"/>
        </w:rPr>
      </w:pPr>
      <w:r>
        <w:rPr>
          <w:rFonts w:ascii="Arial" w:cs="Arial" w:eastAsia="Arial" w:hAnsi="Arial"/>
          <w:sz w:val="18"/>
          <w:szCs w:val="18"/>
          <w:color w:val="auto"/>
        </w:rPr>
        <w:t>OR</w:t>
      </w:r>
    </w:p>
    <w:p>
      <w:pPr>
        <w:spacing w:after="0" w:line="200" w:lineRule="exact"/>
        <w:rPr>
          <w:sz w:val="24"/>
          <w:szCs w:val="24"/>
          <w:color w:val="auto"/>
        </w:rPr>
      </w:pPr>
    </w:p>
    <w:p>
      <w:pPr>
        <w:spacing w:after="0" w:line="295" w:lineRule="exact"/>
        <w:rPr>
          <w:sz w:val="24"/>
          <w:szCs w:val="24"/>
          <w:color w:val="auto"/>
        </w:rPr>
      </w:pPr>
    </w:p>
    <w:p>
      <w:pPr>
        <w:ind w:left="-8" w:firstLine="8"/>
        <w:spacing w:after="0" w:line="559"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15(d) OF THE SECURITIES EXCHANGE ACT OF 1934 [NO FEE REQUIRED]. Commission file number: 0-22684</w:t>
      </w:r>
    </w:p>
    <w:p>
      <w:pPr>
        <w:spacing w:after="0" w:line="193" w:lineRule="exact"/>
        <w:rPr>
          <w:sz w:val="24"/>
          <w:szCs w:val="24"/>
          <w:color w:val="auto"/>
        </w:rPr>
      </w:pPr>
    </w:p>
    <w:p>
      <w:pPr>
        <w:jc w:val="center"/>
        <w:ind w:right="-1131"/>
        <w:spacing w:after="0"/>
        <w:rPr>
          <w:sz w:val="20"/>
          <w:szCs w:val="20"/>
          <w:color w:val="auto"/>
        </w:rPr>
      </w:pPr>
      <w:r>
        <w:rPr>
          <w:rFonts w:ascii="Arial" w:cs="Arial" w:eastAsia="Arial" w:hAnsi="Arial"/>
          <w:sz w:val="18"/>
          <w:szCs w:val="18"/>
          <w:b w:val="1"/>
          <w:bCs w:val="1"/>
          <w:color w:val="auto"/>
        </w:rPr>
        <w:t>Universal Forest Products, Inc. Employees' Profit Sharing</w:t>
      </w:r>
    </w:p>
    <w:p>
      <w:pPr>
        <w:spacing w:after="0" w:line="27" w:lineRule="exact"/>
        <w:rPr>
          <w:sz w:val="24"/>
          <w:szCs w:val="24"/>
          <w:color w:val="auto"/>
        </w:rPr>
      </w:pPr>
    </w:p>
    <w:p>
      <w:pPr>
        <w:jc w:val="center"/>
        <w:ind w:right="-1111"/>
        <w:spacing w:after="0"/>
        <w:rPr>
          <w:sz w:val="20"/>
          <w:szCs w:val="20"/>
          <w:color w:val="auto"/>
        </w:rPr>
      </w:pPr>
      <w:r>
        <w:rPr>
          <w:rFonts w:ascii="Arial" w:cs="Arial" w:eastAsia="Arial" w:hAnsi="Arial"/>
          <w:sz w:val="18"/>
          <w:szCs w:val="18"/>
          <w:b w:val="1"/>
          <w:bCs w:val="1"/>
          <w:color w:val="auto"/>
        </w:rPr>
        <w:t>and 401(k) Retirement Plan</w:t>
      </w:r>
    </w:p>
    <w:p>
      <w:pPr>
        <w:spacing w:after="0" w:line="9" w:lineRule="exact"/>
        <w:rPr>
          <w:sz w:val="24"/>
          <w:szCs w:val="24"/>
          <w:color w:val="auto"/>
        </w:rPr>
      </w:pPr>
    </w:p>
    <w:p>
      <w:pPr>
        <w:jc w:val="center"/>
        <w:ind w:right="-1131"/>
        <w:spacing w:after="0"/>
        <w:rPr>
          <w:sz w:val="20"/>
          <w:szCs w:val="20"/>
          <w:color w:val="auto"/>
        </w:rPr>
      </w:pPr>
      <w:r>
        <w:rPr>
          <w:rFonts w:ascii="Arial" w:cs="Arial" w:eastAsia="Arial" w:hAnsi="Arial"/>
          <w:sz w:val="18"/>
          <w:szCs w:val="18"/>
          <w:color w:val="auto"/>
        </w:rPr>
        <w:t>(Full title of the plan and the address of the plan, if different from that of issuer named below)</w:t>
      </w:r>
    </w:p>
    <w:p>
      <w:pPr>
        <w:spacing w:after="0" w:line="200" w:lineRule="exact"/>
        <w:rPr>
          <w:sz w:val="24"/>
          <w:szCs w:val="24"/>
          <w:color w:val="auto"/>
        </w:rPr>
      </w:pPr>
    </w:p>
    <w:p>
      <w:pPr>
        <w:spacing w:after="0" w:line="252" w:lineRule="exact"/>
        <w:rPr>
          <w:sz w:val="24"/>
          <w:szCs w:val="24"/>
          <w:color w:val="auto"/>
        </w:rPr>
      </w:pPr>
    </w:p>
    <w:p>
      <w:pPr>
        <w:jc w:val="center"/>
        <w:ind w:right="-1111"/>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111"/>
        <w:spacing w:after="0"/>
        <w:rPr>
          <w:sz w:val="20"/>
          <w:szCs w:val="20"/>
          <w:color w:val="auto"/>
        </w:rPr>
      </w:pPr>
      <w:r>
        <w:rPr>
          <w:rFonts w:ascii="Arial" w:cs="Arial" w:eastAsia="Arial" w:hAnsi="Arial"/>
          <w:sz w:val="18"/>
          <w:szCs w:val="18"/>
          <w:b w:val="1"/>
          <w:bCs w:val="1"/>
          <w:color w:val="auto"/>
        </w:rPr>
        <w:t>2801 East Beltline NE</w:t>
      </w:r>
    </w:p>
    <w:p>
      <w:pPr>
        <w:spacing w:after="0" w:line="7" w:lineRule="exact"/>
        <w:rPr>
          <w:sz w:val="24"/>
          <w:szCs w:val="24"/>
          <w:color w:val="auto"/>
        </w:rPr>
      </w:pPr>
    </w:p>
    <w:p>
      <w:pPr>
        <w:jc w:val="center"/>
        <w:ind w:right="-1131"/>
        <w:spacing w:after="0"/>
        <w:rPr>
          <w:sz w:val="20"/>
          <w:szCs w:val="20"/>
          <w:color w:val="auto"/>
        </w:rPr>
      </w:pPr>
      <w:r>
        <w:rPr>
          <w:rFonts w:ascii="Arial" w:cs="Arial" w:eastAsia="Arial" w:hAnsi="Arial"/>
          <w:sz w:val="18"/>
          <w:szCs w:val="18"/>
          <w:b w:val="1"/>
          <w:bCs w:val="1"/>
          <w:color w:val="auto"/>
        </w:rPr>
        <w:t>Grand Rapids, Michigan 49525-9736</w:t>
      </w:r>
    </w:p>
    <w:p>
      <w:pPr>
        <w:spacing w:after="0" w:line="9" w:lineRule="exact"/>
        <w:rPr>
          <w:sz w:val="24"/>
          <w:szCs w:val="24"/>
          <w:color w:val="auto"/>
        </w:rPr>
      </w:pPr>
    </w:p>
    <w:p>
      <w:pPr>
        <w:jc w:val="center"/>
        <w:ind w:right="-1111"/>
        <w:spacing w:after="0"/>
        <w:rPr>
          <w:sz w:val="20"/>
          <w:szCs w:val="20"/>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376" w:lineRule="exact"/>
        <w:rPr>
          <w:sz w:val="24"/>
          <w:szCs w:val="24"/>
          <w:color w:val="auto"/>
        </w:rPr>
      </w:pPr>
    </w:p>
    <w:p>
      <w:pPr>
        <w:ind w:left="5352"/>
        <w:spacing w:after="0"/>
        <w:rPr>
          <w:sz w:val="20"/>
          <w:szCs w:val="20"/>
          <w:color w:val="auto"/>
        </w:rPr>
      </w:pPr>
      <w:r>
        <w:rPr>
          <w:rFonts w:ascii="Arial" w:cs="Arial" w:eastAsia="Arial" w:hAnsi="Arial"/>
          <w:sz w:val="14"/>
          <w:szCs w:val="14"/>
          <w:color w:val="auto"/>
        </w:rPr>
        <w:t>Page 1 of 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92"/>
          </w:cols>
          <w:pgMar w:left="248" w:top="312" w:right="1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 and Supplemental Schedule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560" w:type="dxa"/>
            <w:vAlign w:val="bottom"/>
            <w:gridSpan w:val="4"/>
          </w:tcPr>
          <w:p>
            <w:pPr>
              <w:jc w:val="center"/>
              <w:ind w:right="910"/>
              <w:spacing w:after="0"/>
              <w:rPr>
                <w:sz w:val="20"/>
                <w:szCs w:val="20"/>
                <w:color w:val="auto"/>
              </w:rPr>
            </w:pPr>
            <w:r>
              <w:rPr>
                <w:rFonts w:ascii="Arial" w:cs="Arial" w:eastAsia="Arial" w:hAnsi="Arial"/>
                <w:sz w:val="18"/>
                <w:szCs w:val="18"/>
                <w:color w:val="auto"/>
                <w:w w:val="88"/>
              </w:rPr>
              <w:t>Years Ended December 31, 2010 and 2009</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tcPr>
          <w:p>
            <w:pPr>
              <w:jc w:val="center"/>
              <w:ind w:right="2090"/>
              <w:spacing w:after="0"/>
              <w:rPr>
                <w:sz w:val="20"/>
                <w:szCs w:val="20"/>
                <w:color w:val="auto"/>
              </w:rPr>
            </w:pPr>
            <w:r>
              <w:rPr>
                <w:rFonts w:ascii="Arial" w:cs="Arial" w:eastAsia="Arial" w:hAnsi="Arial"/>
                <w:sz w:val="18"/>
                <w:szCs w:val="18"/>
                <w:b w:val="1"/>
                <w:bCs w:val="1"/>
                <w:color w:val="auto"/>
                <w:w w:val="89"/>
              </w:rPr>
              <w:t>Contents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420" w:type="dxa"/>
            <w:vAlign w:val="bottom"/>
            <w:shd w:val="clear" w:color="auto" w:fill="CCEEFF"/>
          </w:tcPr>
          <w:p>
            <w:pPr>
              <w:jc w:val="center"/>
              <w:ind w:left="119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2420" w:type="dxa"/>
            <w:vAlign w:val="bottom"/>
            <w:shd w:val="clear" w:color="auto" w:fill="CCEEFF"/>
          </w:tcPr>
          <w:p>
            <w:pPr>
              <w:jc w:val="center"/>
              <w:ind w:left="119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Changes in Net Assets Available for Benefits</w:t>
              </w:r>
            </w:hyperlink>
          </w:p>
        </w:tc>
        <w:tc>
          <w:tcPr>
            <w:tcW w:w="2420" w:type="dxa"/>
            <w:vAlign w:val="bottom"/>
          </w:tcPr>
          <w:p>
            <w:pPr>
              <w:jc w:val="center"/>
              <w:ind w:left="1190"/>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420" w:type="dxa"/>
            <w:vAlign w:val="bottom"/>
            <w:shd w:val="clear" w:color="auto" w:fill="CCEEFF"/>
          </w:tcPr>
          <w:p>
            <w:pPr>
              <w:jc w:val="center"/>
              <w:ind w:left="1190"/>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Supplemental Schedule</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6"/>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Schedule H, Line 4i—Schedule of Assets (Held at End of Year)</w:t>
              </w:r>
            </w:hyperlink>
          </w:p>
        </w:tc>
        <w:tc>
          <w:tcPr>
            <w:tcW w:w="2420" w:type="dxa"/>
            <w:vAlign w:val="bottom"/>
            <w:shd w:val="clear" w:color="auto" w:fill="CCEEFF"/>
          </w:tcPr>
          <w:p>
            <w:pPr>
              <w:jc w:val="center"/>
              <w:ind w:left="119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2140" w:type="dxa"/>
            <w:vAlign w:val="bottom"/>
            <w:tcBorders>
              <w:top w:val="single" w:sz="8" w:color="0000EE"/>
              <w:bottom w:val="single" w:sz="8" w:color="808080"/>
            </w:tcBorders>
          </w:tcPr>
          <w:p>
            <w:pPr>
              <w:spacing w:after="0"/>
              <w:rPr>
                <w:sz w:val="24"/>
                <w:szCs w:val="24"/>
                <w:color w:val="auto"/>
              </w:rPr>
            </w:pPr>
          </w:p>
        </w:tc>
        <w:tc>
          <w:tcPr>
            <w:tcW w:w="1280" w:type="dxa"/>
            <w:vAlign w:val="bottom"/>
            <w:tcBorders>
              <w:top w:val="single" w:sz="8" w:color="0000EE"/>
              <w:bottom w:val="single" w:sz="8" w:color="808080"/>
            </w:tcBorders>
          </w:tcPr>
          <w:p>
            <w:pPr>
              <w:spacing w:after="0"/>
              <w:rPr>
                <w:sz w:val="24"/>
                <w:szCs w:val="24"/>
                <w:color w:val="auto"/>
              </w:rPr>
            </w:pPr>
          </w:p>
        </w:tc>
        <w:tc>
          <w:tcPr>
            <w:tcW w:w="7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300" w:type="dxa"/>
            <w:vAlign w:val="bottom"/>
            <w:tcBorders>
              <w:top w:val="single" w:sz="8" w:color="0000EE"/>
              <w:bottom w:val="single" w:sz="8" w:color="808080"/>
            </w:tcBorders>
          </w:tcPr>
          <w:p>
            <w:pPr>
              <w:spacing w:after="0"/>
              <w:rPr>
                <w:sz w:val="24"/>
                <w:szCs w:val="24"/>
                <w:color w:val="auto"/>
              </w:rPr>
            </w:pPr>
          </w:p>
        </w:tc>
        <w:tc>
          <w:tcPr>
            <w:tcW w:w="4400" w:type="dxa"/>
            <w:vAlign w:val="bottom"/>
            <w:tcBorders>
              <w:top w:val="single" w:sz="8" w:color="CCEEFF"/>
              <w:bottom w:val="single" w:sz="8" w:color="808080"/>
            </w:tcBorders>
          </w:tcPr>
          <w:p>
            <w:pPr>
              <w:spacing w:after="0"/>
              <w:rPr>
                <w:sz w:val="24"/>
                <w:szCs w:val="24"/>
                <w:color w:val="auto"/>
              </w:rPr>
            </w:pPr>
          </w:p>
        </w:tc>
        <w:tc>
          <w:tcPr>
            <w:tcW w:w="242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Profit Sharing and 401(k) Trustee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Employees’ Profit Sharing and 401(k) Retirement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Universal Forest Products, Inc. Employees’ Profit Sharing and 401(k) Retirement Plan (Plan) as of December 31, 2010 and 2009,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2010 and 2009, and the related changes in net assets available for benefits for the years then ended, in conformity with accounting principles generally accepted in the United States of America.</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accompanying supplemental schedule of assets (held at end of year) as of December 31, 2010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our audit of the basic financial statements and, in our opinion, is fairly stated in all material respects in relation to the basic financial statements taken as a whole.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ind w:left="3327"/>
        <w:spacing w:after="0"/>
        <w:rPr>
          <w:sz w:val="20"/>
          <w:szCs w:val="20"/>
          <w:color w:val="auto"/>
        </w:rPr>
      </w:pPr>
      <w:r>
        <w:rPr>
          <w:rFonts w:ascii="Arial" w:cs="Arial" w:eastAsia="Arial" w:hAnsi="Arial"/>
          <w:sz w:val="16"/>
          <w:szCs w:val="16"/>
          <w:color w:val="auto"/>
        </w:rPr>
        <w:t>Universal Forest Products, Inc. Employees’ Profit Sharing and</w:t>
      </w:r>
    </w:p>
    <w:p>
      <w:pPr>
        <w:spacing w:after="0" w:line="46" w:lineRule="exact"/>
        <w:rPr>
          <w:sz w:val="20"/>
          <w:szCs w:val="20"/>
          <w:color w:val="auto"/>
        </w:rPr>
      </w:pPr>
    </w:p>
    <w:p>
      <w:pPr>
        <w:jc w:val="center"/>
        <w:ind w:left="3327"/>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Employer contribution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from investment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Due to investment broker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353"/>
        <w:spacing w:after="0" w:line="309" w:lineRule="auto"/>
        <w:rPr>
          <w:sz w:val="20"/>
          <w:szCs w:val="20"/>
          <w:color w:val="auto"/>
        </w:rPr>
      </w:pPr>
      <w:r>
        <w:rPr>
          <w:rFonts w:ascii="Arial" w:cs="Arial" w:eastAsia="Arial" w:hAnsi="Arial"/>
          <w:sz w:val="18"/>
          <w:szCs w:val="18"/>
          <w:color w:val="auto"/>
        </w:rPr>
        <w:t>Adjustment from fair value to contract value for fully benefit responsive investment contracts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9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3"/>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ind w:left="387"/>
        <w:spacing w:after="0"/>
        <w:tabs>
          <w:tab w:leader="none" w:pos="1726"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862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14" w:lineRule="exact"/>
        <w:rPr>
          <w:sz w:val="20"/>
          <w:szCs w:val="20"/>
          <w:color w:val="auto"/>
        </w:rPr>
      </w:pPr>
    </w:p>
    <w:p>
      <w:pPr>
        <w:ind w:left="247" w:hanging="247"/>
        <w:spacing w:after="0"/>
        <w:tabs>
          <w:tab w:leader="none" w:pos="24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153,665,588  </w:t>
      </w:r>
      <w:r>
        <w:rPr>
          <w:rFonts w:ascii="Arial" w:cs="Arial" w:eastAsia="Arial" w:hAnsi="Arial"/>
          <w:sz w:val="18"/>
          <w:szCs w:val="18"/>
          <w:color w:val="auto"/>
        </w:rPr>
        <w:t>$  140,557,993</w:t>
      </w:r>
    </w:p>
    <w:p>
      <w:pPr>
        <w:spacing w:after="0" w:line="225"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b w:val="1"/>
          <w:bCs w:val="1"/>
          <w:color w:val="auto"/>
        </w:rPr>
        <w:t>6,808,466</w:t>
      </w:r>
      <w:r>
        <w:rPr>
          <w:sz w:val="20"/>
          <w:szCs w:val="20"/>
          <w:color w:val="auto"/>
        </w:rPr>
        <w:tab/>
      </w:r>
      <w:r>
        <w:rPr>
          <w:rFonts w:ascii="Arial" w:cs="Arial" w:eastAsia="Arial" w:hAnsi="Arial"/>
          <w:sz w:val="17"/>
          <w:szCs w:val="17"/>
          <w:color w:val="auto"/>
        </w:rPr>
        <w:t>7,423,026</w:t>
      </w:r>
    </w:p>
    <w:p>
      <w:pPr>
        <w:spacing w:after="0" w:line="39" w:lineRule="exact"/>
        <w:rPr>
          <w:sz w:val="20"/>
          <w:szCs w:val="20"/>
          <w:color w:val="auto"/>
        </w:rPr>
      </w:pPr>
    </w:p>
    <w:p>
      <w:pPr>
        <w:ind w:left="567"/>
        <w:spacing w:after="0"/>
        <w:tabs>
          <w:tab w:leader="none" w:pos="1886" w:val="left"/>
        </w:tabs>
        <w:rPr>
          <w:sz w:val="20"/>
          <w:szCs w:val="20"/>
          <w:color w:val="auto"/>
        </w:rPr>
      </w:pPr>
      <w:r>
        <w:rPr>
          <w:rFonts w:ascii="Arial" w:cs="Arial" w:eastAsia="Arial" w:hAnsi="Arial"/>
          <w:sz w:val="18"/>
          <w:szCs w:val="18"/>
          <w:b w:val="1"/>
          <w:bCs w:val="1"/>
          <w:color w:val="auto"/>
        </w:rPr>
        <w:t>170,155</w:t>
      </w:r>
      <w:r>
        <w:rPr>
          <w:sz w:val="20"/>
          <w:szCs w:val="20"/>
          <w:color w:val="auto"/>
        </w:rPr>
        <w:tab/>
      </w:r>
      <w:r>
        <w:rPr>
          <w:rFonts w:ascii="Arial" w:cs="Arial" w:eastAsia="Arial" w:hAnsi="Arial"/>
          <w:sz w:val="18"/>
          <w:szCs w:val="18"/>
          <w:color w:val="auto"/>
        </w:rPr>
        <w:t>195,394</w:t>
      </w:r>
    </w:p>
    <w:p>
      <w:pPr>
        <w:spacing w:after="0" w:line="9" w:lineRule="exact"/>
        <w:rPr>
          <w:sz w:val="20"/>
          <w:szCs w:val="20"/>
          <w:color w:val="auto"/>
        </w:rPr>
      </w:pPr>
    </w:p>
    <w:p>
      <w:pPr>
        <w:ind w:left="747"/>
        <w:spacing w:after="0"/>
        <w:tabs>
          <w:tab w:leader="none" w:pos="2426" w:val="left"/>
        </w:tabs>
        <w:rPr>
          <w:sz w:val="20"/>
          <w:szCs w:val="20"/>
          <w:color w:val="auto"/>
        </w:rPr>
      </w:pPr>
      <w:r>
        <w:rPr>
          <w:rFonts w:ascii="Arial" w:cs="Arial" w:eastAsia="Arial" w:hAnsi="Arial"/>
          <w:sz w:val="18"/>
          <w:szCs w:val="18"/>
          <w:b w:val="1"/>
          <w:bCs w:val="1"/>
          <w:color w:val="auto"/>
        </w:rPr>
        <w:t>3,643</w:t>
      </w:r>
      <w:r>
        <w:rPr>
          <w:sz w:val="20"/>
          <w:szCs w:val="20"/>
          <w:color w:val="auto"/>
        </w:rPr>
        <w:tab/>
      </w:r>
      <w:r>
        <w:rPr>
          <w:rFonts w:ascii="Arial" w:cs="Arial" w:eastAsia="Arial" w:hAnsi="Arial"/>
          <w:sz w:val="18"/>
          <w:szCs w:val="18"/>
          <w:color w:val="auto"/>
        </w:rPr>
        <w:t>-</w:t>
      </w:r>
    </w:p>
    <w:p>
      <w:pPr>
        <w:spacing w:after="0" w:line="18" w:lineRule="exact"/>
        <w:rPr>
          <w:sz w:val="20"/>
          <w:szCs w:val="20"/>
          <w:color w:val="auto"/>
        </w:rPr>
      </w:pPr>
    </w:p>
    <w:p>
      <w:pPr>
        <w:ind w:left="247"/>
        <w:spacing w:after="0"/>
        <w:tabs>
          <w:tab w:leader="none" w:pos="1586" w:val="left"/>
        </w:tabs>
        <w:rPr>
          <w:sz w:val="20"/>
          <w:szCs w:val="20"/>
          <w:color w:val="auto"/>
        </w:rPr>
      </w:pPr>
      <w:r>
        <w:rPr>
          <w:rFonts w:ascii="Arial" w:cs="Arial" w:eastAsia="Arial" w:hAnsi="Arial"/>
          <w:sz w:val="17"/>
          <w:szCs w:val="17"/>
          <w:b w:val="1"/>
          <w:bCs w:val="1"/>
          <w:color w:val="auto"/>
        </w:rPr>
        <w:t>160,647,852</w:t>
      </w:r>
      <w:r>
        <w:rPr>
          <w:sz w:val="20"/>
          <w:szCs w:val="20"/>
          <w:color w:val="auto"/>
        </w:rPr>
        <w:tab/>
      </w:r>
      <w:r>
        <w:rPr>
          <w:rFonts w:ascii="Arial" w:cs="Arial" w:eastAsia="Arial" w:hAnsi="Arial"/>
          <w:sz w:val="17"/>
          <w:szCs w:val="17"/>
          <w:color w:val="auto"/>
        </w:rPr>
        <w:t>148,176,413</w:t>
      </w:r>
    </w:p>
    <w:p>
      <w:pPr>
        <w:spacing w:after="0" w:line="241" w:lineRule="exact"/>
        <w:rPr>
          <w:sz w:val="20"/>
          <w:szCs w:val="20"/>
          <w:color w:val="auto"/>
        </w:rPr>
      </w:pPr>
    </w:p>
    <w:p>
      <w:pPr>
        <w:ind w:left="2027" w:hanging="939"/>
        <w:spacing w:after="0"/>
        <w:tabs>
          <w:tab w:leader="none" w:pos="2027"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(2,763)</w:t>
      </w:r>
    </w:p>
    <w:p>
      <w:pPr>
        <w:spacing w:after="0" w:line="43" w:lineRule="exact"/>
        <w:rPr>
          <w:rFonts w:ascii="Arial" w:cs="Arial" w:eastAsia="Arial" w:hAnsi="Arial"/>
          <w:sz w:val="17"/>
          <w:szCs w:val="17"/>
          <w:b w:val="1"/>
          <w:bCs w:val="1"/>
          <w:color w:val="auto"/>
        </w:rPr>
      </w:pPr>
    </w:p>
    <w:p>
      <w:pPr>
        <w:ind w:left="247"/>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160,647,852</w:t>
      </w:r>
      <w:r>
        <w:rPr>
          <w:rFonts w:ascii="Arial" w:cs="Arial" w:eastAsia="Arial" w:hAnsi="Arial"/>
          <w:sz w:val="16"/>
          <w:szCs w:val="16"/>
          <w:color w:val="auto"/>
        </w:rPr>
        <w:t>148,173,650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5862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507"/>
        <w:spacing w:after="0"/>
        <w:tabs>
          <w:tab w:leader="none" w:pos="1826" w:val="left"/>
        </w:tabs>
        <w:rPr>
          <w:sz w:val="20"/>
          <w:szCs w:val="20"/>
          <w:color w:val="auto"/>
        </w:rPr>
      </w:pPr>
      <w:r>
        <w:rPr>
          <w:rFonts w:ascii="Arial" w:cs="Arial" w:eastAsia="Arial" w:hAnsi="Arial"/>
          <w:sz w:val="18"/>
          <w:szCs w:val="18"/>
          <w:b w:val="1"/>
          <w:bCs w:val="1"/>
          <w:color w:val="auto"/>
        </w:rPr>
        <w:t>(660,025)</w:t>
      </w:r>
      <w:r>
        <w:rPr>
          <w:sz w:val="20"/>
          <w:szCs w:val="20"/>
          <w:color w:val="auto"/>
        </w:rPr>
        <w:tab/>
      </w:r>
      <w:r>
        <w:rPr>
          <w:rFonts w:ascii="Arial" w:cs="Arial" w:eastAsia="Arial" w:hAnsi="Arial"/>
          <w:sz w:val="18"/>
          <w:szCs w:val="18"/>
          <w:color w:val="auto"/>
        </w:rPr>
        <w:t>(165,874)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5862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7"/>
        <w:spacing w:after="0"/>
        <w:tabs>
          <w:tab w:leader="none" w:pos="226" w:val="left"/>
          <w:tab w:leader="none" w:pos="1346" w:val="left"/>
          <w:tab w:leader="none" w:pos="1586" w:val="left"/>
        </w:tabs>
        <w:rPr>
          <w:sz w:val="20"/>
          <w:szCs w:val="20"/>
          <w:color w:val="auto"/>
        </w:rPr>
      </w:pPr>
      <w:r>
        <w:rPr>
          <w:rFonts w:ascii="Arial" w:cs="Arial" w:eastAsia="Arial" w:hAnsi="Arial"/>
          <w:sz w:val="18"/>
          <w:szCs w:val="18"/>
          <w:b w:val="1"/>
          <w:bCs w:val="1"/>
          <w:u w:val="single" w:color="auto"/>
          <w:color w:val="auto"/>
        </w:rPr>
        <w:t>$</w:t>
        <w:tab/>
        <w:t>159,987,827</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148,007,776</w:t>
      </w:r>
    </w:p>
    <w:p>
      <w:pPr>
        <w:sectPr>
          <w:pgSz w:w="11900" w:h="16838" w:orient="portrait"/>
          <w:cols w:equalWidth="0" w:num="2">
            <w:col w:w="8093" w:space="720"/>
            <w:col w:w="2567"/>
          </w:cols>
          <w:pgMar w:left="240" w:top="122"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3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360" w:type="dxa"/>
            <w:vAlign w:val="bottom"/>
          </w:tcPr>
          <w:p>
            <w:pPr>
              <w:jc w:val="center"/>
              <w:ind w:left="1930"/>
              <w:spacing w:after="0"/>
              <w:rPr>
                <w:sz w:val="20"/>
                <w:szCs w:val="20"/>
                <w:color w:val="auto"/>
              </w:rPr>
            </w:pPr>
            <w:r>
              <w:rPr>
                <w:rFonts w:ascii="Arial" w:cs="Arial" w:eastAsia="Arial" w:hAnsi="Arial"/>
                <w:sz w:val="18"/>
                <w:szCs w:val="18"/>
                <w:color w:val="auto"/>
                <w:w w:val="91"/>
              </w:rPr>
              <w:t>Universal Forest Products, Inc. Employees’ Profit Sharing and</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60" w:type="dxa"/>
            <w:vAlign w:val="bottom"/>
          </w:tcPr>
          <w:p>
            <w:pPr>
              <w:jc w:val="center"/>
              <w:ind w:left="1930"/>
              <w:spacing w:after="0"/>
              <w:rPr>
                <w:sz w:val="20"/>
                <w:szCs w:val="20"/>
                <w:color w:val="auto"/>
              </w:rPr>
            </w:pPr>
            <w:r>
              <w:rPr>
                <w:rFonts w:ascii="Arial" w:cs="Arial" w:eastAsia="Arial" w:hAnsi="Arial"/>
                <w:sz w:val="18"/>
                <w:szCs w:val="18"/>
                <w:color w:val="auto"/>
                <w:w w:val="91"/>
              </w:rPr>
              <w:t>401(k) Retirement Plan</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60" w:type="dxa"/>
            <w:vAlign w:val="bottom"/>
          </w:tcPr>
          <w:p>
            <w:pPr>
              <w:jc w:val="center"/>
              <w:ind w:left="1950"/>
              <w:spacing w:after="0"/>
              <w:rPr>
                <w:sz w:val="20"/>
                <w:szCs w:val="20"/>
                <w:color w:val="auto"/>
              </w:rPr>
            </w:pPr>
            <w:r>
              <w:rPr>
                <w:rFonts w:ascii="Arial" w:cs="Arial" w:eastAsia="Arial" w:hAnsi="Arial"/>
                <w:sz w:val="18"/>
                <w:szCs w:val="18"/>
                <w:color w:val="auto"/>
                <w:w w:val="90"/>
              </w:rPr>
              <w:t>Statements of Changes in Net Assets Available for Benefits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4"/>
            <w:vMerge w:val="restart"/>
          </w:tcPr>
          <w:p>
            <w:pPr>
              <w:jc w:val="right"/>
              <w:ind w:right="340"/>
              <w:spacing w:after="0"/>
              <w:rPr>
                <w:sz w:val="20"/>
                <w:szCs w:val="20"/>
                <w:color w:val="auto"/>
              </w:rPr>
            </w:pPr>
            <w:r>
              <w:rPr>
                <w:rFonts w:ascii="Arial" w:cs="Arial" w:eastAsia="Arial" w:hAnsi="Arial"/>
                <w:sz w:val="18"/>
                <w:szCs w:val="18"/>
                <w:b w:val="1"/>
                <w:bCs w:val="1"/>
                <w:color w:val="auto"/>
                <w:w w:val="91"/>
              </w:rPr>
              <w:t>Years Ended 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8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Additions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Investment income:</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 and interest income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980,743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Net appreciation in fair value of common stocks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1,497,187</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12,722,953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appreciation in fair value from common collective trust funds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1,366,964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1,004,437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Net appreciation in fair value from mutual funds</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8,386,426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12,231,320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27,087,786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Participant contributions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7,270,571</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7,031,064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Rollover contributions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163,180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Employer contributions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1,401,391</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1,562,640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from notes receivable from participants</w:t>
            </w:r>
          </w:p>
        </w:tc>
        <w:tc>
          <w:tcPr>
            <w:tcW w:w="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479,575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21,546,037</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37,052,756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Distributions to participants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(9,126,614)</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(20,673,619)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(434,967)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(437,093)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(9,561,581)</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(21,110,712)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11,984,456</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15,942,044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Transfers out (Note 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(4,405)</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(212,133)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148,007,776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132,277,865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5"/>
              </w:rPr>
              <w:t>159,987,827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148,007,776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48" w:lineRule="exact"/>
        <w:rPr>
          <w:sz w:val="20"/>
          <w:szCs w:val="20"/>
          <w:color w:val="auto"/>
        </w:rPr>
      </w:pPr>
    </w:p>
    <w:p>
      <w:pPr>
        <w:ind w:right="8400" w:firstLine="8"/>
        <w:spacing w:after="0" w:line="534" w:lineRule="auto"/>
        <w:tabs>
          <w:tab w:leader="none" w:pos="63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Accounting</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of the Universal Forest Products, Inc. Employees’ Profit Sharing and 401(k) Retirement Plan (the Plan) are presented on the accrual method of accounting.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January 2010, the Financial Accounting Standards Board issued Accounting Standards Update 2010-06, </w:t>
      </w:r>
      <w:r>
        <w:rPr>
          <w:rFonts w:ascii="Arial" w:cs="Arial" w:eastAsia="Arial" w:hAnsi="Arial"/>
          <w:sz w:val="18"/>
          <w:szCs w:val="18"/>
          <w:i w:val="1"/>
          <w:iCs w:val="1"/>
          <w:color w:val="auto"/>
        </w:rPr>
        <w:t>Improving Disclosures about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This standard requires new disclosures on the amount and reason for transfers in and out of Level 1 and 2 recurring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standard also requires disclosure of activities, on a gross basis, including purchases, sales, issuances, and settlements, in the reconciliation of Level 3 fair value recurring measurements. The standard clarifies existing disclosure requirements on levels of disaggregation and disclosures about inputs and valuation techniques. The new disclosures regarding Level 1 and 2 fair value measurements and clarification of existing disclosures are effective for periods beginning after December 15, 2009. The disclosures about the reconciliation of information in Level 3 recurring fair value measurements are required for periods beginning after December 15, 2010. The requirements of the standard are not expected to have a significant impact on the Plan’s current fair value disclosures.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2010, the FASB issued ASU 2010-25, </w:t>
      </w:r>
      <w:r>
        <w:rPr>
          <w:rFonts w:ascii="Arial" w:cs="Arial" w:eastAsia="Arial" w:hAnsi="Arial"/>
          <w:sz w:val="18"/>
          <w:szCs w:val="18"/>
          <w:i w:val="1"/>
          <w:iCs w:val="1"/>
          <w:color w:val="auto"/>
        </w:rPr>
        <w:t>Plan Accounting – Defined Contribution Pension Plans (Topic 962): Reporting Loans to Participants by</w:t>
      </w:r>
      <w:r>
        <w:rPr>
          <w:rFonts w:ascii="Arial" w:cs="Arial" w:eastAsia="Arial" w:hAnsi="Arial"/>
          <w:sz w:val="18"/>
          <w:szCs w:val="18"/>
          <w:color w:val="auto"/>
        </w:rPr>
        <w:t xml:space="preserve"> </w:t>
      </w:r>
      <w:r>
        <w:rPr>
          <w:rFonts w:ascii="Arial" w:cs="Arial" w:eastAsia="Arial" w:hAnsi="Arial"/>
          <w:sz w:val="18"/>
          <w:szCs w:val="18"/>
          <w:i w:val="1"/>
          <w:iCs w:val="1"/>
          <w:color w:val="auto"/>
        </w:rPr>
        <w:t>Defined Contribution Pension Plans</w:t>
      </w:r>
      <w:r>
        <w:rPr>
          <w:rFonts w:ascii="Arial" w:cs="Arial" w:eastAsia="Arial" w:hAnsi="Arial"/>
          <w:sz w:val="18"/>
          <w:szCs w:val="18"/>
          <w:color w:val="auto"/>
        </w:rPr>
        <w:t>, which requires participant loans to be segregated from plan investments subject to fair value measurement,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notes receivable and measured at their unpaid principal balance plus accrued interest. The ASU requires retrospective application and applies to reporting periods ending after December 15, 2010. Accordingly, the Plan’s participant loans have been reported as notes receivable in the statements of net assets available for benefits as of December 31, 2010 and 2009, and participant loan interest has been excluded from investment income in the related statements of changes in net assets available for benefits for the years ended December 31, 2010 and 2009. In addition, participant loans are now excluded from the fair value disclosures in Note 4. Adoption of the ASU represents a reclassification within the financial statements and had no impact on net assets available for benefits or changes therein.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2011, the FASB issued ASU 2011-04, </w:t>
      </w:r>
      <w:r>
        <w:rPr>
          <w:rFonts w:ascii="Arial" w:cs="Arial" w:eastAsia="Arial" w:hAnsi="Arial"/>
          <w:sz w:val="18"/>
          <w:szCs w:val="18"/>
          <w:i w:val="1"/>
          <w:iCs w:val="1"/>
          <w:color w:val="auto"/>
        </w:rPr>
        <w:t>Amendments to Achieve Common Fair Value Measurement and Disclosure Requirements in U.S. GAAP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IFRSs </w:t>
      </w:r>
      <w:r>
        <w:rPr>
          <w:rFonts w:ascii="Arial" w:cs="Arial" w:eastAsia="Arial" w:hAnsi="Arial"/>
          <w:sz w:val="18"/>
          <w:szCs w:val="18"/>
          <w:color w:val="auto"/>
        </w:rPr>
        <w:t>(ASU 2011-04). ASU 2011-04 amended ASC 820,</w:t>
      </w:r>
      <w:r>
        <w:rPr>
          <w:rFonts w:ascii="Arial" w:cs="Arial" w:eastAsia="Arial" w:hAnsi="Arial"/>
          <w:sz w:val="18"/>
          <w:szCs w:val="18"/>
          <w:i w:val="1"/>
          <w:iCs w:val="1"/>
          <w:color w:val="auto"/>
        </w:rPr>
        <w:t xml:space="preserve"> Fair Value Measurements and Disclosures, </w:t>
      </w:r>
      <w:r>
        <w:rPr>
          <w:rFonts w:ascii="Arial" w:cs="Arial" w:eastAsia="Arial" w:hAnsi="Arial"/>
          <w:sz w:val="18"/>
          <w:szCs w:val="18"/>
          <w:color w:val="auto"/>
        </w:rPr>
        <w:t>to provide a consistent definition of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the comparability of fair value measurements presented and disclosed in financial statements prepared in accordance with U.S. GAAP and IFRSs. Some of the amendments clarify the application of existing fair value measurement and disclosure requirements, while other amendments change a particular principle or requirement for measuring fair value or disclosing information about fair value measurements. The amendments are to be applied prospectively and are effective for annual periods beginning after December 15, 2011. Plan management is currently evaluating the effect that the provisions of ASU 2011-04 will have on the Plan’s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Plan’s investments are stated at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that are accessible at the measurement date for identical, unrestricted assets or liabilities.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Significant observable inputs such as quoted prices for similar assets or liabilities in active markets,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inputs other than quoted prices that are observable or can be derived from or corroborated by observable market data by correlation or other means.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Prices or valuations that require inputs that are both significant to the fair value measurement and unobservable.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valuation methodologies were used to measure the fair value of the Plan’s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quoted market prices in an exchange and active market in which the securities are traded.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Mutual Funds: </w:t>
      </w:r>
      <w:r>
        <w:rPr>
          <w:rFonts w:ascii="Arial" w:cs="Arial" w:eastAsia="Arial" w:hAnsi="Arial"/>
          <w:sz w:val="17"/>
          <w:szCs w:val="17"/>
          <w:color w:val="auto"/>
        </w:rPr>
        <w:t>Valued at quoted market prices in an exchange and active market, which represent the net asset values of shares held by the Plan.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Collective Trust Funds: </w:t>
      </w:r>
      <w:r>
        <w:rPr>
          <w:rFonts w:ascii="Arial" w:cs="Arial" w:eastAsia="Arial" w:hAnsi="Arial"/>
          <w:sz w:val="18"/>
          <w:szCs w:val="18"/>
          <w:color w:val="auto"/>
        </w:rPr>
        <w:t>Valued based on audited information reported by the issuer of the common collective trust at year-end.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 the market participants, the use of different methodologies or assumptions to determine the fair value of certain financial instruments could result in a different fair value measurement at the reporting date.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also invests in investment contracts through a common collective trust (Union Bond &amp; Trust Company Stable Value Fund, often referred to as “Morley Stable Value Fund”). Investment contracts held by a defined contribution plan are required to be reported at fair value, with an adjustment to contract value in the statement of net assets available for benefits because contract value of these contracts is the amount participants would receive if they were to initiate permitted transactions under the terms of the Plan. The contract value of the Union Bond &amp; Trust Company Stable Value Fund represents contributions plus earnings, less participant withdrawals and administrative expenses. There is no restriction in place with respect to the daily redemption of the common collective trust at this time.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Universal Forest Products Stock Fund (the Fund) is tracked on a unitized basis. The Fund consists of common stock of Universal Forest Products, Inc. (Plan Sponsor) and funds that are held in the Union Bond &amp; Trust Company Stable Value Fund that are sufficient to meet the Fund’s daily cash needs. Unitization of the Fund allows for daily trades. The value of a unit reflects the combined market value of the common stock and the Union Bond &amp; Trust Company Stable Value Fund held by the Fund. At December 31, 2010 and 2009, 1,090,883 and 1,142,403 units, respectively, were outstanding with a value of $39.40 and $36.85 per unit,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Pimco Total Return Fund (the Return Fund) is also tracked on a unitized basis. The Return Fund consists of the Pimco Total Return Fund and funds held in cash that are sufficient to meet the Fund’s daily needs. Unitization of the Return Fund allows for daily allocation of interest earned to participant accounts. The value of a unit reflects the combined market value of the Pimco Total Return Fund and the cash held. At December 31, 2010 and 2009, 354,946 and 227,403 units, respectively, were outstanding with a value of $19.80 and $18.24 per unit, respectively.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Purchases and sales of securities are recorded on a trade date basis. Interest income is recorded on the accrual basis. Dividends are recorded on the ex-dividend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Investments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Included in investments at December 31, 2010 and 2009 are shares of the Plan Sponsor’s common stock with an aggregate fair value of $41,884,447 and $41,227,863, respectively. This investment represents 27% and 29% of total investments at December 31, 2010 and 2009, respectively. A significant decline in the market value of the sponsor’s stock would significantly affect the net assets available for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Administrative expenses incurred in connection with the operations of the Plan are paid by the Plan Sponsor, except for loan and certain investment fees, which are borne by the Plan. Substantially all of these expenses are paid to parties-in-interest of the Plan and are based on reasonable and customary rates for the related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48"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Document and Summary Plan Description, as amended, for a more complete description of the Plan’s provisions.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a defined-contribution, profit sharing and 401(k) plan that provides tax-deferred benefits for substantially all eligible employees of the Plan Sponsor, excluding the employees of separate subsidiaries that maintain a similar defined-contribution plan and those covered under a collective bargaining agreement. The Plan is subject to the provisions of the Employee Retirement Security Act of 1974 (ERISA).</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Eligible employees are those who are 18 years or older and have completed 1,000 hours of employment (year of service) during the 12-month period following date of employment or, where additional periods are necessary, on succeeding Plan year-end dates. All newly eligible employees on and after July 1, 2006 are automatically enrolled in the Plan at a deferral level of 3% of eligible compensation.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Sponsor contributes regular discretionary matching contributions and may contribute additional discretionary matching contributions. Regular discretionary matching contributions are made quarterly and were 25% of participant deferrals in 2010 and 2009, subject to a limit of 6% of each participant’s compensation. Additional discretionary matching contributions may be made at the end of each Plan year. These amounts are not guaranteed, and may vary from year to year as the Plan Sponsor is not obligated to make such contributions.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Sponsor may also contribute a discretionary profit sharing amount annually as determined by management and approved by the Plan Sponsor’s Board of Directors. The Plan Sponsor’s annual profit sharing contributions are allocated to each participant’s account in the same ratio that each participant’s total compensation for the Plan year bears to the total compensation of all participants for such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w w:val="97"/>
              </w:rPr>
              <w:t>Employer contributions are subject to a vesting schedule as follows:</w:t>
            </w: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6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Years of Service</w:t>
            </w:r>
          </w:p>
        </w:tc>
        <w:tc>
          <w:tcPr>
            <w:tcW w:w="6140" w:type="dxa"/>
            <w:vAlign w:val="bottom"/>
            <w:tcBorders>
              <w:bottom w:val="single" w:sz="8" w:color="auto"/>
            </w:tcBorders>
          </w:tcPr>
          <w:p>
            <w:pPr>
              <w:jc w:val="right"/>
              <w:ind w:right="2032"/>
              <w:spacing w:after="0"/>
              <w:rPr>
                <w:sz w:val="20"/>
                <w:szCs w:val="20"/>
                <w:color w:val="auto"/>
              </w:rPr>
            </w:pPr>
            <w:r>
              <w:rPr>
                <w:rFonts w:ascii="Arial" w:cs="Arial" w:eastAsia="Arial" w:hAnsi="Arial"/>
                <w:sz w:val="18"/>
                <w:szCs w:val="18"/>
                <w:b w:val="1"/>
                <w:bCs w:val="1"/>
                <w:color w:val="auto"/>
              </w:rPr>
              <w:t>Vesting Percentage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Less than 2</w:t>
            </w:r>
          </w:p>
        </w:tc>
        <w:tc>
          <w:tcPr>
            <w:tcW w:w="614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 but less than 3</w:t>
            </w:r>
          </w:p>
        </w:tc>
        <w:tc>
          <w:tcPr>
            <w:tcW w:w="6140" w:type="dxa"/>
            <w:vAlign w:val="bottom"/>
          </w:tcPr>
          <w:p>
            <w:pPr>
              <w:jc w:val="center"/>
              <w:ind w:left="352"/>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3 but less than 4</w:t>
            </w:r>
          </w:p>
        </w:tc>
        <w:tc>
          <w:tcPr>
            <w:tcW w:w="614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4 but less than 5</w:t>
            </w:r>
          </w:p>
        </w:tc>
        <w:tc>
          <w:tcPr>
            <w:tcW w:w="6140" w:type="dxa"/>
            <w:vAlign w:val="bottom"/>
          </w:tcPr>
          <w:p>
            <w:pPr>
              <w:jc w:val="center"/>
              <w:ind w:left="352"/>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5 but less than 6</w:t>
            </w:r>
          </w:p>
        </w:tc>
        <w:tc>
          <w:tcPr>
            <w:tcW w:w="614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6 or more</w:t>
            </w:r>
          </w:p>
        </w:tc>
        <w:tc>
          <w:tcPr>
            <w:tcW w:w="6140" w:type="dxa"/>
            <w:vAlign w:val="bottom"/>
          </w:tcPr>
          <w:p>
            <w:pPr>
              <w:jc w:val="center"/>
              <w:ind w:left="3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140" w:type="dxa"/>
            <w:vAlign w:val="bottom"/>
          </w:tcPr>
          <w:p>
            <w:pPr>
              <w:jc w:val="right"/>
              <w:ind w:right="5552"/>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6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vested portion of terminated and retired participants’ accounts are available for distribution following a separation from service. Forfeitures are used to offset the Plan Sponsor’s matching contributions. During 2010 and 2009, forfeitures of approximately $205,000 and $180,000, respectively, were used to offset the Plan Sponsor’s matching contributions.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account balances, as defined in the Plan agreement.</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Participants may borrow from their account a minimum amount of $1,000 up to a maximum equal to the lesser of $50,000 or 50% of their vested account balance. Loan terms range from one to five years or up to 25 years for the purchase of a residence. The loans bear interest at a rate equal to the prime rate (3.25% at December 31, 2010) plus 2% calculated on a daily basis. A participant may only have five loans outstanding at any time and one new loan for every 12-month period. Effective April 1, 2009, a participant may only have two loans outstanding at any time.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 amount will be paid as a lump sum distribution as soon as administratively allowable. Participants who incur a separation from service as a result of their death, disability, or retirement will be vested at 100% prior to their distribution.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193"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permitted by the plan, funds totaling approximately $4,400 and $212,000 were transferred to the Shawnlee Construction LLC 401(k) Plan (an affiliated plan) during 2010 and 2009, respectively, due to employee transfers.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48"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by level within the fair value hierarchy the Plan’s investments as of December 31, 2010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9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Investment Assets at Fair Value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94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as of December 31, 2010</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Common stocks</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41,884,447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41,884,447</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Common collective trust funds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40,556,947</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40,556,947</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Bond funds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7,029,288</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7,029,288</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Target funds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24,694,023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24,694,023</w:t>
            </w: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Domestic stock funds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33,929,040</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33,929,040</w:t>
            </w: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 stock funds</w:t>
            </w:r>
          </w:p>
        </w:tc>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5,571,843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5,571,843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mutual funds</w:t>
            </w:r>
          </w:p>
        </w:tc>
        <w:tc>
          <w:tcPr>
            <w:tcW w:w="2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71,224,194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71,224,194</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113,108,641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40,556,947</w:t>
            </w:r>
          </w:p>
        </w:tc>
        <w:tc>
          <w:tcPr>
            <w:tcW w:w="10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153,665,588</w:t>
            </w: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940" w:type="dxa"/>
            <w:vAlign w:val="bottom"/>
            <w:gridSpan w:val="3"/>
          </w:tcPr>
          <w:p>
            <w:pPr>
              <w:jc w:val="center"/>
              <w:ind w:left="574"/>
              <w:spacing w:after="0"/>
              <w:rPr>
                <w:sz w:val="20"/>
                <w:szCs w:val="20"/>
                <w:color w:val="auto"/>
              </w:rPr>
            </w:pPr>
            <w:r>
              <w:rPr>
                <w:rFonts w:ascii="Arial" w:cs="Arial" w:eastAsia="Arial" w:hAnsi="Arial"/>
                <w:sz w:val="18"/>
                <w:szCs w:val="18"/>
                <w:b w:val="1"/>
                <w:bCs w:val="1"/>
                <w:color w:val="auto"/>
                <w:w w:val="89"/>
              </w:rPr>
              <w:t>Investment Assets at Fair Value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940" w:type="dxa"/>
            <w:vAlign w:val="bottom"/>
            <w:gridSpan w:val="3"/>
          </w:tcPr>
          <w:p>
            <w:pPr>
              <w:jc w:val="center"/>
              <w:ind w:left="554"/>
              <w:spacing w:after="0"/>
              <w:rPr>
                <w:sz w:val="20"/>
                <w:szCs w:val="20"/>
                <w:color w:val="auto"/>
              </w:rPr>
            </w:pPr>
            <w:r>
              <w:rPr>
                <w:rFonts w:ascii="Arial" w:cs="Arial" w:eastAsia="Arial" w:hAnsi="Arial"/>
                <w:sz w:val="18"/>
                <w:szCs w:val="18"/>
                <w:b w:val="1"/>
                <w:bCs w:val="1"/>
                <w:color w:val="auto"/>
                <w:w w:val="88"/>
              </w:rPr>
              <w:t>as of December 31, 2009</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Common stocks</w:t>
            </w:r>
          </w:p>
        </w:tc>
        <w:tc>
          <w:tcPr>
            <w:tcW w:w="2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41,227,863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41,227,863</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Common collective trust funds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40,031,141</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40,031,141</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Bond funds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5,129,026</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5,129,026</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Target funds</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20,887,609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20,887,609</w:t>
            </w: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Domestic stock funds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28,286,662</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28,286,662</w:t>
            </w: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 stock funds</w:t>
            </w:r>
          </w:p>
        </w:tc>
        <w:tc>
          <w:tcPr>
            <w:tcW w:w="2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4,995,692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4,995,692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mutual funds</w:t>
            </w:r>
          </w:p>
        </w:tc>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59,298,989</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59,298,989</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w:t>
            </w:r>
          </w:p>
        </w:tc>
        <w:tc>
          <w:tcPr>
            <w:tcW w:w="2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100,526,852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40,031,141</w:t>
            </w:r>
          </w:p>
        </w:tc>
        <w:tc>
          <w:tcPr>
            <w:tcW w:w="10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140,557,993</w:t>
            </w:r>
          </w:p>
        </w:tc>
      </w:tr>
      <w:tr>
        <w:trPr>
          <w:trHeight w:val="643"/>
        </w:trPr>
        <w:tc>
          <w:tcPr>
            <w:tcW w:w="20" w:type="dxa"/>
            <w:vAlign w:val="bottom"/>
          </w:tcPr>
          <w:p>
            <w:pPr>
              <w:spacing w:after="0"/>
              <w:rPr>
                <w:sz w:val="24"/>
                <w:szCs w:val="24"/>
                <w:color w:val="auto"/>
              </w:rPr>
            </w:pPr>
          </w:p>
        </w:tc>
        <w:tc>
          <w:tcPr>
            <w:tcW w:w="3400" w:type="dxa"/>
            <w:vAlign w:val="bottom"/>
            <w:tcBorders>
              <w:top w:val="single" w:sz="8" w:color="CCEEFF"/>
            </w:tcBorders>
          </w:tcPr>
          <w:p>
            <w:pPr>
              <w:spacing w:after="0"/>
              <w:rPr>
                <w:sz w:val="24"/>
                <w:szCs w:val="24"/>
                <w:color w:val="auto"/>
              </w:rPr>
            </w:pPr>
          </w:p>
        </w:tc>
        <w:tc>
          <w:tcPr>
            <w:tcW w:w="2660" w:type="dxa"/>
            <w:vAlign w:val="bottom"/>
            <w:tcBorders>
              <w:top w:val="single" w:sz="8" w:color="CCEEFF"/>
            </w:tcBorders>
          </w:tcPr>
          <w:p>
            <w:pPr>
              <w:jc w:val="center"/>
              <w:ind w:left="1834"/>
              <w:spacing w:after="0"/>
              <w:rPr>
                <w:sz w:val="20"/>
                <w:szCs w:val="20"/>
                <w:color w:val="auto"/>
              </w:rPr>
            </w:pPr>
            <w:r>
              <w:rPr>
                <w:rFonts w:ascii="Arial" w:cs="Arial" w:eastAsia="Arial" w:hAnsi="Arial"/>
                <w:sz w:val="14"/>
                <w:szCs w:val="14"/>
                <w:color w:val="auto"/>
                <w:w w:val="89"/>
              </w:rPr>
              <w:t>12</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20" w:type="dxa"/>
            <w:vAlign w:val="bottom"/>
          </w:tcPr>
          <w:p>
            <w:pPr>
              <w:ind w:left="3800"/>
              <w:spacing w:after="0"/>
              <w:rPr>
                <w:sz w:val="20"/>
                <w:szCs w:val="20"/>
                <w:color w:val="auto"/>
              </w:rPr>
            </w:pPr>
            <w:r>
              <w:rPr>
                <w:rFonts w:ascii="Arial" w:cs="Arial" w:eastAsia="Arial" w:hAnsi="Arial"/>
                <w:sz w:val="18"/>
                <w:szCs w:val="18"/>
                <w:color w:val="auto"/>
              </w:rPr>
              <w:t>Notes to Financial Statements (continued)</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20" w:type="dxa"/>
            <w:vAlign w:val="bottom"/>
            <w:gridSpan w:val="3"/>
          </w:tcPr>
          <w:p>
            <w:pPr>
              <w:spacing w:after="0"/>
              <w:rPr>
                <w:sz w:val="20"/>
                <w:szCs w:val="20"/>
                <w:color w:val="auto"/>
              </w:rPr>
            </w:pPr>
            <w:r>
              <w:rPr>
                <w:rFonts w:ascii="Arial" w:cs="Arial" w:eastAsia="Arial" w:hAnsi="Arial"/>
                <w:sz w:val="18"/>
                <w:szCs w:val="18"/>
                <w:color w:val="auto"/>
              </w:rPr>
              <w:t>Individual assets that represent 5% or more of the fair value of the Plan’s net assets are as follows: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gridSpan w:val="4"/>
          </w:tcPr>
          <w:p>
            <w:pPr>
              <w:ind w:left="7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20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Universal Forest Products Common Stock</w:t>
            </w:r>
          </w:p>
        </w:tc>
        <w:tc>
          <w:tcPr>
            <w:tcW w:w="2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41,884,447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Union Bond &amp; Trust Company Stable Value Fund</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34,672,050</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35,351,373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Dreyfus Midcap Index Fund</w:t>
            </w:r>
          </w:p>
        </w:tc>
        <w:tc>
          <w:tcPr>
            <w:tcW w:w="2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8,415,382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Invesco Van Kampen Growth and Income Fund</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12,072,703</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10,438,413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Retirement 2020 Fund</w:t>
            </w:r>
          </w:p>
        </w:tc>
        <w:tc>
          <w:tcPr>
            <w:tcW w:w="2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11,256,174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9,369,081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rPr>
              <w:t>Notes receivable from participants</w:t>
            </w:r>
          </w:p>
        </w:tc>
        <w:tc>
          <w:tcPr>
            <w:tcW w:w="204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7,423,026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*Below 5% of net assets available for benefits</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7620" w:type="dxa"/>
            <w:vAlign w:val="bottom"/>
          </w:tcPr>
          <w:p>
            <w:pPr>
              <w:ind w:left="240"/>
              <w:spacing w:after="0"/>
              <w:rPr>
                <w:sz w:val="20"/>
                <w:szCs w:val="20"/>
                <w:color w:val="auto"/>
              </w:rPr>
            </w:pPr>
            <w:r>
              <w:rPr>
                <w:rFonts w:ascii="Arial" w:cs="Arial" w:eastAsia="Arial" w:hAnsi="Arial"/>
                <w:sz w:val="18"/>
                <w:szCs w:val="18"/>
                <w:b w:val="1"/>
                <w:bCs w:val="1"/>
                <w:color w:val="auto"/>
              </w:rPr>
              <w:t>Income Tax Status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 has received a determination letter from the Internal Revenue Service dated April 2, 2004, stating that the Plan is qualified 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Sponsor believes the Plan is being operated in compliance with the applicable requirements of the Code and, therefore, believes that the Plan, as amended, is qualified and the related trust is tax exempt.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 positions taken by the Plan and has concluded that as of December 31, 2010,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2008.</w:t>
      </w:r>
    </w:p>
    <w:p>
      <w:pPr>
        <w:spacing w:after="0" w:line="216"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Difference Between Financial Statements and Form 5500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assets available for benefits per the financial statements to the Form 5500:</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20" w:type="dxa"/>
            <w:vAlign w:val="bottom"/>
          </w:tcPr>
          <w:p>
            <w:pPr>
              <w:ind w:left="3800"/>
              <w:spacing w:after="0"/>
              <w:rPr>
                <w:sz w:val="20"/>
                <w:szCs w:val="20"/>
                <w:color w:val="auto"/>
              </w:rPr>
            </w:pPr>
            <w:r>
              <w:rPr>
                <w:rFonts w:ascii="Arial" w:cs="Arial" w:eastAsia="Arial" w:hAnsi="Arial"/>
                <w:sz w:val="18"/>
                <w:szCs w:val="18"/>
                <w:color w:val="auto"/>
              </w:rPr>
              <w:t>Notes to Financial Statements (continued)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ind w:left="5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 from the financial statements</w:t>
            </w:r>
          </w:p>
        </w:tc>
        <w:tc>
          <w:tcPr>
            <w:tcW w:w="140" w:type="dxa"/>
            <w:vAlign w:val="bottom"/>
            <w:shd w:val="clear" w:color="auto" w:fill="CCEEFF"/>
          </w:tcPr>
          <w:p>
            <w:pPr>
              <w:jc w:val="right"/>
              <w:ind w:right="50"/>
              <w:spacing w:after="0"/>
              <w:rPr>
                <w:sz w:val="20"/>
                <w:szCs w:val="20"/>
                <w:color w:val="auto"/>
              </w:rPr>
            </w:pPr>
            <w:r>
              <w:rPr>
                <w:rFonts w:ascii="Arial" w:cs="Arial" w:eastAsia="Arial" w:hAnsi="Arial"/>
                <w:sz w:val="5"/>
                <w:szCs w:val="5"/>
                <w:b w:val="1"/>
                <w:bCs w:val="1"/>
                <w:color w:val="auto"/>
                <w:w w:val="70"/>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5"/>
              </w:rPr>
              <w:t>159,987,827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148,007,776</w:t>
            </w: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adjustment to fair value for fully benefit responsive investment contracts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660,025</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165,874</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 available for benefits from the Form 5500</w:t>
            </w:r>
          </w:p>
        </w:tc>
        <w:tc>
          <w:tcPr>
            <w:tcW w:w="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5"/>
                <w:szCs w:val="5"/>
                <w:b w:val="1"/>
                <w:bCs w:val="1"/>
                <w:color w:val="auto"/>
                <w:w w:val="70"/>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5"/>
              </w:rPr>
              <w:t>160,647,852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148,173,650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8820" w:type="dxa"/>
            <w:vAlign w:val="bottom"/>
            <w:gridSpan w:val="3"/>
          </w:tcPr>
          <w:p>
            <w:pPr>
              <w:spacing w:after="0"/>
              <w:rPr>
                <w:sz w:val="20"/>
                <w:szCs w:val="20"/>
                <w:color w:val="auto"/>
              </w:rPr>
            </w:pPr>
            <w:r>
              <w:rPr>
                <w:rFonts w:ascii="Arial" w:cs="Arial" w:eastAsia="Arial" w:hAnsi="Arial"/>
                <w:sz w:val="18"/>
                <w:szCs w:val="18"/>
                <w:color w:val="auto"/>
                <w:w w:val="99"/>
              </w:rPr>
              <w:t>The following is a reconciliation of the net increase in net assets per the financial statements to the Form 5500: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ind w:left="60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increase (decrease) in net assets from the financial statements</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11,984,456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15,942,044</w:t>
            </w: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2010 Net adjustment to fair value for fully benefit responsive investment contracts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660,025</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2009 Net adjustment to fair value for fully benefit responsive investment contracts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(165,874)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165,874</w:t>
            </w: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2008 Net adjustment to fair value for fully benefit responsive investment contracts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1,970,304</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Increase (decrease) in net assets from the Form 5500</w:t>
            </w: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12,478,607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18,078,222</w:t>
            </w: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53"/>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8420" w:type="dxa"/>
            <w:vAlign w:val="bottom"/>
          </w:tcPr>
          <w:p>
            <w:pPr>
              <w:ind w:left="240"/>
              <w:spacing w:after="0"/>
              <w:rPr>
                <w:sz w:val="20"/>
                <w:szCs w:val="20"/>
                <w:color w:val="auto"/>
              </w:rPr>
            </w:pPr>
            <w:r>
              <w:rPr>
                <w:rFonts w:ascii="Arial" w:cs="Arial" w:eastAsia="Arial" w:hAnsi="Arial"/>
                <w:sz w:val="18"/>
                <w:szCs w:val="18"/>
                <w:b w:val="1"/>
                <w:bCs w:val="1"/>
                <w:color w:val="auto"/>
              </w:rPr>
              <w:t>Subsequent Event</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2011, the Plan was amended and restated to comply with federal law and to make changes to better meet the needs of Universal Forest Products, Inc., the Participating Employers, and employees. These changes include revising the eligibility waiting period for new employees from 12 months to 60 days.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 Employees’ Profit Sharing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401(k) Retirement Plan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9320" w:type="dxa"/>
            <w:vAlign w:val="bottom"/>
            <w:gridSpan w:val="2"/>
          </w:tcPr>
          <w:p>
            <w:pPr>
              <w:ind w:left="2700"/>
              <w:spacing w:after="0"/>
              <w:rPr>
                <w:sz w:val="20"/>
                <w:szCs w:val="20"/>
                <w:color w:val="auto"/>
              </w:rPr>
            </w:pPr>
            <w:r>
              <w:rPr>
                <w:rFonts w:ascii="Arial" w:cs="Arial" w:eastAsia="Arial" w:hAnsi="Arial"/>
                <w:sz w:val="18"/>
                <w:szCs w:val="18"/>
                <w:color w:val="auto"/>
              </w:rPr>
              <w:t>Schedule H, Line 4i – Schedule of Assets (Held at End of Year)</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9320" w:type="dxa"/>
            <w:vAlign w:val="bottom"/>
            <w:gridSpan w:val="2"/>
          </w:tcPr>
          <w:p>
            <w:pPr>
              <w:ind w:left="3880"/>
              <w:spacing w:after="0"/>
              <w:rPr>
                <w:sz w:val="20"/>
                <w:szCs w:val="20"/>
                <w:color w:val="auto"/>
              </w:rPr>
            </w:pPr>
            <w:r>
              <w:rPr>
                <w:rFonts w:ascii="Arial" w:cs="Arial" w:eastAsia="Arial" w:hAnsi="Arial"/>
                <w:sz w:val="18"/>
                <w:szCs w:val="18"/>
                <w:color w:val="auto"/>
              </w:rPr>
              <w:t>EIN #38-1465835  Plan #001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20" w:type="dxa"/>
            <w:vAlign w:val="bottom"/>
          </w:tcPr>
          <w:p>
            <w:pPr>
              <w:spacing w:after="0"/>
              <w:rPr>
                <w:sz w:val="24"/>
                <w:szCs w:val="24"/>
                <w:color w:val="auto"/>
              </w:rPr>
            </w:pPr>
          </w:p>
        </w:tc>
        <w:tc>
          <w:tcPr>
            <w:tcW w:w="9320" w:type="dxa"/>
            <w:vAlign w:val="bottom"/>
            <w:gridSpan w:val="2"/>
          </w:tcPr>
          <w:p>
            <w:pPr>
              <w:ind w:left="3560"/>
              <w:spacing w:after="0"/>
              <w:rPr>
                <w:sz w:val="20"/>
                <w:szCs w:val="20"/>
                <w:color w:val="auto"/>
              </w:rPr>
            </w:pPr>
            <w:r>
              <w:rPr>
                <w:rFonts w:ascii="Arial" w:cs="Arial" w:eastAsia="Arial" w:hAnsi="Arial"/>
                <w:sz w:val="18"/>
                <w:szCs w:val="18"/>
                <w:color w:val="auto"/>
              </w:rPr>
              <w:t>December 31, 2010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90"/>
              </w:rPr>
              <w:t>(a)</w:t>
            </w:r>
          </w:p>
        </w:tc>
        <w:tc>
          <w:tcPr>
            <w:tcW w:w="4500" w:type="dxa"/>
            <w:vAlign w:val="bottom"/>
          </w:tcPr>
          <w:p>
            <w:pPr>
              <w:ind w:left="2180"/>
              <w:spacing w:after="0"/>
              <w:rPr>
                <w:sz w:val="20"/>
                <w:szCs w:val="20"/>
                <w:color w:val="auto"/>
              </w:rPr>
            </w:pPr>
            <w:r>
              <w:rPr>
                <w:rFonts w:ascii="Arial" w:cs="Arial" w:eastAsia="Arial" w:hAnsi="Arial"/>
                <w:sz w:val="18"/>
                <w:szCs w:val="18"/>
                <w:color w:val="auto"/>
              </w:rPr>
              <w:t>(b)</w:t>
            </w:r>
          </w:p>
        </w:tc>
        <w:tc>
          <w:tcPr>
            <w:tcW w:w="4820" w:type="dxa"/>
            <w:vAlign w:val="bottom"/>
          </w:tcPr>
          <w:p>
            <w:pPr>
              <w:jc w:val="center"/>
              <w:ind w:left="10"/>
              <w:spacing w:after="0"/>
              <w:rPr>
                <w:sz w:val="20"/>
                <w:szCs w:val="20"/>
                <w:color w:val="auto"/>
              </w:rPr>
            </w:pPr>
            <w:r>
              <w:rPr>
                <w:rFonts w:ascii="Arial" w:cs="Arial" w:eastAsia="Arial" w:hAnsi="Arial"/>
                <w:sz w:val="18"/>
                <w:szCs w:val="18"/>
                <w:color w:val="auto"/>
                <w:w w:val="95"/>
              </w:rPr>
              <w:t>(c)</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(e)</w:t>
            </w:r>
          </w:p>
        </w:tc>
      </w:tr>
      <w:tr>
        <w:trPr>
          <w:trHeight w:val="216"/>
        </w:trPr>
        <w:tc>
          <w:tcPr>
            <w:tcW w:w="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8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Description of Investment Including, Maturity Date,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 w:type="dxa"/>
            <w:vAlign w:val="bottom"/>
          </w:tcPr>
          <w:p>
            <w:pPr>
              <w:spacing w:after="0"/>
              <w:rPr>
                <w:sz w:val="20"/>
                <w:szCs w:val="20"/>
                <w:color w:val="auto"/>
              </w:rPr>
            </w:pPr>
          </w:p>
        </w:tc>
        <w:tc>
          <w:tcPr>
            <w:tcW w:w="4500" w:type="dxa"/>
            <w:vAlign w:val="bottom"/>
          </w:tcPr>
          <w:p>
            <w:pPr>
              <w:ind w:left="260"/>
              <w:spacing w:after="0"/>
              <w:rPr>
                <w:sz w:val="20"/>
                <w:szCs w:val="20"/>
                <w:color w:val="auto"/>
              </w:rPr>
            </w:pPr>
            <w:r>
              <w:rPr>
                <w:rFonts w:ascii="Arial" w:cs="Arial" w:eastAsia="Arial" w:hAnsi="Arial"/>
                <w:sz w:val="18"/>
                <w:szCs w:val="18"/>
                <w:b w:val="1"/>
                <w:bCs w:val="1"/>
                <w:color w:val="auto"/>
                <w:w w:val="94"/>
              </w:rPr>
              <w:t>Identity of Issuer, Borrower, Lessor, or Similar Party</w:t>
            </w:r>
          </w:p>
        </w:tc>
        <w:tc>
          <w:tcPr>
            <w:tcW w:w="48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Rate of Interest, Collateral, Par, or Maturity Value</w:t>
            </w:r>
          </w:p>
        </w:tc>
        <w:tc>
          <w:tcPr>
            <w:tcW w:w="14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Value</w:t>
            </w:r>
          </w:p>
        </w:tc>
      </w:tr>
      <w:tr>
        <w:trPr>
          <w:trHeight w:val="432"/>
        </w:trPr>
        <w:tc>
          <w:tcPr>
            <w:tcW w:w="720" w:type="dxa"/>
            <w:vAlign w:val="bottom"/>
          </w:tcPr>
          <w:p>
            <w:pPr>
              <w:spacing w:after="0"/>
              <w:rPr>
                <w:sz w:val="24"/>
                <w:szCs w:val="24"/>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w:t>
            </w:r>
          </w:p>
        </w:tc>
        <w:tc>
          <w:tcPr>
            <w:tcW w:w="48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rPr>
              <w:t>*</w:t>
            </w: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Universal Forest Products, Inc.</w:t>
            </w: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Universal Forest Products Common Stock</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41,884,447</w:t>
            </w:r>
          </w:p>
        </w:tc>
      </w:tr>
      <w:tr>
        <w:trPr>
          <w:trHeight w:val="216"/>
        </w:trPr>
        <w:tc>
          <w:tcPr>
            <w:tcW w:w="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 funds:</w:t>
            </w:r>
          </w:p>
        </w:tc>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Union Bond &amp; Trust Company</w:t>
            </w:r>
          </w:p>
        </w:tc>
        <w:tc>
          <w:tcPr>
            <w:tcW w:w="4820" w:type="dxa"/>
            <w:vAlign w:val="bottom"/>
          </w:tcPr>
          <w:p>
            <w:pPr>
              <w:ind w:left="180"/>
              <w:spacing w:after="0"/>
              <w:rPr>
                <w:sz w:val="20"/>
                <w:szCs w:val="20"/>
                <w:color w:val="auto"/>
              </w:rPr>
            </w:pPr>
            <w:r>
              <w:rPr>
                <w:rFonts w:ascii="Arial" w:cs="Arial" w:eastAsia="Arial" w:hAnsi="Arial"/>
                <w:sz w:val="18"/>
                <w:szCs w:val="18"/>
                <w:color w:val="auto"/>
              </w:rPr>
              <w:t>Stable Value Fund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34,672,050</w:t>
            </w:r>
          </w:p>
        </w:tc>
      </w:tr>
      <w:tr>
        <w:trPr>
          <w:trHeight w:val="223"/>
        </w:trPr>
        <w:tc>
          <w:tcPr>
            <w:tcW w:w="7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rPr>
              <w:t>*</w:t>
            </w:r>
          </w:p>
        </w:tc>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Wells Fargo NA</w:t>
            </w: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Enhanced Stock Market Fund</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5,884,897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40,556,947</w:t>
            </w:r>
          </w:p>
        </w:tc>
      </w:tr>
      <w:tr>
        <w:trPr>
          <w:trHeight w:val="216"/>
        </w:trPr>
        <w:tc>
          <w:tcPr>
            <w:tcW w:w="7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American Funds</w:t>
            </w:r>
          </w:p>
        </w:tc>
        <w:tc>
          <w:tcPr>
            <w:tcW w:w="4820" w:type="dxa"/>
            <w:vAlign w:val="bottom"/>
          </w:tcPr>
          <w:p>
            <w:pPr>
              <w:ind w:left="180"/>
              <w:spacing w:after="0"/>
              <w:rPr>
                <w:sz w:val="20"/>
                <w:szCs w:val="20"/>
                <w:color w:val="auto"/>
              </w:rPr>
            </w:pPr>
            <w:r>
              <w:rPr>
                <w:rFonts w:ascii="Arial" w:cs="Arial" w:eastAsia="Arial" w:hAnsi="Arial"/>
                <w:sz w:val="18"/>
                <w:szCs w:val="18"/>
                <w:color w:val="auto"/>
              </w:rPr>
              <w:t>Growth Fund of America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5,776,861</w:t>
            </w:r>
          </w:p>
        </w:tc>
      </w:tr>
      <w:tr>
        <w:trPr>
          <w:trHeight w:val="216"/>
        </w:trPr>
        <w:tc>
          <w:tcPr>
            <w:tcW w:w="720" w:type="dxa"/>
            <w:vAlign w:val="bottom"/>
            <w:shd w:val="clear" w:color="auto" w:fill="CCEEFF"/>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Dreyfus</w:t>
            </w: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Midcap Index Fund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8,415,382</w:t>
            </w:r>
          </w:p>
        </w:tc>
      </w:tr>
      <w:tr>
        <w:trPr>
          <w:trHeight w:val="216"/>
        </w:trPr>
        <w:tc>
          <w:tcPr>
            <w:tcW w:w="7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Pimco</w:t>
            </w:r>
          </w:p>
        </w:tc>
        <w:tc>
          <w:tcPr>
            <w:tcW w:w="4820" w:type="dxa"/>
            <w:vAlign w:val="bottom"/>
          </w:tcPr>
          <w:p>
            <w:pPr>
              <w:ind w:left="180"/>
              <w:spacing w:after="0"/>
              <w:rPr>
                <w:sz w:val="20"/>
                <w:szCs w:val="20"/>
                <w:color w:val="auto"/>
              </w:rPr>
            </w:pPr>
            <w:r>
              <w:rPr>
                <w:rFonts w:ascii="Arial" w:cs="Arial" w:eastAsia="Arial" w:hAnsi="Arial"/>
                <w:sz w:val="18"/>
                <w:szCs w:val="18"/>
                <w:color w:val="auto"/>
              </w:rPr>
              <w:t>Total Return Fund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7,029,288</w:t>
            </w:r>
          </w:p>
        </w:tc>
      </w:tr>
      <w:tr>
        <w:trPr>
          <w:trHeight w:val="216"/>
        </w:trPr>
        <w:tc>
          <w:tcPr>
            <w:tcW w:w="720" w:type="dxa"/>
            <w:vAlign w:val="bottom"/>
            <w:shd w:val="clear" w:color="auto" w:fill="CCEEFF"/>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Thornburg</w:t>
            </w: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Value Fund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5,571,843</w:t>
            </w:r>
          </w:p>
        </w:tc>
      </w:tr>
      <w:tr>
        <w:trPr>
          <w:trHeight w:val="216"/>
        </w:trPr>
        <w:tc>
          <w:tcPr>
            <w:tcW w:w="7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Neuberger Berman</w:t>
            </w:r>
          </w:p>
        </w:tc>
        <w:tc>
          <w:tcPr>
            <w:tcW w:w="4820" w:type="dxa"/>
            <w:vAlign w:val="bottom"/>
          </w:tcPr>
          <w:p>
            <w:pPr>
              <w:ind w:left="180"/>
              <w:spacing w:after="0"/>
              <w:rPr>
                <w:sz w:val="20"/>
                <w:szCs w:val="20"/>
                <w:color w:val="auto"/>
              </w:rPr>
            </w:pPr>
            <w:r>
              <w:rPr>
                <w:rFonts w:ascii="Arial" w:cs="Arial" w:eastAsia="Arial" w:hAnsi="Arial"/>
                <w:sz w:val="18"/>
                <w:szCs w:val="18"/>
                <w:color w:val="auto"/>
              </w:rPr>
              <w:t>Genesis Assets Fund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7,664,094</w:t>
            </w:r>
          </w:p>
        </w:tc>
      </w:tr>
      <w:tr>
        <w:trPr>
          <w:trHeight w:val="216"/>
        </w:trPr>
        <w:tc>
          <w:tcPr>
            <w:tcW w:w="720" w:type="dxa"/>
            <w:vAlign w:val="bottom"/>
            <w:shd w:val="clear" w:color="auto" w:fill="CCEEFF"/>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Invesco Van Kampen</w:t>
            </w: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Growth and Income Fund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12,072,703</w:t>
            </w:r>
          </w:p>
        </w:tc>
      </w:tr>
      <w:tr>
        <w:trPr>
          <w:trHeight w:val="216"/>
        </w:trPr>
        <w:tc>
          <w:tcPr>
            <w:tcW w:w="7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T. Rowe Price</w:t>
            </w:r>
          </w:p>
        </w:tc>
        <w:tc>
          <w:tcPr>
            <w:tcW w:w="4820" w:type="dxa"/>
            <w:vAlign w:val="bottom"/>
          </w:tcPr>
          <w:p>
            <w:pPr>
              <w:ind w:left="180"/>
              <w:spacing w:after="0"/>
              <w:rPr>
                <w:sz w:val="20"/>
                <w:szCs w:val="20"/>
                <w:color w:val="auto"/>
              </w:rPr>
            </w:pPr>
            <w:r>
              <w:rPr>
                <w:rFonts w:ascii="Arial" w:cs="Arial" w:eastAsia="Arial" w:hAnsi="Arial"/>
                <w:sz w:val="18"/>
                <w:szCs w:val="18"/>
                <w:color w:val="auto"/>
              </w:rPr>
              <w:t>Retirement 2050 Fund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1,155,741</w:t>
            </w:r>
          </w:p>
        </w:tc>
      </w:tr>
      <w:tr>
        <w:trPr>
          <w:trHeight w:val="216"/>
        </w:trPr>
        <w:tc>
          <w:tcPr>
            <w:tcW w:w="7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2040 Fund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4,086,763</w:t>
            </w:r>
          </w:p>
        </w:tc>
      </w:tr>
      <w:tr>
        <w:trPr>
          <w:trHeight w:val="216"/>
        </w:trPr>
        <w:tc>
          <w:tcPr>
            <w:tcW w:w="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Retirement 2030 Fund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4,646,355</w:t>
            </w:r>
          </w:p>
        </w:tc>
      </w:tr>
      <w:tr>
        <w:trPr>
          <w:trHeight w:val="216"/>
        </w:trPr>
        <w:tc>
          <w:tcPr>
            <w:tcW w:w="7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2020 Fund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11,256,174</w:t>
            </w:r>
          </w:p>
        </w:tc>
      </w:tr>
      <w:tr>
        <w:trPr>
          <w:trHeight w:val="216"/>
        </w:trPr>
        <w:tc>
          <w:tcPr>
            <w:tcW w:w="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Retirement 2010 Fund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2,352,018</w:t>
            </w:r>
          </w:p>
        </w:tc>
      </w:tr>
      <w:tr>
        <w:trPr>
          <w:trHeight w:val="223"/>
        </w:trPr>
        <w:tc>
          <w:tcPr>
            <w:tcW w:w="7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Retirement Income Fund</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1,196,972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71,224,194</w:t>
            </w:r>
          </w:p>
        </w:tc>
        <w:tc>
          <w:tcPr>
            <w:tcW w:w="100" w:type="dxa"/>
            <w:vAlign w:val="bottom"/>
          </w:tcPr>
          <w:p>
            <w:pPr>
              <w:spacing w:after="0"/>
              <w:rPr>
                <w:sz w:val="19"/>
                <w:szCs w:val="19"/>
                <w:color w:val="auto"/>
              </w:rPr>
            </w:pPr>
          </w:p>
        </w:tc>
      </w:tr>
      <w:tr>
        <w:trPr>
          <w:trHeight w:val="216"/>
        </w:trPr>
        <w:tc>
          <w:tcPr>
            <w:tcW w:w="7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153,665,588</w:t>
            </w:r>
          </w:p>
        </w:tc>
      </w:tr>
      <w:tr>
        <w:trPr>
          <w:trHeight w:val="202"/>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w w:val="93"/>
              </w:rPr>
              <w:t>Collateralized by vested account balances, payable in monthly</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20" w:type="dxa"/>
            <w:vAlign w:val="bottom"/>
          </w:tcPr>
          <w:p>
            <w:pPr>
              <w:jc w:val="center"/>
              <w:ind w:right="30"/>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20"/>
                <w:szCs w:val="20"/>
                <w:color w:val="auto"/>
              </w:rPr>
            </w:pPr>
            <w:r>
              <w:rPr>
                <w:rFonts w:ascii="Arial" w:cs="Arial" w:eastAsia="Arial" w:hAnsi="Arial"/>
                <w:sz w:val="18"/>
                <w:szCs w:val="18"/>
                <w:color w:val="auto"/>
              </w:rPr>
              <w:t>Notes receivable from participants</w:t>
            </w:r>
          </w:p>
        </w:tc>
        <w:tc>
          <w:tcPr>
            <w:tcW w:w="4820" w:type="dxa"/>
            <w:vAlign w:val="bottom"/>
          </w:tcPr>
          <w:p>
            <w:pPr>
              <w:ind w:left="180"/>
              <w:spacing w:after="0"/>
              <w:rPr>
                <w:sz w:val="20"/>
                <w:szCs w:val="20"/>
                <w:color w:val="auto"/>
              </w:rPr>
            </w:pPr>
            <w:r>
              <w:rPr>
                <w:rFonts w:ascii="Arial" w:cs="Arial" w:eastAsia="Arial" w:hAnsi="Arial"/>
                <w:sz w:val="18"/>
                <w:szCs w:val="18"/>
                <w:color w:val="auto"/>
                <w:w w:val="96"/>
              </w:rPr>
              <w:t>installments with interest rates ranging from 5.25% to 11.5%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6,808,466</w:t>
            </w:r>
          </w:p>
        </w:tc>
        <w:tc>
          <w:tcPr>
            <w:tcW w:w="100" w:type="dxa"/>
            <w:vAlign w:val="bottom"/>
          </w:tcPr>
          <w:p>
            <w:pPr>
              <w:spacing w:after="0"/>
              <w:rPr>
                <w:sz w:val="20"/>
                <w:szCs w:val="20"/>
                <w:color w:val="auto"/>
              </w:rPr>
            </w:pPr>
          </w:p>
        </w:tc>
      </w:tr>
      <w:tr>
        <w:trPr>
          <w:trHeight w:val="237"/>
        </w:trPr>
        <w:tc>
          <w:tcPr>
            <w:tcW w:w="72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160,474,054</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720" w:hanging="46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a party-in-interest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Column (d), cost, is not applicable, as all investments are participant-directed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Universal Forest Products, Inc., as Plan Administrator, has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Forest Products, Inc. Employee's Profit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Sharing and 401(k) Retirement Plan</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June 24, 2011</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87768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Missad, Executive Vice President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Forest Products, Inc., Plan Administrator</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June 24, 2011</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87768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R. Cole, Chief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Forest Products, Inc., Plan Administrator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25" w:lineRule="exact"/>
        <w:rPr>
          <w:sz w:val="20"/>
          <w:szCs w:val="20"/>
          <w:color w:val="auto"/>
        </w:rPr>
      </w:pPr>
    </w:p>
    <w:p>
      <w:pPr>
        <w:ind w:left="1260" w:hanging="1252"/>
        <w:spacing w:after="0"/>
        <w:tabs>
          <w:tab w:leader="none" w:pos="1260" w:val="left"/>
        </w:tabs>
        <w:numPr>
          <w:ilvl w:val="0"/>
          <w:numId w:val="11"/>
        </w:numPr>
        <w:rPr>
          <w:rFonts w:ascii="Arial" w:cs="Arial" w:eastAsia="Arial" w:hAnsi="Arial"/>
          <w:sz w:val="18"/>
          <w:szCs w:val="18"/>
          <w:u w:val="single" w:color="auto"/>
          <w:color w:val="0000EE"/>
        </w:rPr>
      </w:pPr>
      <w:r>
        <w:rPr>
          <w:rFonts w:ascii="Arial" w:cs="Arial" w:eastAsia="Arial" w:hAnsi="Arial"/>
          <w:sz w:val="18"/>
          <w:szCs w:val="18"/>
          <w:color w:val="auto"/>
        </w:rPr>
        <w:t>Consent of BDO USA, LLP</w:t>
      </w: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 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Profit Sharing and 401(k) Retirement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(33-84632) of Universal Forest Products Inc. of our report dated June 24, 2011 relating to the financial statements and supplemental schedule of Universal Forest Products, Inc. Employees’ Profit Sharing and 401(k) Retirement Plan which appear in this Form 11-K.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4"/>
    </w:lvl>
  </w:abstractNum>
  <w:abstractNum w:abstractNumId="8">
    <w:nsid w:val="4DB127F8"/>
    <w:multiLevelType w:val="hybridMultilevel"/>
    <w:lvl w:ilvl="0">
      <w:lvlJc w:val="left"/>
      <w:lvlText w:val="%1."/>
      <w:numFmt w:val="decimal"/>
      <w:start w:val="6"/>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2019-12-10T12:39:54Z</dcterms:created>
  <dcterms:modified xsi:type="dcterms:W3CDTF">2019-12-10T12:39:54Z</dcterms:modified>
</cp:coreProperties>
</file>