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April 1, 2023</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53"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both"/>
        <w:ind w:right="800"/>
        <w:spacing w:after="0" w:line="25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30"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1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7"/>
              </w:rPr>
              <w:t>Class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as of April 1, 2023</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62,095,570</w:t>
            </w:r>
          </w:p>
        </w:tc>
      </w:tr>
    </w:tbl>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49"/>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10"/>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April 1, 2023, December 31, 2022 and March</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0000EE"/>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26, 2022</w:t>
            </w: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58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16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Months Ended April 1, 2023 and March 26, 2022</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April 1, 2023 and March 26, 2022</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April 1,</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2023 and March 26, 2022</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423,299</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2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809,389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617,604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1,095,362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425,835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398,798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576,023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534,503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574,429</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654,328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960,338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973,227</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1,230,351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35,692</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42,520</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2,267,013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2,262,113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2,472,417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19,898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107,517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101,262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337,467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337,320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317,631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142,277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143,892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1,408,360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1,379,968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(708,205)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(690,986)</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(643,191)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700,155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688,982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600,879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3,696,789</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3,672,073</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3,673,966</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overdraft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61,711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277,989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206,941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425,956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142,603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296,120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189,509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77,054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25,577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42,895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530,359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611,835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903,202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275,154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379,015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92,182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51,254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51,265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44,697</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35,330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984,347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1,068,370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1,455,794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4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6,801</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6,880</w:t>
            </w:r>
          </w:p>
        </w:tc>
        <w:tc>
          <w:tcPr>
            <w:tcW w:w="2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4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4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62,096</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61,618</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62,734</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62,095,570, 61,618,193 and 62,734,161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294,029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2,293,025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2,217,410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1,851,784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(5,074)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(9,075)</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2,675,777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2,563,982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2,177,892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29,864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32,841</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40,280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2,705,641</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2,596,823</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2,218,172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60" w:type="dxa"/>
            <w:vAlign w:val="bottom"/>
          </w:tcPr>
          <w:p>
            <w:pPr>
              <w:spacing w:after="0"/>
              <w:rPr>
                <w:sz w:val="11"/>
                <w:szCs w:val="11"/>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3,696,789</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3,672,073</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3,673,966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2"/>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2"/>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1,464,147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LOSSES (GAINS), NET</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259,025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INVESTEE</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(EARNINGS) ATTRIBUTABLE TO NONCONTROLLING INTEREST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CONTROLLING INTEREST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191,938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48"/>
        </w:trPr>
        <w:tc>
          <w:tcPr>
            <w:tcW w:w="29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15"/>
          </w:tcPr>
          <w:p>
            <w:pPr>
              <w:jc w:val="right"/>
              <w:ind w:right="397"/>
              <w:spacing w:after="0" w:line="141" w:lineRule="exact"/>
              <w:rPr>
                <w:sz w:val="20"/>
                <w:szCs w:val="20"/>
                <w:color w:val="auto"/>
              </w:rPr>
            </w:pPr>
            <w:r>
              <w:rPr>
                <w:rFonts w:ascii="Times New Roman" w:cs="Times New Roman" w:eastAsia="Times New Roman" w:hAnsi="Times New Roman"/>
                <w:sz w:val="13"/>
                <w:szCs w:val="13"/>
                <w:b w:val="1"/>
                <w:bCs w:val="1"/>
                <w:color w:val="auto"/>
                <w:w w:val="95"/>
              </w:rPr>
              <w:t>Controlling Interest Shareholders’ Equity</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4"/>
          </w:tcPr>
          <w:p>
            <w:pPr>
              <w:jc w:val="center"/>
              <w:ind w:right="16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6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04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20" w:type="dxa"/>
            <w:vAlign w:val="bottom"/>
            <w:gridSpan w:val="5"/>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Temporary</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Interest (NCI)</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298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on December 31, 2022</w:t>
            </w:r>
          </w:p>
        </w:tc>
        <w:tc>
          <w:tcPr>
            <w:tcW w:w="140" w:type="dxa"/>
            <w:vAlign w:val="bottom"/>
            <w:tcBorders>
              <w:top w:val="single" w:sz="8" w:color="auto"/>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61,618</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2"/>
              </w:rPr>
              <w:t>$ 294,029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7"/>
              </w:rPr>
              <w:t>$ 2,217,410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(9,075)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32,841</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tcBorders>
              <w:top w:val="single" w:sz="8" w:color="auto"/>
            </w:tcBorders>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2,596,823</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6,880</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earnings (loss)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126,069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125,756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3,850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6,045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on debt securities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NCI</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(4,859)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(4,859)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dividends - $0.25 per share - quarterly</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(15,642)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10,140 shares under employee stock</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plan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824,669 shares under stock grant programs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14,356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4"/>
              </w:rPr>
              <w:t>15,187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93,165 shares under deferred compensation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plans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450,597 shares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(35,268)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Expense associated with share-based compensation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arrangements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8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7,165</w:t>
            </w: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7,165</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on April 1, 2023</w:t>
            </w:r>
          </w:p>
        </w:tc>
        <w:tc>
          <w:tcPr>
            <w:tcW w:w="140" w:type="dxa"/>
            <w:vAlign w:val="bottom"/>
            <w:gridSpan w:val="2"/>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62,096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$ 325,730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$ 2,293,025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(5,074)</w:t>
            </w:r>
          </w:p>
        </w:tc>
        <w:tc>
          <w:tcPr>
            <w:tcW w:w="120" w:type="dxa"/>
            <w:vAlign w:val="bottom"/>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29,864</w:t>
            </w:r>
          </w:p>
        </w:tc>
        <w:tc>
          <w:tcPr>
            <w:tcW w:w="140" w:type="dxa"/>
            <w:vAlign w:val="bottom"/>
          </w:tcPr>
          <w:p>
            <w:pPr>
              <w:spacing w:after="0"/>
              <w:rPr>
                <w:sz w:val="13"/>
                <w:szCs w:val="13"/>
                <w:color w:val="auto"/>
              </w:rPr>
            </w:pP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2,705,641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6,801</w:t>
            </w:r>
          </w:p>
        </w:tc>
        <w:tc>
          <w:tcPr>
            <w:tcW w:w="0" w:type="dxa"/>
            <w:vAlign w:val="bottom"/>
          </w:tcPr>
          <w:p>
            <w:pPr>
              <w:spacing w:after="0"/>
              <w:rPr>
                <w:sz w:val="1"/>
                <w:szCs w:val="1"/>
                <w:color w:val="auto"/>
              </w:rPr>
            </w:pPr>
          </w:p>
        </w:tc>
      </w:tr>
      <w:tr>
        <w:trPr>
          <w:trHeight w:val="344"/>
        </w:trPr>
        <w:tc>
          <w:tcPr>
            <w:tcW w:w="2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13"/>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Controlling Interest Shareholders’ Equity</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1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9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40"/>
              <w:spacing w:after="0" w:line="11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3"/>
              </w:rPr>
              <w:t>Noncontrolling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Temporary</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6"/>
              </w:rPr>
              <w:t>Interest (NCI)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298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on December 25, 2021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61,902</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243,995</w:t>
            </w: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1,678,121</w:t>
            </w:r>
          </w:p>
        </w:tc>
        <w:tc>
          <w:tcPr>
            <w:tcW w:w="1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tcBorders>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(5,405)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tcBorders>
            <w:gridSpan w:val="3"/>
            <w:shd w:val="clear" w:color="auto" w:fill="CCEEFF"/>
          </w:tcPr>
          <w:p>
            <w:pPr>
              <w:jc w:val="right"/>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37,956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tcBorders>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2,016,569</w:t>
            </w:r>
          </w:p>
        </w:tc>
        <w:tc>
          <w:tcPr>
            <w:tcW w:w="8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189,703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3,428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193,131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2,930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34"/>
              <w:spacing w:after="0" w:line="135" w:lineRule="exact"/>
              <w:rPr>
                <w:sz w:val="20"/>
                <w:szCs w:val="20"/>
                <w:color w:val="auto"/>
              </w:rPr>
            </w:pPr>
            <w:r>
              <w:rPr>
                <w:rFonts w:ascii="Times New Roman" w:cs="Times New Roman" w:eastAsia="Times New Roman" w:hAnsi="Times New Roman"/>
                <w:sz w:val="13"/>
                <w:szCs w:val="13"/>
                <w:color w:val="auto"/>
              </w:rPr>
              <w:t>949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3,879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debt securities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NCI</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(2,053)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dividends - $0.20 per share - quarterly</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(12,541)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(12,541)</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9,734 shares under employee stock purchase</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plan</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787,045 shares under stock grant programs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787</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8,959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9,746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79,973 shares under deferred compensation</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plans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44,442 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(3,544)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Expense associated with share-based compensation</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arrangements</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6,134</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4"/>
          </w:tcPr>
          <w:p>
            <w:pPr>
              <w:jc w:val="right"/>
              <w:spacing w:after="0" w:line="135" w:lineRule="exact"/>
              <w:rPr>
                <w:sz w:val="20"/>
                <w:szCs w:val="20"/>
                <w:color w:val="auto"/>
              </w:rPr>
            </w:pPr>
            <w:r>
              <w:rPr>
                <w:rFonts w:ascii="Times New Roman" w:cs="Times New Roman" w:eastAsia="Times New Roman" w:hAnsi="Times New Roman"/>
                <w:sz w:val="13"/>
                <w:szCs w:val="13"/>
                <w:color w:val="auto"/>
              </w:rPr>
              <w:t>6,134</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on March 26, 2022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62,734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266,544</w:t>
            </w:r>
          </w:p>
        </w:tc>
        <w:tc>
          <w:tcPr>
            <w:tcW w:w="4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rPr>
                <w:sz w:val="11"/>
                <w:szCs w:val="11"/>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1,851,784</w:t>
            </w:r>
          </w:p>
        </w:tc>
        <w:tc>
          <w:tcPr>
            <w:tcW w:w="140" w:type="dxa"/>
            <w:vAlign w:val="bottom"/>
            <w:gridSpan w:val="2"/>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gridSpan w:val="3"/>
            <w:shd w:val="clear" w:color="auto" w:fill="CCEEFF"/>
          </w:tcPr>
          <w:p>
            <w:pPr>
              <w:jc w:val="right"/>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40,280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2,218,172</w:t>
            </w:r>
          </w:p>
        </w:tc>
        <w:tc>
          <w:tcPr>
            <w:tcW w:w="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March 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OPERATING ACTIVITIES: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125,578</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used in operating activities: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25,774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 (credit)</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(gain) loss on investments and other</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 in loss of investee</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gain on sale and disposition of assets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(191,064)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(352,928)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68,388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0" w:type="dxa"/>
            <w:vAlign w:val="bottom"/>
            <w:tcBorders>
              <w:bottom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(95,105)</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(37,076)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(245,031)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(38,166)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 and purchase of equity method investment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(41,858)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(59,736)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FROM FINANCING ACTIVITIES: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(33,288)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CASH (USED IN) FROM FINANCING ACTIVITIES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(59,368)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6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2,739</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(135,563)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6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559,623</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424,060</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vMerge w:val="restart"/>
          </w:tcPr>
          <w:p>
            <w:pPr>
              <w:spacing w:after="0"/>
              <w:rPr>
                <w:sz w:val="5"/>
                <w:szCs w:val="5"/>
                <w:color w:val="auto"/>
              </w:rPr>
            </w:pPr>
          </w:p>
        </w:tc>
        <w:tc>
          <w:tcPr>
            <w:tcW w:w="6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7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6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82"/>
        </w:trPr>
        <w:tc>
          <w:tcPr>
            <w:tcW w:w="6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291,223</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2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7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423,299</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6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82"/>
        </w:trPr>
        <w:tc>
          <w:tcPr>
            <w:tcW w:w="6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424,060</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74,512</w:t>
            </w: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2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76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3,309</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7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6,705</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31, 2022.</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26, 2022 balances in the accompanying unaudited condensed consolidated balance sheets.</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ASU requires that an acquirer recognize and measure contract assets and contract liabilities in a business combination in accordance with Topic 606. The ASU is effective for fiscal years beginning after December 15, 2022, including interim periods within those fiscal years and is being applied prospectively to all business combinations occurring after this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26, 2022</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9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2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58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$ 208,129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$ 209,057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9,659</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18,407</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securities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19,289</w:t>
            </w: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0" w:type="dxa"/>
            <w:vAlign w:val="bottom"/>
          </w:tcPr>
          <w:p>
            <w:pPr>
              <w:spacing w:after="0"/>
              <w:rPr>
                <w:sz w:val="1"/>
                <w:szCs w:val="1"/>
                <w:color w:val="auto"/>
              </w:rPr>
            </w:pPr>
          </w:p>
        </w:tc>
      </w:tr>
      <w:tr>
        <w:trPr>
          <w:trHeight w:val="203"/>
        </w:trPr>
        <w:tc>
          <w:tcPr>
            <w:tcW w:w="1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5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10,576</w:t>
            </w:r>
          </w:p>
        </w:tc>
        <w:tc>
          <w:tcPr>
            <w:tcW w:w="0" w:type="dxa"/>
            <w:vAlign w:val="bottom"/>
          </w:tcPr>
          <w:p>
            <w:pPr>
              <w:spacing w:after="0"/>
              <w:rPr>
                <w:sz w:val="1"/>
                <w:szCs w:val="1"/>
                <w:color w:val="auto"/>
              </w:rPr>
            </w:pPr>
          </w:p>
        </w:tc>
      </w:tr>
      <w:tr>
        <w:trPr>
          <w:trHeight w:val="181"/>
        </w:trPr>
        <w:tc>
          <w:tcPr>
            <w:tcW w:w="158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 stock</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w:t>
            </w:r>
          </w:p>
        </w:tc>
        <w:tc>
          <w:tcPr>
            <w:tcW w:w="0" w:type="dxa"/>
            <w:vAlign w:val="bottom"/>
          </w:tcPr>
          <w:p>
            <w:pPr>
              <w:spacing w:after="0"/>
              <w:rPr>
                <w:sz w:val="1"/>
                <w:szCs w:val="1"/>
                <w:color w:val="auto"/>
              </w:rPr>
            </w:pPr>
          </w:p>
        </w:tc>
      </w:tr>
      <w:tr>
        <w:trPr>
          <w:trHeight w:val="203"/>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3"/>
        </w:trPr>
        <w:tc>
          <w:tcPr>
            <w:tcW w:w="1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Alternative funds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r>
        <w:trPr>
          <w:trHeight w:val="196"/>
        </w:trPr>
        <w:tc>
          <w:tcPr>
            <w:tcW w:w="1580" w:type="dxa"/>
            <w:vAlign w:val="bottom"/>
            <w:tcBorders>
              <w:top w:val="single" w:sz="8" w:color="CCEEFF"/>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 mutual funds</w:t>
            </w: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16,970</w:t>
            </w:r>
          </w:p>
        </w:tc>
        <w:tc>
          <w:tcPr>
            <w:tcW w:w="1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16,970</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12,861</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12,861</w:t>
            </w:r>
          </w:p>
        </w:tc>
        <w:tc>
          <w:tcPr>
            <w:tcW w:w="0" w:type="dxa"/>
            <w:vAlign w:val="bottom"/>
          </w:tcPr>
          <w:p>
            <w:pPr>
              <w:spacing w:after="0"/>
              <w:rPr>
                <w:sz w:val="1"/>
                <w:szCs w:val="1"/>
                <w:color w:val="auto"/>
              </w:rPr>
            </w:pPr>
          </w:p>
        </w:tc>
      </w:tr>
      <w:tr>
        <w:trPr>
          <w:trHeight w:val="203"/>
        </w:trPr>
        <w:tc>
          <w:tcPr>
            <w:tcW w:w="1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$ 246,257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$ 269,170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34,789</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64,522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From the assets measured at fair value as of April 1, 2023, listed in the table above, $208.8 million of money market funds are held in Cash and Cash Equivalents, $37.5 million of mutual funds, equity securities, and alternative investments are held in Investments, $0.5 million of money market and mutual funds are held in Other Assets for our deferred compensation plan, and $22.1 million of fixed income funds and $0.3 million of money market funds are held in Restricted Investments.</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$59.6 million and $54.2 million as of April 1, 2023 and March 26, 2022, respectively, which has been included in the aforementioned table of total investments. This portfolio consists of domestic and international equity securities, alternative investments, and fixed income bonds.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March 26, 2022</w:t>
            </w:r>
          </w:p>
        </w:tc>
        <w:tc>
          <w:tcPr>
            <w:tcW w:w="0" w:type="dxa"/>
            <w:vAlign w:val="bottom"/>
          </w:tcPr>
          <w:p>
            <w:pPr>
              <w:spacing w:after="0"/>
              <w:rPr>
                <w:sz w:val="1"/>
                <w:szCs w:val="1"/>
                <w:color w:val="auto"/>
              </w:rPr>
            </w:pPr>
          </w:p>
        </w:tc>
      </w:tr>
      <w:tr>
        <w:trPr>
          <w:trHeight w:val="124"/>
        </w:trPr>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0"/>
                <w:szCs w:val="10"/>
                <w:color w:val="auto"/>
              </w:rPr>
            </w:pPr>
          </w:p>
        </w:tc>
        <w:tc>
          <w:tcPr>
            <w:tcW w:w="84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$ 21,720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$ 19,049</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$ 18,407</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57,613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$ 59,597</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$ 47,158</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7,056</w:t>
            </w:r>
          </w:p>
        </w:tc>
        <w:tc>
          <w:tcPr>
            <w:tcW w:w="8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$ 54,214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$2.0 million and $7.1 million as of April 1, 2023 and March 26, 2022, respectively. Carrying amounts above are recorded in the investments and restricted investments line items within the balance sheet as of April 1, 2023 and March 26, 2022.</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formerly known as UFP Industrial)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220"/>
        </w:trPr>
        <w:tc>
          <w:tcPr>
            <w:tcW w:w="4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2"/>
        </w:trPr>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1,784,456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2,450,281</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Borders>
              <w:top w:val="single" w:sz="8" w:color="CCEEFF"/>
            </w:tcBorders>
            <w:shd w:val="clear" w:color="auto" w:fill="CCEEFF"/>
          </w:tcPr>
          <w:p>
            <w:pPr>
              <w:spacing w:after="0"/>
              <w:rPr>
                <w:sz w:val="18"/>
                <w:szCs w:val="18"/>
                <w:color w:val="auto"/>
              </w:rPr>
            </w:pP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39,032</w:t>
            </w:r>
          </w:p>
        </w:tc>
        <w:tc>
          <w:tcPr>
            <w:tcW w:w="18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26,</w:t>
            </w:r>
          </w:p>
        </w:tc>
      </w:tr>
      <w:tr>
        <w:trPr>
          <w:trHeight w:val="180"/>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5,415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5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54"/>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3"/>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equivalents</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5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120,488</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182,897</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59,948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60,748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5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60,803</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60,973</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on April 1, 2023,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April 1, 2023, we had outstanding purchase commitments on commenced capital projects of approximately $63.8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April 1, 2023, we had approximately $15.0 million in outstanding payment and performance bonds for open projects. We had approximately $24.8 million in payment and performance bonds outstanding for completed projects which are still under warranty.</w:t>
      </w:r>
    </w:p>
    <w:p>
      <w:pPr>
        <w:spacing w:after="0" w:line="187"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April 1, 2023, we had outstanding letters of credit totaling $55.3 million, primarily related to certain insurance contracts, industrial development revenue bonds, and other debt agreements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April 1, 2023, we have irrevocable letters of credit outstanding totaling approximately $52.0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first quarter of 2023 which would require us to recognize a liability on our balance sheet.</w:t>
      </w:r>
    </w:p>
    <w:p>
      <w:pPr>
        <w:spacing w:after="0" w:line="374" w:lineRule="exact"/>
        <w:rPr>
          <w:sz w:val="20"/>
          <w:szCs w:val="20"/>
          <w:color w:val="auto"/>
        </w:rPr>
      </w:pPr>
    </w:p>
    <w:p>
      <w:pPr>
        <w:ind w:left="500" w:hanging="450"/>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EQUITY METHOD INVESTMENTS</w:t>
      </w:r>
    </w:p>
    <w:p>
      <w:pPr>
        <w:spacing w:after="0" w:line="121" w:lineRule="exact"/>
        <w:rPr>
          <w:sz w:val="20"/>
          <w:szCs w:val="20"/>
          <w:color w:val="auto"/>
        </w:rPr>
      </w:pPr>
    </w:p>
    <w:p>
      <w:pPr>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since the end of March 2022, which were accounted for using the purchase or equity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80" w:type="dxa"/>
            <w:vAlign w:val="bottom"/>
            <w:tcBorders>
              <w:top w:val="single" w:sz="8" w:color="auto"/>
              <w:left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Net</w:t>
            </w:r>
          </w:p>
        </w:tc>
        <w:tc>
          <w:tcPr>
            <w:tcW w:w="2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100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5"/>
              </w:rPr>
              <w:t>Tangible</w:t>
            </w:r>
          </w:p>
        </w:tc>
        <w:tc>
          <w:tcPr>
            <w:tcW w:w="20" w:type="dxa"/>
            <w:vAlign w:val="bottom"/>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80" w:type="dxa"/>
            <w:vAlign w:val="bottom"/>
            <w:tcBorders>
              <w:left w:val="single" w:sz="8" w:color="auto"/>
              <w:right w:val="single" w:sz="8" w:color="auto"/>
            </w:tcBorders>
            <w:shd w:val="clear" w:color="auto" w:fill="CCEBFF"/>
          </w:tcPr>
          <w:p>
            <w:pPr>
              <w:spacing w:after="0"/>
              <w:rPr>
                <w:sz w:val="16"/>
                <w:szCs w:val="16"/>
                <w:color w:val="auto"/>
              </w:rPr>
            </w:pPr>
          </w:p>
        </w:tc>
        <w:tc>
          <w:tcPr>
            <w:tcW w:w="144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6, 2022</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$71,009 cash paid for</w:t>
            </w:r>
          </w:p>
        </w:tc>
        <w:tc>
          <w:tcPr>
            <w:tcW w:w="120" w:type="dxa"/>
            <w:vAlign w:val="bottom"/>
            <w:vMerge w:val="restart"/>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48,812</w:t>
            </w:r>
          </w:p>
        </w:tc>
        <w:tc>
          <w:tcPr>
            <w:tcW w:w="160" w:type="dxa"/>
            <w:vAlign w:val="bottom"/>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22,197</w:t>
            </w:r>
          </w:p>
        </w:tc>
        <w:tc>
          <w:tcPr>
            <w:tcW w:w="20" w:type="dxa"/>
            <w:vAlign w:val="bottom"/>
            <w:shd w:val="clear" w:color="auto" w:fill="CCEBFF"/>
          </w:tcPr>
          <w:p>
            <w:pPr>
              <w:spacing w:after="0"/>
              <w:rPr>
                <w:sz w:val="16"/>
                <w:szCs w:val="16"/>
                <w:color w:val="auto"/>
              </w:rPr>
            </w:pPr>
          </w:p>
        </w:tc>
        <w:tc>
          <w:tcPr>
            <w:tcW w:w="80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102"/>
        </w:trPr>
        <w:tc>
          <w:tcPr>
            <w:tcW w:w="2580" w:type="dxa"/>
            <w:vAlign w:val="bottom"/>
            <w:tcBorders>
              <w:left w:val="single" w:sz="8" w:color="auto"/>
              <w:right w:val="single" w:sz="8" w:color="auto"/>
            </w:tcBorders>
            <w:shd w:val="clear" w:color="auto" w:fill="CCEBFF"/>
          </w:tcPr>
          <w:p>
            <w:pPr>
              <w:spacing w:after="0"/>
              <w:rPr>
                <w:sz w:val="8"/>
                <w:szCs w:val="8"/>
                <w:color w:val="auto"/>
              </w:rPr>
            </w:pPr>
          </w:p>
        </w:tc>
        <w:tc>
          <w:tcPr>
            <w:tcW w:w="1440" w:type="dxa"/>
            <w:vAlign w:val="bottom"/>
            <w:tcBorders>
              <w:right w:val="single" w:sz="8" w:color="auto"/>
            </w:tcBorders>
            <w:vMerge w:val="continue"/>
            <w:shd w:val="clear" w:color="auto" w:fill="CCEBFF"/>
          </w:tcPr>
          <w:p>
            <w:pPr>
              <w:spacing w:after="0"/>
              <w:rPr>
                <w:sz w:val="8"/>
                <w:szCs w:val="8"/>
                <w:color w:val="auto"/>
              </w:rPr>
            </w:pPr>
          </w:p>
        </w:tc>
        <w:tc>
          <w:tcPr>
            <w:tcW w:w="178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100% asset purchase</w:t>
            </w:r>
          </w:p>
        </w:tc>
        <w:tc>
          <w:tcPr>
            <w:tcW w:w="120" w:type="dxa"/>
            <w:vAlign w:val="bottom"/>
            <w:vMerge w:val="continue"/>
            <w:shd w:val="clear" w:color="auto" w:fill="CCEBFF"/>
          </w:tcPr>
          <w:p>
            <w:pPr>
              <w:spacing w:after="0"/>
              <w:rPr>
                <w:sz w:val="8"/>
                <w:szCs w:val="8"/>
                <w:color w:val="auto"/>
              </w:rPr>
            </w:pPr>
          </w:p>
        </w:tc>
        <w:tc>
          <w:tcPr>
            <w:tcW w:w="1020" w:type="dxa"/>
            <w:vAlign w:val="bottom"/>
            <w:tcBorders>
              <w:right w:val="single" w:sz="8" w:color="auto"/>
            </w:tcBorders>
            <w:vMerge w:val="continue"/>
            <w:shd w:val="clear" w:color="auto" w:fill="CCEBFF"/>
          </w:tcPr>
          <w:p>
            <w:pPr>
              <w:spacing w:after="0"/>
              <w:rPr>
                <w:sz w:val="8"/>
                <w:szCs w:val="8"/>
                <w:color w:val="auto"/>
              </w:rPr>
            </w:pPr>
          </w:p>
        </w:tc>
        <w:tc>
          <w:tcPr>
            <w:tcW w:w="160" w:type="dxa"/>
            <w:vAlign w:val="bottom"/>
            <w:vMerge w:val="continue"/>
            <w:shd w:val="clear" w:color="auto" w:fill="CCEBFF"/>
          </w:tcPr>
          <w:p>
            <w:pPr>
              <w:spacing w:after="0"/>
              <w:rPr>
                <w:sz w:val="8"/>
                <w:szCs w:val="8"/>
                <w:color w:val="auto"/>
              </w:rPr>
            </w:pPr>
          </w:p>
        </w:tc>
        <w:tc>
          <w:tcPr>
            <w:tcW w:w="1000" w:type="dxa"/>
            <w:vAlign w:val="bottom"/>
            <w:tcBorders>
              <w:right w:val="single" w:sz="8" w:color="auto"/>
            </w:tcBorders>
            <w:vMerge w:val="continue"/>
            <w:shd w:val="clear" w:color="auto" w:fill="CCEBFF"/>
          </w:tcPr>
          <w:p>
            <w:pPr>
              <w:spacing w:after="0"/>
              <w:rPr>
                <w:sz w:val="8"/>
                <w:szCs w:val="8"/>
                <w:color w:val="auto"/>
              </w:rPr>
            </w:pPr>
          </w:p>
        </w:tc>
        <w:tc>
          <w:tcPr>
            <w:tcW w:w="20" w:type="dxa"/>
            <w:vAlign w:val="bottom"/>
            <w:shd w:val="clear" w:color="auto" w:fill="CCEBFF"/>
          </w:tcPr>
          <w:p>
            <w:pPr>
              <w:spacing w:after="0"/>
              <w:rPr>
                <w:sz w:val="8"/>
                <w:szCs w:val="8"/>
                <w:color w:val="auto"/>
              </w:rPr>
            </w:pPr>
          </w:p>
        </w:tc>
        <w:tc>
          <w:tcPr>
            <w:tcW w:w="800" w:type="dxa"/>
            <w:vAlign w:val="bottom"/>
            <w:tcBorders>
              <w:right w:val="single" w:sz="8" w:color="auto"/>
            </w:tcBorders>
            <w:vMerge w:val="continue"/>
            <w:shd w:val="clear" w:color="auto" w:fill="CCEB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5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Titan Corrugated, Inc. (Titan) and All</w:t>
            </w:r>
          </w:p>
        </w:tc>
        <w:tc>
          <w:tcPr>
            <w:tcW w:w="1440" w:type="dxa"/>
            <w:vAlign w:val="bottom"/>
            <w:tcBorders>
              <w:bottom w:val="single" w:sz="8" w:color="auto"/>
              <w:right w:val="single" w:sz="8" w:color="auto"/>
            </w:tcBorders>
            <w:shd w:val="clear" w:color="auto" w:fill="CCEBFF"/>
          </w:tcPr>
          <w:p>
            <w:pPr>
              <w:spacing w:after="0"/>
              <w:rPr>
                <w:sz w:val="9"/>
                <w:szCs w:val="9"/>
                <w:color w:val="auto"/>
              </w:rPr>
            </w:pPr>
          </w:p>
        </w:tc>
        <w:tc>
          <w:tcPr>
            <w:tcW w:w="1780" w:type="dxa"/>
            <w:vAlign w:val="bottom"/>
            <w:tcBorders>
              <w:bottom w:val="single" w:sz="8" w:color="auto"/>
              <w:right w:val="single" w:sz="8" w:color="auto"/>
            </w:tcBorders>
            <w:vMerge w:val="continue"/>
            <w:shd w:val="clear" w:color="auto" w:fill="CCEBFF"/>
          </w:tcPr>
          <w:p>
            <w:pPr>
              <w:spacing w:after="0"/>
              <w:rPr>
                <w:sz w:val="9"/>
                <w:szCs w:val="9"/>
                <w:color w:val="auto"/>
              </w:rPr>
            </w:pPr>
          </w:p>
        </w:tc>
        <w:tc>
          <w:tcPr>
            <w:tcW w:w="120" w:type="dxa"/>
            <w:vAlign w:val="bottom"/>
            <w:tcBorders>
              <w:bottom w:val="single" w:sz="8" w:color="auto"/>
            </w:tcBorders>
            <w:shd w:val="clear" w:color="auto" w:fill="CCEBFF"/>
          </w:tcPr>
          <w:p>
            <w:pPr>
              <w:spacing w:after="0"/>
              <w:rPr>
                <w:sz w:val="9"/>
                <w:szCs w:val="9"/>
                <w:color w:val="auto"/>
              </w:rPr>
            </w:pPr>
          </w:p>
        </w:tc>
        <w:tc>
          <w:tcPr>
            <w:tcW w:w="1020" w:type="dxa"/>
            <w:vAlign w:val="bottom"/>
            <w:tcBorders>
              <w:bottom w:val="single" w:sz="8" w:color="auto"/>
              <w:right w:val="single" w:sz="8" w:color="auto"/>
            </w:tcBorders>
            <w:shd w:val="clear" w:color="auto" w:fill="CCEBFF"/>
          </w:tcPr>
          <w:p>
            <w:pPr>
              <w:spacing w:after="0"/>
              <w:rPr>
                <w:sz w:val="9"/>
                <w:szCs w:val="9"/>
                <w:color w:val="auto"/>
              </w:rPr>
            </w:pPr>
          </w:p>
        </w:tc>
        <w:tc>
          <w:tcPr>
            <w:tcW w:w="160" w:type="dxa"/>
            <w:vAlign w:val="bottom"/>
            <w:tcBorders>
              <w:bottom w:val="single" w:sz="8" w:color="auto"/>
            </w:tcBorders>
            <w:shd w:val="clear" w:color="auto" w:fill="CCEBFF"/>
          </w:tcPr>
          <w:p>
            <w:pPr>
              <w:spacing w:after="0"/>
              <w:rPr>
                <w:sz w:val="9"/>
                <w:szCs w:val="9"/>
                <w:color w:val="auto"/>
              </w:rPr>
            </w:pPr>
          </w:p>
        </w:tc>
        <w:tc>
          <w:tcPr>
            <w:tcW w:w="1000" w:type="dxa"/>
            <w:vAlign w:val="bottom"/>
            <w:tcBorders>
              <w:bottom w:val="single" w:sz="8" w:color="auto"/>
              <w:right w:val="single" w:sz="8" w:color="auto"/>
            </w:tcBorders>
            <w:shd w:val="clear" w:color="auto" w:fill="CCEBFF"/>
          </w:tcPr>
          <w:p>
            <w:pPr>
              <w:spacing w:after="0"/>
              <w:rPr>
                <w:sz w:val="9"/>
                <w:szCs w:val="9"/>
                <w:color w:val="auto"/>
              </w:rPr>
            </w:pPr>
          </w:p>
        </w:tc>
        <w:tc>
          <w:tcPr>
            <w:tcW w:w="20" w:type="dxa"/>
            <w:vAlign w:val="bottom"/>
            <w:tcBorders>
              <w:bottom w:val="single" w:sz="8" w:color="auto"/>
            </w:tcBorders>
            <w:shd w:val="clear" w:color="auto" w:fill="CCEBFF"/>
          </w:tcPr>
          <w:p>
            <w:pPr>
              <w:spacing w:after="0"/>
              <w:rPr>
                <w:sz w:val="9"/>
                <w:szCs w:val="9"/>
                <w:color w:val="auto"/>
              </w:rPr>
            </w:pPr>
          </w:p>
        </w:tc>
        <w:tc>
          <w:tcPr>
            <w:tcW w:w="800" w:type="dxa"/>
            <w:vAlign w:val="bottom"/>
            <w:tcBorders>
              <w:bottom w:val="single" w:sz="8" w:color="auto"/>
              <w:right w:val="single" w:sz="8" w:color="auto"/>
            </w:tcBorders>
            <w:shd w:val="clear" w:color="auto" w:fill="CCEBFF"/>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58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340" w:type="dxa"/>
            <w:vAlign w:val="bottom"/>
            <w:tcBorders>
              <w:right w:val="single" w:sz="8" w:color="auto"/>
            </w:tcBorders>
            <w:gridSpan w:val="8"/>
            <w:shd w:val="clear" w:color="auto" w:fill="CCEBFF"/>
          </w:tcPr>
          <w:p>
            <w:pPr>
              <w:spacing w:after="0" w:line="171" w:lineRule="exact"/>
              <w:rPr>
                <w:sz w:val="20"/>
                <w:szCs w:val="20"/>
                <w:color w:val="auto"/>
              </w:rPr>
            </w:pPr>
            <w:r>
              <w:rPr>
                <w:rFonts w:ascii="Times New Roman" w:cs="Times New Roman" w:eastAsia="Times New Roman" w:hAnsi="Times New Roman"/>
                <w:sz w:val="16"/>
                <w:szCs w:val="16"/>
                <w:color w:val="auto"/>
              </w:rPr>
              <w:t>Located in Flower Mound, TX and founded in 2003, Titan’s primary products include boxes used</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Boxed Up, LLC</w:t>
            </w:r>
          </w:p>
        </w:tc>
        <w:tc>
          <w:tcPr>
            <w:tcW w:w="6340" w:type="dxa"/>
            <w:vAlign w:val="bottom"/>
            <w:tcBorders>
              <w:right w:val="single" w:sz="8" w:color="auto"/>
            </w:tcBorders>
            <w:gridSpan w:val="8"/>
            <w:shd w:val="clear" w:color="auto" w:fill="CCEBFF"/>
          </w:tcPr>
          <w:p>
            <w:pPr>
              <w:spacing w:after="0"/>
              <w:rPr>
                <w:sz w:val="20"/>
                <w:szCs w:val="20"/>
                <w:color w:val="auto"/>
              </w:rPr>
            </w:pPr>
            <w:r>
              <w:rPr>
                <w:rFonts w:ascii="Times New Roman" w:cs="Times New Roman" w:eastAsia="Times New Roman" w:hAnsi="Times New Roman"/>
                <w:sz w:val="16"/>
                <w:szCs w:val="16"/>
                <w:color w:val="auto"/>
              </w:rPr>
              <w:t>in moving and storage, jumbo boxes for industrial products, corrugated shipping containers, and</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shd w:val="clear" w:color="auto" w:fill="CCEBFF"/>
          </w:tcPr>
          <w:p>
            <w:pPr>
              <w:spacing w:after="0"/>
              <w:rPr>
                <w:sz w:val="17"/>
                <w:szCs w:val="17"/>
                <w:color w:val="auto"/>
              </w:rPr>
            </w:pPr>
          </w:p>
        </w:tc>
        <w:tc>
          <w:tcPr>
            <w:tcW w:w="6340" w:type="dxa"/>
            <w:vAlign w:val="bottom"/>
            <w:tcBorders>
              <w:right w:val="single" w:sz="8" w:color="auto"/>
            </w:tcBorders>
            <w:gridSpan w:val="8"/>
            <w:shd w:val="clear" w:color="auto" w:fill="CCEBFF"/>
          </w:tcPr>
          <w:p>
            <w:pPr>
              <w:spacing w:after="0"/>
              <w:rPr>
                <w:sz w:val="20"/>
                <w:szCs w:val="20"/>
                <w:color w:val="auto"/>
              </w:rPr>
            </w:pPr>
            <w:r>
              <w:rPr>
                <w:rFonts w:ascii="Times New Roman" w:cs="Times New Roman" w:eastAsia="Times New Roman" w:hAnsi="Times New Roman"/>
                <w:sz w:val="16"/>
                <w:szCs w:val="16"/>
                <w:color w:val="auto"/>
              </w:rPr>
              <w:t>point-of-purchase displays. All Boxed Up distributes common box sizes manufactured by Titan</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shd w:val="clear" w:color="auto" w:fill="CCEBFF"/>
          </w:tcPr>
          <w:p>
            <w:pPr>
              <w:spacing w:after="0"/>
              <w:rPr>
                <w:sz w:val="17"/>
                <w:szCs w:val="17"/>
                <w:color w:val="auto"/>
              </w:rPr>
            </w:pPr>
          </w:p>
        </w:tc>
        <w:tc>
          <w:tcPr>
            <w:tcW w:w="6340" w:type="dxa"/>
            <w:vAlign w:val="bottom"/>
            <w:tcBorders>
              <w:right w:val="single" w:sz="8" w:color="auto"/>
            </w:tcBorders>
            <w:gridSpan w:val="8"/>
            <w:shd w:val="clear" w:color="auto" w:fill="CCEBFF"/>
          </w:tcPr>
          <w:p>
            <w:pPr>
              <w:spacing w:after="0"/>
              <w:rPr>
                <w:sz w:val="20"/>
                <w:szCs w:val="20"/>
                <w:color w:val="auto"/>
              </w:rPr>
            </w:pPr>
            <w:r>
              <w:rPr>
                <w:rFonts w:ascii="Times New Roman" w:cs="Times New Roman" w:eastAsia="Times New Roman" w:hAnsi="Times New Roman"/>
                <w:sz w:val="16"/>
                <w:szCs w:val="16"/>
                <w:color w:val="auto"/>
              </w:rPr>
              <w:t>throughout the United States. The combined companies had trailing 12-month sales through</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220" w:type="dxa"/>
            <w:vAlign w:val="bottom"/>
            <w:tcBorders>
              <w:bottom w:val="single" w:sz="8" w:color="auto"/>
              <w:right w:val="single" w:sz="8" w:color="CCEBFF"/>
            </w:tcBorders>
            <w:gridSpan w:val="2"/>
            <w:shd w:val="clear" w:color="auto" w:fill="CCEBFF"/>
          </w:tcPr>
          <w:p>
            <w:pPr>
              <w:spacing w:after="0"/>
              <w:rPr>
                <w:sz w:val="20"/>
                <w:szCs w:val="20"/>
                <w:color w:val="auto"/>
              </w:rPr>
            </w:pPr>
            <w:r>
              <w:rPr>
                <w:rFonts w:ascii="Times New Roman" w:cs="Times New Roman" w:eastAsia="Times New Roman" w:hAnsi="Times New Roman"/>
                <w:sz w:val="16"/>
                <w:szCs w:val="16"/>
                <w:color w:val="auto"/>
              </w:rPr>
              <w:t>October 2022 of approximately $46.5 million.</w:t>
            </w:r>
          </w:p>
        </w:tc>
        <w:tc>
          <w:tcPr>
            <w:tcW w:w="120" w:type="dxa"/>
            <w:vAlign w:val="bottom"/>
            <w:tcBorders>
              <w:bottom w:val="single" w:sz="8" w:color="auto"/>
            </w:tcBorders>
            <w:shd w:val="clear" w:color="auto" w:fill="CCEBFF"/>
          </w:tcPr>
          <w:p>
            <w:pPr>
              <w:spacing w:after="0"/>
              <w:rPr>
                <w:sz w:val="19"/>
                <w:szCs w:val="19"/>
                <w:color w:val="auto"/>
              </w:rPr>
            </w:pP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20" w:type="dxa"/>
            <w:vAlign w:val="bottom"/>
            <w:tcBorders>
              <w:bottom w:val="single" w:sz="8" w:color="auto"/>
            </w:tcBorders>
            <w:shd w:val="clear" w:color="auto" w:fill="CCEBFF"/>
          </w:tcPr>
          <w:p>
            <w:pPr>
              <w:spacing w:after="0"/>
              <w:rPr>
                <w:sz w:val="19"/>
                <w:szCs w:val="19"/>
                <w:color w:val="auto"/>
              </w:rPr>
            </w:pPr>
          </w:p>
        </w:tc>
        <w:tc>
          <w:tcPr>
            <w:tcW w:w="80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80" w:type="dxa"/>
            <w:vAlign w:val="bottom"/>
            <w:tcBorders>
              <w:left w:val="single" w:sz="8" w:color="auto"/>
              <w:right w:val="single" w:sz="8" w:color="auto"/>
            </w:tcBorders>
          </w:tcPr>
          <w:p>
            <w:pPr>
              <w:spacing w:after="0"/>
              <w:rPr>
                <w:sz w:val="16"/>
                <w:szCs w:val="16"/>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June 27, 2022</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$69,791 cash paid for</w:t>
            </w:r>
          </w:p>
        </w:tc>
        <w:tc>
          <w:tcPr>
            <w:tcW w:w="12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34,552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35,239</w:t>
            </w:r>
          </w:p>
        </w:tc>
        <w:tc>
          <w:tcPr>
            <w:tcW w:w="20" w:type="dxa"/>
            <w:vAlign w:val="bottom"/>
          </w:tcPr>
          <w:p>
            <w:pPr>
              <w:spacing w:after="0"/>
              <w:rPr>
                <w:sz w:val="16"/>
                <w:szCs w:val="16"/>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Packaging</w:t>
            </w:r>
          </w:p>
        </w:tc>
        <w:tc>
          <w:tcPr>
            <w:tcW w:w="0" w:type="dxa"/>
            <w:vAlign w:val="bottom"/>
          </w:tcPr>
          <w:p>
            <w:pPr>
              <w:spacing w:after="0"/>
              <w:rPr>
                <w:sz w:val="1"/>
                <w:szCs w:val="1"/>
                <w:color w:val="auto"/>
              </w:rPr>
            </w:pPr>
          </w:p>
        </w:tc>
      </w:tr>
      <w:tr>
        <w:trPr>
          <w:trHeight w:val="213"/>
        </w:trPr>
        <w:tc>
          <w:tcPr>
            <w:tcW w:w="2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Dempsey Wood Products, Inc.</w:t>
            </w:r>
          </w:p>
        </w:tc>
        <w:tc>
          <w:tcPr>
            <w:tcW w:w="144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 method investment</w:t>
            </w:r>
          </w:p>
        </w:tc>
        <w:tc>
          <w:tcPr>
            <w:tcW w:w="1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right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right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80" w:type="dxa"/>
            <w:vAlign w:val="bottom"/>
            <w:tcBorders>
              <w:left w:val="single" w:sz="8" w:color="auto"/>
              <w:right w:val="single" w:sz="8" w:color="auto"/>
            </w:tcBorders>
            <w:vMerge w:val="continue"/>
          </w:tcPr>
          <w:p>
            <w:pPr>
              <w:spacing w:after="0"/>
              <w:rPr>
                <w:sz w:val="14"/>
                <w:szCs w:val="14"/>
                <w:color w:val="auto"/>
              </w:rPr>
            </w:pPr>
          </w:p>
        </w:tc>
        <w:tc>
          <w:tcPr>
            <w:tcW w:w="6340" w:type="dxa"/>
            <w:vAlign w:val="bottom"/>
            <w:tcBorders>
              <w:right w:val="single" w:sz="8" w:color="auto"/>
            </w:tcBorders>
            <w:gridSpan w:val="8"/>
          </w:tcPr>
          <w:p>
            <w:pPr>
              <w:spacing w:after="0" w:line="171" w:lineRule="exact"/>
              <w:rPr>
                <w:sz w:val="20"/>
                <w:szCs w:val="20"/>
                <w:color w:val="auto"/>
              </w:rPr>
            </w:pPr>
            <w:r>
              <w:rPr>
                <w:rFonts w:ascii="Times New Roman" w:cs="Times New Roman" w:eastAsia="Times New Roman" w:hAnsi="Times New Roman"/>
                <w:sz w:val="16"/>
                <w:szCs w:val="16"/>
                <w:color w:val="auto"/>
              </w:rPr>
              <w:t>Located in Orangeburg, South Carolina and founded in 1988, Dempsey is a sawmill which</w:t>
            </w:r>
          </w:p>
        </w:tc>
        <w:tc>
          <w:tcPr>
            <w:tcW w:w="0" w:type="dxa"/>
            <w:vAlign w:val="bottom"/>
          </w:tcPr>
          <w:p>
            <w:pPr>
              <w:spacing w:after="0"/>
              <w:rPr>
                <w:sz w:val="1"/>
                <w:szCs w:val="1"/>
                <w:color w:val="auto"/>
              </w:rPr>
            </w:pPr>
          </w:p>
        </w:tc>
      </w:tr>
      <w:tr>
        <w:trPr>
          <w:trHeight w:val="216"/>
        </w:trPr>
        <w:tc>
          <w:tcPr>
            <w:tcW w:w="2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(Dempsey)</w:t>
            </w:r>
          </w:p>
        </w:tc>
        <w:tc>
          <w:tcPr>
            <w:tcW w:w="63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auto"/>
              </w:rPr>
              <w:t>produces products such as kiln dried finished lumber, industrial lumber, green cut stock lumber,</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tcPr>
          <w:p>
            <w:pPr>
              <w:spacing w:after="0"/>
              <w:rPr>
                <w:sz w:val="17"/>
                <w:szCs w:val="17"/>
                <w:color w:val="auto"/>
              </w:rPr>
            </w:pPr>
          </w:p>
        </w:tc>
        <w:tc>
          <w:tcPr>
            <w:tcW w:w="55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pine chips and shavings, landscaping mulch, and sawdust. The Company had sales of</w:t>
            </w:r>
          </w:p>
        </w:tc>
        <w:tc>
          <w:tcPr>
            <w:tcW w:w="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tcPr>
          <w:p>
            <w:pPr>
              <w:spacing w:after="0"/>
              <w:rPr>
                <w:sz w:val="19"/>
                <w:szCs w:val="19"/>
                <w:color w:val="auto"/>
              </w:rPr>
            </w:pPr>
          </w:p>
        </w:tc>
        <w:tc>
          <w:tcPr>
            <w:tcW w:w="3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approximately $69 million in 2021.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80" w:type="dxa"/>
            <w:vAlign w:val="bottom"/>
            <w:tcBorders>
              <w:left w:val="single" w:sz="8" w:color="auto"/>
              <w:right w:val="single" w:sz="8" w:color="auto"/>
            </w:tcBorders>
            <w:shd w:val="clear" w:color="auto" w:fill="CCEBFF"/>
          </w:tcPr>
          <w:p>
            <w:pPr>
              <w:spacing w:after="0"/>
              <w:rPr>
                <w:sz w:val="16"/>
                <w:szCs w:val="16"/>
                <w:color w:val="auto"/>
              </w:rPr>
            </w:pPr>
          </w:p>
        </w:tc>
        <w:tc>
          <w:tcPr>
            <w:tcW w:w="144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$15,398</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20" w:type="dxa"/>
            <w:vAlign w:val="bottom"/>
            <w:shd w:val="clear" w:color="auto" w:fill="CCEBFF"/>
          </w:tcPr>
          <w:p>
            <w:pPr>
              <w:spacing w:after="0"/>
              <w:rPr>
                <w:sz w:val="16"/>
                <w:szCs w:val="16"/>
                <w:color w:val="auto"/>
              </w:rPr>
            </w:pPr>
          </w:p>
        </w:tc>
        <w:tc>
          <w:tcPr>
            <w:tcW w:w="80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shd w:val="clear" w:color="auto" w:fill="CCEBFF"/>
          </w:tcPr>
          <w:p>
            <w:pPr>
              <w:spacing w:after="0"/>
              <w:rPr>
                <w:sz w:val="17"/>
                <w:szCs w:val="17"/>
                <w:color w:val="auto"/>
              </w:rPr>
            </w:pPr>
          </w:p>
        </w:tc>
        <w:tc>
          <w:tcPr>
            <w:tcW w:w="14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May 9, 2022</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10,577</w:t>
            </w:r>
          </w:p>
        </w:tc>
        <w:tc>
          <w:tcPr>
            <w:tcW w:w="20" w:type="dxa"/>
            <w:vAlign w:val="bottom"/>
            <w:shd w:val="clear" w:color="auto" w:fill="CCEBFF"/>
          </w:tcPr>
          <w:p>
            <w:pPr>
              <w:spacing w:after="0"/>
              <w:rPr>
                <w:sz w:val="17"/>
                <w:szCs w:val="17"/>
                <w:color w:val="auto"/>
              </w:rPr>
            </w:pPr>
          </w:p>
        </w:tc>
        <w:tc>
          <w:tcPr>
            <w:tcW w:w="8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Retail</w:t>
            </w:r>
          </w:p>
        </w:tc>
        <w:tc>
          <w:tcPr>
            <w:tcW w:w="0" w:type="dxa"/>
            <w:vAlign w:val="bottom"/>
          </w:tcPr>
          <w:p>
            <w:pPr>
              <w:spacing w:after="0"/>
              <w:rPr>
                <w:sz w:val="1"/>
                <w:szCs w:val="1"/>
                <w:color w:val="auto"/>
              </w:rPr>
            </w:pPr>
          </w:p>
        </w:tc>
      </w:tr>
      <w:tr>
        <w:trPr>
          <w:trHeight w:val="213"/>
        </w:trPr>
        <w:tc>
          <w:tcPr>
            <w:tcW w:w="25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Cedar Poly, LLC</w:t>
            </w:r>
          </w:p>
        </w:tc>
        <w:tc>
          <w:tcPr>
            <w:tcW w:w="144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20" w:type="dxa"/>
            <w:vAlign w:val="bottom"/>
            <w:tcBorders>
              <w:bottom w:val="single" w:sz="8" w:color="auto"/>
            </w:tcBorders>
            <w:shd w:val="clear" w:color="auto" w:fill="CCEBFF"/>
          </w:tcPr>
          <w:p>
            <w:pPr>
              <w:spacing w:after="0"/>
              <w:rPr>
                <w:sz w:val="18"/>
                <w:szCs w:val="18"/>
                <w:color w:val="auto"/>
              </w:rPr>
            </w:pPr>
          </w:p>
        </w:tc>
        <w:tc>
          <w:tcPr>
            <w:tcW w:w="80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40" w:type="dxa"/>
            <w:vAlign w:val="bottom"/>
            <w:tcBorders>
              <w:right w:val="single" w:sz="8" w:color="auto"/>
            </w:tcBorders>
            <w:gridSpan w:val="8"/>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Tipton, Iowa, Cedar Poly is a full-service recycler of high-density and low-density</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shd w:val="clear" w:color="auto" w:fill="CCEBFF"/>
          </w:tcPr>
          <w:p>
            <w:pPr>
              <w:spacing w:after="0"/>
              <w:rPr>
                <w:sz w:val="17"/>
                <w:szCs w:val="17"/>
                <w:color w:val="auto"/>
              </w:rPr>
            </w:pPr>
          </w:p>
        </w:tc>
        <w:tc>
          <w:tcPr>
            <w:tcW w:w="6340" w:type="dxa"/>
            <w:vAlign w:val="bottom"/>
            <w:tcBorders>
              <w:right w:val="single" w:sz="8" w:color="auto"/>
            </w:tcBorders>
            <w:gridSpan w:val="8"/>
            <w:shd w:val="clear" w:color="auto" w:fill="CCEBFF"/>
          </w:tcPr>
          <w:p>
            <w:pPr>
              <w:spacing w:after="0"/>
              <w:rPr>
                <w:sz w:val="20"/>
                <w:szCs w:val="20"/>
                <w:color w:val="auto"/>
              </w:rPr>
            </w:pPr>
            <w:r>
              <w:rPr>
                <w:rFonts w:ascii="Times New Roman" w:cs="Times New Roman" w:eastAsia="Times New Roman" w:hAnsi="Times New Roman"/>
                <w:sz w:val="16"/>
                <w:szCs w:val="16"/>
                <w:color w:val="auto"/>
              </w:rPr>
              <w:t>polyethylene (HDPE and LDPE) flakes and pellets used in various products, including composite</w:t>
            </w:r>
          </w:p>
        </w:tc>
        <w:tc>
          <w:tcPr>
            <w:tcW w:w="0" w:type="dxa"/>
            <w:vAlign w:val="bottom"/>
          </w:tcPr>
          <w:p>
            <w:pPr>
              <w:spacing w:after="0"/>
              <w:rPr>
                <w:sz w:val="1"/>
                <w:szCs w:val="1"/>
                <w:color w:val="auto"/>
              </w:rPr>
            </w:pPr>
          </w:p>
        </w:tc>
      </w:tr>
      <w:tr>
        <w:trPr>
          <w:trHeight w:val="202"/>
        </w:trPr>
        <w:tc>
          <w:tcPr>
            <w:tcW w:w="2580" w:type="dxa"/>
            <w:vAlign w:val="bottom"/>
            <w:tcBorders>
              <w:left w:val="single" w:sz="8" w:color="auto"/>
              <w:right w:val="single" w:sz="8" w:color="auto"/>
            </w:tcBorders>
            <w:shd w:val="clear" w:color="auto" w:fill="CCEBFF"/>
          </w:tcPr>
          <w:p>
            <w:pPr>
              <w:spacing w:after="0"/>
              <w:rPr>
                <w:sz w:val="17"/>
                <w:szCs w:val="17"/>
                <w:color w:val="auto"/>
              </w:rPr>
            </w:pPr>
          </w:p>
        </w:tc>
        <w:tc>
          <w:tcPr>
            <w:tcW w:w="6340" w:type="dxa"/>
            <w:vAlign w:val="bottom"/>
            <w:tcBorders>
              <w:right w:val="single" w:sz="8" w:color="auto"/>
            </w:tcBorders>
            <w:gridSpan w:val="8"/>
            <w:shd w:val="clear" w:color="auto" w:fill="CCEBFF"/>
          </w:tcPr>
          <w:p>
            <w:pPr>
              <w:spacing w:after="0"/>
              <w:rPr>
                <w:sz w:val="20"/>
                <w:szCs w:val="20"/>
                <w:color w:val="auto"/>
              </w:rPr>
            </w:pPr>
            <w:r>
              <w:rPr>
                <w:rFonts w:ascii="Times New Roman" w:cs="Times New Roman" w:eastAsia="Times New Roman" w:hAnsi="Times New Roman"/>
                <w:sz w:val="16"/>
                <w:szCs w:val="16"/>
                <w:color w:val="auto"/>
              </w:rPr>
              <w:t>decking. The company also recycles corrugate and operates its own transportation fleet. Cedar</w:t>
            </w:r>
          </w:p>
        </w:tc>
        <w:tc>
          <w:tcPr>
            <w:tcW w:w="0" w:type="dxa"/>
            <w:vAlign w:val="bottom"/>
          </w:tcPr>
          <w:p>
            <w:pPr>
              <w:spacing w:after="0"/>
              <w:rPr>
                <w:sz w:val="1"/>
                <w:szCs w:val="1"/>
                <w:color w:val="auto"/>
              </w:rPr>
            </w:pPr>
          </w:p>
        </w:tc>
      </w:tr>
      <w:tr>
        <w:trPr>
          <w:trHeight w:val="203"/>
        </w:trPr>
        <w:tc>
          <w:tcPr>
            <w:tcW w:w="2580" w:type="dxa"/>
            <w:vAlign w:val="bottom"/>
            <w:tcBorders>
              <w:left w:val="single" w:sz="8" w:color="auto"/>
              <w:right w:val="single" w:sz="8" w:color="auto"/>
            </w:tcBorders>
            <w:shd w:val="clear" w:color="auto" w:fill="CCEBFF"/>
          </w:tcPr>
          <w:p>
            <w:pPr>
              <w:spacing w:after="0"/>
              <w:rPr>
                <w:sz w:val="17"/>
                <w:szCs w:val="17"/>
                <w:color w:val="auto"/>
              </w:rPr>
            </w:pPr>
          </w:p>
        </w:tc>
        <w:tc>
          <w:tcPr>
            <w:tcW w:w="6340" w:type="dxa"/>
            <w:vAlign w:val="bottom"/>
            <w:tcBorders>
              <w:right w:val="single" w:sz="8" w:color="auto"/>
            </w:tcBorders>
            <w:gridSpan w:val="8"/>
            <w:shd w:val="clear" w:color="auto" w:fill="CCEBFF"/>
          </w:tcPr>
          <w:p>
            <w:pPr>
              <w:spacing w:after="0"/>
              <w:rPr>
                <w:sz w:val="20"/>
                <w:szCs w:val="20"/>
                <w:color w:val="auto"/>
              </w:rPr>
            </w:pPr>
            <w:r>
              <w:rPr>
                <w:rFonts w:ascii="Times New Roman" w:cs="Times New Roman" w:eastAsia="Times New Roman" w:hAnsi="Times New Roman"/>
                <w:sz w:val="16"/>
                <w:szCs w:val="16"/>
                <w:color w:val="auto"/>
              </w:rPr>
              <w:t>Poly had 2021 sales of approximately $17.3 million and will operate in UFP’s Deckorators</w:t>
            </w:r>
          </w:p>
        </w:tc>
        <w:tc>
          <w:tcPr>
            <w:tcW w:w="0" w:type="dxa"/>
            <w:vAlign w:val="bottom"/>
          </w:tcPr>
          <w:p>
            <w:pPr>
              <w:spacing w:after="0"/>
              <w:rPr>
                <w:sz w:val="1"/>
                <w:szCs w:val="1"/>
                <w:color w:val="auto"/>
              </w:rPr>
            </w:pPr>
          </w:p>
        </w:tc>
      </w:tr>
      <w:tr>
        <w:trPr>
          <w:trHeight w:val="223"/>
        </w:trPr>
        <w:tc>
          <w:tcPr>
            <w:tcW w:w="25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44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business unit.</w:t>
            </w:r>
          </w:p>
        </w:tc>
        <w:tc>
          <w:tcPr>
            <w:tcW w:w="178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20" w:type="dxa"/>
            <w:vAlign w:val="bottom"/>
            <w:tcBorders>
              <w:bottom w:val="single" w:sz="8" w:color="auto"/>
            </w:tcBorders>
            <w:shd w:val="clear" w:color="auto" w:fill="CCEBFF"/>
          </w:tcPr>
          <w:p>
            <w:pPr>
              <w:spacing w:after="0"/>
              <w:rPr>
                <w:sz w:val="19"/>
                <w:szCs w:val="19"/>
                <w:color w:val="auto"/>
              </w:rPr>
            </w:pPr>
          </w:p>
        </w:tc>
        <w:tc>
          <w:tcPr>
            <w:tcW w:w="80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The intangible assets for the above investments have not been finalized and allocated to their respective identifiable asset and goodwill accounts. In aggregate, investments completed since the end of March 2022 and not consolidated with</w:t>
      </w:r>
    </w:p>
    <w:p>
      <w:pPr>
        <w:sectPr>
          <w:pgSz w:w="11900" w:h="16838" w:orient="portrait"/>
          <w:cols w:equalWidth="0" w:num="1">
            <w:col w:w="9019"/>
          </w:cols>
          <w:pgMar w:left="1440" w:top="54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other operations contributed approximately $12.8 million in net sales and $0.5 million in operating profits during the first three months of 2023.</w:t>
      </w:r>
    </w:p>
    <w:p>
      <w:pPr>
        <w:spacing w:after="0" w:line="162"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April 1, 2023, the carrying value of our investment in Dempsey is $66.7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business combinations mentioned above were not significant to our operating results individually or in aggregate, and thus pro forma results for 2023 and 2022 are not presented.</w:t>
      </w:r>
    </w:p>
    <w:p>
      <w:pPr>
        <w:spacing w:after="0" w:line="158"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(formerly known as UFP Industrial)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which serve multiple segments, results are allocated and accounted for by segment.</w:t>
      </w:r>
    </w:p>
    <w:p>
      <w:pPr>
        <w:spacing w:after="0" w:line="192"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4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960" w:type="dxa"/>
            <w:vAlign w:val="bottom"/>
            <w:tcBorders>
              <w:bottom w:val="single" w:sz="8" w:color="auto"/>
            </w:tcBorders>
          </w:tcPr>
          <w:p>
            <w:pPr>
              <w:spacing w:after="0"/>
              <w:rPr>
                <w:sz w:val="15"/>
                <w:szCs w:val="15"/>
                <w:color w:val="auto"/>
              </w:rPr>
            </w:pPr>
          </w:p>
        </w:tc>
      </w:tr>
      <w:tr>
        <w:trPr>
          <w:trHeight w:val="155"/>
        </w:trPr>
        <w:tc>
          <w:tcPr>
            <w:tcW w:w="310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13"/>
                <w:szCs w:val="13"/>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$ 749,577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$ 486,561</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$ 515,593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67,512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$ 1,822,476</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223,325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(346,698)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940" w:type="dxa"/>
            <w:vAlign w:val="bottom"/>
            <w:tcBorders>
              <w:bottom w:val="single" w:sz="8" w:color="auto"/>
            </w:tcBorders>
          </w:tcPr>
          <w:p>
            <w:pPr>
              <w:spacing w:after="0"/>
              <w:rPr>
                <w:sz w:val="15"/>
                <w:szCs w:val="15"/>
                <w:color w:val="auto"/>
              </w:rPr>
            </w:pPr>
          </w:p>
        </w:tc>
      </w:tr>
      <w:tr>
        <w:trPr>
          <w:trHeight w:val="156"/>
        </w:trPr>
        <w:tc>
          <w:tcPr>
            <w:tcW w:w="310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80" w:type="dxa"/>
            <w:vAlign w:val="bottom"/>
          </w:tcPr>
          <w:p>
            <w:pPr>
              <w:spacing w:after="0"/>
              <w:rPr>
                <w:sz w:val="13"/>
                <w:szCs w:val="13"/>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94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$ 993,232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$ 611,369</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$ 786,471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95,567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$ 2,489,313</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(223,245)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259,025</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April 1, 2023, and December 31, 2022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$ 84,640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$ 148,909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$ 16,101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$ 337,320</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1, 2023</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$ 84,640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$ 148,909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$ 16,220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$ 337,467</w:t>
            </w:r>
          </w:p>
        </w:tc>
      </w:tr>
      <w:tr>
        <w:trPr>
          <w:trHeight w:val="20"/>
        </w:trPr>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April 1, 2023, and December 31, 2022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Total Assets by Segment</w:t>
            </w:r>
          </w:p>
        </w:tc>
        <w:tc>
          <w:tcPr>
            <w:tcW w:w="700" w:type="dxa"/>
            <w:vAlign w:val="bottom"/>
            <w:tcBorders>
              <w:bottom w:val="single" w:sz="8" w:color="auto"/>
            </w:tcBorders>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60" w:type="dxa"/>
            <w:vAlign w:val="bottom"/>
            <w:gridSpan w:val="2"/>
          </w:tcPr>
          <w:p>
            <w:pPr>
              <w:ind w:left="220"/>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14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Pr>
          <w:p>
            <w:pPr>
              <w:spacing w:after="0"/>
              <w:rPr>
                <w:sz w:val="13"/>
                <w:szCs w:val="13"/>
                <w:color w:val="auto"/>
              </w:rPr>
            </w:pPr>
          </w:p>
        </w:tc>
      </w:tr>
      <w:tr>
        <w:trPr>
          <w:trHeight w:val="173"/>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0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$ 1,077,283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889,417</w:t>
            </w: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21.1 %</w:t>
            </w:r>
          </w:p>
        </w:tc>
      </w:tr>
      <w:tr>
        <w:trPr>
          <w:trHeight w:val="216"/>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885,878</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712,837</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308,688</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w:t>
            </w:r>
          </w:p>
        </w:tc>
      </w:tr>
      <w:tr>
        <w:trPr>
          <w:trHeight w:val="236"/>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753,683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875,253</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(13.9)</w:t>
            </w:r>
          </w:p>
        </w:tc>
      </w:tr>
      <w:tr>
        <w:trPr>
          <w:trHeight w:val="203"/>
        </w:trPr>
        <w:tc>
          <w:tcPr>
            <w:tcW w:w="600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$ 3,696,789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3,672,073</w:t>
            </w:r>
          </w:p>
        </w:tc>
        <w:tc>
          <w:tcPr>
            <w:tcW w:w="2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0.7 %</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hanging="510"/>
        <w:spacing w:after="0"/>
        <w:tabs>
          <w:tab w:leader="none" w:pos="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23.7% in the first quarter of 2023 compared to 24.0% in the first quarter of 2022. The decrease was primarily due to a reduction in foreign income in higher tax jurisdictions.</w:t>
      </w:r>
    </w:p>
    <w:p>
      <w:pPr>
        <w:spacing w:after="0" w:line="189" w:lineRule="exact"/>
        <w:rPr>
          <w:sz w:val="20"/>
          <w:szCs w:val="20"/>
          <w:color w:val="auto"/>
        </w:rPr>
      </w:pPr>
    </w:p>
    <w:p>
      <w:pPr>
        <w:ind w:left="480" w:hanging="430"/>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27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three months of 2023 and 2022 (in thousands, except average share price):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4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4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3700" w:type="dxa"/>
            <w:vAlign w:val="bottom"/>
            <w:gridSpan w:val="2"/>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370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3700" w:type="dxa"/>
            <w:vAlign w:val="bottom"/>
            <w:gridSpan w:val="2"/>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w w:val="96"/>
              </w:rPr>
              <w:t>756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370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color w:val="auto"/>
                <w:w w:val="99"/>
              </w:rPr>
              <w:t>75</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3700" w:type="dxa"/>
            <w:vAlign w:val="bottom"/>
            <w:gridSpan w:val="2"/>
            <w:shd w:val="clear" w:color="auto" w:fill="CCEEFF"/>
          </w:tcPr>
          <w:p>
            <w:pPr>
              <w:jc w:val="center"/>
              <w:ind w:left="279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9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825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3700" w:type="dxa"/>
            <w:vAlign w:val="bottom"/>
            <w:gridSpan w:val="2"/>
          </w:tcPr>
          <w:p>
            <w:pPr>
              <w:jc w:val="center"/>
              <w:ind w:left="2790"/>
              <w:spacing w:after="0"/>
              <w:rPr>
                <w:sz w:val="20"/>
                <w:szCs w:val="20"/>
                <w:color w:val="auto"/>
              </w:rPr>
            </w:pPr>
            <w:r>
              <w:rPr>
                <w:rFonts w:ascii="Times New Roman" w:cs="Times New Roman" w:eastAsia="Times New Roman" w:hAnsi="Times New Roman"/>
                <w:sz w:val="18"/>
                <w:szCs w:val="18"/>
                <w:color w:val="auto"/>
                <w:w w:val="99"/>
              </w:rPr>
              <w:t>93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85.33</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9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2023, we repurchased 450,597 shares of our common stock at an average share price of $78.27.</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 Issuance Activity</w:t>
            </w:r>
          </w:p>
        </w:tc>
        <w:tc>
          <w:tcPr>
            <w:tcW w:w="6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26, 2022</w:t>
            </w:r>
          </w:p>
        </w:tc>
        <w:tc>
          <w:tcPr>
            <w:tcW w:w="0" w:type="dxa"/>
            <w:vAlign w:val="bottom"/>
          </w:tcPr>
          <w:p>
            <w:pPr>
              <w:spacing w:after="0"/>
              <w:rPr>
                <w:sz w:val="1"/>
                <w:szCs w:val="1"/>
                <w:color w:val="auto"/>
              </w:rPr>
            </w:pPr>
          </w:p>
        </w:tc>
      </w:tr>
      <w:tr>
        <w:trPr>
          <w:trHeight w:val="156"/>
        </w:trPr>
        <w:tc>
          <w:tcPr>
            <w:tcW w:w="6560" w:type="dxa"/>
            <w:vAlign w:val="bottom"/>
            <w:gridSpan w:val="3"/>
            <w:vMerge w:val="continue"/>
          </w:tcPr>
          <w:p>
            <w:pPr>
              <w:spacing w:after="0"/>
              <w:rPr>
                <w:sz w:val="13"/>
                <w:szCs w:val="13"/>
                <w:color w:val="auto"/>
              </w:rPr>
            </w:pPr>
          </w:p>
        </w:tc>
        <w:tc>
          <w:tcPr>
            <w:tcW w:w="1060" w:type="dxa"/>
            <w:vAlign w:val="bottom"/>
            <w:gridSpan w:val="3"/>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Average Share 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660" w:type="dxa"/>
            <w:vAlign w:val="bottom"/>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9"/>
              </w:rPr>
              <w:t>10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66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6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80.78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66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725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6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660" w:type="dxa"/>
            <w:vAlign w:val="bottom"/>
            <w:tcBorders>
              <w:bottom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5"/>
              </w:rPr>
              <w:t>(2)</w:t>
            </w: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6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787</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79.87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660" w:type="dxa"/>
            <w:vAlign w:val="bottom"/>
          </w:tcPr>
          <w:p>
            <w:pPr>
              <w:jc w:val="center"/>
              <w:ind w:left="192"/>
              <w:spacing w:after="0"/>
              <w:rPr>
                <w:sz w:val="20"/>
                <w:szCs w:val="20"/>
                <w:color w:val="auto"/>
              </w:rPr>
            </w:pPr>
            <w:r>
              <w:rPr>
                <w:rFonts w:ascii="Times New Roman" w:cs="Times New Roman" w:eastAsia="Times New Roman" w:hAnsi="Times New Roman"/>
                <w:sz w:val="18"/>
                <w:szCs w:val="18"/>
                <w:color w:val="auto"/>
                <w:w w:val="99"/>
              </w:rPr>
              <w:t>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39" w:firstLine="492"/>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2022, we repurchased 44,442 shares of our common stock at an average share price of $79.74.</w:t>
      </w:r>
    </w:p>
    <w:p>
      <w:pPr>
        <w:spacing w:after="0" w:line="158" w:lineRule="exact"/>
        <w:rPr>
          <w:sz w:val="20"/>
          <w:szCs w:val="20"/>
          <w:color w:val="auto"/>
        </w:rPr>
      </w:pPr>
    </w:p>
    <w:p>
      <w:pPr>
        <w:ind w:left="500" w:hanging="450"/>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There was a $0.7 million lower of cost or net realizable value adjustment to inventory as of April 1, 2023 and no adjustment as of March 26, 2022.</w:t>
      </w:r>
    </w:p>
    <w:p>
      <w:pPr>
        <w:spacing w:after="0" w:line="183" w:lineRule="exact"/>
        <w:rPr>
          <w:sz w:val="20"/>
          <w:szCs w:val="20"/>
          <w:color w:val="auto"/>
        </w:rPr>
      </w:pPr>
    </w:p>
    <w:p>
      <w:pPr>
        <w:ind w:left="560" w:hanging="510"/>
        <w:spacing w:after="0"/>
        <w:tabs>
          <w:tab w:leader="none" w:pos="5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Subsequent to our reporting date, we repurchased 150,000 shares of our common stock for approximately $12.0 million, at an average share price of $79.73.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throughout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legal and compliance, and others. We regularly invest in automation and create best practices to improve the efficiency of our manufacturing facilities across each of the segments. The results and improvements from these investments are shared among the segments. This exchange of improvements and ideas has also prompted better and faster innovation for new products, processes, and product improvements. While the majority of our facilities serve only one business segment, a variety of our larger facilities serve two or more segments.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that our operating structure allows us to better evaluate market conditions and opportunities and more effectively allocate capital and resources to the appropriate segments and business units. Also, we believe that the diversification and manner in which we operate our business provides an inherent hedge against the inevitable business cycles that our markets experience and over which we have little control. Accordingly, our goal is to provide more stable earnings and cash flows to our shareholders. Our diversification and operating practices also mitigate the impact of more volatile lumber market conditions experienced by traditional lumber companies. We are headquartered in Grand Rapids, Mich. For more information about UFP Industries, Inc., or its affiliated operations, go to www.ufpi.com.</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 We are pleased to present this overview of the first quarter of 2023.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first quarter of 2023 include the following highlights:</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27% compared to the first quarter of 2022, which was comprised of a 20% decrease in selling prices and an 8% decrease in organic unit sales, offset by a 1% increase in unit sales due to acquisitions completed since March of last year. The overall decrease in our selling prices is primarily due to lower lumber prices and more competitive pricing in certain business units. Organic unit declines include 2% in our retail segment, 4% in our packaging segment, 16% in our construction segment, and 20% in our international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4"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$120 million, or 25.1%, compared to the same period of the prior year. Acquired operations contributed $2.2 million to our gross profits. We estimate that gross profits on value-added product sales decreased by $49.9 million and gross profits on commodity-based product sales decreased by $72.3. Our gross profits declined by $39.9 million in Retail, $39.8 million in Construction, $28.7 million in Packaging, and $12.5 million in International. The overall decline in gross profits is primarily due to the decline in unit sales, unfavorable cost variances as a result of fixed manufacturing costs, more competitive pricing in certain business units, and the favorable impact of rising lumber prices in the first quarter of 2022 on products we sell in the Retail segment that are based on variable selling price.</w:t>
      </w:r>
    </w:p>
    <w:p>
      <w:pPr>
        <w:spacing w:after="0" w:line="191"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$97 million, or 37.6%, compared to the first quarter of 2022. Acquisitions contributed approximately $0.5 million to our operating profits. The overall decrease is a result of the decline in gross profits mentioned above offset by a $25.5 million decrease in selling, general, and administrative (“SG&amp;A”) expenses. Our SG&amp;A declined primarly due to our incentive compensation plans which are tied to profitability and return on investment. Our decremental operating margin comparing our decrease in operating profits relative to decrease in net sales was 14.6%, which was slightly better than the estimated range of 15% to 20% we previously disclosed.</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58"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used in operations was $37 million in the first three months of 2023 compared to $245 million during the first three months of 2022. The $208 million improvement resulted from a seasonal increase in net working capital that was $270 million lower in the first quarter of 2023 than it was in the first quarter of 2022 and a $5 million increase in non-cash expenses in 2023, offset by a $67 million decrease in net earnings compared to the prior year.</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surplus at the end of March 2023 was $145 million compared to net debt (debt and cash overdraft less cash) of $410 million at the end of March 2022. Our unused borrowing capacity under revolving credit facilities and a shelf agreement with certain lenders along with our cash surplus resulted in total liquidity of approximately $1.7 billion at the end of the first quarter of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average</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9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average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Lower overall lumber prices in the first quarter of 2023 compared to the first quarter of 2022 is primarily due to increased capacity and supply of lumber in North America while demand for lumber has declined. A change in lumber prices impacts our profitability of products sold with fixed and variable prices, as discussed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40.3% and 61.4% of our sales in the first three months of 2023 and 2022, respectively. The decrease from the prior year ratio reflects the significant decrease in the Lumber Market as well as an improvement in our sales mix of value-added products and our value-based selling practices.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5"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third quarter, primarily due to pressure-treated lumber sold in our retail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of each category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20% of our total net sales in the first three months of 2023.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We estimate that 17% of our total purchases for the first three months of 2023 were completed under these programs. (</w:t>
      </w:r>
      <w:r>
        <w:rPr>
          <w:rFonts w:ascii="Times New Roman" w:cs="Times New Roman" w:eastAsia="Times New Roman" w:hAnsi="Times New Roman"/>
          <w:sz w:val="18"/>
          <w:szCs w:val="18"/>
          <w:i w:val="1"/>
          <w:iCs w:val="1"/>
          <w:color w:val="auto"/>
        </w:rPr>
        <w:t>Please refer to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completed no business acquisitions during the first three months of fiscal 2023 and four during all of fiscal 2022. The annual historical sales attributable to acquisitions completed during the nine months of 2022 was approximately $133 million. These business combinations were not significant to our quarterly results individually or in aggregate and thus pro forma results for 2023 and 2022 are not presented.</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4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940" w:type="dxa"/>
            <w:vAlign w:val="bottom"/>
          </w:tcPr>
          <w:p>
            <w:pPr>
              <w:spacing w:after="0"/>
              <w:rPr>
                <w:sz w:val="10"/>
                <w:szCs w:val="10"/>
                <w:color w:val="auto"/>
              </w:rPr>
            </w:pPr>
          </w:p>
        </w:tc>
        <w:tc>
          <w:tcPr>
            <w:tcW w:w="980" w:type="dxa"/>
            <w:vAlign w:val="bottom"/>
            <w:gridSpan w:val="2"/>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980" w:type="dxa"/>
            <w:vAlign w:val="bottom"/>
            <w:gridSpan w:val="2"/>
          </w:tcPr>
          <w:p>
            <w:pPr>
              <w:jc w:val="right"/>
              <w:ind w:right="210"/>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80"/>
        </w:trPr>
        <w:tc>
          <w:tcPr>
            <w:tcW w:w="69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tcBorders>
              <w:bottom w:val="single" w:sz="8" w:color="CCEEFF"/>
            </w:tcBorders>
          </w:tcPr>
          <w:p>
            <w:pPr>
              <w:spacing w:after="0"/>
              <w:rPr>
                <w:sz w:val="18"/>
                <w:szCs w:val="18"/>
                <w:color w:val="auto"/>
              </w:rPr>
            </w:pPr>
          </w:p>
        </w:tc>
      </w:tr>
      <w:tr>
        <w:trPr>
          <w:trHeight w:val="20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9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280" w:type="dxa"/>
            <w:vAlign w:val="bottom"/>
          </w:tcPr>
          <w:p>
            <w:pPr>
              <w:spacing w:after="0"/>
              <w:rPr>
                <w:sz w:val="15"/>
                <w:szCs w:val="15"/>
                <w:color w:val="auto"/>
              </w:rPr>
            </w:pPr>
          </w:p>
        </w:tc>
        <w:tc>
          <w:tcPr>
            <w:tcW w:w="2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55"/>
        </w:trPr>
        <w:tc>
          <w:tcPr>
            <w:tcW w:w="6280" w:type="dxa"/>
            <w:vAlign w:val="bottom"/>
          </w:tcPr>
          <w:p>
            <w:pPr>
              <w:spacing w:after="0"/>
              <w:rPr>
                <w:sz w:val="13"/>
                <w:szCs w:val="13"/>
                <w:color w:val="auto"/>
              </w:rPr>
            </w:pPr>
          </w:p>
        </w:tc>
        <w:tc>
          <w:tcPr>
            <w:tcW w:w="2620" w:type="dxa"/>
            <w:vAlign w:val="bottom"/>
            <w:tcBorders>
              <w:bottom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7"/>
        </w:trPr>
        <w:tc>
          <w:tcPr>
            <w:tcW w:w="6280" w:type="dxa"/>
            <w:vAlign w:val="bottom"/>
          </w:tcPr>
          <w:p>
            <w:pPr>
              <w:spacing w:after="0"/>
              <w:rPr>
                <w:sz w:val="11"/>
                <w:szCs w:val="11"/>
                <w:color w:val="auto"/>
              </w:rPr>
            </w:pPr>
          </w:p>
        </w:tc>
        <w:tc>
          <w:tcPr>
            <w:tcW w:w="1380" w:type="dxa"/>
            <w:vAlign w:val="bottom"/>
            <w:gridSpan w:val="2"/>
          </w:tcPr>
          <w:p>
            <w:pPr>
              <w:ind w:left="400"/>
              <w:spacing w:after="0" w:line="137"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240" w:type="dxa"/>
            <w:vAlign w:val="bottom"/>
          </w:tcPr>
          <w:p>
            <w:pPr>
              <w:ind w:left="320"/>
              <w:spacing w:after="0" w:line="137"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80"/>
        </w:trPr>
        <w:tc>
          <w:tcPr>
            <w:tcW w:w="62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46.7</w:t>
            </w: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20"/>
                <w:szCs w:val="20"/>
                <w:color w:val="auto"/>
              </w:rPr>
            </w:pPr>
          </w:p>
        </w:tc>
        <w:tc>
          <w:tcPr>
            <w:tcW w:w="12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88.4</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these strategies require, we believe this ratio provides an enhanced view of our effectiveness in managing these costs and mitigates the impact of changing lumber prices.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38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60" w:type="dxa"/>
            <w:vAlign w:val="bottom"/>
            <w:gridSpan w:val="2"/>
          </w:tcPr>
          <w:p>
            <w:pPr>
              <w:ind w:left="34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20" w:type="dxa"/>
            <w:vAlign w:val="bottom"/>
          </w:tcPr>
          <w:p>
            <w:pPr>
              <w:spacing w:after="0"/>
              <w:rPr>
                <w:sz w:val="10"/>
                <w:szCs w:val="10"/>
                <w:color w:val="auto"/>
              </w:rPr>
            </w:pPr>
          </w:p>
        </w:tc>
        <w:tc>
          <w:tcPr>
            <w:tcW w:w="1140" w:type="dxa"/>
            <w:vAlign w:val="bottom"/>
          </w:tcPr>
          <w:p>
            <w:pPr>
              <w:jc w:val="right"/>
              <w:ind w:right="357"/>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40" w:type="dxa"/>
            <w:vAlign w:val="bottom"/>
            <w:gridSpan w:val="2"/>
          </w:tcPr>
          <w:p>
            <w:pPr>
              <w:spacing w:after="0"/>
              <w:rPr>
                <w:sz w:val="10"/>
                <w:szCs w:val="10"/>
                <w:color w:val="auto"/>
              </w:rPr>
            </w:pPr>
          </w:p>
        </w:tc>
      </w:tr>
      <w:tr>
        <w:trPr>
          <w:trHeight w:val="180"/>
        </w:trPr>
        <w:tc>
          <w:tcPr>
            <w:tcW w:w="382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478,363</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194,683</w:t>
            </w:r>
          </w:p>
        </w:tc>
        <w:tc>
          <w:tcPr>
            <w:tcW w:w="24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38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formerly known as UFP Industrial) and UFP Construction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515,593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1,822,476</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655,139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365,663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393,934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1,464,147</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358,329</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194,683</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41,056</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54,732</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54,248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4,034</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7,638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161,708</w:t>
            </w:r>
          </w:p>
        </w:tc>
        <w:tc>
          <w:tcPr>
            <w:tcW w:w="20" w:type="dxa"/>
            <w:vAlign w:val="bottom"/>
          </w:tcPr>
          <w:p>
            <w:pPr>
              <w:spacing w:after="0"/>
              <w:rPr>
                <w:sz w:val="18"/>
                <w:szCs w:val="18"/>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858,895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461,815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625,059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2,010,950</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478,363</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(8,711)</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220,150</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71,397</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82,391</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78,818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14,815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11,604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259,025</w:t>
            </w:r>
          </w:p>
        </w:tc>
        <w:tc>
          <w:tcPr>
            <w:tcW w:w="20" w:type="dxa"/>
            <w:vAlign w:val="bottom"/>
          </w:tcPr>
          <w:p>
            <w:pPr>
              <w:spacing w:after="0"/>
              <w:rPr>
                <w:sz w:val="18"/>
                <w:szCs w:val="18"/>
                <w:color w:val="auto"/>
              </w:rPr>
            </w:pPr>
          </w:p>
        </w:tc>
      </w:tr>
      <w:tr>
        <w:trPr>
          <w:trHeight w:val="64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0" w:type="dxa"/>
            <w:vAlign w:val="bottom"/>
          </w:tcPr>
          <w:p>
            <w:pPr>
              <w:spacing w:after="0"/>
              <w:rPr>
                <w:sz w:val="24"/>
                <w:szCs w:val="24"/>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20"/>
        </w:trPr>
        <w:tc>
          <w:tcPr>
            <w:tcW w:w="554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0" w:type="dxa"/>
            <w:vAlign w:val="bottom"/>
          </w:tcPr>
          <w:p>
            <w:pPr>
              <w:spacing w:after="0"/>
              <w:rPr>
                <w:sz w:val="24"/>
                <w:szCs w:val="24"/>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which were attributable to changes in overall selling prices versus changes in units shipped.</w:t>
      </w:r>
    </w:p>
    <w:p>
      <w:pPr>
        <w:spacing w:after="0" w:line="182" w:lineRule="exact"/>
        <w:rPr>
          <w:rFonts w:ascii="Times New Roman" w:cs="Times New Roman" w:eastAsia="Times New Roman" w:hAnsi="Times New Roman"/>
          <w:sz w:val="18"/>
          <w:szCs w:val="18"/>
          <w:color w:val="auto"/>
        </w:rPr>
      </w:pPr>
    </w:p>
    <w:p>
      <w:pPr>
        <w:ind w:left="6780" w:hanging="184"/>
        <w:spacing w:after="0"/>
        <w:tabs>
          <w:tab w:leader="none" w:pos="6780" w:val="left"/>
        </w:tabs>
        <w:numPr>
          <w:ilvl w:val="1"/>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8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2023 versus first quarter 2022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right="7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Diversifying our end market sales mix</w:t>
      </w:r>
      <w:r>
        <w:rPr>
          <w:rFonts w:ascii="Times New Roman" w:cs="Times New Roman" w:eastAsia="Times New Roman" w:hAnsi="Times New Roman"/>
          <w:sz w:val="18"/>
          <w:szCs w:val="18"/>
          <w:color w:val="auto"/>
        </w:rPr>
        <w:t xml:space="preserve"> by increasing sales of structural wood and protective packaging to industrial users, increasing our penetration of the concrete forming market, and increasing our market share with independent retailers.</w:t>
      </w:r>
    </w:p>
    <w:p>
      <w:pPr>
        <w:spacing w:after="0" w:line="17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380" w:right="79" w:hanging="330"/>
        <w:spacing w:after="0" w:line="253"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194" w:lineRule="exact"/>
        <w:rPr>
          <w:sz w:val="20"/>
          <w:szCs w:val="20"/>
          <w:color w:val="auto"/>
        </w:rPr>
      </w:pPr>
    </w:p>
    <w:p>
      <w:pPr>
        <w:jc w:val="both"/>
        <w:ind w:left="38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120" w:type="dxa"/>
            <w:vAlign w:val="bottom"/>
          </w:tcPr>
          <w:p>
            <w:pPr>
              <w:spacing w:after="0"/>
              <w:rPr>
                <w:sz w:val="15"/>
                <w:szCs w:val="15"/>
                <w:color w:val="auto"/>
              </w:rPr>
            </w:pPr>
          </w:p>
        </w:tc>
        <w:tc>
          <w:tcPr>
            <w:tcW w:w="2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26, 2022</w:t>
            </w:r>
          </w:p>
        </w:tc>
      </w:tr>
      <w:tr>
        <w:trPr>
          <w:trHeight w:val="169"/>
        </w:trPr>
        <w:tc>
          <w:tcPr>
            <w:tcW w:w="4120" w:type="dxa"/>
            <w:vAlign w:val="bottom"/>
          </w:tcPr>
          <w:p>
            <w:pPr>
              <w:spacing w:after="0"/>
              <w:rPr>
                <w:sz w:val="14"/>
                <w:szCs w:val="14"/>
                <w:color w:val="auto"/>
              </w:rPr>
            </w:pPr>
          </w:p>
        </w:tc>
        <w:tc>
          <w:tcPr>
            <w:tcW w:w="2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00" w:type="dxa"/>
            <w:vAlign w:val="bottom"/>
          </w:tcPr>
          <w:p>
            <w:pPr>
              <w:spacing w:after="0"/>
              <w:rPr>
                <w:sz w:val="14"/>
                <w:szCs w:val="14"/>
                <w:color w:val="auto"/>
              </w:rPr>
            </w:pPr>
          </w:p>
        </w:tc>
        <w:tc>
          <w:tcPr>
            <w:tcW w:w="2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00" w:type="dxa"/>
            <w:vAlign w:val="bottom"/>
          </w:tcPr>
          <w:p>
            <w:pPr>
              <w:spacing w:after="0"/>
              <w:rPr>
                <w:sz w:val="14"/>
                <w:szCs w:val="14"/>
                <w:color w:val="auto"/>
              </w:rPr>
            </w:pPr>
          </w:p>
        </w:tc>
      </w:tr>
      <w:tr>
        <w:trPr>
          <w:trHeight w:val="21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shd w:val="clear" w:color="auto" w:fill="CCEEFF"/>
          </w:tcPr>
          <w:p>
            <w:pPr>
              <w:spacing w:after="0"/>
              <w:rPr>
                <w:sz w:val="18"/>
                <w:szCs w:val="18"/>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5648960" cy="111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11125"/>
                    </a:xfrm>
                    <a:prstGeom prst="rect">
                      <a:avLst/>
                    </a:prstGeom>
                    <a:noFill/>
                  </pic:spPr>
                </pic:pic>
              </a:graphicData>
            </a:graphic>
          </wp:anchor>
        </w:drawing>
      </w:r>
    </w:p>
    <w:p>
      <w:pPr>
        <w:spacing w:after="0" w:line="11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380" w:right="59"/>
        <w:spacing w:after="0" w:line="261" w:lineRule="auto"/>
        <w:rPr>
          <w:sz w:val="20"/>
          <w:szCs w:val="20"/>
          <w:color w:val="auto"/>
        </w:rPr>
      </w:pPr>
      <w:r>
        <w:rPr>
          <w:rFonts w:ascii="Times New Roman" w:cs="Times New Roman" w:eastAsia="Times New Roman" w:hAnsi="Times New Roman"/>
          <w:sz w:val="18"/>
          <w:szCs w:val="18"/>
          <w:color w:val="auto"/>
        </w:rPr>
        <w:t>Our overall unit sales of value-added products decreased approximately 11% in the first quarter of 2023 compared to 2022 and was comprised of a 12% decline in organic unit sales, partially offset by a 1% contribution from acquisitions. Our overall unit sales of commodity-based products decreased approximately 5% quarter-over-quarter, which was all comprised of organic unit sales.</w:t>
      </w:r>
    </w:p>
    <w:p>
      <w:pPr>
        <w:spacing w:after="0" w:line="180" w:lineRule="exact"/>
        <w:rPr>
          <w:sz w:val="20"/>
          <w:szCs w:val="20"/>
          <w:color w:val="auto"/>
        </w:rPr>
      </w:pPr>
    </w:p>
    <w:p>
      <w:pPr>
        <w:jc w:val="both"/>
        <w:ind w:left="380" w:right="79" w:hanging="330"/>
        <w:spacing w:after="0" w:line="256"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first quarter of 2023 decreased 10% due to a decline in lumber prices which were passed to customers in our selling prices. Approximately $4.5 million of new product sales for the first three months of 2022, while still sold, were sunset in 2023 and excluded from the table below because they no longer meet the definition above. Our goal is to achieve annual new product sales of at least $795 million in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new product sales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7"/>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2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24"/>
        </w:trPr>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235"/>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40" w:type="dxa"/>
            <w:vAlign w:val="bottom"/>
          </w:tcPr>
          <w:p>
            <w:pPr>
              <w:spacing w:after="0"/>
              <w:rPr>
                <w:sz w:val="10"/>
                <w:szCs w:val="10"/>
                <w:color w:val="auto"/>
              </w:rPr>
            </w:pPr>
          </w:p>
        </w:tc>
        <w:tc>
          <w:tcPr>
            <w:tcW w:w="9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176"/>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120" w:type="dxa"/>
            <w:vAlign w:val="bottom"/>
          </w:tcPr>
          <w:p>
            <w:pPr>
              <w:spacing w:after="0"/>
              <w:rPr>
                <w:sz w:val="10"/>
                <w:szCs w:val="10"/>
                <w:color w:val="auto"/>
              </w:rPr>
            </w:pPr>
          </w:p>
        </w:tc>
        <w:tc>
          <w:tcPr>
            <w:tcW w:w="1200" w:type="dxa"/>
            <w:vAlign w:val="bottom"/>
            <w:gridSpan w:val="3"/>
          </w:tcPr>
          <w:p>
            <w:pPr>
              <w:jc w:val="right"/>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0"/>
                <w:szCs w:val="10"/>
                <w:color w:val="auto"/>
              </w:rPr>
            </w:pPr>
          </w:p>
        </w:tc>
      </w:tr>
      <w:tr>
        <w:trPr>
          <w:trHeight w:val="180"/>
        </w:trPr>
        <w:tc>
          <w:tcPr>
            <w:tcW w:w="2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5"/>
                <w:szCs w:val="15"/>
                <w:color w:val="auto"/>
              </w:rPr>
            </w:pPr>
          </w:p>
        </w:tc>
        <w:tc>
          <w:tcPr>
            <w:tcW w:w="140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Sales</w:t>
            </w: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78,648</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68,098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2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8"/>
                <w:szCs w:val="18"/>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9"/>
                <w:szCs w:val="19"/>
                <w:color w:val="auto"/>
              </w:rPr>
            </w:pPr>
          </w:p>
        </w:tc>
      </w:tr>
      <w:tr>
        <w:trPr>
          <w:trHeight w:val="216"/>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166,572</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185,422</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in the first quarter of 2023 decreased by 25% compared to the same period of 2022, primarily due to a 23% decrease in selling prices and an organic unit decrease of 2%. Our selling prices of variable-priced products declined due to lower lumber prices. The selling prices of these products are indexed to the lumber market at the time they are shipped. Our unit sales to big box customers increased 6%, while unit sales to independent retailers decreased 17%.</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$39.9 million, or 29.7% to $94.4 million for the first quarter of 2023 compared to the same period last year. The decrease in gross profit was attributable to the following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Sunbelt and ProWood and Outdoor Essentials business units decreased by a total of $36.0 million, primarily due to decreases in unit sales and the favorable impact of rising lumber prices throughout the first quarter of 2022. The products sold by these units consist primarily of pressure treated lumber sold at a variable price indexed to the lumber market at the time they are shipped.</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UFP Edge business unit decreased by $6.3 million due to decreases in unit sales.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decreases were offset by our Deckorators business unit, which experienced a $2.4 million increase in gross profit due to an increase in unit sales.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$9.3 million, or 14.9%, in the first quarter of 2023 compared to the same period of 2022. Accrued bonus expense, which varies with our overall profitability and return on investment, decreased approximately $9.3 million from the first quarter of 2022 and totaled approximately $11.4 million for the quarter. Sales incentive compensation also contributed to the decrease in SG&amp;A and decreased by $2.0 million from the prior year. The overall decrease in SG&amp;A was partially offset by other minimal increases in various accounts.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decreased in the first quarter of 2023 compared to 2022 by $30.3 million, or 42.5%,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first quarter of 2023 decreased 20% compared to the same period of 2022, due to an 18% decrease in selling prices and 4% decrease in organic unit sales, offset by acquisition unit growth of 2%. The components of our change in organic unit sales includes approximately $28 million of sales to new accounts and $7.4 million of sales to new locations of existing customers. These increases were offset by a decline in prices and unit sales to existing accounts as market demand declined.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Gross profits decreased by $28.7 million, or 19.2%, for the first quarter of 2023 compared to the same period last year. Acquisitions contributed $2.4 million to gross profit. Excluding acquisitions, we estimate that gross profits on sales of value-added and commodity-based products declined by $8.3 million and $22.7 million, respectively. Value-added sales increased to 76.9% of total net sales in the first quarter of 2023 compared to 67.8% of total net sales in the first quarter of 2022 and is reflective of an improvement in sales mix.</w:t>
      </w:r>
    </w:p>
    <w:p>
      <w:pPr>
        <w:spacing w:after="0" w:line="183"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SG&amp;A decreased by approximately $1.0 million, or 1.5%, in the first quarter of 2023 compared to the same period of 2022. Acquired operations since the first quarter of 2022 contributed approximately $1.5 million to our SG&amp;A costs. Accrued bonus expense, which varies with our overall profitability and return on investment, decreased approximately $7.9 million relative to the first quarter of 2022, and totaled $15.8 million for the quarter. Sales incentive compensation also contributed to the decline in SG&amp;A and decreased by $2.0 million from the prior year. These decreases were offset by increases in earnout expense of $3.7 million, professional fees of $1.4 million, and other minimal increases in several SG&amp;A accounts.</w:t>
      </w:r>
    </w:p>
    <w:p>
      <w:pPr>
        <w:spacing w:after="0" w:line="17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Packaging reportable segment decreased in the first quarter of 2023 compared to 2022 by $27.7 million, or 33.6%,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in the first quarter of 2023 decreased 34% compared to the same period of 2022, due to an 18% decrease in selling prices and an organic unit decline of 16%. Organic unit changes within this segment consist of decreases of 19% in factory-built housing and 22% in site-built construction, which were partially offset by an increase of 8% in commercial construction and 5% in concrete forming. The organic unit declines in our factory-built housing and site-built construction business units is due to the impact of higher interest rates on the demand for housing. As of April 1, 2023 and March 26, 2022, we estimate that our backlog of orders in the commercial construction business unit were $139 million and $93 million, respectively. As of April 1, 2023 and March 26, 2022, we estimate that our backlog of orders in our site-built construction business unit were $91 million and $141 million, respectively.</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$39.8 million, or 24.6%, for the first quarter of 2023 compared to the same period of 2022. The decrease in our gross profit was comprised of the following factors:</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factory-built housing and site-built construction business units decreased by $13.5 million and $29.0 million, respectively, due to a lower sales volumes, unfavorable cost variances due to fixed manufacturing costs, and more competitive pricing.</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increased $4.8 million as a result of increased unit sales, better productivity and other operational improvements, as well as improved pricing discipline.</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$15.0 million, or 18.2%, in the first quarter of 2023 compared to the same period of 2022. Accrued bonus expense, which varies with our overall profitability and return on investment, decreased approximately $7.9 million, and totaled $14.7 million for the quarter. The remaining decrease was primarily due to decreases in sales incentive compensation of $4.0 million and bad debt expense of $1.9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first quarter of 2023 compared to 2022 by $24.6 million, or 31.2%,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 The decline in sales and earnings from operations is primarily due to our operation in Mexico that exports moulding and millwork products to the the 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23.7% in the first quarter of 2023 compared to 24.0% in the first quarter of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5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15"/>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4"/>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r>
      <w:tr>
        <w:trPr>
          <w:trHeight w:val="180"/>
        </w:trPr>
        <w:tc>
          <w:tcPr>
            <w:tcW w:w="57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(245,031)</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(59,736)</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from financing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86,330</w:t>
            </w:r>
          </w:p>
        </w:tc>
      </w:tr>
      <w:tr>
        <w:trPr>
          <w:trHeight w:val="22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(216,711)</w:t>
            </w:r>
          </w:p>
        </w:tc>
      </w:tr>
      <w:tr>
        <w:trPr>
          <w:trHeight w:val="22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559,623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291,223</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424,060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74,512</w:t>
            </w: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71 days from 61 days during the first quarter of 2023 compared to the prior year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920" w:type="dxa"/>
            <w:vAlign w:val="bottom"/>
          </w:tcPr>
          <w:p>
            <w:pPr>
              <w:spacing w:after="0"/>
              <w:rPr>
                <w:sz w:val="15"/>
                <w:szCs w:val="15"/>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92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April 1,</w:t>
            </w:r>
          </w:p>
        </w:tc>
        <w:tc>
          <w:tcPr>
            <w:tcW w:w="8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00" w:type="dxa"/>
            <w:vAlign w:val="bottom"/>
          </w:tcPr>
          <w:p>
            <w:pPr>
              <w:spacing w:after="0"/>
              <w:rPr>
                <w:sz w:val="10"/>
                <w:szCs w:val="10"/>
                <w:color w:val="auto"/>
              </w:rPr>
            </w:pPr>
          </w:p>
        </w:tc>
      </w:tr>
      <w:tr>
        <w:trPr>
          <w:trHeight w:val="180"/>
        </w:trPr>
        <w:tc>
          <w:tcPr>
            <w:tcW w:w="69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r>
      <w:tr>
        <w:trPr>
          <w:trHeight w:val="236"/>
        </w:trPr>
        <w:tc>
          <w:tcPr>
            <w:tcW w:w="69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Days payables outstanding</w:t>
            </w:r>
            <w:r>
              <w:rPr>
                <w:rFonts w:ascii="Times New Roman" w:cs="Times New Roman" w:eastAsia="Times New Roman" w:hAnsi="Times New Roman"/>
                <w:sz w:val="25"/>
                <w:szCs w:val="25"/>
                <w:color w:val="auto"/>
                <w:vertAlign w:val="superscript"/>
              </w:rPr>
              <w:t>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r>
      <w:tr>
        <w:trPr>
          <w:trHeight w:val="203"/>
        </w:trPr>
        <w:tc>
          <w:tcPr>
            <w:tcW w:w="69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CEEFF"/>
            </w:tcBorders>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60" w:right="79" w:hanging="10"/>
        <w:spacing w:after="0" w:line="236" w:lineRule="auto"/>
        <w:tabs>
          <w:tab w:leader="none" w:pos="17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We’ve modified our calculation of days payables outstanding to be based on the cost of goods sold and accounts payable balances in our monthly financial statements. In prior periods, our calculation was based on invoice data. We’ve made this change to simplify the calculation and more easily integrate acquired operations into our financial metrics. The prior year metric has been restated for the new method which reduced days payables from a previously reported 20 days to 12 days.</w:t>
      </w:r>
    </w:p>
    <w:p>
      <w:pPr>
        <w:spacing w:after="0" w:line="18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increase in our cash cycle in the first quarter of 2023 compared to the same period of 2022 was primarily due to a seven day increase in our days supply of inventory and a four day increase in our days of sales outstanding. The increase in our days supply of inventory is primarily due to carrying higher levels of safety stock and a drop in demand. The increase in our days of sales outstanding is due to receiving less timely payments from our customers. We continue to focus on past due account balances with customers and the percentage of our accounts receivable that are current is 93% at the end of the first quarter of 2023.</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first three months of 2023, our cash consumed by operating activities was $37 million and was comprised of net earnings of $126 million and $40 million of non-cash expenses, offset by a $203 million increase in working capital since the end of December 2022. Our cash flows used by operations decreased by $208 million compared to the same period of last year primarily due to a decrease in our investment in net working capital of $270 million compared to the prior year period, offset by a decrease in our net earnings and non-cash expenses of $62 million. The decrease in net working capital was due to lower lumber prices and the softening of demand.</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Purchases of property, plant, and equipment of $38 million comprised most of our cash used in investing activities during the first three months of 2023. Outstanding purchase commitments on existing capital projects totaled approximately $64 million on April 1, 2023. Capital spending primarily consists of several projects to expand capacity to manufacture new and value-added products, primarily in our Packaging segment and Deckorators and ProWood business units, achieve efficiencies through automation in all segments, make improvements to a number of facilities, and increase our transportation capacity (tractors, trailers). We intend to fund capital expenditures and purchase commitments through our operating cash flows for the balance of the year. We currently plan to spend between $200 million to $225 million on capital projects for the year subject to significant variability due to extended supplier lead times. We completed no acquisitions during the first three months of 2023, while cash used for acquisitions in the same period of the prior year amounted to $25 million.</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Cash flows from financing activities consisted of cash paid for repurchases of common stock of $33 million. We repurchased approximately 451,000 shares of our common stock for $35 million ($2 million is recorded in accounts payable at the end of the quarter) for the year at an average share price of $78.27. The total number of remaining shares that may be repurchased under the program is approximately 1.5 million. Dividends paid during the first three months of 2023 include first quarter dividends of $16 million ($0.25 per share), a 25% increase over the quarterly dividend of $0.20 per share paid in the first quarter of 2022. On April 26, 2023, our board of directors approved our second quarter dividend of $0.25 per share, payable on June 15, 2023, to shareholders of record on June 1, 2023. Distributions to noncontrolling interests were $5 million. We have debt maturities of $3 million due later this year which we intend to repay through operating cash flows and available cash balances.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1, 2023, we had $5 million outstanding on our $750 million revolving credit facility, and we had approximately $741 million in remaining availability after considering $3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April 1, 2023.</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first quarter of 2023, we have approximately $1.7 billion in total liquidity, consisting of our cash surplus, remaining availability under our revolving credit facility, and a shelf agreement with certain lenders providing up to $535 million in remaining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Most recently, our </w:t>
      </w:r>
      <w:r>
        <w:rPr>
          <w:rFonts w:ascii="Times New Roman" w:cs="Times New Roman" w:eastAsia="Times New Roman" w:hAnsi="Times New Roman"/>
          <w:sz w:val="18"/>
          <w:szCs w:val="18"/>
          <w:u w:val="single" w:color="auto"/>
          <w:color w:val="auto"/>
        </w:rPr>
        <w:t>long-term goals</w:t>
      </w:r>
      <w:r>
        <w:rPr>
          <w:rFonts w:ascii="Times New Roman" w:cs="Times New Roman" w:eastAsia="Times New Roman" w:hAnsi="Times New Roman"/>
          <w:sz w:val="18"/>
          <w:szCs w:val="18"/>
          <w:color w:val="auto"/>
        </w:rPr>
        <w:t xml:space="preserve"> have been to:</w:t>
      </w:r>
    </w:p>
    <w:p>
      <w:pPr>
        <w:spacing w:after="0" w:line="117" w:lineRule="exact"/>
        <w:rPr>
          <w:sz w:val="20"/>
          <w:szCs w:val="20"/>
          <w:color w:val="auto"/>
        </w:rPr>
      </w:pPr>
    </w:p>
    <w:p>
      <w:pPr>
        <w:ind w:left="720" w:right="11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annual unit sales by 5-7%. We anticipate smaller tuck in acquisitions will continue to contribute toward this goal;</w:t>
      </w:r>
    </w:p>
    <w:p>
      <w:pPr>
        <w:spacing w:after="0" w:line="53"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sustain a 10% EBITDA margin by continuing to enhance our capabilities and grow our portfolio and sales of value-added products;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an incremental return on new investment over our cost of capital;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conservative capital structure.</w:t>
      </w:r>
    </w:p>
    <w:p>
      <w:pPr>
        <w:spacing w:after="0" w:line="225"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We believe effectively executing our strategies will allow us to achieve these long-term goals in the future. However, current economic conditions indicate the U.S. economy is either in or headed towards a recession, which will impact our results and vary depending on its severity and duration. The following factors should be considered when evaluating our future results:</w:t>
      </w:r>
    </w:p>
    <w:p>
      <w:pPr>
        <w:spacing w:after="0" w:line="72" w:lineRule="exact"/>
        <w:rPr>
          <w:sz w:val="20"/>
          <w:szCs w:val="20"/>
          <w:color w:val="auto"/>
        </w:rPr>
      </w:pPr>
    </w:p>
    <w:p>
      <w:pPr>
        <w:ind w:left="720" w:right="9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Lumber prices, which impact our cost of goods sold and selling prices, have normalized due to additional capacity added by sawmills and demand falling from peak levels as a result of inflation and an increase in interest rates. We anticipate lumber prices will follow more typical seasonal patterns consistent with historical trends and demand and remain at lower levels in 2023.</w:t>
      </w:r>
    </w:p>
    <w:p>
      <w:pPr>
        <w:spacing w:after="0" w:line="71"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41% of our net sales for the first three months of 2023. When evaluating future demand for the segment, we analyze data such as the same-store sales growth of national home improvement retailers and forecasts of home remodeling activity. Based on this data, we currently anticipate market demand to be flat to slightly down in 2023.</w:t>
      </w:r>
    </w:p>
    <w:p>
      <w:pPr>
        <w:spacing w:after="0" w:line="71" w:lineRule="exact"/>
        <w:rPr>
          <w:rFonts w:ascii="Times New Roman" w:cs="Times New Roman" w:eastAsia="Times New Roman" w:hAnsi="Times New Roman"/>
          <w:sz w:val="18"/>
          <w:szCs w:val="18"/>
          <w:color w:val="auto"/>
        </w:rPr>
      </w:pPr>
    </w:p>
    <w:p>
      <w:pPr>
        <w:ind w:left="720" w:right="79" w:hanging="319"/>
        <w:spacing w:after="0" w:line="289"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Packaging sales accounted for 27% of our net sales for the first three months of 2023. When evaluating future demand, we consider a number of metrics, including the Purchasing Managers Index (PMI), durable goods manufacturing, and U.S. real GDP. We currently estimate industrial production to be flat to slightly down in 2023.</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28% of our net sales for the first three months of 2023.</w:t>
      </w:r>
    </w:p>
    <w:p>
      <w:pPr>
        <w:spacing w:after="0" w:line="117" w:lineRule="exact"/>
        <w:rPr>
          <w:rFonts w:ascii="Times New Roman" w:cs="Times New Roman" w:eastAsia="Times New Roman" w:hAnsi="Times New Roman"/>
          <w:sz w:val="18"/>
          <w:szCs w:val="18"/>
          <w:color w:val="auto"/>
        </w:rPr>
      </w:pPr>
    </w:p>
    <w:p>
      <w:pPr>
        <w:ind w:left="1380" w:right="119" w:hanging="331"/>
        <w:spacing w:after="0" w:line="255"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12% of our net sales for the first three months of 2023. Approximately 30% of site-built sales are to multifamily builders. More than 75% of our site-built residential housing sales are in areas such as Texas and the Mid-Atlantic, Southeast, and Mountain West regions, which have experienced significant population growth through migration from other states and are forecasted to continue to grow over the long term. When evaluating future demand, we analyze data from housing starts in those regions. The consensus estimates of all housing starts is for a 15% to 20% decline in 2023.</w:t>
      </w:r>
    </w:p>
    <w:p>
      <w:pPr>
        <w:spacing w:after="0" w:line="80" w:lineRule="exact"/>
        <w:rPr>
          <w:rFonts w:ascii="Times New Roman" w:cs="Times New Roman" w:eastAsia="Times New Roman" w:hAnsi="Times New Roman"/>
          <w:sz w:val="18"/>
          <w:szCs w:val="18"/>
          <w:color w:val="auto"/>
        </w:rPr>
      </w:pPr>
    </w:p>
    <w:p>
      <w:pPr>
        <w:ind w:left="1380" w:right="99" w:hanging="331"/>
        <w:spacing w:after="0" w:line="256"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housing business unit accounted for 9% of our net sales for the first three months of 2023. This business, along with our multifamily business, could benefit from higher interest rates as buyers seek more affordable housing alternatives over time. As a result of these factors, we believe these customers are better insulated from downturns in the housing market. When evaluating future demand, we analyze data from production of manufactured housing. The National Association of Home Builders forecasts a 24% decrease in manufactured home shipments in 2023.</w:t>
      </w:r>
    </w:p>
    <w:p>
      <w:pPr>
        <w:spacing w:after="0" w:line="79" w:lineRule="exact"/>
        <w:rPr>
          <w:rFonts w:ascii="Times New Roman" w:cs="Times New Roman" w:eastAsia="Times New Roman" w:hAnsi="Times New Roman"/>
          <w:sz w:val="18"/>
          <w:szCs w:val="18"/>
          <w:color w:val="auto"/>
        </w:rPr>
      </w:pPr>
    </w:p>
    <w:p>
      <w:pPr>
        <w:jc w:val="both"/>
        <w:ind w:left="1380" w:right="279" w:hanging="331"/>
        <w:spacing w:after="0" w:line="266"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7% of our net sales for the first three months of 2023. When evaluating future demand, we analyze data from non-residential construction spending.</w:t>
      </w:r>
    </w:p>
    <w:p>
      <w:pPr>
        <w:spacing w:after="0" w:line="67" w:lineRule="exact"/>
        <w:rPr>
          <w:rFonts w:ascii="Times New Roman" w:cs="Times New Roman" w:eastAsia="Times New Roman" w:hAnsi="Times New Roman"/>
          <w:sz w:val="18"/>
          <w:szCs w:val="18"/>
          <w:color w:val="auto"/>
        </w:rPr>
      </w:pPr>
    </w:p>
    <w:p>
      <w:pPr>
        <w:ind w:left="720" w:right="139" w:hanging="319"/>
        <w:spacing w:after="0" w:line="25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consolidated basis, and based on our 2023 forecasted results of operations and business mix, we believe our annual decremental operating margin is in a range of 15% to 20% of net sales. In other words, we believe for every dollar decrease in sales, relative to the prior year, our earnings from operations may decline by $0.15 to $0.20. As a point of reference, our peak to trough decremental operating margin during the Great Recession was approximately 13.5% (2006 peak to 2011 trough). We estimate that our decremental margins by segment are as follows:</w:t>
      </w:r>
    </w:p>
    <w:p>
      <w:pPr>
        <w:spacing w:after="0" w:line="79"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is in a range of 20% to 25%</w:t>
      </w:r>
    </w:p>
    <w:p>
      <w:pPr>
        <w:spacing w:after="0" w:line="11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is in a range of 20% to 25%</w:t>
      </w:r>
    </w:p>
    <w:p>
      <w:pPr>
        <w:spacing w:after="0" w:line="117"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anticipate improvement in operating profits in our Retail segment in 2023, primarily due to an expectation of less volatile lumber prices in 2023 and other operational improvements. The severe volatility of lumber prices in 2022 and 2021 adversely impacted the results of this segment.</w:t>
      </w:r>
    </w:p>
    <w:p>
      <w:pPr>
        <w:spacing w:after="0" w:line="67" w:lineRule="exact"/>
        <w:rPr>
          <w:rFonts w:ascii="Times New Roman" w:cs="Times New Roman" w:eastAsia="Times New Roman" w:hAnsi="Times New Roman"/>
          <w:sz w:val="18"/>
          <w:szCs w:val="18"/>
          <w:color w:val="auto"/>
        </w:rPr>
      </w:pPr>
    </w:p>
    <w:p>
      <w:pPr>
        <w:ind w:left="1380" w:right="179" w:hanging="331"/>
        <w:spacing w:after="0" w:line="282"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compared to the first quarter of 2022, our decremental operating margin on a consolidated basis was 14.6% (Retail 12.5%, Packaging 22.2%, and Construction 9.0%).</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factors that may impact the ranges provided above include estimates of:</w:t>
      </w:r>
    </w:p>
    <w:p>
      <w:pPr>
        <w:spacing w:after="0" w:line="117" w:lineRule="exact"/>
        <w:rPr>
          <w:rFonts w:ascii="Times New Roman" w:cs="Times New Roman" w:eastAsia="Times New Roman" w:hAnsi="Times New Roman"/>
          <w:sz w:val="18"/>
          <w:szCs w:val="18"/>
          <w:color w:val="auto"/>
        </w:rPr>
      </w:pPr>
    </w:p>
    <w:p>
      <w:pPr>
        <w:ind w:left="1380" w:right="159" w:hanging="331"/>
        <w:spacing w:after="0" w:line="282"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level of the Lumber Market and trends in the commodity and other material costs of our products</w:t>
      </w:r>
    </w:p>
    <w:p>
      <w:pPr>
        <w:spacing w:after="0" w:line="5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selling prices</w:t>
      </w:r>
    </w:p>
    <w:p>
      <w:pPr>
        <w:spacing w:after="0" w:line="11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mix by segment, business unit, and product</w:t>
      </w:r>
    </w:p>
    <w:p>
      <w:pPr>
        <w:spacing w:after="0" w:line="11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labor rates</w:t>
      </w:r>
    </w:p>
    <w:p>
      <w:pPr>
        <w:spacing w:after="0" w:line="117" w:lineRule="exact"/>
        <w:rPr>
          <w:rFonts w:ascii="Times New Roman" w:cs="Times New Roman" w:eastAsia="Times New Roman" w:hAnsi="Times New Roman"/>
          <w:sz w:val="18"/>
          <w:szCs w:val="18"/>
          <w:color w:val="auto"/>
        </w:rPr>
      </w:pPr>
    </w:p>
    <w:p>
      <w:pPr>
        <w:ind w:left="1380" w:right="799" w:hanging="331"/>
        <w:spacing w:after="0" w:line="282"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variable manufacturing, freight, selling, general, and administrative costs, particularly certain personnel costs, in line with net sales</w:t>
      </w:r>
    </w:p>
    <w:p>
      <w:pPr>
        <w:spacing w:after="0" w:line="53" w:lineRule="exact"/>
        <w:rPr>
          <w:rFonts w:ascii="Times New Roman" w:cs="Times New Roman" w:eastAsia="Times New Roman" w:hAnsi="Times New Roman"/>
          <w:sz w:val="18"/>
          <w:szCs w:val="18"/>
          <w:color w:val="auto"/>
        </w:rPr>
      </w:pPr>
    </w:p>
    <w:p>
      <w:pPr>
        <w:ind w:left="1380" w:right="499" w:hanging="331"/>
        <w:spacing w:after="0" w:line="282" w:lineRule="auto"/>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salaried bonus plan, which is based on pre-bonus profits and achieving minimum levels of pre-bonus return on investment over a required hurdle rate</w:t>
      </w:r>
    </w:p>
    <w:p>
      <w:pPr>
        <w:spacing w:after="0" w:line="5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other changes in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119"/>
        <w:spacing w:after="0" w:line="289" w:lineRule="auto"/>
        <w:rPr>
          <w:sz w:val="20"/>
          <w:szCs w:val="20"/>
          <w:color w:val="auto"/>
        </w:rPr>
      </w:pPr>
      <w:r>
        <w:rPr>
          <w:rFonts w:ascii="Times New Roman" w:cs="Times New Roman" w:eastAsia="Times New Roman" w:hAnsi="Times New Roman"/>
          <w:sz w:val="17"/>
          <w:szCs w:val="17"/>
          <w:color w:val="auto"/>
        </w:rPr>
        <w:t>We believe the strength of our cash flow generation and conservative capital structure provides us with sufficient resources to grow our business and also fund returns to our shareholders. We plan to continue to pursue a balanced and return driven approach to capital allocation across dividends, share buybacks, capital investments and acquisitions. Specifically:</w:t>
      </w:r>
    </w:p>
    <w:p>
      <w:pPr>
        <w:spacing w:after="0" w:line="50" w:lineRule="exact"/>
        <w:rPr>
          <w:sz w:val="20"/>
          <w:szCs w:val="20"/>
          <w:color w:val="auto"/>
        </w:rPr>
      </w:pPr>
    </w:p>
    <w:p>
      <w:pPr>
        <w:ind w:left="720" w:right="33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2023, our board approved another quarterly dividend of $0.25 per share. We continue to consider our payout ratios and yield when determining the appropriate rate.</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three months of 2023, we repurchased 450,597 shares of our common stock at an average share price of $78.27. We have remaining authorization to repurchase up to an additional 1.5 million shares through the balance of the year and intend to continue to do so at times when the price hits our pre-established target.</w:t>
      </w:r>
    </w:p>
    <w:p>
      <w:pPr>
        <w:spacing w:after="0" w:line="67" w:lineRule="exact"/>
        <w:rPr>
          <w:rFonts w:ascii="Times New Roman" w:cs="Times New Roman" w:eastAsia="Times New Roman" w:hAnsi="Times New Roman"/>
          <w:sz w:val="18"/>
          <w:szCs w:val="18"/>
          <w:color w:val="auto"/>
        </w:rPr>
      </w:pPr>
    </w:p>
    <w:p>
      <w:pPr>
        <w:ind w:left="720" w:right="9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is $200-$225 million and may be impacted by extended lead times required for most equipment and rolling stock. Priority continues to be given to projects that enhance the working environments of our plants, take advantage of automation opportunities, and drive strategies that have strong long-term growth potential of new and value-added products.</w:t>
      </w:r>
    </w:p>
    <w:p>
      <w:pPr>
        <w:spacing w:after="0" w:line="7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April 1, 2023 (the “Evaluation Date”), have concluded that, as of such date, our disclosure controls and procedures were effective.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April 1, 2023, there were no changes in our internal control over financial reporting that materially affected, or is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6"/>
                <w:szCs w:val="16"/>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6"/>
                <w:szCs w:val="16"/>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09"/>
        </w:trPr>
        <w:tc>
          <w:tcPr>
            <w:tcW w:w="5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February 4, 2023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2,000,000</w:t>
            </w:r>
          </w:p>
        </w:tc>
      </w:tr>
      <w:tr>
        <w:trPr>
          <w:trHeight w:val="216"/>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5 – March 4, 2023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2,000,000</w:t>
            </w:r>
          </w:p>
        </w:tc>
      </w:tr>
      <w:tr>
        <w:trPr>
          <w:trHeight w:val="432"/>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5 – April 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450,597</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450,597</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1,549,403</w:t>
            </w:r>
          </w:p>
        </w:tc>
      </w:tr>
      <w:tr>
        <w:trPr>
          <w:trHeight w:val="108"/>
        </w:trPr>
        <w:tc>
          <w:tcPr>
            <w:tcW w:w="224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shares that may yet be purchased under the plans or programs.</w:t>
      </w:r>
    </w:p>
    <w:p>
      <w:pPr>
        <w:spacing w:after="0" w:line="20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February 15, 2022, our Board authorized an additional 1.5 million shares to be repurchased under our existing share repurchase program. Upon expiration of this authorization on February 3, 2023, the Board gave management authorization to repurchase up to 2 million shares by February 5, 2024. The total number of remaining shares that may be repurchased under the program is approximately 1.5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rFonts w:ascii="Times New Roman" w:cs="Times New Roman" w:eastAsia="Times New Roman" w:hAnsi="Times New Roman"/>
          <w:sz w:val="18"/>
          <w:szCs w:val="18"/>
          <w:color w:val="auto"/>
        </w:rPr>
      </w:pPr>
    </w:p>
    <w:p>
      <w:pPr>
        <w:ind w:left="540" w:right="3339"/>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iXBRL Taxonomy Extension Label Linkbase Document. (PRE) iXBRL Taxonomy Extension Presentation Linkbase Document.</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May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May 10, 2023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639"/>
        <w:spacing w:after="0"/>
        <w:rPr>
          <w:sz w:val="20"/>
          <w:szCs w:val="20"/>
          <w:color w:val="auto"/>
        </w:rPr>
      </w:pPr>
      <w:r>
        <w:rPr>
          <w:rFonts w:ascii="Times New Roman" w:cs="Times New Roman" w:eastAsia="Times New Roman" w:hAnsi="Times New Roman"/>
          <w:sz w:val="17"/>
          <w:szCs w:val="17"/>
          <w:b w:val="1"/>
          <w:bCs w:val="1"/>
          <w:color w:val="auto"/>
        </w:rPr>
        <w:t>UFP INDUSTRIES,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Principal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0"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0"/>
        </w:trPr>
        <w:tc>
          <w:tcPr>
            <w:tcW w:w="4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Matthew J. Missad,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20" w:right="79" w:hanging="570"/>
        <w:spacing w:after="0" w:line="282"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April 1, 2023,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April 1, 2023,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10, 2023</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6" w:name="page37"/>
    <w:bookmarkEnd w:id="3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ind w:left="620" w:right="79" w:hanging="570"/>
        <w:spacing w:after="0" w:line="282"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April 1, 2023, which this statement accompanies, fully complies with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April 1, 2023,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1"/>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10, 2023</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upperLetter"/>
      <w:start w:val="1"/>
    </w:lvl>
  </w:abstractNum>
  <w:abstractNum w:abstractNumId="3">
    <w:nsid w:val="721DA317"/>
    <w:multiLevelType w:val="hybridMultilevel"/>
    <w:lvl w:ilvl="0">
      <w:lvlJc w:val="left"/>
      <w:lvlText w:val="(%1)"/>
      <w:numFmt w:val="lowerRoman"/>
      <w:start w:val="1"/>
    </w:lvl>
  </w:abstractNum>
  <w:abstractNum w:abstractNumId="4">
    <w:nsid w:val="2443A858"/>
    <w:multiLevelType w:val="hybridMultilevel"/>
    <w:lvl w:ilvl="0">
      <w:lvlJc w:val="left"/>
      <w:lvlText w:val="%1."/>
      <w:numFmt w:val="upperLetter"/>
      <w:start w:val="2"/>
    </w:lvl>
  </w:abstractNum>
  <w:abstractNum w:abstractNumId="5">
    <w:nsid w:val="2D1D5AE9"/>
    <w:multiLevelType w:val="hybridMultilevel"/>
    <w:lvl w:ilvl="0">
      <w:lvlJc w:val="left"/>
      <w:lvlText w:val="%1."/>
      <w:numFmt w:val="upperLetter"/>
      <w:start w:val="3"/>
    </w:lvl>
  </w:abstractNum>
  <w:abstractNum w:abstractNumId="6">
    <w:nsid w:val="6763845E"/>
    <w:multiLevelType w:val="hybridMultilevel"/>
    <w:lvl w:ilvl="0">
      <w:lvlJc w:val="left"/>
      <w:lvlText w:val="%1."/>
      <w:numFmt w:val="upperLetter"/>
      <w:start w:val="4"/>
    </w:lvl>
  </w:abstractNum>
  <w:abstractNum w:abstractNumId="7">
    <w:nsid w:val="75A2A8D4"/>
    <w:multiLevelType w:val="hybridMultilevel"/>
    <w:lvl w:ilvl="0">
      <w:lvlJc w:val="left"/>
      <w:lvlText w:val="%1."/>
      <w:numFmt w:val="upperLetter"/>
      <w:start w:val="5"/>
    </w:lvl>
  </w:abstractNum>
  <w:abstractNum w:abstractNumId="8">
    <w:nsid w:val="8EDBDAB"/>
    <w:multiLevelType w:val="hybridMultilevel"/>
    <w:lvl w:ilvl="0">
      <w:lvlJc w:val="left"/>
      <w:lvlText w:val="%1."/>
      <w:numFmt w:val="upperLetter"/>
      <w:start w:val="6"/>
    </w:lvl>
  </w:abstractNum>
  <w:abstractNum w:abstractNumId="9">
    <w:nsid w:val="79838CB2"/>
    <w:multiLevelType w:val="hybridMultilevel"/>
    <w:lvl w:ilvl="0">
      <w:lvlJc w:val="left"/>
      <w:lvlText w:val="%1."/>
      <w:numFmt w:val="upperLetter"/>
      <w:start w:val="7"/>
    </w:lvl>
  </w:abstractNum>
  <w:abstractNum w:abstractNumId="10">
    <w:nsid w:val="4353D0CD"/>
    <w:multiLevelType w:val="hybridMultilevel"/>
    <w:lvl w:ilvl="0">
      <w:lvlJc w:val="left"/>
      <w:lvlText w:val="%1."/>
      <w:numFmt w:val="upperLetter"/>
      <w:start w:val="8"/>
    </w:lvl>
  </w:abstractNum>
  <w:abstractNum w:abstractNumId="11">
    <w:nsid w:val="B03E0C6"/>
    <w:multiLevelType w:val="hybridMultilevel"/>
    <w:lvl w:ilvl="0">
      <w:lvlJc w:val="left"/>
      <w:lvlText w:val="%1."/>
      <w:numFmt w:val="upperLetter"/>
      <w:start w:val="9"/>
    </w:lvl>
  </w:abstractNum>
  <w:abstractNum w:abstractNumId="12">
    <w:nsid w:val="189A769B"/>
    <w:multiLevelType w:val="hybridMultilevel"/>
    <w:lvl w:ilvl="0">
      <w:lvlJc w:val="left"/>
      <w:lvlText w:val="%1."/>
      <w:numFmt w:val="upperLetter"/>
      <w:start w:val="10"/>
    </w:lvl>
  </w:abstractNum>
  <w:abstractNum w:abstractNumId="13">
    <w:nsid w:val="54E49EB4"/>
    <w:multiLevelType w:val="hybridMultilevel"/>
    <w:lvl w:ilvl="0">
      <w:lvlJc w:val="left"/>
      <w:lvlText w:val="%1."/>
      <w:numFmt w:val="upperLetter"/>
      <w:start w:val="1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lvl w:ilvl="1">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lvl w:ilvl="1">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2"/>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1"/>
      <w:numFmt w:val="decimal"/>
      <w:start w:val="31"/>
    </w:lvl>
    <w:lvl w:ilvl="1">
      <w:lvlJc w:val="left"/>
      <w:lvlText w:val="(%2)"/>
      <w:numFmt w:val="lowerLetter"/>
      <w:start w:val="1"/>
    </w:lvl>
  </w:abstractNum>
  <w:abstractNum w:abstractNumId="34">
    <w:nsid w:val="7724C67E"/>
    <w:multiLevelType w:val="hybridMultilevel"/>
    <w:lvl w:ilvl="0">
      <w:lvlJc w:val="left"/>
      <w:lvlText w:val="%1"/>
      <w:numFmt w:val="decimal"/>
      <w:start w:val="101"/>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2023-05-10T11:25:58Z</dcterms:created>
  <dcterms:modified xsi:type="dcterms:W3CDTF">2023-05-10T11:25:58Z</dcterms:modified>
</cp:coreProperties>
</file>