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43 shares credited based on dividend payment on September 15, 2025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983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2025-11-04T12:59:01Z</dcterms:created>
  <dcterms:modified xsi:type="dcterms:W3CDTF">2025-11-04T12:59:01Z</dcterms:modified>
</cp:coreProperties>
</file>