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Section 13 or 15(d) of the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Report: April 13,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UNIVERSAL FOREST PRODUCTS, INC.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tbl>
      <w:tblPr>
        <w:tblLayout w:type="fixed"/>
        <w:tblInd w:w="1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Michigan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00-22684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38-1465835</w:t>
            </w: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(State or Other Jurisdiction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ind w:right="5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(Commission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57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(IRS Employer</w:t>
            </w:r>
          </w:p>
        </w:tc>
      </w:tr>
      <w:tr>
        <w:trPr>
          <w:trHeight w:val="275"/>
        </w:trPr>
        <w:tc>
          <w:tcPr>
            <w:tcW w:w="3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of Incorporation)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File Number)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Identification No.)</w:t>
            </w:r>
          </w:p>
        </w:tc>
      </w:tr>
      <w:tr>
        <w:trPr>
          <w:trHeight w:val="449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2801 East Beltline, N.E.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9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Grand Rapids, Michigan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ind w:right="412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49525</w:t>
            </w:r>
          </w:p>
        </w:tc>
      </w:tr>
      <w:tr>
        <w:trPr>
          <w:trHeight w:val="275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(Address of principal executive office)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Registrant's telephone number, including area code: 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(616) 364-6161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600" w:hanging="592"/>
        <w:spacing w:after="0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Written communications pursuant to Rule 425 under the Securities Act (17 CFR 230.425)</w:t>
      </w:r>
    </w:p>
    <w:p>
      <w:pPr>
        <w:spacing w:after="0" w:line="8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00" w:hanging="592"/>
        <w:spacing w:after="0" w:line="230" w:lineRule="auto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Soliciting material pursuant to Rule 14a-12 under the Exchange Act (17 CFR 240.14a-12).</w:t>
      </w:r>
    </w:p>
    <w:p>
      <w:pPr>
        <w:ind w:left="600" w:hanging="592"/>
        <w:spacing w:after="0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Pre-commencement communications pursuant to Rule 14d-2(b) under the Exchange Act (17 CFR 240-14d-2(b)).</w:t>
      </w:r>
    </w:p>
    <w:p>
      <w:pPr>
        <w:spacing w:after="0" w:line="1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600" w:hanging="592"/>
        <w:spacing w:after="0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Pre-commencement communications pursuant to Rule 13e-4(c) under the Exchange Act (17 CFR 240.13e-4(c)).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224155</wp:posOffset>
            </wp:positionV>
            <wp:extent cx="7267575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463" w:right="2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Section 5.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Corporate Governance and Management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Submission of Matters to a Vote of Security Holders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20" w:firstLine="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April 13, 2011, the Company held its 2011 Annual Meeting of Shareholders. The matters listed below were submitted to a vote of the shareholders through the solicitation of proxies; the proposals are described in detail in the Company’s Proxy Statement dated March 2, 2011. The voting results are as follows: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1 – Election of Directors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following individuals were elected to serve as directors of the Company to hold office until the 2014 Annual meeting of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Shareholders, under the terms of the Company's Bylaws: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Nominee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center"/>
              <w:ind w:righ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Withheld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Non-Votes</w:t>
            </w:r>
          </w:p>
        </w:tc>
      </w:tr>
      <w:tr>
        <w:trPr>
          <w:trHeight w:val="21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John W. Garside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16,042,398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1,424,581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1,079,865</w:t>
            </w:r>
          </w:p>
        </w:tc>
      </w:tr>
      <w:tr>
        <w:trPr>
          <w:trHeight w:val="243"/>
        </w:trPr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Gary F. Goode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16,308,205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1,158,774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1,079,865</w:t>
            </w:r>
          </w:p>
        </w:tc>
      </w:tr>
      <w:tr>
        <w:trPr>
          <w:trHeight w:val="275"/>
        </w:trPr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Mark A. Murray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16,303,219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1,163,760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1,079,865</w:t>
            </w:r>
          </w:p>
        </w:tc>
      </w:tr>
    </w:tbl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2 – Ratification of the Appointment of Ernst &amp; Young LLP as the Company's Independent Registered Public Accounting Firm for Fiscal 2011.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732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ratified the appointment of Ernst &amp; Young LLP to serve as the Company's independent registered public accounting firm for fiscal 2011.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1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200" w:type="dxa"/>
            <w:vAlign w:val="bottom"/>
            <w:gridSpan w:val="2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Against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Abstain</w:t>
            </w:r>
          </w:p>
        </w:tc>
      </w:tr>
      <w:tr>
        <w:trPr>
          <w:trHeight w:val="268"/>
        </w:trPr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17,827,609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633,378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85,857</w:t>
            </w:r>
          </w:p>
        </w:tc>
      </w:tr>
    </w:tbl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3 – Consider an Advisory Vote on Executive Compensation.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0" w:firstLine="660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shareholders approved the compensation paid to the Company's named executive officers, as disclosed pursuant to Item 402 of Regulation S-K, including the Compensation Discussion and Analysis, compensation tables, and narrative discussion.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1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200" w:type="dxa"/>
            <w:vAlign w:val="bottom"/>
            <w:gridSpan w:val="2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jc w:val="center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Against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Abstain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8"/>
              </w:rPr>
              <w:t>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1,079,865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4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17,288,353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84,500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94,126</w:t>
            </w: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u w:val="single" w:color="auto"/>
          <w:color w:val="auto"/>
        </w:rPr>
        <w:t>Proposal 4 – Consider the Frequency of Future Advisory Shareholder Votes on Our Executive Compensation Programs.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20" w:firstLine="712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voted to have an annual advisory vote on our executive compensation programs. The votes cast for each of the alternatives were as follows: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One Year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Two Years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5"/>
              </w:rPr>
              <w:t>Three Years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Abstain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89,787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11,554,044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331,762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5,491,386</w:t>
            </w: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6"/>
        </w:trPr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841" w:right="219" w:bottom="1440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20" w:firstLine="699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Dated: April 13, 2011</w:t>
            </w:r>
          </w:p>
        </w:tc>
        <w:tc>
          <w:tcPr>
            <w:tcW w:w="7300" w:type="dxa"/>
            <w:vAlign w:val="bottom"/>
            <w:gridSpan w:val="2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UNIVERSAL FOREST PRODUCTS, 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00" w:type="dxa"/>
            <w:vAlign w:val="bottom"/>
            <w:gridSpan w:val="2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(Registrant)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71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00" w:type="dxa"/>
            <w:vAlign w:val="bottom"/>
            <w:gridSpan w:val="2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By:   /s/ Michael R. Cole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auto"/>
            </w:tcBorders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Michael R. Cole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Principal Financial Officer and Treasurer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0"/>
        </w:trPr>
        <w:tc>
          <w:tcPr>
            <w:tcW w:w="3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40"/>
      </w:cols>
      <w:pgMar w:left="240" w:top="604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£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2019-12-10T13:13:38Z</dcterms:created>
  <dcterms:modified xsi:type="dcterms:W3CDTF">2019-12-10T13:13:38Z</dcterms:modified>
</cp:coreProperties>
</file>