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54875"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02870"/>
                    </a:xfrm>
                    <a:prstGeom prst="rect">
                      <a:avLst/>
                    </a:prstGeom>
                    <a:noFill/>
                  </pic:spPr>
                </pic:pic>
              </a:graphicData>
            </a:graphic>
          </wp:anchor>
        </w:drawing>
        <w:t>UNITED STATES SECURITIES AND EXCHANGE COMMISSION</w:t>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4"/>
          <w:szCs w:val="24"/>
          <w:color w:val="auto"/>
        </w:rPr>
      </w:pPr>
    </w:p>
    <w:p>
      <w:pPr>
        <w:ind w:left="4100" w:right="2380" w:hanging="4065"/>
        <w:spacing w:after="0" w:line="454" w:lineRule="auto"/>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27, 2015</w:t>
      </w: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333" w:lineRule="exact"/>
        <w:rPr>
          <w:sz w:val="24"/>
          <w:szCs w:val="24"/>
          <w:color w:val="auto"/>
        </w:rPr>
      </w:pPr>
    </w:p>
    <w:p>
      <w:pPr>
        <w:ind w:left="4460" w:right="2360" w:hanging="4425"/>
        <w:spacing w:after="0" w:line="445" w:lineRule="auto"/>
        <w:tabs>
          <w:tab w:leader="none" w:pos="39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jc w:val="center"/>
        <w:ind w:right="20"/>
        <w:spacing w:after="0"/>
        <w:rPr>
          <w:sz w:val="20"/>
          <w:szCs w:val="20"/>
          <w:color w:val="auto"/>
        </w:rPr>
      </w:pPr>
      <w:r>
        <w:rPr>
          <w:rFonts w:ascii="Arial" w:cs="Arial" w:eastAsia="Arial" w:hAnsi="Arial"/>
          <w:sz w:val="43"/>
          <w:szCs w:val="43"/>
          <w:b w:val="1"/>
          <w:bCs w:val="1"/>
          <w:color w:val="auto"/>
        </w:rPr>
        <w:t>UNIVERSAL FOREST PRODUCTS, INC.</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7"/>
              </w:rPr>
              <w:t>Michigan</w:t>
            </w:r>
          </w:p>
        </w:tc>
        <w:tc>
          <w:tcPr>
            <w:tcW w:w="4580" w:type="dxa"/>
            <w:vAlign w:val="bottom"/>
          </w:tcPr>
          <w:p>
            <w:pPr>
              <w:jc w:val="right"/>
              <w:ind w:right="1770"/>
              <w:spacing w:after="0"/>
              <w:rPr>
                <w:sz w:val="20"/>
                <w:szCs w:val="20"/>
                <w:color w:val="auto"/>
              </w:rPr>
            </w:pPr>
            <w:r>
              <w:rPr>
                <w:rFonts w:ascii="Arial" w:cs="Arial" w:eastAsia="Arial" w:hAnsi="Arial"/>
                <w:sz w:val="18"/>
                <w:szCs w:val="18"/>
                <w:color w:val="auto"/>
              </w:rPr>
              <w:t>38-1465835</w:t>
            </w:r>
          </w:p>
        </w:tc>
      </w:tr>
      <w:tr>
        <w:trPr>
          <w:trHeight w:val="34"/>
        </w:trPr>
        <w:tc>
          <w:tcPr>
            <w:tcW w:w="4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540"/>
        </w:trPr>
        <w:tc>
          <w:tcPr>
            <w:tcW w:w="5700" w:type="dxa"/>
            <w:vAlign w:val="bottom"/>
            <w:gridSpan w:val="4"/>
          </w:tcPr>
          <w:p>
            <w:pPr>
              <w:jc w:val="center"/>
              <w:ind w:right="1100"/>
              <w:spacing w:after="0"/>
              <w:rPr>
                <w:sz w:val="20"/>
                <w:szCs w:val="20"/>
                <w:color w:val="auto"/>
              </w:rPr>
            </w:pPr>
            <w:r>
              <w:rPr>
                <w:rFonts w:ascii="Arial" w:cs="Arial" w:eastAsia="Arial" w:hAnsi="Arial"/>
                <w:sz w:val="18"/>
                <w:szCs w:val="18"/>
                <w:color w:val="auto"/>
                <w:w w:val="92"/>
              </w:rPr>
              <w:t>2801 East Beltline NE, Grand Rapids, Michigan</w:t>
            </w:r>
          </w:p>
        </w:tc>
        <w:tc>
          <w:tcPr>
            <w:tcW w:w="4580" w:type="dxa"/>
            <w:vAlign w:val="bottom"/>
          </w:tcPr>
          <w:p>
            <w:pPr>
              <w:jc w:val="right"/>
              <w:ind w:right="1970"/>
              <w:spacing w:after="0"/>
              <w:rPr>
                <w:sz w:val="20"/>
                <w:szCs w:val="20"/>
                <w:color w:val="auto"/>
              </w:rPr>
            </w:pPr>
            <w:r>
              <w:rPr>
                <w:rFonts w:ascii="Arial" w:cs="Arial" w:eastAsia="Arial" w:hAnsi="Arial"/>
                <w:sz w:val="18"/>
                <w:szCs w:val="18"/>
                <w:color w:val="auto"/>
              </w:rPr>
              <w:t>49525</w:t>
            </w:r>
          </w:p>
        </w:tc>
      </w:tr>
      <w:tr>
        <w:trPr>
          <w:trHeight w:val="34"/>
        </w:trPr>
        <w:tc>
          <w:tcPr>
            <w:tcW w:w="4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570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(Address of principal executive offices)</w:t>
            </w: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365"/>
        </w:trPr>
        <w:tc>
          <w:tcPr>
            <w:tcW w:w="5700" w:type="dxa"/>
            <w:vAlign w:val="bottom"/>
            <w:gridSpan w:val="4"/>
          </w:tcPr>
          <w:p>
            <w:pPr>
              <w:ind w:left="400"/>
              <w:spacing w:after="0"/>
              <w:rPr>
                <w:sz w:val="20"/>
                <w:szCs w:val="20"/>
                <w:color w:val="auto"/>
              </w:rPr>
            </w:pPr>
            <w:r>
              <w:rPr>
                <w:rFonts w:ascii="Arial" w:cs="Arial" w:eastAsia="Arial" w:hAnsi="Arial"/>
                <w:sz w:val="18"/>
                <w:szCs w:val="18"/>
                <w:color w:val="auto"/>
                <w:w w:val="98"/>
              </w:rPr>
              <w:t>Registrant's telephone number, including area code (616) 364-6161</w:t>
            </w:r>
          </w:p>
        </w:tc>
        <w:tc>
          <w:tcPr>
            <w:tcW w:w="458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31750</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4"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1089" w:right="219" w:bottom="1440" w:gutter="0" w:footer="0" w:header="0"/>
        </w:sect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67" w:lineRule="exact"/>
        <w:rPr>
          <w:sz w:val="24"/>
          <w:szCs w:val="24"/>
          <w:color w:val="auto"/>
        </w:rPr>
      </w:pPr>
    </w:p>
    <w:p>
      <w:pPr>
        <w:sectPr>
          <w:pgSz w:w="11900" w:h="16838" w:orient="portrait"/>
          <w:cols w:equalWidth="0" w:num="4">
            <w:col w:w="2180" w:space="720"/>
            <w:col w:w="2120" w:space="720"/>
            <w:col w:w="2140" w:space="720"/>
            <w:col w:w="2840"/>
          </w:cols>
          <w:pgMar w:left="240" w:top="1089" w:right="21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checkmark whether the registrant is a shell company (as defined by Rule 12b-2 of the Exchange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x</w:t>
      </w:r>
    </w:p>
    <w:p>
      <w:pPr>
        <w:spacing w:after="0" w:line="129" w:lineRule="exact"/>
        <w:rPr>
          <w:sz w:val="24"/>
          <w:szCs w:val="24"/>
          <w:color w:val="auto"/>
        </w:rPr>
      </w:pPr>
    </w:p>
    <w:p>
      <w:pPr>
        <w:sectPr>
          <w:pgSz w:w="11900" w:h="16838" w:orient="portrait"/>
          <w:cols w:equalWidth="0" w:num="2">
            <w:col w:w="8660" w:space="140"/>
            <w:col w:w="2640"/>
          </w:cols>
          <w:pgMar w:left="240" w:top="1089"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5700" w:type="dxa"/>
            <w:vAlign w:val="bottom"/>
            <w:gridSpan w:val="2"/>
          </w:tcPr>
          <w:p>
            <w:pPr>
              <w:jc w:val="center"/>
              <w:ind w:right="1120"/>
              <w:spacing w:after="0"/>
              <w:rPr>
                <w:sz w:val="20"/>
                <w:szCs w:val="20"/>
                <w:color w:val="auto"/>
              </w:rPr>
            </w:pPr>
            <w:r>
              <w:rPr>
                <w:rFonts w:ascii="Arial" w:cs="Arial" w:eastAsia="Arial" w:hAnsi="Arial"/>
                <w:sz w:val="18"/>
                <w:szCs w:val="18"/>
                <w:color w:val="auto"/>
                <w:w w:val="84"/>
              </w:rPr>
              <w:t>Class</w:t>
            </w: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Outstanding as of June 27, 2015</w:t>
            </w:r>
          </w:p>
        </w:tc>
        <w:tc>
          <w:tcPr>
            <w:tcW w:w="580" w:type="dxa"/>
            <w:vAlign w:val="bottom"/>
          </w:tcPr>
          <w:p>
            <w:pPr>
              <w:spacing w:after="0"/>
              <w:rPr>
                <w:sz w:val="20"/>
                <w:szCs w:val="20"/>
                <w:color w:val="auto"/>
              </w:rPr>
            </w:pPr>
          </w:p>
        </w:tc>
      </w:tr>
      <w:tr>
        <w:trPr>
          <w:trHeight w:val="34"/>
        </w:trPr>
        <w:tc>
          <w:tcPr>
            <w:tcW w:w="5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57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Common stock, no par value</w:t>
            </w:r>
          </w:p>
        </w:tc>
        <w:tc>
          <w:tcPr>
            <w:tcW w:w="4580" w:type="dxa"/>
            <w:vAlign w:val="bottom"/>
          </w:tcPr>
          <w:p>
            <w:pPr>
              <w:jc w:val="right"/>
              <w:ind w:right="1790"/>
              <w:spacing w:after="0"/>
              <w:rPr>
                <w:sz w:val="20"/>
                <w:szCs w:val="20"/>
                <w:color w:val="auto"/>
              </w:rPr>
            </w:pPr>
            <w:r>
              <w:rPr>
                <w:rFonts w:ascii="Arial" w:cs="Arial" w:eastAsia="Arial" w:hAnsi="Arial"/>
                <w:sz w:val="18"/>
                <w:szCs w:val="18"/>
                <w:color w:val="auto"/>
              </w:rPr>
              <w:t>20,132,819</w:t>
            </w:r>
          </w:p>
        </w:tc>
        <w:tc>
          <w:tcPr>
            <w:tcW w:w="580" w:type="dxa"/>
            <w:vAlign w:val="bottom"/>
          </w:tcPr>
          <w:p>
            <w:pPr>
              <w:spacing w:after="0"/>
              <w:rPr>
                <w:sz w:val="21"/>
                <w:szCs w:val="21"/>
                <w:color w:val="auto"/>
              </w:rPr>
            </w:pPr>
          </w:p>
        </w:tc>
      </w:tr>
      <w:tr>
        <w:trPr>
          <w:trHeight w:val="162"/>
        </w:trPr>
        <w:tc>
          <w:tcPr>
            <w:tcW w:w="5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22"/>
        </w:trPr>
        <w:tc>
          <w:tcPr>
            <w:tcW w:w="580" w:type="dxa"/>
            <w:vAlign w:val="bottom"/>
            <w:tcBorders>
              <w:left w:val="single" w:sz="8" w:color="auto"/>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1440"/>
          </w:cols>
          <w:pgMar w:left="240" w:top="1089" w:right="21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720" w:type="dxa"/>
            <w:vAlign w:val="bottom"/>
            <w:gridSpan w:val="9"/>
          </w:tcPr>
          <w:p>
            <w:pPr>
              <w:jc w:val="center"/>
              <w:ind w:right="2200"/>
              <w:spacing w:after="0"/>
              <w:rPr>
                <w:sz w:val="20"/>
                <w:szCs w:val="20"/>
                <w:color w:val="auto"/>
              </w:rPr>
            </w:pPr>
            <w:r>
              <w:rPr>
                <w:rFonts w:ascii="Arial" w:cs="Arial" w:eastAsia="Arial" w:hAnsi="Arial"/>
                <w:sz w:val="18"/>
                <w:szCs w:val="18"/>
                <w:b w:val="1"/>
                <w:bCs w:val="1"/>
                <w:color w:val="auto"/>
                <w:w w:val="99"/>
              </w:rPr>
              <w:t>UNIVERSAL FOREST PRODUCTS, INC.</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720" w:type="dxa"/>
            <w:vAlign w:val="bottom"/>
            <w:gridSpan w:val="9"/>
          </w:tcPr>
          <w:p>
            <w:pPr>
              <w:jc w:val="center"/>
              <w:ind w:right="220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854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34"/>
        </w:trPr>
        <w:tc>
          <w:tcPr>
            <w:tcW w:w="1640" w:type="dxa"/>
            <w:vAlign w:val="bottom"/>
            <w:vMerge w:val="restart"/>
          </w:tcPr>
          <w:p>
            <w:pPr>
              <w:ind w:left="720"/>
              <w:spacing w:after="0"/>
              <w:rPr>
                <w:sz w:val="20"/>
                <w:szCs w:val="20"/>
                <w:color w:val="auto"/>
              </w:rPr>
            </w:pPr>
            <w:r>
              <w:rPr>
                <w:rFonts w:ascii="Arial" w:cs="Arial" w:eastAsia="Arial" w:hAnsi="Arial"/>
                <w:sz w:val="18"/>
                <w:szCs w:val="18"/>
                <w:color w:val="auto"/>
              </w:rPr>
              <w:t>Item 1.</w:t>
            </w:r>
          </w:p>
        </w:tc>
        <w:tc>
          <w:tcPr>
            <w:tcW w:w="8540" w:type="dxa"/>
            <w:vAlign w:val="bottom"/>
            <w:gridSpan w:val="12"/>
            <w:vMerge w:val="restart"/>
          </w:tcPr>
          <w:p>
            <w:pPr>
              <w:spacing w:after="0"/>
              <w:rPr>
                <w:sz w:val="20"/>
                <w:szCs w:val="20"/>
                <w:color w:val="auto"/>
              </w:rPr>
            </w:pPr>
            <w:r>
              <w:rPr>
                <w:rFonts w:ascii="Arial" w:cs="Arial" w:eastAsia="Arial" w:hAnsi="Arial"/>
                <w:sz w:val="18"/>
                <w:szCs w:val="18"/>
                <w:color w:val="auto"/>
              </w:rPr>
              <w:t>Financial Statements.</w:t>
            </w: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1640" w:type="dxa"/>
            <w:vAlign w:val="bottom"/>
            <w:vMerge w:val="continue"/>
          </w:tcPr>
          <w:p>
            <w:pPr>
              <w:spacing w:after="0"/>
              <w:rPr>
                <w:sz w:val="24"/>
                <w:szCs w:val="24"/>
                <w:color w:val="auto"/>
              </w:rPr>
            </w:pPr>
          </w:p>
        </w:tc>
        <w:tc>
          <w:tcPr>
            <w:tcW w:w="8540" w:type="dxa"/>
            <w:vAlign w:val="bottom"/>
            <w:gridSpan w:val="12"/>
            <w:vMerge w:val="continue"/>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Consolidated Condensed Balance Sheets at June 27, 2015,December 27, 2014 and June 28, 2014.</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Condensed Statements of Earnings and Comprehensive Income for the Three Months Ended and Six</w:t>
              </w:r>
            </w:hyperlink>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40" w:type="dxa"/>
            <w:vAlign w:val="bottom"/>
            <w:tcBorders>
              <w:top w:val="single" w:sz="8" w:color="CCEEFF"/>
            </w:tcBorders>
            <w:shd w:val="clear" w:color="auto" w:fill="CCEEFF"/>
          </w:tcPr>
          <w:p>
            <w:pPr>
              <w:spacing w:after="0"/>
              <w:rPr>
                <w:sz w:val="21"/>
                <w:szCs w:val="21"/>
                <w:color w:val="auto"/>
              </w:rPr>
            </w:pPr>
          </w:p>
        </w:tc>
        <w:tc>
          <w:tcPr>
            <w:tcW w:w="85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June 27, 2015 and June 28, 2014.</w:t>
              </w:r>
            </w:hyperlink>
          </w:p>
        </w:tc>
        <w:tc>
          <w:tcPr>
            <w:tcW w:w="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gridSpan w:val="4"/>
            <w:shd w:val="clear" w:color="auto" w:fill="CCEEFF"/>
          </w:tcPr>
          <w:p>
            <w:pPr>
              <w:jc w:val="center"/>
              <w:ind w:left="4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5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Condensed Statements of Shareholders’ Equity for the Six Months Ended June 27, 2015 and June 28,</w:t>
              </w:r>
            </w:hyperlink>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2014.</w:t>
              </w:r>
            </w:hyperlink>
          </w:p>
        </w:tc>
        <w:tc>
          <w:tcPr>
            <w:tcW w:w="1180" w:type="dxa"/>
            <w:vAlign w:val="bottom"/>
            <w:tcBorders>
              <w:top w:val="single" w:sz="8" w:color="0000EE"/>
            </w:tcBorders>
            <w:shd w:val="clear" w:color="auto" w:fill="CCEEFF"/>
          </w:tcPr>
          <w:p>
            <w:pPr>
              <w:spacing w:after="0"/>
              <w:rPr>
                <w:sz w:val="21"/>
                <w:szCs w:val="21"/>
                <w:color w:val="auto"/>
              </w:rPr>
            </w:pPr>
          </w:p>
        </w:tc>
        <w:tc>
          <w:tcPr>
            <w:tcW w:w="1680" w:type="dxa"/>
            <w:vAlign w:val="bottom"/>
            <w:tcBorders>
              <w:top w:val="single" w:sz="8" w:color="0000EE"/>
            </w:tcBorders>
            <w:shd w:val="clear" w:color="auto" w:fill="CCEEFF"/>
          </w:tcPr>
          <w:p>
            <w:pPr>
              <w:spacing w:after="0"/>
              <w:rPr>
                <w:sz w:val="21"/>
                <w:szCs w:val="21"/>
                <w:color w:val="auto"/>
              </w:rPr>
            </w:pPr>
          </w:p>
        </w:tc>
        <w:tc>
          <w:tcPr>
            <w:tcW w:w="8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40" w:type="dxa"/>
            <w:vAlign w:val="bottom"/>
            <w:tcBorders>
              <w:top w:val="single" w:sz="8" w:color="0000EE"/>
            </w:tcBorders>
            <w:shd w:val="clear" w:color="auto" w:fill="CCEEFF"/>
          </w:tcPr>
          <w:p>
            <w:pPr>
              <w:spacing w:after="0"/>
              <w:rPr>
                <w:sz w:val="21"/>
                <w:szCs w:val="21"/>
                <w:color w:val="auto"/>
              </w:rPr>
            </w:pPr>
          </w:p>
        </w:tc>
        <w:tc>
          <w:tcPr>
            <w:tcW w:w="1640" w:type="dxa"/>
            <w:vAlign w:val="bottom"/>
            <w:tcBorders>
              <w:top w:val="single" w:sz="8" w:color="0000EE"/>
            </w:tcBorders>
            <w:shd w:val="clear" w:color="auto" w:fill="CCEEFF"/>
          </w:tcPr>
          <w:p>
            <w:pPr>
              <w:spacing w:after="0"/>
              <w:rPr>
                <w:sz w:val="21"/>
                <w:szCs w:val="21"/>
                <w:color w:val="auto"/>
              </w:rPr>
            </w:pPr>
          </w:p>
        </w:tc>
        <w:tc>
          <w:tcPr>
            <w:tcW w:w="540" w:type="dxa"/>
            <w:vAlign w:val="bottom"/>
            <w:tcBorders>
              <w:top w:val="single" w:sz="8" w:color="0000EE"/>
            </w:tcBorders>
            <w:shd w:val="clear" w:color="auto" w:fill="CCEEFF"/>
          </w:tcPr>
          <w:p>
            <w:pPr>
              <w:spacing w:after="0"/>
              <w:rPr>
                <w:sz w:val="21"/>
                <w:szCs w:val="21"/>
                <w:color w:val="auto"/>
              </w:rPr>
            </w:pPr>
          </w:p>
        </w:tc>
        <w:tc>
          <w:tcPr>
            <w:tcW w:w="106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gridSpan w:val="4"/>
            <w:shd w:val="clear" w:color="auto" w:fill="CCEEFF"/>
          </w:tcPr>
          <w:p>
            <w:pPr>
              <w:jc w:val="center"/>
              <w:ind w:left="4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5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Condensed Statements of Cash Flows for the Six Months Ended June 27, 2015 and June 28, 2014.</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6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spacing w:after="0"/>
              <w:rPr>
                <w:sz w:val="21"/>
                <w:szCs w:val="21"/>
                <w:color w:val="auto"/>
              </w:rPr>
            </w:pP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Condensed Financial Statements.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2.</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12</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3.</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6720" w:type="dxa"/>
            <w:vAlign w:val="bottom"/>
            <w:tcBorders>
              <w:bottom w:val="single" w:sz="8" w:color="CCEEFF"/>
            </w:tcBorders>
            <w:gridSpan w:val="9"/>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8540" w:type="dxa"/>
            <w:vAlign w:val="bottom"/>
            <w:gridSpan w:val="12"/>
          </w:tcPr>
          <w:p>
            <w:pPr>
              <w:spacing w:after="0"/>
              <w:rPr>
                <w:sz w:val="20"/>
                <w:szCs w:val="20"/>
                <w:color w:val="auto"/>
              </w:rPr>
            </w:pPr>
            <w:r>
              <w:rPr>
                <w:rFonts w:ascii="Arial" w:cs="Arial" w:eastAsia="Arial" w:hAnsi="Arial"/>
                <w:sz w:val="18"/>
                <w:szCs w:val="18"/>
                <w:b w:val="1"/>
                <w:bCs w:val="1"/>
                <w:color w:val="auto"/>
              </w:rPr>
              <w:t>OTHER INFORMATION.</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1.</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1A.</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Risk Factors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2.</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Borders>
              <w:top w:val="single" w:sz="8" w:color="CCEEFF"/>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180" w:type="dxa"/>
            <w:vAlign w:val="bottom"/>
            <w:tcBorders>
              <w:top w:val="single" w:sz="8" w:color="0000EE"/>
            </w:tcBorders>
          </w:tcPr>
          <w:p>
            <w:pPr>
              <w:spacing w:after="0"/>
              <w:rPr>
                <w:sz w:val="23"/>
                <w:szCs w:val="23"/>
                <w:color w:val="auto"/>
              </w:rPr>
            </w:pPr>
          </w:p>
        </w:tc>
        <w:tc>
          <w:tcPr>
            <w:tcW w:w="168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3.</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4.</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Item 5.</w:t>
            </w:r>
          </w:p>
        </w:tc>
        <w:tc>
          <w:tcPr>
            <w:tcW w:w="854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Other Information – NONE.</w:t>
            </w: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Item 6.</w:t>
            </w:r>
          </w:p>
        </w:tc>
        <w:tc>
          <w:tcPr>
            <w:tcW w:w="8540" w:type="dxa"/>
            <w:vAlign w:val="bottom"/>
            <w:gridSpan w:val="12"/>
            <w:shd w:val="clear" w:color="auto" w:fill="CCEEFF"/>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23</w:t>
              </w:r>
            </w:hyperlink>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4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w w:val="99"/>
              </w:rPr>
              <w:t>UNIVERSAL FOREST PRODUCTS, INC.</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340" w:type="dxa"/>
            <w:vAlign w:val="bottom"/>
            <w:gridSpan w:val="4"/>
          </w:tcPr>
          <w:p>
            <w:pPr>
              <w:jc w:val="center"/>
              <w:ind w:left="295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20" w:type="dxa"/>
            <w:vAlign w:val="bottom"/>
          </w:tcPr>
          <w:p>
            <w:pPr>
              <w:jc w:val="center"/>
              <w:ind w:left="457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20" w:type="dxa"/>
            <w:vAlign w:val="bottom"/>
          </w:tcPr>
          <w:p>
            <w:pPr>
              <w:ind w:left="20"/>
              <w:spacing w:after="0"/>
              <w:rPr>
                <w:sz w:val="20"/>
                <w:szCs w:val="20"/>
                <w:color w:val="auto"/>
              </w:rPr>
            </w:pPr>
            <w:r>
              <w:rPr>
                <w:rFonts w:ascii="Arial" w:cs="Arial" w:eastAsia="Arial" w:hAnsi="Arial"/>
                <w:sz w:val="18"/>
                <w:szCs w:val="18"/>
                <w:color w:val="auto"/>
              </w:rPr>
              <w:t>(in thousands, except share data)</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June 27, 2015</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December 27, 2014</w:t>
            </w:r>
          </w:p>
        </w:tc>
        <w:tc>
          <w:tcPr>
            <w:tcW w:w="160" w:type="dxa"/>
            <w:vAlign w:val="bottom"/>
          </w:tcPr>
          <w:p>
            <w:pPr>
              <w:spacing w:after="0"/>
              <w:rPr>
                <w:sz w:val="23"/>
                <w:szCs w:val="23"/>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2"/>
              </w:rPr>
              <w:t>June 28, 2014</w:t>
            </w:r>
          </w:p>
        </w:tc>
        <w:tc>
          <w:tcPr>
            <w:tcW w:w="0" w:type="dxa"/>
            <w:vAlign w:val="bottom"/>
          </w:tcPr>
          <w:p>
            <w:pPr>
              <w:spacing w:after="0"/>
              <w:rPr>
                <w:sz w:val="1"/>
                <w:szCs w:val="1"/>
                <w:color w:val="auto"/>
              </w:rPr>
            </w:pPr>
          </w:p>
        </w:tc>
      </w:tr>
      <w:tr>
        <w:trPr>
          <w:trHeight w:val="34"/>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286,422</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158,646</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147,949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156,278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119,143</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277,789</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Refundable income taxes</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14,953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18,423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19,607</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679,444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591,400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173,158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160,146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628,269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604,398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599,852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(370,538)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(356,129)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(352,399)</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257,731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248,269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247,453</w:t>
            </w: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1,139,666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1,023,800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1,021,879</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Cash overdraft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21,933</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107,653</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42,755</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31,321</w:t>
            </w:r>
          </w:p>
        </w:tc>
        <w:tc>
          <w:tcPr>
            <w:tcW w:w="0" w:type="dxa"/>
            <w:vAlign w:val="bottom"/>
          </w:tcPr>
          <w:p>
            <w:pPr>
              <w:spacing w:after="0"/>
              <w:rPr>
                <w:sz w:val="1"/>
                <w:szCs w:val="1"/>
                <w:color w:val="auto"/>
              </w:rPr>
            </w:pPr>
          </w:p>
        </w:tc>
      </w:tr>
      <w:tr>
        <w:trPr>
          <w:trHeight w:val="284"/>
        </w:trPr>
        <w:tc>
          <w:tcPr>
            <w:tcW w:w="67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7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204,398</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122,303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95,094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26,827</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19,124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19,202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15,825</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406,854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342,144</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Controlling interest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380"/>
              <w:spacing w:after="0"/>
              <w:rPr>
                <w:sz w:val="20"/>
                <w:szCs w:val="20"/>
                <w:color w:val="auto"/>
              </w:rPr>
            </w:pPr>
            <w:r>
              <w:rPr>
                <w:rFonts w:ascii="Arial" w:cs="Arial" w:eastAsia="Arial" w:hAnsi="Arial"/>
                <w:sz w:val="18"/>
                <w:szCs w:val="18"/>
                <w:color w:val="auto"/>
                <w:w w:val="94"/>
              </w:rPr>
              <w:t>Preferred stock, no par value; shares authorized 1,000,000; issued and outstanding,</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none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no par value; shares authorized 40,000,000; issued and outstanding,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20,132,819, 19,984,451, and 20,071,026.</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168,862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162,483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160,189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530,346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486,616</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stock notes receivable</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6720" w:type="dxa"/>
            <w:vAlign w:val="bottom"/>
          </w:tcPr>
          <w:p>
            <w:pPr>
              <w:ind w:left="480"/>
              <w:spacing w:after="0"/>
              <w:rPr>
                <w:sz w:val="20"/>
                <w:szCs w:val="20"/>
                <w:color w:val="auto"/>
              </w:rPr>
            </w:pPr>
            <w:r>
              <w:rPr>
                <w:rFonts w:ascii="Arial" w:cs="Arial" w:eastAsia="Arial" w:hAnsi="Arial"/>
                <w:sz w:val="18"/>
                <w:szCs w:val="18"/>
                <w:color w:val="auto"/>
              </w:rPr>
              <w:t>Total controlling interest shareholders' equity</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719,291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685,694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669,663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13,521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732,812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699,560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679,735</w:t>
            </w: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1,139,666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1,023,800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1,021,879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00"/>
          </w:cols>
          <w:pgMar w:left="240" w:top="121" w:right="25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EARNINGS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40"/>
              <w:spacing w:after="0"/>
              <w:rPr>
                <w:sz w:val="20"/>
                <w:szCs w:val="20"/>
                <w:color w:val="auto"/>
              </w:rPr>
            </w:pPr>
            <w:r>
              <w:rPr>
                <w:rFonts w:ascii="Arial" w:cs="Arial" w:eastAsia="Arial" w:hAnsi="Arial"/>
                <w:sz w:val="18"/>
                <w:szCs w:val="18"/>
                <w:color w:val="auto"/>
              </w:rPr>
              <w:t>(in thousands, except per share data)</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3"/>
                <w:szCs w:val="23"/>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June 27,</w:t>
            </w:r>
          </w:p>
        </w:tc>
        <w:tc>
          <w:tcPr>
            <w:tcW w:w="22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June 28,</w:t>
            </w: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27,</w:t>
            </w:r>
          </w:p>
        </w:tc>
        <w:tc>
          <w:tcPr>
            <w:tcW w:w="20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w w:val="95"/>
              </w:rPr>
              <w:t>June 28,</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1,326,751</w:t>
            </w:r>
          </w:p>
        </w:tc>
        <w:tc>
          <w:tcPr>
            <w:tcW w:w="0" w:type="dxa"/>
            <w:vAlign w:val="bottom"/>
          </w:tcPr>
          <w:p>
            <w:pPr>
              <w:spacing w:after="0"/>
              <w:rPr>
                <w:sz w:val="1"/>
                <w:szCs w:val="1"/>
                <w:color w:val="auto"/>
              </w:rPr>
            </w:pPr>
          </w:p>
        </w:tc>
      </w:tr>
      <w:tr>
        <w:trPr>
          <w:trHeight w:val="28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725,728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675,764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1,279,170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1,163,750</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163,001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68,431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112,899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ANTI-DUMPING DUTY ASSESSMENT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8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7"/>
              </w:rPr>
              <w:t>NET GAIN ON DISPOSITION OF ASSETS AND IMPAIRMENT OF ASSETS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49,350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8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IN EARNINGS OF INVESTEE</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6"/>
        </w:trPr>
        <w:tc>
          <w:tcPr>
            <w:tcW w:w="6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43"/>
        </w:trPr>
        <w:tc>
          <w:tcPr>
            <w:tcW w:w="60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42,950</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36,037</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59,858</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47,939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16,066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22,170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17,824</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26,884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37,688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30,115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EARNINGS ATTRIBUTABLE TO NONCONTROLLING</w:t>
            </w:r>
          </w:p>
        </w:tc>
        <w:tc>
          <w:tcPr>
            <w:tcW w:w="2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5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CONTROLLING INTEREST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25,976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21,789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36,138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29,004</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EARNINGS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30,115</w:t>
            </w:r>
          </w:p>
        </w:tc>
        <w:tc>
          <w:tcPr>
            <w:tcW w:w="0" w:type="dxa"/>
            <w:vAlign w:val="bottom"/>
          </w:tcPr>
          <w:p>
            <w:pPr>
              <w:spacing w:after="0"/>
              <w:rPr>
                <w:sz w:val="1"/>
                <w:szCs w:val="1"/>
                <w:color w:val="auto"/>
              </w:rPr>
            </w:pPr>
          </w:p>
        </w:tc>
      </w:tr>
      <w:tr>
        <w:trPr>
          <w:trHeight w:val="28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29,932</w:t>
            </w:r>
          </w:p>
        </w:tc>
        <w:tc>
          <w:tcPr>
            <w:tcW w:w="0" w:type="dxa"/>
            <w:vAlign w:val="bottom"/>
          </w:tcPr>
          <w:p>
            <w:pPr>
              <w:spacing w:after="0"/>
              <w:rPr>
                <w:sz w:val="1"/>
                <w:szCs w:val="1"/>
                <w:color w:val="auto"/>
              </w:rPr>
            </w:pPr>
          </w:p>
        </w:tc>
      </w:tr>
      <w:tr>
        <w:trPr>
          <w:trHeight w:val="229"/>
        </w:trPr>
        <w:tc>
          <w:tcPr>
            <w:tcW w:w="604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w:t>
            </w:r>
          </w:p>
        </w:tc>
        <w:tc>
          <w:tcPr>
            <w:tcW w:w="22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25,722</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22,241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35,026</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share and per share data)</w:t>
      </w:r>
    </w:p>
    <w:p>
      <w:pPr>
        <w:spacing w:after="0" w:line="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Controlling Interest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31750</wp:posOffset>
            </wp:positionV>
            <wp:extent cx="3704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04590"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Employees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Additional</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Comprehen-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Common</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Paid-In</w:t>
            </w:r>
          </w:p>
        </w:tc>
        <w:tc>
          <w:tcPr>
            <w:tcW w:w="18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sive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Notes</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Noncontrolling</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Capital</w:t>
            </w:r>
          </w:p>
        </w:tc>
        <w:tc>
          <w:tcPr>
            <w:tcW w:w="18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Receivable</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Interest</w:t>
            </w:r>
          </w:p>
        </w:tc>
        <w:tc>
          <w:tcPr>
            <w:tcW w:w="220" w:type="dxa"/>
            <w:vAlign w:val="bottom"/>
          </w:tcPr>
          <w:p>
            <w:pPr>
              <w:spacing w:after="0"/>
              <w:rPr>
                <w:sz w:val="17"/>
                <w:szCs w:val="17"/>
                <w:color w:val="auto"/>
              </w:rPr>
            </w:pPr>
          </w:p>
        </w:tc>
        <w:tc>
          <w:tcPr>
            <w:tcW w:w="800" w:type="dxa"/>
            <w:vAlign w:val="bottom"/>
          </w:tcPr>
          <w:p>
            <w:pPr>
              <w:jc w:val="right"/>
              <w:ind w:right="25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40"/>
        </w:trPr>
        <w:tc>
          <w:tcPr>
            <w:tcW w:w="29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28,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19,948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461,812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649,734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30,115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Foreign currency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5"/>
              </w:rPr>
              <w:t>Noncontrolling interest associated with</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business acquisitions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Distributions to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Cash Dividends - $0.210 per share</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4,671 shares under</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plans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4"/>
              </w:rPr>
              <w:t>Issuance of 78,136 shares under stock</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grant programs</w:t>
            </w:r>
          </w:p>
        </w:tc>
        <w:tc>
          <w:tcPr>
            <w:tcW w:w="1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39,949 shares under</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6"/>
              </w:rPr>
              <w:t>Expense associated with share-based</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compensation arrangements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 under deferred</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4"/>
              </w:rPr>
              <w:t>Payments received on employee stock</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1"/>
        </w:trPr>
        <w:tc>
          <w:tcPr>
            <w:tcW w:w="2980" w:type="dxa"/>
            <w:vAlign w:val="bottom"/>
          </w:tcPr>
          <w:p>
            <w:pPr>
              <w:ind w:left="4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at June 28, 2014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20,071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160,189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486,616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3,317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10,072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679,735</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27, 2014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19,984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162,483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502,334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1,348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13,866</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699,560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2"/>
              </w:rPr>
              <w:t>Foreign currency translation adjustment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Noncontrolling interest associated with</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acquisitions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7"/>
              </w:rPr>
              <w:t>Distributions to noncontrolling interest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Cash Dividends - $0.400 per share</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21,224 shares under</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plans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4"/>
              </w:rPr>
              <w:t>Issuance of 75,149 shares under stock</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grant programs</w:t>
            </w:r>
          </w:p>
        </w:tc>
        <w:tc>
          <w:tcPr>
            <w:tcW w:w="1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53,508 shares under</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Repurchase of 1,513 shares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Tax benefits from non-qualified stock</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6"/>
              </w:rPr>
              <w:t>Expense associated with share-based</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compensation arrangements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 under deferred</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4"/>
              </w:rPr>
              <w:t>Payments received on employee stock</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1"/>
        </w:trPr>
        <w:tc>
          <w:tcPr>
            <w:tcW w:w="2980" w:type="dxa"/>
            <w:vAlign w:val="bottom"/>
          </w:tcPr>
          <w:p>
            <w:pPr>
              <w:ind w:left="4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at June 27, 2015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20,133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168,862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530,346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227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13,521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732,812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78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UNIVERSAL FOREST PRODUCTS, INC.</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780" w:type="dxa"/>
            <w:vAlign w:val="bottom"/>
          </w:tcPr>
          <w:p>
            <w:pPr>
              <w:jc w:val="center"/>
              <w:ind w:left="2570"/>
              <w:spacing w:after="0"/>
              <w:rPr>
                <w:sz w:val="20"/>
                <w:szCs w:val="20"/>
                <w:color w:val="auto"/>
              </w:rPr>
            </w:pPr>
            <w:r>
              <w:rPr>
                <w:rFonts w:ascii="Arial" w:cs="Arial" w:eastAsia="Arial" w:hAnsi="Arial"/>
                <w:sz w:val="18"/>
                <w:szCs w:val="18"/>
                <w:b w:val="1"/>
                <w:bCs w:val="1"/>
                <w:color w:val="auto"/>
                <w:w w:val="98"/>
              </w:rPr>
              <w:t>CONSOLIDATED CONDENSED STATEMENTS OF CASH FLOWS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tcPr>
          <w:p>
            <w:pPr>
              <w:jc w:val="center"/>
              <w:ind w:left="255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34"/>
        </w:trPr>
        <w:tc>
          <w:tcPr>
            <w:tcW w:w="8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27,</w:t>
            </w:r>
          </w:p>
        </w:tc>
        <w:tc>
          <w:tcPr>
            <w:tcW w:w="20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w w:val="95"/>
              </w:rPr>
              <w:t>June 28,</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878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30,115</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Adjustments to reconcile net earnings attributable to controlling interest: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associated with share-based compensation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Excess tax benefits from share-based compensation arrangements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associated with stock grant plans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Deferred income taxes (credit)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investee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gain on disposition and impairment of assets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(105,695)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Accounts payable and cash overdraft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45,798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47,343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27,625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23,451</w:t>
            </w: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36,822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22,804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Acquisitions, net of cash received</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remaining noncontrolling interest in subsidiary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Advances of notes receivable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Collections on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Cash restricted as to use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CASH FROM INVESTING ACTIVITIES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(28,015)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Borrowings under revolving credit facilities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259,734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190,301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under revolving credit facilities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(179,907)</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Distributions to noncontrolling interest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share-based compensation arrangements</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CASH FROM FINANCING ACTIVITIES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878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24,756</w:t>
            </w:r>
          </w:p>
        </w:tc>
        <w:tc>
          <w:tcPr>
            <w:tcW w:w="12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NON-CASH INVESTING ACTIVITIES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 exchanged for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Notes receivable exchanged for property</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Common stock issued under deferred compensation plans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00"/>
          </w:cols>
          <w:pgMar w:left="240" w:top="121" w:right="25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1" w:right="25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88"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27, 2014.</w:t>
      </w:r>
    </w:p>
    <w:p>
      <w:pPr>
        <w:spacing w:after="0" w:line="18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28, 2014 balances in the accompanying unaudited consolidated condensed balance sheets.</w:t>
      </w:r>
    </w:p>
    <w:p>
      <w:pPr>
        <w:spacing w:after="0" w:line="182" w:lineRule="exact"/>
        <w:rPr>
          <w:rFonts w:ascii="Arial" w:cs="Arial" w:eastAsia="Arial" w:hAnsi="Arial"/>
          <w:sz w:val="18"/>
          <w:szCs w:val="18"/>
          <w:b w:val="1"/>
          <w:bCs w:val="1"/>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June 27, 2015</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7"/>
              </w:rPr>
              <w:t>June 28, 2014</w:t>
            </w:r>
          </w:p>
        </w:tc>
      </w:tr>
      <w:tr>
        <w:trPr>
          <w:trHeight w:val="34"/>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9"/>
        </w:trPr>
        <w:tc>
          <w:tcPr>
            <w:tcW w:w="8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Quoted Prices</w:t>
            </w: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9"/>
              </w:rPr>
              <w:t>Quoted Prices</w:t>
            </w: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in Active</w:t>
            </w: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6"/>
              </w:rPr>
              <w:t>in Active</w:t>
            </w: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Markets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3"/>
              </w:rPr>
              <w:t>Markets</w:t>
            </w:r>
          </w:p>
        </w:tc>
      </w:tr>
      <w:tr>
        <w:trPr>
          <w:trHeight w:val="271"/>
        </w:trPr>
        <w:tc>
          <w:tcPr>
            <w:tcW w:w="834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3"/>
                <w:szCs w:val="23"/>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4"/>
              </w:rPr>
              <w:t>(Level 1)</w:t>
            </w:r>
          </w:p>
        </w:tc>
      </w:tr>
      <w:tr>
        <w:trPr>
          <w:trHeight w:val="244"/>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stock funds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International stock funds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Target funds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Bond funds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34"/>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mutual funds</w:t>
            </w: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43"/>
        </w:trPr>
        <w:tc>
          <w:tcPr>
            <w:tcW w:w="83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6,896</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1,939</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color w:val="auto"/>
        </w:rPr>
        <w:t xml:space="preserve">We maintain money market and/or mutual funds in our non-qualified deferred compensation plan and our wholly owned licensed captive insurance. These funds are valued at prices quoted in an active exchange market and are included in “Other Assets” and "Cash and Cash Equivalents", respectively. 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maintain any Level 2 or 3 assets or liabilities at June 27, 2015 or June 28, 2014.</w:t>
      </w:r>
    </w:p>
    <w:p>
      <w:pPr>
        <w:spacing w:after="0" w:line="22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7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Earnings on construction contracts are reflected in operations using percentage-of-completion accounting, under either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Construction contract revenue was approximately $59 million and $55 million through the first six months of 2015 and 2014, respectively.</w:t>
      </w:r>
    </w:p>
    <w:p>
      <w:pPr>
        <w:spacing w:after="0" w:line="192"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balances of percentage-of-completion accounts which are included in “Other current assets” and “Accrued liabilities: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respectively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June 27, 2015</w:t>
            </w: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6"/>
              </w:rPr>
              <w:t>December 27, 2014</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28, 2014</w:t>
            </w:r>
          </w:p>
        </w:tc>
      </w:tr>
      <w:tr>
        <w:trPr>
          <w:trHeight w:val="34"/>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and Earnings in Excess of Billings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Billings in Excess of Cost and Earnings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2,543</w:t>
            </w: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62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34"/>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June 27, 2015</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June 28, 2014</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June 27, 2015</w:t>
            </w:r>
          </w:p>
        </w:tc>
        <w:tc>
          <w:tcPr>
            <w:tcW w:w="18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28, 2014</w:t>
            </w:r>
          </w:p>
        </w:tc>
        <w:tc>
          <w:tcPr>
            <w:tcW w:w="0" w:type="dxa"/>
            <w:vAlign w:val="bottom"/>
          </w:tcPr>
          <w:p>
            <w:pPr>
              <w:spacing w:after="0"/>
              <w:rPr>
                <w:sz w:val="1"/>
                <w:szCs w:val="1"/>
                <w:color w:val="auto"/>
              </w:rPr>
            </w:pPr>
          </w:p>
        </w:tc>
      </w:tr>
      <w:tr>
        <w:trPr>
          <w:trHeight w:val="34"/>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29,004</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2"/>
              </w:rPr>
              <w:t>Adjustment for earnings allocated to non-vested restricted common</w:t>
            </w:r>
          </w:p>
        </w:tc>
        <w:tc>
          <w:tcPr>
            <w:tcW w:w="18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for calculating EPS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Adjustment for non-vested restricted common stock</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calculating basic EPS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Effect of dilutive stock options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calculating diluted EPS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options were excluded from the computation of diluted EPS for the quarters ended June 27, 2015 or June 28, 2014.</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E.</w:t>
        <w:tab/>
        <w:t>COMMITMENTS, CONTINGENCIES, AND GUARANTEES</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ind w:left="3560"/>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Auburndale, FL; and Medley, FL. In addition, a reserve was established for our facility in Thornton, CA to remove certain lead containing materials which existed on the property at the time of purchase. During 2009, a subsidiary entered into a consent order with the State of Florida to conduct additional testing at our Auburndale, FL facility. We admitted no liability and the costs are not expected to be material.</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consolidated basis, we have reserved approximately $3.4 million on June 27, 2015 and $3.2 million on June 28, 2014, representing the estimated costs to complete future remediation efforts. These amounts are included in Other Liabilities within the condensed balance sheet and have not been reduced by an insurance receivable.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on June 27, 2015,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June 27, 2015, we had outstanding purchase commitments on commenced capital projects of approximately $5.8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operations, we supply building materials and labor to residential and multi-family construction projects or we jointly bid on contracts with framing companies for such projects. In some instances we are required to post payment and performance bonds to insure the owner that our products and installation services are completed in accordance with our contractual obligations. We have agreed to indemnify the surety for claims made against the bonds. As of June 27, 2015 we had approximately $0.5 million in outstanding payment and performance bonds, which expire during the next two years. In addition, approximately $13.0 million in payment and performance bonds are outstanding for completed projects which are still under warranty.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27, 2015, we had outstanding letters of credit totaling $25.4 million, primarily related to certain insurance contracts and industrial development revenue bonds described further below.</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$15.6 million for these types of insurance arrangements. We have reserves recorded on our balance sheet, in accrued liabilities, that reflect our expected future liabilities under these insurance arrangements.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Many of our wood treating operations utilize "Subpart W" drip pads, defined as hazardous waste management units by the Environmental Protection Agency. The rules regulating drip pads require that the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w:t>
      </w:r>
    </w:p>
    <w:p>
      <w:pPr>
        <w:spacing w:after="0" w:line="18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40" w:top="121"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existing circumstances, it is considered probable that these costs will approximate $0.6 million. As a result, this amount is recorded in other long-term liabilities on June 27, 2015.</w:t>
      </w:r>
    </w:p>
    <w:p>
      <w:pPr>
        <w:spacing w:after="0" w:line="170"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2015 which would require us to recognize a liability on our balance sheet.</w:t>
      </w:r>
    </w:p>
    <w:p>
      <w:pPr>
        <w:spacing w:after="0" w:line="16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We completed the following acquisitions in fiscal 2015 and 2014 which were accounted for using the purchase method (in thousands):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20" w:type="dxa"/>
            <w:vAlign w:val="bottom"/>
            <w:tcBorders>
              <w:top w:val="single" w:sz="8" w:color="auto"/>
              <w:left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Net Tangible</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2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Company Name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Acquisition Date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 Price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Intangible Assets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272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Business Description</w:t>
            </w: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60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A supplier of lumber products to the</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Rapid Wood</w:t>
            </w:r>
          </w:p>
        </w:tc>
        <w:tc>
          <w:tcPr>
            <w:tcW w:w="1480" w:type="dxa"/>
            <w:vAlign w:val="bottom"/>
            <w:tcBorders>
              <w:right w:val="single" w:sz="8" w:color="auto"/>
            </w:tcBorders>
            <w:shd w:val="clear" w:color="auto" w:fill="CCEEFF"/>
          </w:tcPr>
          <w:p>
            <w:pPr>
              <w:spacing w:after="0"/>
              <w:rPr>
                <w:sz w:val="18"/>
                <w:szCs w:val="18"/>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$1,638</w:t>
            </w:r>
          </w:p>
        </w:tc>
        <w:tc>
          <w:tcPr>
            <w:tcW w:w="148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Western</w:t>
            </w: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region’s manufactured housing and</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Mfg., LLC</w:t>
            </w: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February 2, 2015</w:t>
            </w:r>
          </w:p>
        </w:tc>
        <w:tc>
          <w:tcPr>
            <w:tcW w:w="1600" w:type="dxa"/>
            <w:vAlign w:val="bottom"/>
            <w:tcBorders>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$789</w:t>
            </w: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$849</w:t>
            </w:r>
          </w:p>
        </w:tc>
        <w:tc>
          <w:tcPr>
            <w:tcW w:w="1240" w:type="dxa"/>
            <w:vAlign w:val="bottom"/>
            <w:tcBorders>
              <w:right w:val="single" w:sz="8" w:color="auto"/>
            </w:tcBorders>
            <w:vMerge w:val="continue"/>
            <w:shd w:val="clear" w:color="auto" w:fill="CCEEFF"/>
          </w:tcPr>
          <w:p>
            <w:pPr>
              <w:spacing w:after="0"/>
              <w:rPr>
                <w:sz w:val="9"/>
                <w:szCs w:val="9"/>
                <w:color w:val="auto"/>
              </w:rPr>
            </w:pP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1"/>
              </w:rPr>
              <w:t>recreational vehicle industries based</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(asset purchase)</w:t>
            </w: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500" w:type="dxa"/>
            <w:vAlign w:val="bottom"/>
            <w:tcBorders>
              <w:right w:val="single" w:sz="8" w:color="auto"/>
            </w:tcBorders>
            <w:vMerge w:val="continue"/>
            <w:shd w:val="clear" w:color="auto" w:fill="CCEEFF"/>
          </w:tcPr>
          <w:p>
            <w:pPr>
              <w:spacing w:after="0"/>
              <w:rPr>
                <w:sz w:val="9"/>
                <w:szCs w:val="9"/>
                <w:color w:val="auto"/>
              </w:rPr>
            </w:pP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Division</w:t>
            </w:r>
          </w:p>
        </w:tc>
        <w:tc>
          <w:tcPr>
            <w:tcW w:w="2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(“Rapid Wood”)</w:t>
            </w:r>
          </w:p>
        </w:tc>
        <w:tc>
          <w:tcPr>
            <w:tcW w:w="1480" w:type="dxa"/>
            <w:vAlign w:val="bottom"/>
            <w:tcBorders>
              <w:right w:val="single" w:sz="8" w:color="auto"/>
            </w:tcBorders>
            <w:shd w:val="clear" w:color="auto" w:fill="CCEEFF"/>
          </w:tcPr>
          <w:p>
            <w:pPr>
              <w:spacing w:after="0"/>
              <w:rPr>
                <w:sz w:val="10"/>
                <w:szCs w:val="10"/>
                <w:color w:val="auto"/>
              </w:rPr>
            </w:pPr>
          </w:p>
        </w:tc>
        <w:tc>
          <w:tcPr>
            <w:tcW w:w="1600" w:type="dxa"/>
            <w:vAlign w:val="bottom"/>
            <w:tcBorders>
              <w:right w:val="single" w:sz="8" w:color="auto"/>
            </w:tcBorders>
            <w:vMerge w:val="continue"/>
            <w:shd w:val="clear" w:color="auto" w:fill="CCEEFF"/>
          </w:tcPr>
          <w:p>
            <w:pPr>
              <w:spacing w:after="0"/>
              <w:rPr>
                <w:sz w:val="10"/>
                <w:szCs w:val="10"/>
                <w:color w:val="auto"/>
              </w:rPr>
            </w:pPr>
          </w:p>
        </w:tc>
        <w:tc>
          <w:tcPr>
            <w:tcW w:w="1480" w:type="dxa"/>
            <w:vAlign w:val="bottom"/>
            <w:tcBorders>
              <w:right w:val="single" w:sz="8" w:color="auto"/>
            </w:tcBorders>
            <w:shd w:val="clear" w:color="auto" w:fill="CCEEFF"/>
          </w:tcPr>
          <w:p>
            <w:pPr>
              <w:spacing w:after="0"/>
              <w:rPr>
                <w:sz w:val="10"/>
                <w:szCs w:val="10"/>
                <w:color w:val="auto"/>
              </w:rPr>
            </w:pPr>
          </w:p>
        </w:tc>
        <w:tc>
          <w:tcPr>
            <w:tcW w:w="1500" w:type="dxa"/>
            <w:vAlign w:val="bottom"/>
            <w:tcBorders>
              <w:right w:val="single" w:sz="8" w:color="auto"/>
            </w:tcBorders>
            <w:shd w:val="clear" w:color="auto" w:fill="CCEEFF"/>
          </w:tcPr>
          <w:p>
            <w:pPr>
              <w:spacing w:after="0"/>
              <w:rPr>
                <w:sz w:val="10"/>
                <w:szCs w:val="10"/>
                <w:color w:val="auto"/>
              </w:rPr>
            </w:pPr>
          </w:p>
        </w:tc>
        <w:tc>
          <w:tcPr>
            <w:tcW w:w="1240" w:type="dxa"/>
            <w:vAlign w:val="bottom"/>
            <w:tcBorders>
              <w:right w:val="single" w:sz="8" w:color="auto"/>
            </w:tcBorders>
            <w:vMerge w:val="continue"/>
            <w:shd w:val="clear" w:color="auto" w:fill="CCEEFF"/>
          </w:tcPr>
          <w:p>
            <w:pPr>
              <w:spacing w:after="0"/>
              <w:rPr>
                <w:sz w:val="10"/>
                <w:szCs w:val="10"/>
                <w:color w:val="auto"/>
              </w:rPr>
            </w:pP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2"/>
              </w:rPr>
              <w:t>in Caldwell, Idaho. Rapid Wood had</w:t>
            </w: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480" w:type="dxa"/>
            <w:vAlign w:val="bottom"/>
            <w:tcBorders>
              <w:right w:val="single" w:sz="8" w:color="auto"/>
            </w:tcBorders>
            <w:shd w:val="clear" w:color="auto" w:fill="CCEEFF"/>
          </w:tcPr>
          <w:p>
            <w:pPr>
              <w:spacing w:after="0"/>
              <w:rPr>
                <w:sz w:val="8"/>
                <w:szCs w:val="8"/>
                <w:color w:val="auto"/>
              </w:rPr>
            </w:pPr>
          </w:p>
        </w:tc>
        <w:tc>
          <w:tcPr>
            <w:tcW w:w="1600" w:type="dxa"/>
            <w:vAlign w:val="bottom"/>
            <w:tcBorders>
              <w:right w:val="single" w:sz="8" w:color="auto"/>
            </w:tcBorders>
            <w:shd w:val="clear" w:color="auto" w:fill="CCEEFF"/>
          </w:tcPr>
          <w:p>
            <w:pPr>
              <w:spacing w:after="0"/>
              <w:rPr>
                <w:sz w:val="8"/>
                <w:szCs w:val="8"/>
                <w:color w:val="auto"/>
              </w:rPr>
            </w:pPr>
          </w:p>
        </w:tc>
        <w:tc>
          <w:tcPr>
            <w:tcW w:w="1480" w:type="dxa"/>
            <w:vAlign w:val="bottom"/>
            <w:tcBorders>
              <w:right w:val="single" w:sz="8" w:color="auto"/>
            </w:tcBorders>
            <w:shd w:val="clear" w:color="auto" w:fill="CCEEFF"/>
          </w:tcPr>
          <w:p>
            <w:pPr>
              <w:spacing w:after="0"/>
              <w:rPr>
                <w:sz w:val="8"/>
                <w:szCs w:val="8"/>
                <w:color w:val="auto"/>
              </w:rPr>
            </w:pPr>
          </w:p>
        </w:tc>
        <w:tc>
          <w:tcPr>
            <w:tcW w:w="1500" w:type="dxa"/>
            <w:vAlign w:val="bottom"/>
            <w:tcBorders>
              <w:right w:val="single" w:sz="8" w:color="auto"/>
            </w:tcBorders>
            <w:shd w:val="clear" w:color="auto" w:fill="CCEEFF"/>
          </w:tcPr>
          <w:p>
            <w:pPr>
              <w:spacing w:after="0"/>
              <w:rPr>
                <w:sz w:val="8"/>
                <w:szCs w:val="8"/>
                <w:color w:val="auto"/>
              </w:rPr>
            </w:pPr>
          </w:p>
        </w:tc>
        <w:tc>
          <w:tcPr>
            <w:tcW w:w="1240" w:type="dxa"/>
            <w:vAlign w:val="bottom"/>
            <w:tcBorders>
              <w:right w:val="single" w:sz="8" w:color="auto"/>
            </w:tcBorders>
            <w:shd w:val="clear" w:color="auto" w:fill="CCEEFF"/>
          </w:tcPr>
          <w:p>
            <w:pPr>
              <w:spacing w:after="0"/>
              <w:rPr>
                <w:sz w:val="8"/>
                <w:szCs w:val="8"/>
                <w:color w:val="auto"/>
              </w:rPr>
            </w:pPr>
          </w:p>
        </w:tc>
        <w:tc>
          <w:tcPr>
            <w:tcW w:w="27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4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60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50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2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annual sales of $2.3 million.</w:t>
            </w:r>
          </w:p>
        </w:tc>
        <w:tc>
          <w:tcPr>
            <w:tcW w:w="0" w:type="dxa"/>
            <w:vAlign w:val="bottom"/>
          </w:tcPr>
          <w:p>
            <w:pPr>
              <w:spacing w:after="0"/>
              <w:rPr>
                <w:sz w:val="1"/>
                <w:szCs w:val="1"/>
                <w:color w:val="auto"/>
              </w:rPr>
            </w:pPr>
          </w:p>
        </w:tc>
      </w:tr>
      <w:tr>
        <w:trPr>
          <w:trHeight w:val="222"/>
        </w:trPr>
        <w:tc>
          <w:tcPr>
            <w:tcW w:w="1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Integra Packaging</w:t>
            </w:r>
          </w:p>
        </w:tc>
        <w:tc>
          <w:tcPr>
            <w:tcW w:w="1480" w:type="dxa"/>
            <w:vAlign w:val="bottom"/>
            <w:tcBorders>
              <w:top w:val="single" w:sz="8" w:color="auto"/>
              <w:right w:val="single" w:sz="8" w:color="auto"/>
            </w:tcBorders>
          </w:tcPr>
          <w:p>
            <w:pPr>
              <w:spacing w:after="0"/>
              <w:rPr>
                <w:sz w:val="19"/>
                <w:szCs w:val="19"/>
                <w:color w:val="auto"/>
              </w:rPr>
            </w:pPr>
          </w:p>
        </w:tc>
        <w:tc>
          <w:tcPr>
            <w:tcW w:w="160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$1,406</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$715</w:t>
            </w:r>
          </w:p>
        </w:tc>
        <w:tc>
          <w:tcPr>
            <w:tcW w:w="1240" w:type="dxa"/>
            <w:vAlign w:val="bottom"/>
            <w:tcBorders>
              <w:top w:val="single" w:sz="8" w:color="auto"/>
              <w:right w:val="single" w:sz="8" w:color="auto"/>
            </w:tcBorders>
          </w:tcPr>
          <w:p>
            <w:pPr>
              <w:spacing w:after="0"/>
              <w:rPr>
                <w:sz w:val="19"/>
                <w:szCs w:val="19"/>
                <w:color w:val="auto"/>
              </w:rPr>
            </w:pP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An Australian-based manufacturer</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$1,102</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(The Company</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Company</w:t>
            </w: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distributor of industrial wood</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Proprietary, Ltd</w:t>
            </w:r>
          </w:p>
        </w:tc>
        <w:tc>
          <w:tcPr>
            <w:tcW w:w="14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January 16, 2015</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(51.94% stock</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portion of</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portion of Net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Other</w:t>
            </w: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specialty packaging products.</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(“Integra</w:t>
            </w:r>
          </w:p>
        </w:tc>
        <w:tc>
          <w:tcPr>
            <w:tcW w:w="14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purchase)</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Intangible Assets</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Tangible Assets</w:t>
            </w: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Integra Packaging had annual sales</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Packaging”)</w:t>
            </w:r>
          </w:p>
        </w:tc>
        <w:tc>
          <w:tcPr>
            <w:tcW w:w="14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$730 or 51.94%)</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$372 or 51.94%)</w:t>
            </w:r>
          </w:p>
        </w:tc>
        <w:tc>
          <w:tcPr>
            <w:tcW w:w="124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$12.4 million.</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Bigs Packaging</w:t>
            </w:r>
          </w:p>
        </w:tc>
        <w:tc>
          <w:tcPr>
            <w:tcW w:w="1480" w:type="dxa"/>
            <w:vAlign w:val="bottom"/>
            <w:tcBorders>
              <w:right w:val="single" w:sz="8" w:color="auto"/>
            </w:tcBorders>
            <w:shd w:val="clear" w:color="auto" w:fill="CCEEFF"/>
          </w:tcPr>
          <w:p>
            <w:pPr>
              <w:spacing w:after="0"/>
              <w:rPr>
                <w:sz w:val="19"/>
                <w:szCs w:val="19"/>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$20,000 (asset</w:t>
            </w:r>
          </w:p>
        </w:tc>
        <w:tc>
          <w:tcPr>
            <w:tcW w:w="148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 Texas-based manufacturer of</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and Lumber, LLC</w:t>
            </w: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November 13,</w:t>
            </w:r>
          </w:p>
        </w:tc>
        <w:tc>
          <w:tcPr>
            <w:tcW w:w="1600" w:type="dxa"/>
            <w:vAlign w:val="bottom"/>
            <w:tcBorders>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shd w:val="clear" w:color="auto" w:fill="CCEEFF"/>
          </w:tcPr>
          <w:p>
            <w:pPr>
              <w:spacing w:after="0"/>
              <w:rPr>
                <w:sz w:val="9"/>
                <w:szCs w:val="9"/>
                <w:color w:val="auto"/>
              </w:rPr>
            </w:pP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Western</w:t>
            </w: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industrial wood and packaging</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purchase) + $3,976</w:t>
            </w: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$15,031</w:t>
            </w: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$8,945</w:t>
            </w:r>
          </w:p>
        </w:tc>
        <w:tc>
          <w:tcPr>
            <w:tcW w:w="1240" w:type="dxa"/>
            <w:vAlign w:val="bottom"/>
            <w:tcBorders>
              <w:right w:val="single" w:sz="8" w:color="auto"/>
            </w:tcBorders>
            <w:vMerge w:val="continue"/>
            <w:shd w:val="clear" w:color="auto" w:fill="CCEEFF"/>
          </w:tcPr>
          <w:p>
            <w:pPr>
              <w:spacing w:after="0"/>
              <w:rPr>
                <w:sz w:val="9"/>
                <w:szCs w:val="9"/>
                <w:color w:val="auto"/>
              </w:rPr>
            </w:pPr>
          </w:p>
        </w:tc>
        <w:tc>
          <w:tcPr>
            <w:tcW w:w="2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(“Bigs</w:t>
            </w: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600" w:type="dxa"/>
            <w:vAlign w:val="bottom"/>
            <w:tcBorders>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500" w:type="dxa"/>
            <w:vAlign w:val="bottom"/>
            <w:tcBorders>
              <w:right w:val="single" w:sz="8" w:color="auto"/>
            </w:tcBorders>
            <w:vMerge w:val="continue"/>
            <w:shd w:val="clear" w:color="auto" w:fill="CCEEFF"/>
          </w:tcPr>
          <w:p>
            <w:pPr>
              <w:spacing w:after="0"/>
              <w:rPr>
                <w:sz w:val="9"/>
                <w:szCs w:val="9"/>
                <w:color w:val="auto"/>
              </w:rPr>
            </w:pP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Division</w:t>
            </w: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solutions. Bigs Packaging had</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continue"/>
            <w:shd w:val="clear" w:color="auto" w:fill="CCEEFF"/>
          </w:tcPr>
          <w:p>
            <w:pPr>
              <w:spacing w:after="0"/>
              <w:rPr>
                <w:sz w:val="9"/>
                <w:szCs w:val="9"/>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earnout accrual</w:t>
            </w:r>
          </w:p>
        </w:tc>
        <w:tc>
          <w:tcPr>
            <w:tcW w:w="1480" w:type="dxa"/>
            <w:vAlign w:val="bottom"/>
            <w:tcBorders>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shd w:val="clear" w:color="auto" w:fill="CCEEFF"/>
          </w:tcPr>
          <w:p>
            <w:pPr>
              <w:spacing w:after="0"/>
              <w:rPr>
                <w:sz w:val="9"/>
                <w:szCs w:val="9"/>
                <w:color w:val="auto"/>
              </w:rPr>
            </w:pPr>
          </w:p>
        </w:tc>
        <w:tc>
          <w:tcPr>
            <w:tcW w:w="1240" w:type="dxa"/>
            <w:vAlign w:val="bottom"/>
            <w:tcBorders>
              <w:right w:val="single" w:sz="8" w:color="auto"/>
            </w:tcBorders>
            <w:vMerge w:val="continue"/>
            <w:shd w:val="clear" w:color="auto" w:fill="CCEEFF"/>
          </w:tcPr>
          <w:p>
            <w:pPr>
              <w:spacing w:after="0"/>
              <w:rPr>
                <w:sz w:val="9"/>
                <w:szCs w:val="9"/>
                <w:color w:val="auto"/>
              </w:rPr>
            </w:pPr>
          </w:p>
        </w:tc>
        <w:tc>
          <w:tcPr>
            <w:tcW w:w="2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Packaging”)</w:t>
            </w:r>
          </w:p>
        </w:tc>
        <w:tc>
          <w:tcPr>
            <w:tcW w:w="1480" w:type="dxa"/>
            <w:vAlign w:val="bottom"/>
            <w:tcBorders>
              <w:right w:val="single" w:sz="8" w:color="auto"/>
            </w:tcBorders>
            <w:shd w:val="clear" w:color="auto" w:fill="CCEEFF"/>
          </w:tcPr>
          <w:p>
            <w:pPr>
              <w:spacing w:after="0"/>
              <w:rPr>
                <w:sz w:val="10"/>
                <w:szCs w:val="10"/>
                <w:color w:val="auto"/>
              </w:rPr>
            </w:pPr>
          </w:p>
        </w:tc>
        <w:tc>
          <w:tcPr>
            <w:tcW w:w="1600" w:type="dxa"/>
            <w:vAlign w:val="bottom"/>
            <w:tcBorders>
              <w:right w:val="single" w:sz="8" w:color="auto"/>
            </w:tcBorders>
            <w:vMerge w:val="continue"/>
            <w:shd w:val="clear" w:color="auto" w:fill="CCEEFF"/>
          </w:tcPr>
          <w:p>
            <w:pPr>
              <w:spacing w:after="0"/>
              <w:rPr>
                <w:sz w:val="10"/>
                <w:szCs w:val="10"/>
                <w:color w:val="auto"/>
              </w:rPr>
            </w:pPr>
          </w:p>
        </w:tc>
        <w:tc>
          <w:tcPr>
            <w:tcW w:w="1480" w:type="dxa"/>
            <w:vAlign w:val="bottom"/>
            <w:tcBorders>
              <w:right w:val="single" w:sz="8" w:color="auto"/>
            </w:tcBorders>
            <w:shd w:val="clear" w:color="auto" w:fill="CCEEFF"/>
          </w:tcPr>
          <w:p>
            <w:pPr>
              <w:spacing w:after="0"/>
              <w:rPr>
                <w:sz w:val="10"/>
                <w:szCs w:val="10"/>
                <w:color w:val="auto"/>
              </w:rPr>
            </w:pPr>
          </w:p>
        </w:tc>
        <w:tc>
          <w:tcPr>
            <w:tcW w:w="1500" w:type="dxa"/>
            <w:vAlign w:val="bottom"/>
            <w:tcBorders>
              <w:right w:val="single" w:sz="8" w:color="auto"/>
            </w:tcBorders>
            <w:shd w:val="clear" w:color="auto" w:fill="CCEEFF"/>
          </w:tcPr>
          <w:p>
            <w:pPr>
              <w:spacing w:after="0"/>
              <w:rPr>
                <w:sz w:val="10"/>
                <w:szCs w:val="10"/>
                <w:color w:val="auto"/>
              </w:rPr>
            </w:pPr>
          </w:p>
        </w:tc>
        <w:tc>
          <w:tcPr>
            <w:tcW w:w="1240" w:type="dxa"/>
            <w:vAlign w:val="bottom"/>
            <w:tcBorders>
              <w:right w:val="single" w:sz="8" w:color="auto"/>
            </w:tcBorders>
            <w:shd w:val="clear" w:color="auto" w:fill="CCEEFF"/>
          </w:tcPr>
          <w:p>
            <w:pPr>
              <w:spacing w:after="0"/>
              <w:rPr>
                <w:sz w:val="10"/>
                <w:szCs w:val="10"/>
                <w:color w:val="auto"/>
              </w:rPr>
            </w:pP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annual sales of $50.0 million.</w:t>
            </w: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bottom w:val="single" w:sz="8" w:color="CCEEFF"/>
              <w:right w:val="single" w:sz="8" w:color="auto"/>
            </w:tcBorders>
            <w:vMerge w:val="continue"/>
            <w:shd w:val="clear" w:color="auto" w:fill="CCEEFF"/>
          </w:tcPr>
          <w:p>
            <w:pPr>
              <w:spacing w:after="0"/>
              <w:rPr>
                <w:sz w:val="11"/>
                <w:szCs w:val="11"/>
                <w:color w:val="auto"/>
              </w:rPr>
            </w:pPr>
          </w:p>
        </w:tc>
        <w:tc>
          <w:tcPr>
            <w:tcW w:w="1480" w:type="dxa"/>
            <w:vAlign w:val="bottom"/>
            <w:tcBorders>
              <w:bottom w:val="single" w:sz="8" w:color="CCEEFF"/>
              <w:right w:val="single" w:sz="8" w:color="auto"/>
            </w:tcBorders>
            <w:shd w:val="clear" w:color="auto" w:fill="CCEEFF"/>
          </w:tcPr>
          <w:p>
            <w:pPr>
              <w:spacing w:after="0"/>
              <w:rPr>
                <w:sz w:val="11"/>
                <w:szCs w:val="11"/>
                <w:color w:val="auto"/>
              </w:rPr>
            </w:pPr>
          </w:p>
        </w:tc>
        <w:tc>
          <w:tcPr>
            <w:tcW w:w="1600" w:type="dxa"/>
            <w:vAlign w:val="bottom"/>
            <w:tcBorders>
              <w:bottom w:val="single" w:sz="8" w:color="CCEEFF"/>
              <w:right w:val="single" w:sz="8" w:color="auto"/>
            </w:tcBorders>
            <w:shd w:val="clear" w:color="auto" w:fill="CCEEFF"/>
          </w:tcPr>
          <w:p>
            <w:pPr>
              <w:spacing w:after="0"/>
              <w:rPr>
                <w:sz w:val="11"/>
                <w:szCs w:val="11"/>
                <w:color w:val="auto"/>
              </w:rPr>
            </w:pPr>
          </w:p>
        </w:tc>
        <w:tc>
          <w:tcPr>
            <w:tcW w:w="1480" w:type="dxa"/>
            <w:vAlign w:val="bottom"/>
            <w:tcBorders>
              <w:bottom w:val="single" w:sz="8" w:color="CCEEFF"/>
              <w:right w:val="single" w:sz="8" w:color="auto"/>
            </w:tcBorders>
            <w:shd w:val="clear" w:color="auto" w:fill="CCEEFF"/>
          </w:tcPr>
          <w:p>
            <w:pPr>
              <w:spacing w:after="0"/>
              <w:rPr>
                <w:sz w:val="11"/>
                <w:szCs w:val="11"/>
                <w:color w:val="auto"/>
              </w:rPr>
            </w:pPr>
          </w:p>
        </w:tc>
        <w:tc>
          <w:tcPr>
            <w:tcW w:w="1500" w:type="dxa"/>
            <w:vAlign w:val="bottom"/>
            <w:tcBorders>
              <w:bottom w:val="single" w:sz="8" w:color="CCEEFF"/>
              <w:right w:val="single" w:sz="8" w:color="auto"/>
            </w:tcBorders>
            <w:shd w:val="clear" w:color="auto" w:fill="CCEEFF"/>
          </w:tcPr>
          <w:p>
            <w:pPr>
              <w:spacing w:after="0"/>
              <w:rPr>
                <w:sz w:val="11"/>
                <w:szCs w:val="11"/>
                <w:color w:val="auto"/>
              </w:rPr>
            </w:pPr>
          </w:p>
        </w:tc>
        <w:tc>
          <w:tcPr>
            <w:tcW w:w="1240" w:type="dxa"/>
            <w:vAlign w:val="bottom"/>
            <w:tcBorders>
              <w:bottom w:val="single" w:sz="8" w:color="CCEEFF"/>
              <w:right w:val="single" w:sz="8" w:color="auto"/>
            </w:tcBorders>
            <w:shd w:val="clear" w:color="auto" w:fill="CCEEFF"/>
          </w:tcPr>
          <w:p>
            <w:pPr>
              <w:spacing w:after="0"/>
              <w:rPr>
                <w:sz w:val="11"/>
                <w:szCs w:val="11"/>
                <w:color w:val="auto"/>
              </w:rPr>
            </w:pPr>
          </w:p>
        </w:tc>
        <w:tc>
          <w:tcPr>
            <w:tcW w:w="272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420" w:type="dxa"/>
            <w:vAlign w:val="bottom"/>
            <w:tcBorders>
              <w:top w:val="single" w:sz="8" w:color="auto"/>
              <w:left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60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$7,885</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$1,498</w:t>
            </w:r>
          </w:p>
        </w:tc>
        <w:tc>
          <w:tcPr>
            <w:tcW w:w="1240" w:type="dxa"/>
            <w:vAlign w:val="bottom"/>
            <w:tcBorders>
              <w:top w:val="single" w:sz="8" w:color="auto"/>
              <w:right w:val="single" w:sz="8" w:color="auto"/>
            </w:tcBorders>
          </w:tcPr>
          <w:p>
            <w:pPr>
              <w:spacing w:after="0"/>
              <w:rPr>
                <w:sz w:val="19"/>
                <w:szCs w:val="19"/>
                <w:color w:val="auto"/>
              </w:rPr>
            </w:pP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 supplier of industrial packaging</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Packnet Ltd</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November 24,</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$7,506 (80% asset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Company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Company</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Western</w:t>
            </w: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and services based in Eagan, MN.</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portion of</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portion of Net</w:t>
            </w:r>
          </w:p>
        </w:tc>
        <w:tc>
          <w:tcPr>
            <w:tcW w:w="124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9"/>
              </w:rPr>
              <w:t>Packnet had annual sales of $9.0</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(“Packnet”)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2014</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purchase)</w:t>
            </w:r>
          </w:p>
        </w:tc>
        <w:tc>
          <w:tcPr>
            <w:tcW w:w="14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Division</w:t>
            </w: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Intangible Assets</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Tangible Assets</w:t>
            </w:r>
          </w:p>
        </w:tc>
        <w:tc>
          <w:tcPr>
            <w:tcW w:w="12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$6,308 or 80%)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$1,198 or 80%)</w:t>
            </w:r>
          </w:p>
        </w:tc>
        <w:tc>
          <w:tcPr>
            <w:tcW w:w="12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High Level</w:t>
            </w:r>
          </w:p>
        </w:tc>
        <w:tc>
          <w:tcPr>
            <w:tcW w:w="1480" w:type="dxa"/>
            <w:vAlign w:val="bottom"/>
            <w:tcBorders>
              <w:right w:val="single" w:sz="8" w:color="auto"/>
            </w:tcBorders>
            <w:shd w:val="clear" w:color="auto" w:fill="CCEEFF"/>
          </w:tcPr>
          <w:p>
            <w:pPr>
              <w:spacing w:after="0"/>
              <w:rPr>
                <w:sz w:val="19"/>
                <w:szCs w:val="19"/>
                <w:color w:val="auto"/>
              </w:rPr>
            </w:pPr>
          </w:p>
        </w:tc>
        <w:tc>
          <w:tcPr>
            <w:tcW w:w="160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A building component manufacturer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Components,</w:t>
            </w: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March 31, 2014</w:t>
            </w:r>
          </w:p>
        </w:tc>
        <w:tc>
          <w:tcPr>
            <w:tcW w:w="1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$2,944</w:t>
            </w: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$3,232</w:t>
            </w: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North Division</w:t>
            </w: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based in Locust, NC. High Level</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LLC (“High</w:t>
            </w:r>
          </w:p>
        </w:tc>
        <w:tc>
          <w:tcPr>
            <w:tcW w:w="1480" w:type="dxa"/>
            <w:vAlign w:val="bottom"/>
            <w:tcBorders>
              <w:right w:val="single" w:sz="8" w:color="auto"/>
            </w:tcBorders>
            <w:vMerge w:val="continue"/>
            <w:shd w:val="clear" w:color="auto" w:fill="CCEEFF"/>
          </w:tcPr>
          <w:p>
            <w:pPr>
              <w:spacing w:after="0"/>
              <w:rPr>
                <w:sz w:val="18"/>
                <w:szCs w:val="18"/>
                <w:color w:val="auto"/>
              </w:rPr>
            </w:pPr>
          </w:p>
        </w:tc>
        <w:tc>
          <w:tcPr>
            <w:tcW w:w="1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(asset purchase)</w:t>
            </w:r>
          </w:p>
        </w:tc>
        <w:tc>
          <w:tcPr>
            <w:tcW w:w="1480" w:type="dxa"/>
            <w:vAlign w:val="bottom"/>
            <w:tcBorders>
              <w:right w:val="single" w:sz="8" w:color="auto"/>
            </w:tcBorders>
            <w:vMerge w:val="continue"/>
            <w:shd w:val="clear" w:color="auto" w:fill="CCEEFF"/>
          </w:tcPr>
          <w:p>
            <w:pPr>
              <w:spacing w:after="0"/>
              <w:rPr>
                <w:sz w:val="18"/>
                <w:szCs w:val="18"/>
                <w:color w:val="auto"/>
              </w:rPr>
            </w:pPr>
          </w:p>
        </w:tc>
        <w:tc>
          <w:tcPr>
            <w:tcW w:w="1500" w:type="dxa"/>
            <w:vAlign w:val="bottom"/>
            <w:tcBorders>
              <w:right w:val="single" w:sz="8" w:color="auto"/>
            </w:tcBorders>
            <w:vMerge w:val="continue"/>
            <w:shd w:val="clear" w:color="auto" w:fill="CCEEFF"/>
          </w:tcPr>
          <w:p>
            <w:pPr>
              <w:spacing w:after="0"/>
              <w:rPr>
                <w:sz w:val="18"/>
                <w:szCs w:val="18"/>
                <w:color w:val="auto"/>
              </w:rPr>
            </w:pPr>
          </w:p>
        </w:tc>
        <w:tc>
          <w:tcPr>
            <w:tcW w:w="1240" w:type="dxa"/>
            <w:vAlign w:val="bottom"/>
            <w:tcBorders>
              <w:right w:val="single" w:sz="8" w:color="auto"/>
            </w:tcBorders>
            <w:vMerge w:val="continue"/>
            <w:shd w:val="clear" w:color="auto" w:fill="CCEEFF"/>
          </w:tcPr>
          <w:p>
            <w:pPr>
              <w:spacing w:after="0"/>
              <w:rPr>
                <w:sz w:val="18"/>
                <w:szCs w:val="18"/>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had annual sales of $6.8 million.</w:t>
            </w:r>
          </w:p>
        </w:tc>
        <w:tc>
          <w:tcPr>
            <w:tcW w:w="0" w:type="dxa"/>
            <w:vAlign w:val="bottom"/>
          </w:tcPr>
          <w:p>
            <w:pPr>
              <w:spacing w:after="0"/>
              <w:rPr>
                <w:sz w:val="1"/>
                <w:szCs w:val="1"/>
                <w:color w:val="auto"/>
              </w:rPr>
            </w:pPr>
          </w:p>
        </w:tc>
      </w:tr>
      <w:tr>
        <w:trPr>
          <w:trHeight w:val="262"/>
        </w:trPr>
        <w:tc>
          <w:tcPr>
            <w:tcW w:w="142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Level”)</w:t>
            </w: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600" w:type="dxa"/>
            <w:vAlign w:val="bottom"/>
            <w:tcBorders>
              <w:bottom w:val="single" w:sz="8" w:color="CCEEFF"/>
              <w:right w:val="single" w:sz="8" w:color="auto"/>
            </w:tcBorders>
            <w:shd w:val="clear" w:color="auto" w:fill="CCEEFF"/>
          </w:tcPr>
          <w:p>
            <w:pPr>
              <w:spacing w:after="0"/>
              <w:rPr>
                <w:sz w:val="22"/>
                <w:szCs w:val="22"/>
                <w:color w:val="auto"/>
              </w:rPr>
            </w:pPr>
          </w:p>
        </w:tc>
        <w:tc>
          <w:tcPr>
            <w:tcW w:w="1480" w:type="dxa"/>
            <w:vAlign w:val="bottom"/>
            <w:tcBorders>
              <w:bottom w:val="single" w:sz="8" w:color="CCEEFF"/>
              <w:right w:val="single" w:sz="8" w:color="auto"/>
            </w:tcBorders>
            <w:shd w:val="clear" w:color="auto" w:fill="CCEEFF"/>
          </w:tcPr>
          <w:p>
            <w:pPr>
              <w:spacing w:after="0"/>
              <w:rPr>
                <w:sz w:val="22"/>
                <w:szCs w:val="22"/>
                <w:color w:val="auto"/>
              </w:rPr>
            </w:pPr>
          </w:p>
        </w:tc>
        <w:tc>
          <w:tcPr>
            <w:tcW w:w="150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272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Upshur Forest</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March 28, 2014</w:t>
            </w:r>
          </w:p>
        </w:tc>
        <w:tc>
          <w:tcPr>
            <w:tcW w:w="160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 sawmill located in Gilmer, TX.</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(majority interest)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$3,548 (asset</w:t>
            </w:r>
          </w:p>
        </w:tc>
        <w:tc>
          <w:tcPr>
            <w:tcW w:w="148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Western</w:t>
            </w: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Upshur had annual sales of $8.9</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Products, LLC</w:t>
            </w:r>
          </w:p>
        </w:tc>
        <w:tc>
          <w:tcPr>
            <w:tcW w:w="14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$1,577</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$1,971</w:t>
            </w:r>
          </w:p>
        </w:tc>
        <w:tc>
          <w:tcPr>
            <w:tcW w:w="124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June 25, 2015</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purchase)</w:t>
            </w:r>
          </w:p>
        </w:tc>
        <w:tc>
          <w:tcPr>
            <w:tcW w:w="148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Division</w:t>
            </w: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(“Upshur”)</w:t>
            </w:r>
          </w:p>
        </w:tc>
        <w:tc>
          <w:tcPr>
            <w:tcW w:w="14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(minority interest)</w:t>
            </w:r>
          </w:p>
        </w:tc>
        <w:tc>
          <w:tcPr>
            <w:tcW w:w="16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600" w:type="dxa"/>
            <w:vAlign w:val="bottom"/>
            <w:tcBorders>
              <w:right w:val="single" w:sz="8" w:color="auto"/>
            </w:tcBorders>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 manufacturer of crates and</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Container</w:t>
            </w:r>
          </w:p>
        </w:tc>
        <w:tc>
          <w:tcPr>
            <w:tcW w:w="1480" w:type="dxa"/>
            <w:vAlign w:val="bottom"/>
            <w:tcBorders>
              <w:right w:val="single" w:sz="8" w:color="auto"/>
            </w:tcBorders>
            <w:shd w:val="clear" w:color="auto" w:fill="CCEEFF"/>
          </w:tcPr>
          <w:p>
            <w:pPr>
              <w:spacing w:after="0"/>
              <w:rPr>
                <w:sz w:val="18"/>
                <w:szCs w:val="18"/>
                <w:color w:val="auto"/>
              </w:rPr>
            </w:pPr>
          </w:p>
        </w:tc>
        <w:tc>
          <w:tcPr>
            <w:tcW w:w="1600" w:type="dxa"/>
            <w:vAlign w:val="bottom"/>
            <w:tcBorders>
              <w:right w:val="single" w:sz="8" w:color="auto"/>
            </w:tcBorders>
            <w:shd w:val="clear" w:color="auto" w:fill="CCEEFF"/>
          </w:tcPr>
          <w:p>
            <w:pPr>
              <w:spacing w:after="0"/>
              <w:rPr>
                <w:sz w:val="18"/>
                <w:szCs w:val="18"/>
                <w:color w:val="auto"/>
              </w:rPr>
            </w:pPr>
          </w:p>
        </w:tc>
        <w:tc>
          <w:tcPr>
            <w:tcW w:w="148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2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containers for industrial applications</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shd w:val="clear" w:color="auto" w:fill="CCEEFF"/>
          </w:tcPr>
          <w:p>
            <w:pPr>
              <w:spacing w:after="0"/>
              <w:rPr>
                <w:sz w:val="9"/>
                <w:szCs w:val="9"/>
                <w:color w:val="auto"/>
              </w:rPr>
            </w:pPr>
          </w:p>
        </w:tc>
        <w:tc>
          <w:tcPr>
            <w:tcW w:w="16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$2,417 (asset</w:t>
            </w:r>
          </w:p>
        </w:tc>
        <w:tc>
          <w:tcPr>
            <w:tcW w:w="1480" w:type="dxa"/>
            <w:vAlign w:val="bottom"/>
            <w:tcBorders>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shd w:val="clear" w:color="auto" w:fill="CCEEFF"/>
          </w:tcPr>
          <w:p>
            <w:pPr>
              <w:spacing w:after="0"/>
              <w:rPr>
                <w:sz w:val="9"/>
                <w:szCs w:val="9"/>
                <w:color w:val="auto"/>
              </w:rPr>
            </w:pPr>
          </w:p>
        </w:tc>
        <w:tc>
          <w:tcPr>
            <w:tcW w:w="1240" w:type="dxa"/>
            <w:vAlign w:val="bottom"/>
            <w:tcBorders>
              <w:right w:val="single" w:sz="8" w:color="auto"/>
            </w:tcBorders>
            <w:shd w:val="clear" w:color="auto" w:fill="CCEEFF"/>
          </w:tcPr>
          <w:p>
            <w:pPr>
              <w:spacing w:after="0"/>
              <w:rPr>
                <w:sz w:val="9"/>
                <w:szCs w:val="9"/>
                <w:color w:val="auto"/>
              </w:rPr>
            </w:pP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and the moving-and-storage</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Systems, Inc.</w:t>
            </w: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March 14, 2014</w:t>
            </w:r>
          </w:p>
        </w:tc>
        <w:tc>
          <w:tcPr>
            <w:tcW w:w="1600" w:type="dxa"/>
            <w:vAlign w:val="bottom"/>
            <w:tcBorders>
              <w:right w:val="single" w:sz="8" w:color="auto"/>
            </w:tcBorders>
            <w:vMerge w:val="continue"/>
            <w:shd w:val="clear" w:color="auto" w:fill="CCEEFF"/>
          </w:tcPr>
          <w:p>
            <w:pPr>
              <w:spacing w:after="0"/>
              <w:rPr>
                <w:sz w:val="9"/>
                <w:szCs w:val="9"/>
                <w:color w:val="auto"/>
              </w:rPr>
            </w:pPr>
          </w:p>
        </w:tc>
        <w:tc>
          <w:tcPr>
            <w:tcW w:w="14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$2,417</w:t>
            </w: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South Division</w:t>
            </w:r>
          </w:p>
        </w:tc>
        <w:tc>
          <w:tcPr>
            <w:tcW w:w="27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1480" w:type="dxa"/>
            <w:vAlign w:val="bottom"/>
            <w:tcBorders>
              <w:right w:val="single" w:sz="8" w:color="auto"/>
            </w:tcBorders>
            <w:vMerge w:val="continue"/>
            <w:shd w:val="clear" w:color="auto" w:fill="CCEEFF"/>
          </w:tcPr>
          <w:p>
            <w:pPr>
              <w:spacing w:after="0"/>
              <w:rPr>
                <w:sz w:val="15"/>
                <w:szCs w:val="15"/>
                <w:color w:val="auto"/>
              </w:rPr>
            </w:pPr>
          </w:p>
        </w:tc>
        <w:tc>
          <w:tcPr>
            <w:tcW w:w="160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purchase)</w:t>
            </w:r>
          </w:p>
        </w:tc>
        <w:tc>
          <w:tcPr>
            <w:tcW w:w="1480" w:type="dxa"/>
            <w:vAlign w:val="bottom"/>
            <w:tcBorders>
              <w:right w:val="single" w:sz="8" w:color="auto"/>
            </w:tcBorders>
            <w:vMerge w:val="continue"/>
            <w:shd w:val="clear" w:color="auto" w:fill="CCEEFF"/>
          </w:tcPr>
          <w:p>
            <w:pPr>
              <w:spacing w:after="0"/>
              <w:rPr>
                <w:sz w:val="15"/>
                <w:szCs w:val="15"/>
                <w:color w:val="auto"/>
              </w:rPr>
            </w:pPr>
          </w:p>
        </w:tc>
        <w:tc>
          <w:tcPr>
            <w:tcW w:w="1500" w:type="dxa"/>
            <w:vAlign w:val="bottom"/>
            <w:tcBorders>
              <w:right w:val="single" w:sz="8" w:color="auto"/>
            </w:tcBorders>
            <w:vMerge w:val="continue"/>
            <w:shd w:val="clear" w:color="auto" w:fill="CCEEFF"/>
          </w:tcPr>
          <w:p>
            <w:pPr>
              <w:spacing w:after="0"/>
              <w:rPr>
                <w:sz w:val="15"/>
                <w:szCs w:val="15"/>
                <w:color w:val="auto"/>
              </w:rPr>
            </w:pPr>
          </w:p>
        </w:tc>
        <w:tc>
          <w:tcPr>
            <w:tcW w:w="1240" w:type="dxa"/>
            <w:vAlign w:val="bottom"/>
            <w:tcBorders>
              <w:right w:val="single" w:sz="8" w:color="auto"/>
            </w:tcBorders>
            <w:vMerge w:val="continue"/>
            <w:shd w:val="clear" w:color="auto" w:fill="CCEEFF"/>
          </w:tcPr>
          <w:p>
            <w:pPr>
              <w:spacing w:after="0"/>
              <w:rPr>
                <w:sz w:val="15"/>
                <w:szCs w:val="15"/>
                <w:color w:val="auto"/>
              </w:rPr>
            </w:pPr>
          </w:p>
        </w:tc>
        <w:tc>
          <w:tcPr>
            <w:tcW w:w="272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industry, located in Franklinton,</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(“CSI”)</w:t>
            </w:r>
          </w:p>
        </w:tc>
        <w:tc>
          <w:tcPr>
            <w:tcW w:w="1480" w:type="dxa"/>
            <w:vAlign w:val="bottom"/>
            <w:tcBorders>
              <w:right w:val="single" w:sz="8" w:color="auto"/>
            </w:tcBorders>
            <w:shd w:val="clear" w:color="auto" w:fill="CCEEFF"/>
          </w:tcPr>
          <w:p>
            <w:pPr>
              <w:spacing w:after="0"/>
              <w:rPr>
                <w:sz w:val="18"/>
                <w:szCs w:val="18"/>
                <w:color w:val="auto"/>
              </w:rPr>
            </w:pPr>
          </w:p>
        </w:tc>
        <w:tc>
          <w:tcPr>
            <w:tcW w:w="1600" w:type="dxa"/>
            <w:vAlign w:val="bottom"/>
            <w:tcBorders>
              <w:right w:val="single" w:sz="8" w:color="auto"/>
            </w:tcBorders>
            <w:shd w:val="clear" w:color="auto" w:fill="CCEEFF"/>
          </w:tcPr>
          <w:p>
            <w:pPr>
              <w:spacing w:after="0"/>
              <w:rPr>
                <w:sz w:val="18"/>
                <w:szCs w:val="18"/>
                <w:color w:val="auto"/>
              </w:rPr>
            </w:pPr>
          </w:p>
        </w:tc>
        <w:tc>
          <w:tcPr>
            <w:tcW w:w="148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27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NC. CSI had annual sales of $3.0</w:t>
            </w:r>
          </w:p>
        </w:tc>
        <w:tc>
          <w:tcPr>
            <w:tcW w:w="0" w:type="dxa"/>
            <w:vAlign w:val="bottom"/>
          </w:tcPr>
          <w:p>
            <w:pPr>
              <w:spacing w:after="0"/>
              <w:rPr>
                <w:sz w:val="1"/>
                <w:szCs w:val="1"/>
                <w:color w:val="auto"/>
              </w:rPr>
            </w:pPr>
          </w:p>
        </w:tc>
      </w:tr>
      <w:tr>
        <w:trPr>
          <w:trHeight w:val="40"/>
        </w:trPr>
        <w:tc>
          <w:tcPr>
            <w:tcW w:w="1420" w:type="dxa"/>
            <w:vAlign w:val="bottom"/>
            <w:tcBorders>
              <w:left w:val="single" w:sz="8" w:color="auto"/>
              <w:right w:val="single" w:sz="8" w:color="auto"/>
            </w:tcBorders>
            <w:shd w:val="clear" w:color="auto" w:fill="CCEEFF"/>
          </w:tcPr>
          <w:p>
            <w:pPr>
              <w:spacing w:after="0"/>
              <w:rPr>
                <w:sz w:val="3"/>
                <w:szCs w:val="3"/>
                <w:color w:val="auto"/>
              </w:rPr>
            </w:pPr>
          </w:p>
        </w:tc>
        <w:tc>
          <w:tcPr>
            <w:tcW w:w="1480" w:type="dxa"/>
            <w:vAlign w:val="bottom"/>
            <w:tcBorders>
              <w:right w:val="single" w:sz="8" w:color="auto"/>
            </w:tcBorders>
            <w:shd w:val="clear" w:color="auto" w:fill="CCEEFF"/>
          </w:tcPr>
          <w:p>
            <w:pPr>
              <w:spacing w:after="0"/>
              <w:rPr>
                <w:sz w:val="3"/>
                <w:szCs w:val="3"/>
                <w:color w:val="auto"/>
              </w:rPr>
            </w:pPr>
          </w:p>
        </w:tc>
        <w:tc>
          <w:tcPr>
            <w:tcW w:w="1600" w:type="dxa"/>
            <w:vAlign w:val="bottom"/>
            <w:tcBorders>
              <w:right w:val="single" w:sz="8" w:color="auto"/>
            </w:tcBorders>
            <w:shd w:val="clear" w:color="auto" w:fill="CCEEFF"/>
          </w:tcPr>
          <w:p>
            <w:pPr>
              <w:spacing w:after="0"/>
              <w:rPr>
                <w:sz w:val="3"/>
                <w:szCs w:val="3"/>
                <w:color w:val="auto"/>
              </w:rPr>
            </w:pPr>
          </w:p>
        </w:tc>
        <w:tc>
          <w:tcPr>
            <w:tcW w:w="1480" w:type="dxa"/>
            <w:vAlign w:val="bottom"/>
            <w:tcBorders>
              <w:right w:val="single" w:sz="8" w:color="auto"/>
            </w:tcBorders>
            <w:shd w:val="clear" w:color="auto" w:fill="CCEEFF"/>
          </w:tcPr>
          <w:p>
            <w:pPr>
              <w:spacing w:after="0"/>
              <w:rPr>
                <w:sz w:val="3"/>
                <w:szCs w:val="3"/>
                <w:color w:val="auto"/>
              </w:rPr>
            </w:pPr>
          </w:p>
        </w:tc>
        <w:tc>
          <w:tcPr>
            <w:tcW w:w="1500" w:type="dxa"/>
            <w:vAlign w:val="bottom"/>
            <w:tcBorders>
              <w:right w:val="single" w:sz="8" w:color="auto"/>
            </w:tcBorders>
            <w:shd w:val="clear" w:color="auto" w:fill="CCEEFF"/>
          </w:tcPr>
          <w:p>
            <w:pPr>
              <w:spacing w:after="0"/>
              <w:rPr>
                <w:sz w:val="3"/>
                <w:szCs w:val="3"/>
                <w:color w:val="auto"/>
              </w:rPr>
            </w:pPr>
          </w:p>
        </w:tc>
        <w:tc>
          <w:tcPr>
            <w:tcW w:w="1240" w:type="dxa"/>
            <w:vAlign w:val="bottom"/>
            <w:tcBorders>
              <w:right w:val="single" w:sz="8" w:color="auto"/>
            </w:tcBorders>
            <w:shd w:val="clear" w:color="auto" w:fill="CCEEFF"/>
          </w:tcPr>
          <w:p>
            <w:pPr>
              <w:spacing w:after="0"/>
              <w:rPr>
                <w:sz w:val="3"/>
                <w:szCs w:val="3"/>
                <w:color w:val="auto"/>
              </w:rPr>
            </w:pPr>
          </w:p>
        </w:tc>
        <w:tc>
          <w:tcPr>
            <w:tcW w:w="272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1480" w:type="dxa"/>
            <w:vAlign w:val="bottom"/>
            <w:tcBorders>
              <w:bottom w:val="single" w:sz="8" w:color="CCEEFF"/>
              <w:right w:val="single" w:sz="8" w:color="auto"/>
            </w:tcBorders>
            <w:shd w:val="clear" w:color="auto" w:fill="CCEEFF"/>
          </w:tcPr>
          <w:p>
            <w:pPr>
              <w:spacing w:after="0"/>
              <w:rPr>
                <w:sz w:val="20"/>
                <w:szCs w:val="20"/>
                <w:color w:val="auto"/>
              </w:rPr>
            </w:pPr>
          </w:p>
        </w:tc>
        <w:tc>
          <w:tcPr>
            <w:tcW w:w="1600" w:type="dxa"/>
            <w:vAlign w:val="bottom"/>
            <w:tcBorders>
              <w:bottom w:val="single" w:sz="8" w:color="CCEEFF"/>
              <w:right w:val="single" w:sz="8" w:color="auto"/>
            </w:tcBorders>
            <w:shd w:val="clear" w:color="auto" w:fill="CCEEFF"/>
          </w:tcPr>
          <w:p>
            <w:pPr>
              <w:spacing w:after="0"/>
              <w:rPr>
                <w:sz w:val="20"/>
                <w:szCs w:val="20"/>
                <w:color w:val="auto"/>
              </w:rPr>
            </w:pPr>
          </w:p>
        </w:tc>
        <w:tc>
          <w:tcPr>
            <w:tcW w:w="1480" w:type="dxa"/>
            <w:vAlign w:val="bottom"/>
            <w:tcBorders>
              <w:bottom w:val="single" w:sz="8" w:color="CCEEFF"/>
              <w:right w:val="single" w:sz="8" w:color="auto"/>
            </w:tcBorders>
            <w:shd w:val="clear" w:color="auto" w:fill="CCEEFF"/>
          </w:tcPr>
          <w:p>
            <w:pPr>
              <w:spacing w:after="0"/>
              <w:rPr>
                <w:sz w:val="20"/>
                <w:szCs w:val="20"/>
                <w:color w:val="auto"/>
              </w:rPr>
            </w:pPr>
          </w:p>
        </w:tc>
        <w:tc>
          <w:tcPr>
            <w:tcW w:w="1500" w:type="dxa"/>
            <w:vAlign w:val="bottom"/>
            <w:tcBorders>
              <w:bottom w:val="single" w:sz="8" w:color="CCEEFF"/>
              <w:right w:val="single" w:sz="8" w:color="auto"/>
            </w:tcBorders>
            <w:shd w:val="clear" w:color="auto" w:fill="CCEEFF"/>
          </w:tcPr>
          <w:p>
            <w:pPr>
              <w:spacing w:after="0"/>
              <w:rPr>
                <w:sz w:val="20"/>
                <w:szCs w:val="20"/>
                <w:color w:val="auto"/>
              </w:rPr>
            </w:pPr>
          </w:p>
        </w:tc>
        <w:tc>
          <w:tcPr>
            <w:tcW w:w="1240" w:type="dxa"/>
            <w:vAlign w:val="bottom"/>
            <w:tcBorders>
              <w:bottom w:val="single" w:sz="8" w:color="CCEEFF"/>
              <w:right w:val="single" w:sz="8" w:color="auto"/>
            </w:tcBorders>
            <w:shd w:val="clear" w:color="auto" w:fill="CCEEFF"/>
          </w:tcPr>
          <w:p>
            <w:pPr>
              <w:spacing w:after="0"/>
              <w:rPr>
                <w:sz w:val="20"/>
                <w:szCs w:val="20"/>
                <w:color w:val="auto"/>
              </w:rPr>
            </w:pPr>
          </w:p>
        </w:tc>
        <w:tc>
          <w:tcPr>
            <w:tcW w:w="2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0"/>
        </w:trPr>
        <w:tc>
          <w:tcPr>
            <w:tcW w:w="1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intangible assets for each acquisition, excluding Bigs Packaging, were finalized and allocated to their respective identifiable intangible asset and goodwill accounts during 2015. During the second quarter of 2015, we purchased the remaining non-controlling interest of Upshur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121"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23"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Due to recent changes in management structure, we have revised our operating segments. Our operating segments currently consist of the North, South, Western, Alternative Materials, and International divisions. Prior year amounts have been reclassified to these segments. Our Alternative Materials and International divisions have been included in the “All Other” column of the table below. The “Corporate” column includes unallocated administrative costs and certain incentive compensation expense.</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20" w:type="dxa"/>
            <w:vAlign w:val="bottom"/>
            <w:gridSpan w:val="8"/>
          </w:tcPr>
          <w:p>
            <w:pPr>
              <w:ind w:left="40"/>
              <w:spacing w:after="0"/>
              <w:rPr>
                <w:sz w:val="20"/>
                <w:szCs w:val="20"/>
                <w:color w:val="auto"/>
              </w:rPr>
            </w:pPr>
            <w:r>
              <w:rPr>
                <w:rFonts w:ascii="Arial" w:cs="Arial" w:eastAsia="Arial" w:hAnsi="Arial"/>
                <w:sz w:val="18"/>
                <w:szCs w:val="18"/>
                <w:color w:val="auto"/>
                <w:w w:val="89"/>
              </w:rPr>
              <w:t>Three Months Ended June 27, 2015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Western</w:t>
            </w:r>
          </w:p>
        </w:tc>
        <w:tc>
          <w:tcPr>
            <w:tcW w:w="18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281,333</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185,497</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838,171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14,510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42,156</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16,394</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44,188</w:t>
            </w:r>
          </w:p>
        </w:tc>
      </w:tr>
      <w:tr>
        <w:trPr>
          <w:trHeight w:val="59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gridSpan w:val="8"/>
          </w:tcPr>
          <w:p>
            <w:pPr>
              <w:ind w:left="40"/>
              <w:spacing w:after="0"/>
              <w:rPr>
                <w:sz w:val="20"/>
                <w:szCs w:val="20"/>
                <w:color w:val="auto"/>
              </w:rPr>
            </w:pPr>
            <w:r>
              <w:rPr>
                <w:rFonts w:ascii="Arial" w:cs="Arial" w:eastAsia="Arial" w:hAnsi="Arial"/>
                <w:sz w:val="18"/>
                <w:szCs w:val="18"/>
                <w:color w:val="auto"/>
                <w:w w:val="89"/>
              </w:rPr>
              <w:t>Three Months Ended June 28, 2014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Western</w:t>
            </w:r>
          </w:p>
        </w:tc>
        <w:tc>
          <w:tcPr>
            <w:tcW w:w="18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253,481</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172,464</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51,544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772,752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10,208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35,005</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10,701</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36,723</w:t>
            </w:r>
          </w:p>
        </w:tc>
      </w:tr>
      <w:tr>
        <w:trPr>
          <w:trHeight w:val="59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7"/>
          </w:tcPr>
          <w:p>
            <w:pPr>
              <w:ind w:left="40"/>
              <w:spacing w:after="0"/>
              <w:rPr>
                <w:sz w:val="20"/>
                <w:szCs w:val="20"/>
                <w:color w:val="auto"/>
              </w:rPr>
            </w:pPr>
            <w:r>
              <w:rPr>
                <w:rFonts w:ascii="Arial" w:cs="Arial" w:eastAsia="Arial" w:hAnsi="Arial"/>
                <w:sz w:val="18"/>
                <w:szCs w:val="18"/>
                <w:color w:val="auto"/>
                <w:w w:val="92"/>
              </w:rPr>
              <w:t>Six Months Ended June 27, 2015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Western</w:t>
            </w:r>
          </w:p>
        </w:tc>
        <w:tc>
          <w:tcPr>
            <w:tcW w:w="18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460,832</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349,692</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93,581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1,471,195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24,319</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72,687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19,105</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62,051</w:t>
            </w:r>
          </w:p>
        </w:tc>
      </w:tr>
      <w:tr>
        <w:trPr>
          <w:trHeight w:val="59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7"/>
          </w:tcPr>
          <w:p>
            <w:pPr>
              <w:ind w:left="40"/>
              <w:spacing w:after="0"/>
              <w:rPr>
                <w:sz w:val="20"/>
                <w:szCs w:val="20"/>
                <w:color w:val="auto"/>
              </w:rPr>
            </w:pPr>
            <w:r>
              <w:rPr>
                <w:rFonts w:ascii="Arial" w:cs="Arial" w:eastAsia="Arial" w:hAnsi="Arial"/>
                <w:sz w:val="18"/>
                <w:szCs w:val="18"/>
                <w:color w:val="auto"/>
                <w:w w:val="92"/>
              </w:rPr>
              <w:t>Six Months Ended June 28, 2014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North</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Western</w:t>
            </w:r>
          </w:p>
        </w:tc>
        <w:tc>
          <w:tcPr>
            <w:tcW w:w="180" w:type="dxa"/>
            <w:vAlign w:val="bottom"/>
          </w:tcPr>
          <w:p>
            <w:pPr>
              <w:spacing w:after="0"/>
              <w:rPr>
                <w:sz w:val="21"/>
                <w:szCs w:val="21"/>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34"/>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to outside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410,116</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315,824</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80,148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1,326,751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Intersegment net sales</w:t>
            </w:r>
          </w:p>
        </w:tc>
        <w:tc>
          <w:tcPr>
            <w:tcW w:w="26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19,750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64,248</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 profit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11,925</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49,350</w:t>
            </w:r>
          </w:p>
        </w:tc>
      </w:tr>
      <w:tr>
        <w:trPr>
          <w:trHeight w:val="27"/>
        </w:trPr>
        <w:tc>
          <w:tcPr>
            <w:tcW w:w="4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37.4% in the second quarter of 2015 compared to 37.7% for same period of 2014. Our effective tax rate was 37.0% in the first six months of 2015 compared to 37.2% for the same period of 2014. The decrease is primarily due to a lower state effective income tax rate in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 xml:space="preserve">Universal Forest Products, Inc. is a holding company that provides capital, management and administrative resources to subsidiaries that supply wood, wood composite and other products to three robust markets: retail, construction and industrial. Founded in 1955, the Company is headquartered in Grand Rapids, Mich., with affiliates throughout North America and Australia. For more about Universal Forest Products, go to </w:t>
      </w:r>
      <w:r>
        <w:rPr>
          <w:rFonts w:ascii="Arial" w:cs="Arial" w:eastAsia="Arial" w:hAnsi="Arial"/>
          <w:sz w:val="16"/>
          <w:szCs w:val="16"/>
          <w:u w:val="single" w:color="auto"/>
          <w:color w:val="0000FF"/>
        </w:rPr>
        <w:t>www.ufpi.com</w:t>
      </w:r>
      <w:r>
        <w:rPr>
          <w:rFonts w:ascii="Arial" w:cs="Arial" w:eastAsia="Arial" w:hAnsi="Arial"/>
          <w:sz w:val="16"/>
          <w:szCs w:val="16"/>
          <w:color w:val="auto"/>
        </w:rPr>
        <w:t>.</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second quarter of 2015 were impacted by the following:</w:t>
      </w:r>
    </w:p>
    <w:p>
      <w:pPr>
        <w:spacing w:after="0" w:line="387" w:lineRule="exact"/>
        <w:rPr>
          <w:sz w:val="20"/>
          <w:szCs w:val="20"/>
          <w:color w:val="auto"/>
        </w:rPr>
      </w:pPr>
    </w:p>
    <w:p>
      <w:pPr>
        <w:jc w:val="both"/>
        <w:ind w:left="340" w:hanging="318"/>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sales increased by 8.5% compared to the second quarter of 2014, which was comprised of a 10% increase in unit sales offset by a 1.5% decrease in selling prices due to the commodity lumber market (See Historical Lumber Prices). Our unit sales increase was driven by a combination of acquisition-related and organic growth in sales to the Industrial market and an increase in sales to the Retail market as a result of market share gains and improving demand.</w:t>
      </w:r>
    </w:p>
    <w:p>
      <w:pPr>
        <w:spacing w:after="0" w:line="132" w:lineRule="exact"/>
        <w:rPr>
          <w:rFonts w:ascii="Arial" w:cs="Arial" w:eastAsia="Arial" w:hAnsi="Arial"/>
          <w:sz w:val="18"/>
          <w:szCs w:val="18"/>
          <w:color w:val="auto"/>
        </w:rPr>
      </w:pPr>
    </w:p>
    <w:p>
      <w:pPr>
        <w:jc w:val="both"/>
        <w:ind w:left="340" w:right="20" w:hanging="318"/>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profits increased by over 20%, and our operating profit as a percentage of net sales increased to 5.3% from 4.8%, comparing 2015 and 2014. These improvements were primarily due to our growth in sales to the Industrial market, continued improvements in profitability on sales to the Construction market, and our growth in sales to the Retail market.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The following table presents the Random Lengths framing lumber composite price: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5620" w:type="dxa"/>
            <w:vAlign w:val="bottom"/>
            <w:gridSpan w:val="2"/>
          </w:tcPr>
          <w:p>
            <w:pPr>
              <w:jc w:val="right"/>
              <w:ind w:right="1520"/>
              <w:spacing w:after="0"/>
              <w:rPr>
                <w:sz w:val="20"/>
                <w:szCs w:val="20"/>
                <w:color w:val="auto"/>
              </w:rPr>
            </w:pPr>
            <w:r>
              <w:rPr>
                <w:rFonts w:ascii="Arial" w:cs="Arial" w:eastAsia="Arial" w:hAnsi="Arial"/>
                <w:sz w:val="18"/>
                <w:szCs w:val="18"/>
                <w:b w:val="1"/>
                <w:bCs w:val="1"/>
                <w:color w:val="auto"/>
              </w:rPr>
              <w:t>UNIVERSAL FOREST PRODUCTS, INC.</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07"/>
        </w:trPr>
        <w:tc>
          <w:tcPr>
            <w:tcW w:w="3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jc w:val="right"/>
              <w:ind w:right="250"/>
              <w:spacing w:after="0"/>
              <w:rPr>
                <w:sz w:val="20"/>
                <w:szCs w:val="20"/>
                <w:color w:val="auto"/>
              </w:rPr>
            </w:pPr>
            <w:r>
              <w:rPr>
                <w:rFonts w:ascii="Arial" w:cs="Arial" w:eastAsia="Arial" w:hAnsi="Arial"/>
                <w:sz w:val="18"/>
                <w:szCs w:val="18"/>
                <w:color w:val="auto"/>
                <w:w w:val="94"/>
              </w:rPr>
              <w:t>Random Lengths Composite</w:t>
            </w:r>
          </w:p>
        </w:tc>
      </w:tr>
      <w:tr>
        <w:trPr>
          <w:trHeight w:val="230"/>
        </w:trPr>
        <w:tc>
          <w:tcPr>
            <w:tcW w:w="32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4"/>
          </w:tcPr>
          <w:p>
            <w:pPr>
              <w:jc w:val="right"/>
              <w:ind w:right="690"/>
              <w:spacing w:after="0"/>
              <w:rPr>
                <w:sz w:val="20"/>
                <w:szCs w:val="20"/>
                <w:color w:val="auto"/>
              </w:rPr>
            </w:pPr>
            <w:r>
              <w:rPr>
                <w:rFonts w:ascii="Arial" w:cs="Arial" w:eastAsia="Arial" w:hAnsi="Arial"/>
                <w:sz w:val="18"/>
                <w:szCs w:val="18"/>
                <w:color w:val="auto"/>
              </w:rPr>
              <w:t>Average $/MBF</w:t>
            </w:r>
          </w:p>
        </w:tc>
      </w:tr>
      <w:tr>
        <w:trPr>
          <w:trHeight w:val="34"/>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28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32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w:t>
            </w:r>
          </w:p>
        </w:tc>
        <w:tc>
          <w:tcPr>
            <w:tcW w:w="5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February</w:t>
            </w: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7"/>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w:t>
            </w:r>
          </w:p>
        </w:tc>
        <w:tc>
          <w:tcPr>
            <w:tcW w:w="5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April</w:t>
            </w: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w:t>
            </w:r>
          </w:p>
        </w:tc>
        <w:tc>
          <w:tcPr>
            <w:tcW w:w="5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June</w:t>
            </w: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3280" w:type="dxa"/>
            <w:vAlign w:val="bottom"/>
            <w:shd w:val="clear" w:color="auto" w:fill="CCEEFF"/>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Second quarter average</w:t>
            </w:r>
          </w:p>
        </w:tc>
        <w:tc>
          <w:tcPr>
            <w:tcW w:w="5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3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Year-to-date average</w:t>
            </w:r>
          </w:p>
        </w:tc>
        <w:tc>
          <w:tcPr>
            <w:tcW w:w="5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97"/>
        </w:trPr>
        <w:tc>
          <w:tcPr>
            <w:tcW w:w="3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percentage change</w:t>
            </w:r>
          </w:p>
        </w:tc>
        <w:tc>
          <w:tcPr>
            <w:tcW w:w="5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Year-to-date percentage change</w:t>
            </w:r>
          </w:p>
        </w:tc>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comprises approximately 45% of total lumber purchases through the first six months of 2015.</w:t>
      </w:r>
    </w:p>
    <w:p>
      <w:pPr>
        <w:spacing w:after="0" w:line="33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Random Lengths SYP</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Average $/MBF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22860</wp:posOffset>
            </wp:positionV>
            <wp:extent cx="17494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8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February</w:t>
            </w: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April</w:t>
            </w: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June</w:t>
            </w: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8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Second quarter average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8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Year-to-date average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97"/>
        </w:trPr>
        <w:tc>
          <w:tcPr>
            <w:tcW w:w="8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percentage change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Year-to-date percentage change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 comprising approximately 50%.</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18" w:lineRule="exact"/>
        <w:rPr>
          <w:sz w:val="20"/>
          <w:szCs w:val="20"/>
          <w:color w:val="auto"/>
        </w:rPr>
      </w:pPr>
    </w:p>
    <w:p>
      <w:pPr>
        <w:ind w:left="340" w:right="2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deck components and fencing sold to retail building materials customers, as well as trusses, wall panels and other components sold to the residential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 suppliers for these sales commitments. Also, the time period and quantity limitations generally allow us to re-price our products for changes in lumber costs from our suppliers.</w:t>
      </w:r>
    </w:p>
    <w:p>
      <w:pPr>
        <w:spacing w:after="0" w:line="139" w:lineRule="exact"/>
        <w:rPr>
          <w:rFonts w:ascii="Arial" w:cs="Arial" w:eastAsia="Arial" w:hAnsi="Arial"/>
          <w:sz w:val="18"/>
          <w:szCs w:val="18"/>
          <w:color w:val="auto"/>
        </w:rPr>
      </w:pPr>
    </w:p>
    <w:p>
      <w:pPr>
        <w:ind w:left="340" w:right="100" w:hanging="332"/>
        <w:spacing w:after="0" w:line="29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For these products, our margins are exposed to changes in the trend of lumber prices. As a result of the decline in the housing market and our sales to residential and commercial builders, a greater percentage of our sales fall into this general pricing category. Consequently, we believe our profitability may be impacted to a much greater extent to changes in the trend of lumber prices.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trend of lumber prices have their greatest impact on the following products:</w:t>
      </w:r>
    </w:p>
    <w:p>
      <w:pPr>
        <w:spacing w:after="0" w:line="171" w:lineRule="exact"/>
        <w:rPr>
          <w:sz w:val="20"/>
          <w:szCs w:val="20"/>
          <w:color w:val="auto"/>
        </w:rPr>
      </w:pPr>
    </w:p>
    <w:p>
      <w:pPr>
        <w:ind w:left="340" w:right="4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15%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Period 1</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Period 2</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Lumber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Conversion cost</w:t>
            </w:r>
          </w:p>
        </w:tc>
        <w:tc>
          <w:tcPr>
            <w:tcW w:w="2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Product cost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Adder</w:t>
            </w:r>
          </w:p>
        </w:tc>
        <w:tc>
          <w:tcPr>
            <w:tcW w:w="2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34"/>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Sell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is apparent from the preceding example, the level of lumber prices does not impact our overall profits, but does impact our margins. Gross margins are negatively impacted during periods of high lumber prices; conversely, we experience margin improvement when lumber prices are relatively 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completed two business acquisitions during the first six months of 2015 and five during all of 2014. Each of the acquisitions was accounted for using the purchase method. The annual revenue attributable to the two acquisitions completed in 2015 is approximately $14.7 million. These business combinations were not significant to our operating results individually or in aggregate and thus pro forma results for 2015 and 2014 are not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203200</wp:posOffset>
            </wp:positionV>
            <wp:extent cx="38760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3260" w:type="dxa"/>
            <w:vAlign w:val="bottom"/>
            <w:gridSpan w:val="2"/>
          </w:tcPr>
          <w:p>
            <w:pPr>
              <w:jc w:val="right"/>
              <w:ind w:right="870"/>
              <w:spacing w:after="0"/>
              <w:rPr>
                <w:sz w:val="20"/>
                <w:szCs w:val="20"/>
                <w:color w:val="auto"/>
              </w:rPr>
            </w:pPr>
            <w:r>
              <w:rPr>
                <w:rFonts w:ascii="Arial" w:cs="Arial" w:eastAsia="Arial" w:hAnsi="Arial"/>
                <w:sz w:val="18"/>
                <w:szCs w:val="18"/>
                <w:color w:val="auto"/>
              </w:rPr>
              <w:t>Three Months Ended</w:t>
            </w:r>
          </w:p>
        </w:tc>
        <w:tc>
          <w:tcPr>
            <w:tcW w:w="2840" w:type="dxa"/>
            <w:vAlign w:val="bottom"/>
            <w:gridSpan w:val="2"/>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34"/>
        </w:trPr>
        <w:tc>
          <w:tcPr>
            <w:tcW w:w="53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9"/>
        </w:trPr>
        <w:tc>
          <w:tcPr>
            <w:tcW w:w="5320" w:type="dxa"/>
            <w:vAlign w:val="bottom"/>
          </w:tcPr>
          <w:p>
            <w:pPr>
              <w:spacing w:after="0"/>
              <w:rPr>
                <w:sz w:val="19"/>
                <w:szCs w:val="19"/>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June 27,</w:t>
            </w: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June 28,</w:t>
            </w: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June 27,</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June 28,</w:t>
            </w:r>
          </w:p>
        </w:tc>
      </w:tr>
      <w:tr>
        <w:trPr>
          <w:trHeight w:val="230"/>
        </w:trPr>
        <w:tc>
          <w:tcPr>
            <w:tcW w:w="5320" w:type="dxa"/>
            <w:vAlign w:val="bottom"/>
          </w:tcPr>
          <w:p>
            <w:pPr>
              <w:spacing w:after="0"/>
              <w:rPr>
                <w:sz w:val="20"/>
                <w:szCs w:val="20"/>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2015</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2014</w:t>
            </w: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2015</w:t>
            </w: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2014</w:t>
            </w:r>
          </w:p>
        </w:tc>
      </w:tr>
      <w:tr>
        <w:trPr>
          <w:trHeight w:val="34"/>
        </w:trPr>
        <w:tc>
          <w:tcPr>
            <w:tcW w:w="53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86.6</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87.5</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87.0</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87.7</w:t>
            </w: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13.4</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12.6</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13.0</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8.2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7.7</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8.8</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8.5</w:t>
            </w:r>
          </w:p>
        </w:tc>
      </w:tr>
      <w:tr>
        <w:trPr>
          <w:trHeight w:val="27"/>
        </w:trPr>
        <w:tc>
          <w:tcPr>
            <w:tcW w:w="5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Anti-dumping duty assessments</w:t>
            </w:r>
          </w:p>
        </w:tc>
        <w:tc>
          <w:tcPr>
            <w:tcW w:w="1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on disposition and impairment of assets</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1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5.3</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4.8</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expense (income), net</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0.2</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4.7</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1.8</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net earnings attributable to noncontrolling interest</w:t>
            </w: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controlling interest</w:t>
            </w:r>
          </w:p>
        </w:tc>
        <w:tc>
          <w:tcPr>
            <w:tcW w:w="1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engineered wood components, structural lumber, and other products for manufactured housing, residential and commercial construction; and specialty wood packaging, components and packing materials for various industries. Our long-term sales objectives include:</w:t>
      </w:r>
    </w:p>
    <w:p>
      <w:pPr>
        <w:spacing w:after="0" w:line="289" w:lineRule="exact"/>
        <w:rPr>
          <w:sz w:val="20"/>
          <w:szCs w:val="20"/>
          <w:color w:val="auto"/>
        </w:rPr>
      </w:pPr>
    </w:p>
    <w:p>
      <w:pPr>
        <w:jc w:val="both"/>
        <w:ind w:left="340" w:right="1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packaging to industrial users, increasing our penetration of the commercial market, increasing our sales of engineered wood components for custom home, multi-family, military and light commercial construction, and increasing our market share with independent retailers.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117" w:lineRule="exact"/>
        <w:rPr>
          <w:rFonts w:ascii="Arial" w:cs="Arial" w:eastAsia="Arial" w:hAnsi="Arial"/>
          <w:sz w:val="18"/>
          <w:szCs w:val="18"/>
          <w:color w:val="auto"/>
        </w:rPr>
      </w:pPr>
    </w:p>
    <w:p>
      <w:pPr>
        <w:ind w:left="340" w:right="80" w:hanging="332"/>
        <w:spacing w:after="0" w:line="25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sales of “value-added” products, which primarily consist of fencing, decking, lattice, and other specialty products sold to the 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which comprises approximately 20% of our total sales, is not presently included in the value-added sales totals.</w:t>
      </w:r>
    </w:p>
    <w:p>
      <w:pPr>
        <w:spacing w:after="0" w:line="80" w:lineRule="exact"/>
        <w:rPr>
          <w:rFonts w:ascii="Arial" w:cs="Arial" w:eastAsia="Arial" w:hAnsi="Arial"/>
          <w:sz w:val="18"/>
          <w:szCs w:val="18"/>
          <w:color w:val="auto"/>
        </w:rPr>
      </w:pPr>
    </w:p>
    <w:p>
      <w:pPr>
        <w:ind w:left="340" w:right="30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new products and expanding our product offering for existing customers. New product sales were $73.2 million in the second quarter of 2015 compared to $60.0 million during the second quarter of 2014. New product sales year-to-date for 2015 and 2014 were $120.3 million and $95.4 million, respectively.</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UNIVERSAL FOREST PRODUCTS, INC.</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85"/>
        </w:trPr>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7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Three Months Ended</w:t>
            </w: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Six Months Ended</w:t>
            </w:r>
          </w:p>
        </w:tc>
        <w:tc>
          <w:tcPr>
            <w:tcW w:w="1480" w:type="dxa"/>
            <w:vAlign w:val="bottom"/>
            <w:tcBorders>
              <w:bottom w:val="single" w:sz="8" w:color="auto"/>
            </w:tcBorders>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June 27,</w:t>
            </w:r>
          </w:p>
        </w:tc>
        <w:tc>
          <w:tcPr>
            <w:tcW w:w="3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June 28,</w:t>
            </w: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w w:val="89"/>
              </w:rPr>
              <w:t>June 27,</w:t>
            </w:r>
          </w:p>
        </w:tc>
        <w:tc>
          <w:tcPr>
            <w:tcW w:w="300" w:type="dxa"/>
            <w:vAlign w:val="bottom"/>
          </w:tcPr>
          <w:p>
            <w:pPr>
              <w:spacing w:after="0"/>
              <w:rPr>
                <w:sz w:val="19"/>
                <w:szCs w:val="19"/>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6"/>
              </w:rPr>
              <w:t>June 28,</w:t>
            </w:r>
          </w:p>
        </w:tc>
        <w:tc>
          <w:tcPr>
            <w:tcW w:w="1480" w:type="dxa"/>
            <w:vAlign w:val="bottom"/>
          </w:tcPr>
          <w:p>
            <w:pPr>
              <w:spacing w:after="0"/>
              <w:rPr>
                <w:sz w:val="19"/>
                <w:szCs w:val="19"/>
                <w:color w:val="auto"/>
              </w:rPr>
            </w:pPr>
          </w:p>
        </w:tc>
      </w:tr>
      <w:tr>
        <w:trPr>
          <w:trHeight w:val="203"/>
        </w:trPr>
        <w:tc>
          <w:tcPr>
            <w:tcW w:w="2520" w:type="dxa"/>
            <w:vAlign w:val="bottom"/>
            <w:gridSpan w:val="3"/>
          </w:tcPr>
          <w:p>
            <w:pPr>
              <w:ind w:left="40"/>
              <w:spacing w:after="0" w:line="203" w:lineRule="exact"/>
              <w:rPr>
                <w:sz w:val="20"/>
                <w:szCs w:val="20"/>
                <w:color w:val="auto"/>
              </w:rPr>
            </w:pPr>
            <w:r>
              <w:rPr>
                <w:rFonts w:ascii="Arial" w:cs="Arial" w:eastAsia="Arial" w:hAnsi="Arial"/>
                <w:sz w:val="18"/>
                <w:szCs w:val="18"/>
                <w:color w:val="auto"/>
              </w:rPr>
              <w:t>Market Classification</w:t>
            </w:r>
          </w:p>
        </w:tc>
        <w:tc>
          <w:tcPr>
            <w:tcW w:w="280" w:type="dxa"/>
            <w:vAlign w:val="bottom"/>
          </w:tcPr>
          <w:p>
            <w:pPr>
              <w:spacing w:after="0"/>
              <w:rPr>
                <w:sz w:val="17"/>
                <w:szCs w:val="17"/>
                <w:color w:val="auto"/>
              </w:rPr>
            </w:pPr>
          </w:p>
        </w:tc>
        <w:tc>
          <w:tcPr>
            <w:tcW w:w="120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2015</w:t>
            </w:r>
          </w:p>
        </w:tc>
        <w:tc>
          <w:tcPr>
            <w:tcW w:w="320" w:type="dxa"/>
            <w:vAlign w:val="bottom"/>
          </w:tcPr>
          <w:p>
            <w:pPr>
              <w:spacing w:after="0"/>
              <w:rPr>
                <w:sz w:val="17"/>
                <w:szCs w:val="17"/>
                <w:color w:val="auto"/>
              </w:rPr>
            </w:pPr>
          </w:p>
        </w:tc>
        <w:tc>
          <w:tcPr>
            <w:tcW w:w="1220" w:type="dxa"/>
            <w:vAlign w:val="bottom"/>
          </w:tcPr>
          <w:p>
            <w:pPr>
              <w:jc w:val="center"/>
              <w:ind w:right="210"/>
              <w:spacing w:after="0" w:line="203" w:lineRule="exact"/>
              <w:rPr>
                <w:sz w:val="20"/>
                <w:szCs w:val="20"/>
                <w:color w:val="auto"/>
              </w:rPr>
            </w:pPr>
            <w:r>
              <w:rPr>
                <w:rFonts w:ascii="Arial" w:cs="Arial" w:eastAsia="Arial" w:hAnsi="Arial"/>
                <w:sz w:val="18"/>
                <w:szCs w:val="18"/>
                <w:color w:val="auto"/>
                <w:w w:val="89"/>
              </w:rPr>
              <w:t>2014</w:t>
            </w:r>
          </w:p>
        </w:tc>
        <w:tc>
          <w:tcPr>
            <w:tcW w:w="180" w:type="dxa"/>
            <w:vAlign w:val="bottom"/>
          </w:tcPr>
          <w:p>
            <w:pPr>
              <w:spacing w:after="0"/>
              <w:rPr>
                <w:sz w:val="17"/>
                <w:szCs w:val="17"/>
                <w:color w:val="auto"/>
              </w:rPr>
            </w:pPr>
          </w:p>
        </w:tc>
        <w:tc>
          <w:tcPr>
            <w:tcW w:w="128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 Change</w:t>
            </w:r>
          </w:p>
        </w:tc>
        <w:tc>
          <w:tcPr>
            <w:tcW w:w="400" w:type="dxa"/>
            <w:vAlign w:val="bottom"/>
          </w:tcPr>
          <w:p>
            <w:pPr>
              <w:spacing w:after="0"/>
              <w:rPr>
                <w:sz w:val="17"/>
                <w:szCs w:val="17"/>
                <w:color w:val="auto"/>
              </w:rPr>
            </w:pPr>
          </w:p>
        </w:tc>
        <w:tc>
          <w:tcPr>
            <w:tcW w:w="106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2015</w:t>
            </w:r>
          </w:p>
        </w:tc>
        <w:tc>
          <w:tcPr>
            <w:tcW w:w="300" w:type="dxa"/>
            <w:vAlign w:val="bottom"/>
          </w:tcPr>
          <w:p>
            <w:pPr>
              <w:spacing w:after="0"/>
              <w:rPr>
                <w:sz w:val="17"/>
                <w:szCs w:val="17"/>
                <w:color w:val="auto"/>
              </w:rPr>
            </w:pPr>
          </w:p>
        </w:tc>
        <w:tc>
          <w:tcPr>
            <w:tcW w:w="1180" w:type="dxa"/>
            <w:vAlign w:val="bottom"/>
          </w:tcPr>
          <w:p>
            <w:pPr>
              <w:jc w:val="center"/>
              <w:ind w:right="170"/>
              <w:spacing w:after="0" w:line="203" w:lineRule="exact"/>
              <w:rPr>
                <w:sz w:val="20"/>
                <w:szCs w:val="20"/>
                <w:color w:val="auto"/>
              </w:rPr>
            </w:pPr>
            <w:r>
              <w:rPr>
                <w:rFonts w:ascii="Arial" w:cs="Arial" w:eastAsia="Arial" w:hAnsi="Arial"/>
                <w:sz w:val="18"/>
                <w:szCs w:val="18"/>
                <w:color w:val="auto"/>
                <w:w w:val="89"/>
              </w:rPr>
              <w:t>2014</w:t>
            </w:r>
          </w:p>
        </w:tc>
        <w:tc>
          <w:tcPr>
            <w:tcW w:w="148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 Change</w:t>
            </w:r>
          </w:p>
        </w:tc>
      </w:tr>
      <w:tr>
        <w:trPr>
          <w:trHeight w:val="41"/>
        </w:trPr>
        <w:tc>
          <w:tcPr>
            <w:tcW w:w="40" w:type="dxa"/>
            <w:vAlign w:val="bottom"/>
            <w:tcBorders>
              <w:bottom w:val="single" w:sz="8" w:color="CCEEFF"/>
            </w:tcBorders>
          </w:tcPr>
          <w:p>
            <w:pPr>
              <w:spacing w:after="0"/>
              <w:rPr>
                <w:sz w:val="3"/>
                <w:szCs w:val="3"/>
                <w:color w:val="auto"/>
              </w:rPr>
            </w:pPr>
          </w:p>
        </w:tc>
        <w:tc>
          <w:tcPr>
            <w:tcW w:w="1540" w:type="dxa"/>
            <w:vAlign w:val="bottom"/>
            <w:tcBorders>
              <w:top w:val="single" w:sz="8" w:color="auto"/>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376,219</w:t>
            </w: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347,371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606,104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548,355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240,067</w:t>
            </w: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205,334</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451,228</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376,985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Construction</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234,555</w:t>
            </w:r>
          </w:p>
        </w:tc>
        <w:tc>
          <w:tcPr>
            <w:tcW w:w="3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231,507</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435,278</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421,069</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77"/>
        </w:trPr>
        <w:tc>
          <w:tcPr>
            <w:tcW w:w="2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Gross Sales</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850,841</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784,212</w:t>
            </w: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1,492,610</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1,346,409</w:t>
            </w:r>
          </w:p>
        </w:tc>
        <w:tc>
          <w:tcPr>
            <w:tcW w:w="14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10.9</w:t>
            </w:r>
          </w:p>
        </w:tc>
      </w:tr>
      <w:tr>
        <w:trPr>
          <w:trHeight w:val="277"/>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Allowances</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3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(21,415)</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838,171</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772,752</w:t>
            </w:r>
          </w:p>
        </w:tc>
        <w:tc>
          <w:tcPr>
            <w:tcW w:w="18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1,471,195</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1,326,751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0"/>
        </w:trPr>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During 2015, certain customers were reclassified to a different market. Prior year information has been restated to reflect these changes.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sales in the second quarter of 2015 increased 8.5% compared to the same period of 2014, due to a 10% increase in unit sales offset by a 1.5% decline in selling prices. Businesses we acquired since the second quarter of 2014 contributed $26.8 million, or 3%, to our gross sales.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Gross sales in the first six months of 2015 increased 10.9% compared to the same period of 2014, due to an 11% increase in unit sales as overall selling prices remained flat. Businesses we acquired since the second quarter of 2014 contributed $50.5 million, or 4%, to our gross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r>
        <w:rPr>
          <w:rFonts w:ascii="Arial" w:cs="Arial" w:eastAsia="Arial" w:hAnsi="Arial"/>
          <w:sz w:val="18"/>
          <w:szCs w:val="18"/>
          <w:color w:val="auto"/>
        </w:rPr>
        <w: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sales to the retail market increased over 8% in the second quarter of 2015 compared to the same period of 2014, due to an increase in unit sales as selling prices remained stable. Within this market, sales to our big box customers increased nearly 12% while our sales to other retailers increased approximately 3%. Our retail customers have benefited from improving consumer demand as evidenced by their reported increases in same store sales. In addition, we gained market share with certain big box customers and increased our sales of new products with these customers.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retail building materials market increased by almost 11% in the first six months of 2015 compared to the same period of 2014, due to an increase in unit sales as selling prices remained flat. Within this market, sales to our big box customers increased almost 13% while our sales to other retailers increased approximately 8% due to the same factors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r>
        <w:rPr>
          <w:rFonts w:ascii="Arial" w:cs="Arial" w:eastAsia="Arial" w:hAnsi="Arial"/>
          <w:sz w:val="18"/>
          <w:szCs w:val="18"/>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sales to the industrial market increased approximately 17% in the second quarter of 2015 compared to the same period of 2014, resulting from a 17% increase in unit sales as selling prices remained flat. Businesses we acquired since the second quarter of 2014 contributed 11% to our sales growth. The remaining 6% organic growth was due to a combination of adding new customers and gaining market share with existing customers.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sales to the industrial market increased 20% in the first six months of 2015 compared to the same period of 2014, due to a 19% increase in unit sales and 1% increase in selling prices. Businesses we acquired since the second quarter of 2014 contributed 12% to our unit growth. The remaining 7% organic growth was primarily due to the same factors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sales to the construction market increased over 1% in the second quarter of 2015 compared to 2014. The increase was due to a 5% increase in unit sales, offset by a 4% decrease in our selling prices. By comparison, production of HUD-code homes in April and May 2015 were up 4.4% compared to 2014, modular home production remained flat, and national housing starts increased approximately 5.4% in the period from March 2015 through May 2015 (our sales trail housing starts by about a month) compared to the same period of 2014. Our increase in unit sales was primarily driven by a 2% increase in unit sales to the manufactured housing market, a 15% increase in unit sales to the commercial construction market resulting from market share gains, and a 3% increase in unit sales to the residential construction market.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Gross sales to the construction market increased over 3% in the first six months of 2015 compared to the same period of 2014, due to a 5% increase in unit sales, offset by a 2% decrease in selling prices. Our increase in unit sales was primarily due to the same reasons discussed above.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203200</wp:posOffset>
            </wp:positionV>
            <wp:extent cx="4081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1714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260" w:type="dxa"/>
            <w:vAlign w:val="bottom"/>
            <w:gridSpan w:val="4"/>
          </w:tcPr>
          <w:p>
            <w:pPr>
              <w:ind w:left="820"/>
              <w:spacing w:after="0"/>
              <w:rPr>
                <w:sz w:val="20"/>
                <w:szCs w:val="20"/>
                <w:color w:val="auto"/>
              </w:rPr>
            </w:pPr>
            <w:r>
              <w:rPr>
                <w:rFonts w:ascii="Arial" w:cs="Arial" w:eastAsia="Arial" w:hAnsi="Arial"/>
                <w:sz w:val="18"/>
                <w:szCs w:val="18"/>
                <w:color w:val="auto"/>
              </w:rPr>
              <w:t>Three Months Ended</w:t>
            </w:r>
          </w:p>
        </w:tc>
        <w:tc>
          <w:tcPr>
            <w:tcW w:w="3160" w:type="dxa"/>
            <w:vAlign w:val="bottom"/>
            <w:gridSpan w:val="3"/>
          </w:tcPr>
          <w:p>
            <w:pPr>
              <w:jc w:val="right"/>
              <w:ind w:right="810"/>
              <w:spacing w:after="0"/>
              <w:rPr>
                <w:sz w:val="20"/>
                <w:szCs w:val="20"/>
                <w:color w:val="auto"/>
              </w:rPr>
            </w:pPr>
            <w:r>
              <w:rPr>
                <w:rFonts w:ascii="Arial" w:cs="Arial" w:eastAsia="Arial" w:hAnsi="Arial"/>
                <w:sz w:val="18"/>
                <w:szCs w:val="18"/>
                <w:color w:val="auto"/>
              </w:rPr>
              <w:t>Six Months Ended</w:t>
            </w:r>
          </w:p>
        </w:tc>
      </w:tr>
      <w:tr>
        <w:trPr>
          <w:trHeight w:val="34"/>
        </w:trPr>
        <w:tc>
          <w:tcPr>
            <w:tcW w:w="50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9"/>
        </w:trPr>
        <w:tc>
          <w:tcPr>
            <w:tcW w:w="5000" w:type="dxa"/>
            <w:vAlign w:val="bottom"/>
          </w:tcPr>
          <w:p>
            <w:pPr>
              <w:spacing w:after="0"/>
              <w:rPr>
                <w:sz w:val="19"/>
                <w:szCs w:val="19"/>
                <w:color w:val="auto"/>
              </w:rPr>
            </w:pP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June 27,</w:t>
            </w: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June 28,</w:t>
            </w: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June 27,</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June 28,</w:t>
            </w:r>
          </w:p>
        </w:tc>
      </w:tr>
      <w:tr>
        <w:trPr>
          <w:trHeight w:val="230"/>
        </w:trPr>
        <w:tc>
          <w:tcPr>
            <w:tcW w:w="50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2014</w:t>
            </w:r>
          </w:p>
        </w:tc>
      </w:tr>
      <w:tr>
        <w:trPr>
          <w:trHeight w:val="34"/>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Value-Added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Commodity-Based</w:t>
            </w:r>
          </w:p>
        </w:tc>
        <w:tc>
          <w:tcPr>
            <w:tcW w:w="15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percentage increased to 13.4% from 12.6% comparing the second quarter of 2015 to the same period of 2014. Additionally, our gross profit dollars increased by $15.5 million, or 15.9%, which compares favorably with our 10% increase in unit sales. The improvement in our profitability in the second quarter of 2015 is attributable to the following factors:</w:t>
      </w:r>
    </w:p>
    <w:p>
      <w:pPr>
        <w:spacing w:after="0" w:line="208" w:lineRule="exact"/>
        <w:rPr>
          <w:sz w:val="20"/>
          <w:szCs w:val="20"/>
          <w:color w:val="auto"/>
        </w:rPr>
      </w:pPr>
    </w:p>
    <w:p>
      <w:pPr>
        <w:ind w:left="500" w:hanging="316"/>
        <w:spacing w:after="0" w:line="270" w:lineRule="auto"/>
        <w:tabs>
          <w:tab w:leader="none" w:pos="500" w:val="left"/>
        </w:tabs>
        <w:numPr>
          <w:ilvl w:val="0"/>
          <w:numId w:val="13"/>
        </w:numPr>
        <w:rPr>
          <w:rFonts w:ascii="Arial" w:cs="Arial" w:eastAsia="Arial" w:hAnsi="Arial"/>
          <w:sz w:val="21"/>
          <w:szCs w:val="21"/>
          <w:color w:val="auto"/>
        </w:rPr>
      </w:pPr>
      <w:r>
        <w:rPr>
          <w:rFonts w:ascii="Arial" w:cs="Arial" w:eastAsia="Arial" w:hAnsi="Arial"/>
          <w:sz w:val="17"/>
          <w:szCs w:val="17"/>
          <w:color w:val="auto"/>
        </w:rPr>
        <w:t>Over $3.0 million of our gross profit increase reflects our efforts to be more selective in the business that we take on sales to the residential construction market and our growth in sales to the commercial and construction market added over $1.0 million to our gross profits.</w:t>
      </w:r>
    </w:p>
    <w:p>
      <w:pPr>
        <w:spacing w:after="0" w:line="21" w:lineRule="exact"/>
        <w:rPr>
          <w:rFonts w:ascii="Arial" w:cs="Arial" w:eastAsia="Arial" w:hAnsi="Arial"/>
          <w:sz w:val="21"/>
          <w:szCs w:val="21"/>
          <w:color w:val="auto"/>
        </w:rPr>
      </w:pPr>
    </w:p>
    <w:p>
      <w:pPr>
        <w:jc w:val="both"/>
        <w:ind w:left="500" w:hanging="316"/>
        <w:spacing w:after="0" w:line="269" w:lineRule="auto"/>
        <w:tabs>
          <w:tab w:leader="none" w:pos="5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Nearly $3.4 million of our gross profit increase is attributable to our growth in sales to the retail market, due to market share gains and improving demand. Furthermore, operating leverage on our sales growth along with effective inventory positioning helped us withstand the adverse impact of a falling lumber market.</w:t>
      </w:r>
    </w:p>
    <w:p>
      <w:pPr>
        <w:ind w:left="500" w:hanging="316"/>
        <w:spacing w:after="0"/>
        <w:tabs>
          <w:tab w:leader="none" w:pos="5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Almost $10 million of our gross profit improvement was due to growth and a more favorable product mix on sales to the industrial market.</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gross profit percentage increased to 13.0% from 12.3% comparing the first six months of 2015 to the same period of 2014. Our gross profit dollars increased by 17.8%, which compares favorably to our 11% increase in unit sales. This improvement is primarily due to the same factors discussed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("SG&amp;A") expenses increased by approximately $9.4 million, or 16%, in the second quarter of 2015 compared to the same period of 2014, while we reported a 10% increase in unit sales. The increase in SG&amp;A was primarily due to a $3.4 million, or 12%, increase in compensation and benefit costs primarily due to having more personnel, a $3.1 million increase in incentive compensation resulting from an improvement in our profitability, and several other smaller increases driven in some cases by our sales growth. Businesses we acquired since the second quarter of 2014 added approximately $2 million to our SG&amp;A costs, which is included in the amounts discussed above.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("SG&amp;A") expenses increased by approximately $17.2 million, or 15.3%, in the first six months of 2015 compared to the same period of 2014, while we reported an 11% increase in unit sales. SG&amp;A expenses were impacted in the first six months of 2015 by the same factors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interest costs were higher in the second quarter of 2015 compared to the same period of 2014, due to additional interest expense resulting from higher debt levels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 Our effective tax rate was 37.4% in the second quarter of 2015 compared to 37.7% for same period of 2014. Our effective tax rate was 37.0% in the first six months of 2015 compared to 37.2% for the same period of 2014. The decrease is primarily due to a lower state effective income tax rate in 2015.</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our net sales and earnings from operations by reportable segment.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Segment Operating Profit</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00" w:type="dxa"/>
            <w:vAlign w:val="bottom"/>
          </w:tcPr>
          <w:p>
            <w:pPr>
              <w:jc w:val="right"/>
              <w:ind w:right="1350"/>
              <w:spacing w:after="0"/>
              <w:rPr>
                <w:sz w:val="20"/>
                <w:szCs w:val="20"/>
                <w:color w:val="auto"/>
              </w:rPr>
            </w:pPr>
            <w:r>
              <w:rPr>
                <w:rFonts w:ascii="Arial" w:cs="Arial" w:eastAsia="Arial" w:hAnsi="Arial"/>
                <w:sz w:val="18"/>
                <w:szCs w:val="18"/>
                <w:color w:val="auto"/>
                <w:w w:val="91"/>
              </w:rPr>
              <w:t>(in thousands)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3"/>
          </w:tcPr>
          <w:p>
            <w:pPr>
              <w:jc w:val="right"/>
              <w:ind w:right="310"/>
              <w:spacing w:after="0"/>
              <w:rPr>
                <w:sz w:val="20"/>
                <w:szCs w:val="20"/>
                <w:color w:val="auto"/>
              </w:rPr>
            </w:pPr>
            <w:r>
              <w:rPr>
                <w:rFonts w:ascii="Arial" w:cs="Arial" w:eastAsia="Arial" w:hAnsi="Arial"/>
                <w:sz w:val="18"/>
                <w:szCs w:val="18"/>
                <w:color w:val="auto"/>
                <w:w w:val="92"/>
              </w:rPr>
              <w:t>Three Months Ended</w:t>
            </w:r>
          </w:p>
        </w:tc>
        <w:tc>
          <w:tcPr>
            <w:tcW w:w="9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3"/>
          </w:tcPr>
          <w:p>
            <w:pPr>
              <w:jc w:val="right"/>
              <w:ind w:right="350"/>
              <w:spacing w:after="0"/>
              <w:rPr>
                <w:sz w:val="20"/>
                <w:szCs w:val="20"/>
                <w:color w:val="auto"/>
              </w:rPr>
            </w:pPr>
            <w:r>
              <w:rPr>
                <w:rFonts w:ascii="Arial" w:cs="Arial" w:eastAsia="Arial" w:hAnsi="Arial"/>
                <w:sz w:val="18"/>
                <w:szCs w:val="18"/>
                <w:color w:val="auto"/>
                <w:w w:val="91"/>
              </w:rPr>
              <w:t>Three Months Ended</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June 27,</w:t>
            </w:r>
          </w:p>
        </w:tc>
        <w:tc>
          <w:tcPr>
            <w:tcW w:w="2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8"/>
              </w:rPr>
              <w:t>June 28,</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June 27,</w:t>
            </w: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June 28,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2"/>
              </w:rPr>
              <w:t>$ Change</w:t>
            </w:r>
          </w:p>
        </w:tc>
        <w:tc>
          <w:tcPr>
            <w:tcW w:w="11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 Change</w:t>
            </w:r>
          </w:p>
        </w:tc>
        <w:tc>
          <w:tcPr>
            <w:tcW w:w="20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1"/>
              </w:rPr>
              <w:t>Change</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7"/>
              </w:rPr>
              <w:t>% Change</w:t>
            </w:r>
          </w:p>
        </w:tc>
        <w:tc>
          <w:tcPr>
            <w:tcW w:w="0" w:type="dxa"/>
            <w:vAlign w:val="bottom"/>
          </w:tcPr>
          <w:p>
            <w:pPr>
              <w:spacing w:after="0"/>
              <w:rPr>
                <w:sz w:val="1"/>
                <w:szCs w:val="1"/>
                <w:color w:val="auto"/>
              </w:rPr>
            </w:pPr>
          </w:p>
        </w:tc>
      </w:tr>
      <w:tr>
        <w:trPr>
          <w:trHeight w:val="34"/>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North</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27,852</w:t>
            </w:r>
          </w:p>
        </w:tc>
        <w:tc>
          <w:tcPr>
            <w:tcW w:w="11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5,693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2500" w:type="dxa"/>
            <w:vAlign w:val="bottom"/>
          </w:tcPr>
          <w:p>
            <w:pPr>
              <w:jc w:val="right"/>
              <w:ind w:right="10"/>
              <w:spacing w:after="0"/>
              <w:rPr>
                <w:sz w:val="20"/>
                <w:szCs w:val="20"/>
                <w:color w:val="auto"/>
              </w:rPr>
            </w:pPr>
            <w:r>
              <w:rPr>
                <w:rFonts w:ascii="Arial" w:cs="Arial" w:eastAsia="Arial" w:hAnsi="Arial"/>
                <w:sz w:val="18"/>
                <w:szCs w:val="18"/>
                <w:color w:val="auto"/>
              </w:rPr>
              <w:t>South</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185,497</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172,464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13,033</w:t>
            </w: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6,730</w:t>
            </w:r>
          </w:p>
        </w:tc>
        <w:tc>
          <w:tcPr>
            <w:tcW w:w="22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1,267</w:t>
            </w: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Western</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309,511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295,263</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14,248</w:t>
            </w:r>
          </w:p>
        </w:tc>
        <w:tc>
          <w:tcPr>
            <w:tcW w:w="11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500" w:type="dxa"/>
            <w:vAlign w:val="bottom"/>
          </w:tcPr>
          <w:p>
            <w:pPr>
              <w:jc w:val="right"/>
              <w:ind w:right="10"/>
              <w:spacing w:after="0"/>
              <w:rPr>
                <w:sz w:val="20"/>
                <w:szCs w:val="20"/>
                <w:color w:val="auto"/>
              </w:rPr>
            </w:pPr>
            <w:r>
              <w:rPr>
                <w:rFonts w:ascii="Arial" w:cs="Arial" w:eastAsia="Arial" w:hAnsi="Arial"/>
                <w:sz w:val="18"/>
                <w:szCs w:val="18"/>
                <w:color w:val="auto"/>
              </w:rPr>
              <w:t>All Other</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61,830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51,544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10,286</w:t>
            </w: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780</w:t>
            </w:r>
          </w:p>
        </w:tc>
        <w:tc>
          <w:tcPr>
            <w:tcW w:w="96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500" w:type="dxa"/>
            <w:vAlign w:val="bottom"/>
            <w:tcBorders>
              <w:bottom w:val="single" w:sz="8" w:color="CCEEFF"/>
            </w:tcBorders>
            <w:shd w:val="clear" w:color="auto" w:fill="CCEEFF"/>
          </w:tcPr>
          <w:p>
            <w:pPr>
              <w:jc w:val="right"/>
              <w:ind w:right="1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right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7"/>
        </w:trPr>
        <w:tc>
          <w:tcPr>
            <w:tcW w:w="250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838,171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772,752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65,419</w:t>
            </w: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44,188</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36,723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7,465</w:t>
            </w: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3"/>
            <w:vMerge w:val="restart"/>
          </w:tcPr>
          <w:p>
            <w:pPr>
              <w:jc w:val="right"/>
              <w:ind w:right="770"/>
              <w:spacing w:after="0"/>
              <w:rPr>
                <w:sz w:val="20"/>
                <w:szCs w:val="20"/>
                <w:color w:val="auto"/>
              </w:rPr>
            </w:pPr>
            <w:r>
              <w:rPr>
                <w:rFonts w:ascii="Arial" w:cs="Arial" w:eastAsia="Arial" w:hAnsi="Arial"/>
                <w:sz w:val="18"/>
                <w:szCs w:val="18"/>
                <w:color w:val="auto"/>
              </w:rPr>
              <w:t>Net Sales</w:t>
            </w: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8"/>
                <w:szCs w:val="18"/>
                <w:color w:val="auto"/>
              </w:rPr>
              <w:t>Segment Operating Profit</w:t>
            </w: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3"/>
            <w:vMerge w:val="continue"/>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0" w:type="dxa"/>
            <w:vAlign w:val="bottom"/>
            <w:gridSpan w:val="4"/>
            <w:vMerge w:val="continue"/>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500" w:type="dxa"/>
            <w:vAlign w:val="bottom"/>
            <w:vMerge w:val="restart"/>
          </w:tcPr>
          <w:p>
            <w:pPr>
              <w:jc w:val="right"/>
              <w:ind w:right="1350"/>
              <w:spacing w:after="0"/>
              <w:rPr>
                <w:sz w:val="20"/>
                <w:szCs w:val="20"/>
                <w:color w:val="auto"/>
              </w:rPr>
            </w:pPr>
            <w:r>
              <w:rPr>
                <w:rFonts w:ascii="Arial" w:cs="Arial" w:eastAsia="Arial" w:hAnsi="Arial"/>
                <w:sz w:val="18"/>
                <w:szCs w:val="18"/>
                <w:color w:val="auto"/>
                <w:w w:val="91"/>
              </w:rPr>
              <w:t>(in thousands)</w:t>
            </w: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3"/>
          </w:tcPr>
          <w:p>
            <w:pPr>
              <w:jc w:val="right"/>
              <w:ind w:right="450"/>
              <w:spacing w:after="0"/>
              <w:rPr>
                <w:sz w:val="20"/>
                <w:szCs w:val="20"/>
                <w:color w:val="auto"/>
              </w:rPr>
            </w:pPr>
            <w:r>
              <w:rPr>
                <w:rFonts w:ascii="Arial" w:cs="Arial" w:eastAsia="Arial" w:hAnsi="Arial"/>
                <w:sz w:val="18"/>
                <w:szCs w:val="18"/>
                <w:color w:val="auto"/>
                <w:w w:val="97"/>
              </w:rPr>
              <w:t>Six Months Ended</w:t>
            </w:r>
          </w:p>
        </w:tc>
        <w:tc>
          <w:tcPr>
            <w:tcW w:w="9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3"/>
          </w:tcPr>
          <w:p>
            <w:pPr>
              <w:ind w:left="100"/>
              <w:spacing w:after="0"/>
              <w:rPr>
                <w:sz w:val="20"/>
                <w:szCs w:val="20"/>
                <w:color w:val="auto"/>
              </w:rPr>
            </w:pPr>
            <w:r>
              <w:rPr>
                <w:rFonts w:ascii="Arial" w:cs="Arial" w:eastAsia="Arial" w:hAnsi="Arial"/>
                <w:sz w:val="18"/>
                <w:szCs w:val="18"/>
                <w:color w:val="auto"/>
              </w:rPr>
              <w:t>Six Months Ended</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5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w w:val="95"/>
              </w:rPr>
              <w:t>June 27,</w:t>
            </w:r>
          </w:p>
        </w:tc>
        <w:tc>
          <w:tcPr>
            <w:tcW w:w="22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28,</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w w:val="95"/>
              </w:rPr>
              <w:t>June 27,</w:t>
            </w:r>
          </w:p>
        </w:tc>
        <w:tc>
          <w:tcPr>
            <w:tcW w:w="20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June 28,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87"/>
              </w:rPr>
              <w:t>$ Change</w:t>
            </w:r>
          </w:p>
        </w:tc>
        <w:tc>
          <w:tcPr>
            <w:tcW w:w="11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7"/>
              </w:rPr>
              <w:t>% Change</w:t>
            </w:r>
          </w:p>
        </w:tc>
        <w:tc>
          <w:tcPr>
            <w:tcW w:w="2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w w:val="85"/>
              </w:rPr>
              <w:t>Change</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5"/>
              </w:rPr>
              <w:t>% Change</w:t>
            </w:r>
          </w:p>
        </w:tc>
        <w:tc>
          <w:tcPr>
            <w:tcW w:w="0" w:type="dxa"/>
            <w:vAlign w:val="bottom"/>
          </w:tcPr>
          <w:p>
            <w:pPr>
              <w:spacing w:after="0"/>
              <w:rPr>
                <w:sz w:val="1"/>
                <w:szCs w:val="1"/>
                <w:color w:val="auto"/>
              </w:rPr>
            </w:pPr>
          </w:p>
        </w:tc>
      </w:tr>
      <w:tr>
        <w:trPr>
          <w:trHeight w:val="34"/>
        </w:trPr>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North</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410,116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50,716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19,105</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7,180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60.2 %</w:t>
            </w:r>
          </w:p>
        </w:tc>
        <w:tc>
          <w:tcPr>
            <w:tcW w:w="0" w:type="dxa"/>
            <w:vAlign w:val="bottom"/>
          </w:tcPr>
          <w:p>
            <w:pPr>
              <w:spacing w:after="0"/>
              <w:rPr>
                <w:sz w:val="1"/>
                <w:szCs w:val="1"/>
                <w:color w:val="auto"/>
              </w:rPr>
            </w:pPr>
          </w:p>
        </w:tc>
      </w:tr>
      <w:tr>
        <w:trPr>
          <w:trHeight w:val="243"/>
        </w:trPr>
        <w:tc>
          <w:tcPr>
            <w:tcW w:w="2500" w:type="dxa"/>
            <w:vAlign w:val="bottom"/>
          </w:tcPr>
          <w:p>
            <w:pPr>
              <w:jc w:val="right"/>
              <w:ind w:right="50"/>
              <w:spacing w:after="0"/>
              <w:rPr>
                <w:sz w:val="20"/>
                <w:szCs w:val="20"/>
                <w:color w:val="auto"/>
              </w:rPr>
            </w:pPr>
            <w:r>
              <w:rPr>
                <w:rFonts w:ascii="Arial" w:cs="Arial" w:eastAsia="Arial" w:hAnsi="Arial"/>
                <w:sz w:val="18"/>
                <w:szCs w:val="18"/>
                <w:color w:val="auto"/>
              </w:rPr>
              <w:t>South</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349,692</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315,824</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33,868</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13,999</w:t>
            </w: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13,003</w:t>
            </w:r>
          </w:p>
        </w:tc>
        <w:tc>
          <w:tcPr>
            <w:tcW w:w="22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996</w:t>
            </w:r>
          </w:p>
        </w:tc>
        <w:tc>
          <w:tcPr>
            <w:tcW w:w="96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Western</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567,090</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520,663</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46,427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26,488</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2500" w:type="dxa"/>
            <w:vAlign w:val="bottom"/>
          </w:tcPr>
          <w:p>
            <w:pPr>
              <w:jc w:val="right"/>
              <w:ind w:right="50"/>
              <w:spacing w:after="0"/>
              <w:rPr>
                <w:sz w:val="20"/>
                <w:szCs w:val="20"/>
                <w:color w:val="auto"/>
              </w:rPr>
            </w:pPr>
            <w:r>
              <w:rPr>
                <w:rFonts w:ascii="Arial" w:cs="Arial" w:eastAsia="Arial" w:hAnsi="Arial"/>
                <w:sz w:val="18"/>
                <w:szCs w:val="18"/>
                <w:color w:val="auto"/>
              </w:rPr>
              <w:t>All Other</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93,581</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80,148</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13,433</w:t>
            </w: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1,850</w:t>
            </w: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1,128</w:t>
            </w:r>
          </w:p>
        </w:tc>
        <w:tc>
          <w:tcPr>
            <w:tcW w:w="22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722</w:t>
            </w:r>
          </w:p>
        </w:tc>
        <w:tc>
          <w:tcPr>
            <w:tcW w:w="960" w:type="dxa"/>
            <w:vAlign w:val="bottom"/>
          </w:tcPr>
          <w:p>
            <w:pPr>
              <w:jc w:val="right"/>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500" w:type="dxa"/>
            <w:vAlign w:val="bottom"/>
            <w:tcBorders>
              <w:bottom w:val="single" w:sz="8" w:color="CCEEFF"/>
            </w:tcBorders>
            <w:shd w:val="clear" w:color="auto" w:fill="CCEEFF"/>
          </w:tcPr>
          <w:p>
            <w:pPr>
              <w:jc w:val="right"/>
              <w:ind w:right="5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right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1,501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7"/>
        </w:trPr>
        <w:tc>
          <w:tcPr>
            <w:tcW w:w="2500" w:type="dxa"/>
            <w:vAlign w:val="bottom"/>
          </w:tcPr>
          <w:p>
            <w:pPr>
              <w:jc w:val="right"/>
              <w:ind w:right="5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1,326,751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144,444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62,051</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49,350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12,701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Corporate primarily represents over (under) allocated administrative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sales attributable to the North reportable segment increased in the second quarter and first six months of 2015 compared to 2014 due to an increase in sales to retail and residential construction customers.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Earnings from operations increased in the second quarter and first six months of 2015 compared to 2014, primarily due to an increase in overall unit sales, improved profitability on our sales to the construction market, as well as improved profitability in our Great Lakes region on its sales to the retail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to the South reportable segment increased in the second quarter and first six months of 2015 compared to 2014, primarily due to an increase in sales to the retail and industrial markets.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Earnings from operations for the South reportable segment increased in the second quarter and first six months of 2015 compared to 2014, primarily due to an increase in overall unit sales as well as improved profitability in our Southeast region on its sales to the retail and industrial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Western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sales to the Western reportable segment increased in the second quarter and first six months of 2015 compared to 2014 primarily due to an increase in sales to the retail and industrial markets, which were offset by a decrease in sales to manufactured housing customers within the construction market. The growth in sales to the industrial market was primarily due to acquisitions we completed since the second quarter of 2014.</w:t>
      </w:r>
    </w:p>
    <w:p>
      <w:pPr>
        <w:spacing w:after="0" w:line="3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Earnings from operations for the Western reportable segment increased in the second quarter and first six months of 2015 compared to 2014 primarily due to the increase in unit sales and improved profitability in our West Central region on its sales to the industrial market.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sales for all other segments increased in the second quarter and first six months of 2015 compared to 2014, primarily due to an increase in sales to the retail market by our Consumer Products reporting unit and our increase in sales to the industrial market by our Australian and Mexican reporting units.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from operations for all other segments increased in the second quarter and first six months of 2015 compared to 2014, primarily due to our Universal Consumer Products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6"/>
              </w:rPr>
              <w:t>The table below presents, for the periods indicated, a summary of our cash flow statement (in 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594"/>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jc w:val="right"/>
              <w:ind w:right="890"/>
              <w:spacing w:after="0"/>
              <w:rPr>
                <w:sz w:val="20"/>
                <w:szCs w:val="20"/>
                <w:color w:val="auto"/>
              </w:rPr>
            </w:pPr>
            <w:r>
              <w:rPr>
                <w:rFonts w:ascii="Arial" w:cs="Arial" w:eastAsia="Arial" w:hAnsi="Arial"/>
                <w:sz w:val="18"/>
                <w:szCs w:val="18"/>
                <w:color w:val="auto"/>
              </w:rPr>
              <w:t>Six Months Ended</w:t>
            </w:r>
          </w:p>
        </w:tc>
      </w:tr>
      <w:tr>
        <w:trPr>
          <w:trHeight w:val="34"/>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June 27, 2015</w:t>
            </w:r>
          </w:p>
        </w:tc>
        <w:tc>
          <w:tcPr>
            <w:tcW w:w="22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2"/>
              </w:rPr>
              <w:t>June 28, 2014</w:t>
            </w:r>
          </w:p>
        </w:tc>
      </w:tr>
      <w:tr>
        <w:trPr>
          <w:trHeight w:val="34"/>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from investing activities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(28,015)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4"/>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Seasonality has a significant impact on our working capital from January to August which historically results in negative or modest cash flows from operations in our first and second quarters. Conversely, we experience a substantial decrease in working capital from September to December which typically results in significant cash flow from operations in our third and fourth quarters.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increased to 56 days in the first six months of 2015 from 52 days in the first six months of 2014. We carried higher levels of safety stock inventory in 2015 due to weather and industry transportation challenges.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from operating activities was $36.8 million in the first six months of 2015, which was comprised of net earnings of $37.7 million and $20.8 million of non-cash expenses, offset by a $21.7 million increase in working capital since the end of 2014 due to the seasonality of our business.</w:t>
      </w:r>
    </w:p>
    <w:p>
      <w:pPr>
        <w:spacing w:after="0" w:line="17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Purchases of property, plants, and equipment comprised most of our cash used in investing activities during the first six months of 2015 and totaled $27.8 million. We currently plan to spend up to $45 million in 2015. Outstanding purchase commitments on existing capital projects totaled approximately $5.8 million on June 27, 2015. We intend to fund capital expenditures and purchase commitments through our operating cash flows for the balance of the year. Additionally, we collected $4 million of outstanding notes receivables, net of advances, during the first six months of 2015. Finally, cash flows used in investing activities included $2.6 million used to acquire new businesses and $1.3 million used to acquire the remaining non-controlling interest of Upshur Forest Products, LLC from our partners. See Notes to Unaudited Consolidated Condensed Financial Statements, Note F “Business Combinations”.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flows from financing activities primarily consisted of net borrowings under our revolving credit facility to support seasonal working capital requirements and dividends paid in June totaling $0.40 per share.</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June 27, 2015, we had $37.6 million outstanding on our $295 million revolving credit facility. The revolving credit facility also supports letters of credit totaling approximately $9.8 million on June 27, 2015.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27, 2015.</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27, 2014.</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387" w:lineRule="exact"/>
        <w:rPr>
          <w:sz w:val="20"/>
          <w:szCs w:val="20"/>
          <w:color w:val="auto"/>
        </w:rPr>
      </w:pPr>
    </w:p>
    <w:p>
      <w:pPr>
        <w:ind w:left="660" w:right="340" w:hanging="31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140"/>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5" w:lineRule="exact"/>
        <w:rPr>
          <w:sz w:val="20"/>
          <w:szCs w:val="20"/>
          <w:color w:val="auto"/>
        </w:rPr>
      </w:pPr>
    </w:p>
    <w:p>
      <w:pPr>
        <w:ind w:left="320"/>
        <w:spacing w:after="0" w:line="324" w:lineRule="auto"/>
        <w:rPr>
          <w:sz w:val="20"/>
          <w:szCs w:val="20"/>
          <w:color w:val="auto"/>
        </w:rPr>
      </w:pPr>
      <w:r>
        <w:rPr>
          <w:rFonts w:ascii="Arial" w:cs="Arial" w:eastAsia="Arial" w:hAnsi="Arial"/>
          <w:sz w:val="18"/>
          <w:szCs w:val="18"/>
          <w:color w:val="auto"/>
        </w:rPr>
        <w:t>Exchange Act Rules 13a – 15e and 15d – 15e) as of the quarter ended June 27, 2015 (the “Evaluation Date”), have concluded that, as of such date, our disclosure controls and procedures were effective.</w:t>
      </w:r>
    </w:p>
    <w:p>
      <w:pPr>
        <w:spacing w:after="0" w:line="89" w:lineRule="exact"/>
        <w:rPr>
          <w:sz w:val="20"/>
          <w:szCs w:val="20"/>
          <w:color w:val="auto"/>
        </w:rPr>
      </w:pPr>
    </w:p>
    <w:p>
      <w:pPr>
        <w:ind w:left="320" w:right="120" w:hanging="314"/>
        <w:spacing w:after="0" w:line="27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June 27, 2015, there were no changes in our internal control over financial reporting that materially affected, or is reasonably likely to materially affect, our internal control over financial reporting.</w:t>
      </w:r>
    </w:p>
    <w:p>
      <w:pPr>
        <w:spacing w:after="0" w:line="19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580" w:top="121" w:right="4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387"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Fiscal Month</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(a)</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(b)</w:t>
            </w:r>
          </w:p>
        </w:tc>
        <w:tc>
          <w:tcPr>
            <w:tcW w:w="1360" w:type="dxa"/>
            <w:vAlign w:val="bottom"/>
            <w:gridSpan w:val="2"/>
          </w:tcPr>
          <w:p>
            <w:pPr>
              <w:ind w:left="520"/>
              <w:spacing w:after="0"/>
              <w:rPr>
                <w:sz w:val="20"/>
                <w:szCs w:val="20"/>
                <w:color w:val="auto"/>
              </w:rPr>
            </w:pPr>
            <w:r>
              <w:rPr>
                <w:rFonts w:ascii="Arial" w:cs="Arial" w:eastAsia="Arial" w:hAnsi="Arial"/>
                <w:sz w:val="18"/>
                <w:szCs w:val="18"/>
                <w:color w:val="auto"/>
              </w:rPr>
              <w:t>(c)</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(d)</w:t>
            </w:r>
          </w:p>
        </w:tc>
      </w:tr>
      <w:tr>
        <w:trPr>
          <w:trHeight w:val="55"/>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50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70"/>
        </w:trPr>
        <w:tc>
          <w:tcPr>
            <w:tcW w:w="60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March 29 – May 2, 2015</w:t>
            </w:r>
            <w:r>
              <w:rPr>
                <w:rFonts w:ascii="Arial" w:cs="Arial" w:eastAsia="Arial" w:hAnsi="Arial"/>
                <w:sz w:val="25"/>
                <w:szCs w:val="25"/>
                <w:color w:val="auto"/>
                <w:vertAlign w:val="superscript"/>
              </w:rPr>
              <w:t>(1)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2,881,703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May 3 – 30, 2015</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2,881,703</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May 31 – June 27, 2015</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2,881,703</w:t>
            </w:r>
          </w:p>
        </w:tc>
      </w:tr>
      <w:tr>
        <w:trPr>
          <w:trHeight w:val="27"/>
        </w:trPr>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left="660" w:right="40" w:hanging="314"/>
        <w:spacing w:after="0" w:line="232"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shares that may be repurchased under the program is approximately 3 million shares.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387"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278" w:lineRule="exact"/>
        <w:rPr>
          <w:rFonts w:ascii="Arial" w:cs="Arial" w:eastAsia="Arial" w:hAnsi="Arial"/>
          <w:sz w:val="18"/>
          <w:szCs w:val="18"/>
          <w:color w:val="auto"/>
        </w:rPr>
      </w:pPr>
    </w:p>
    <w:p>
      <w:pPr>
        <w:ind w:left="1420" w:right="40" w:hanging="696"/>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-2094865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-1614170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(INS)</w:t>
            </w:r>
          </w:p>
        </w:tc>
        <w:tc>
          <w:tcPr>
            <w:tcW w:w="10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(SCH)</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Schema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(CAL)</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(LAB)</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3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w:t>
            </w:r>
          </w:p>
        </w:tc>
        <w:tc>
          <w:tcPr>
            <w:tcW w:w="10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13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500" w:type="dxa"/>
            <w:vAlign w:val="bottom"/>
          </w:tcPr>
          <w:p>
            <w:pPr>
              <w:spacing w:after="0"/>
              <w:rPr>
                <w:sz w:val="11"/>
                <w:szCs w:val="11"/>
                <w:color w:val="auto"/>
              </w:rPr>
            </w:pPr>
          </w:p>
        </w:tc>
      </w:tr>
      <w:tr>
        <w:trPr>
          <w:trHeight w:val="122"/>
        </w:trPr>
        <w:tc>
          <w:tcPr>
            <w:tcW w:w="1300" w:type="dxa"/>
            <w:vAlign w:val="bottom"/>
            <w:shd w:val="clear" w:color="auto" w:fill="828282"/>
          </w:tcPr>
          <w:p>
            <w:pPr>
              <w:spacing w:after="0"/>
              <w:rPr>
                <w:sz w:val="10"/>
                <w:szCs w:val="10"/>
                <w:color w:val="auto"/>
              </w:rPr>
            </w:pPr>
          </w:p>
        </w:tc>
        <w:tc>
          <w:tcPr>
            <w:tcW w:w="3620" w:type="dxa"/>
            <w:vAlign w:val="bottom"/>
            <w:shd w:val="clear" w:color="auto" w:fill="828282"/>
          </w:tcPr>
          <w:p>
            <w:pPr>
              <w:spacing w:after="0"/>
              <w:rPr>
                <w:sz w:val="10"/>
                <w:szCs w:val="10"/>
                <w:color w:val="auto"/>
              </w:rPr>
            </w:pPr>
          </w:p>
        </w:tc>
        <w:tc>
          <w:tcPr>
            <w:tcW w:w="6500" w:type="dxa"/>
            <w:vAlign w:val="bottom"/>
          </w:tcPr>
          <w:p>
            <w:pPr>
              <w:spacing w:after="0"/>
              <w:rPr>
                <w:sz w:val="10"/>
                <w:szCs w:val="10"/>
                <w:color w:val="auto"/>
              </w:rPr>
            </w:pPr>
          </w:p>
        </w:tc>
      </w:tr>
    </w:tbl>
    <w:p>
      <w:pPr>
        <w:spacing w:after="0" w:line="20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29, 2015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33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wp:posOffset>
            </wp:positionV>
            <wp:extent cx="33274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3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wp:posOffset>
            </wp:positionV>
            <wp:extent cx="33274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4920" w:space="720"/>
            <w:col w:w="5780"/>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333" w:lineRule="exact"/>
        <w:rPr>
          <w:sz w:val="20"/>
          <w:szCs w:val="20"/>
          <w:color w:val="auto"/>
        </w:rPr>
      </w:pPr>
    </w:p>
    <w:p>
      <w:pPr>
        <w:ind w:left="720" w:hanging="68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278" w:lineRule="exact"/>
        <w:rPr>
          <w:rFonts w:ascii="Arial" w:cs="Arial" w:eastAsia="Arial" w:hAnsi="Arial"/>
          <w:sz w:val="18"/>
          <w:szCs w:val="18"/>
          <w:color w:val="auto"/>
        </w:rPr>
      </w:pPr>
    </w:p>
    <w:p>
      <w:pPr>
        <w:ind w:left="720" w:hanging="68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333"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278" w:lineRule="exact"/>
        <w:rPr>
          <w:rFonts w:ascii="Arial" w:cs="Arial" w:eastAsia="Arial" w:hAnsi="Arial"/>
          <w:sz w:val="18"/>
          <w:szCs w:val="18"/>
          <w:color w:val="auto"/>
        </w:rPr>
      </w:pPr>
    </w:p>
    <w:p>
      <w:pPr>
        <w:ind w:left="1880" w:right="40" w:hanging="575"/>
        <w:spacing w:after="0" w:line="277" w:lineRule="auto"/>
        <w:tabs>
          <w:tab w:leader="none" w:pos="1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-2094865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-1614170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(INS)</w:t>
            </w:r>
          </w:p>
        </w:tc>
        <w:tc>
          <w:tcPr>
            <w:tcW w:w="9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(SCH)</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Schema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(CAL)</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(LAB)</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5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00" w:type="dxa"/>
            <w:vAlign w:val="bottom"/>
          </w:tcPr>
          <w:p>
            <w:pPr>
              <w:spacing w:after="0"/>
              <w:rPr>
                <w:sz w:val="23"/>
                <w:szCs w:val="23"/>
                <w:color w:val="auto"/>
              </w:rPr>
            </w:pPr>
          </w:p>
        </w:tc>
      </w:tr>
      <w:tr>
        <w:trPr>
          <w:trHeight w:val="250"/>
        </w:trPr>
        <w:tc>
          <w:tcPr>
            <w:tcW w:w="1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w:t>
            </w:r>
          </w:p>
        </w:tc>
        <w:tc>
          <w:tcPr>
            <w:tcW w:w="9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15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500" w:type="dxa"/>
            <w:vAlign w:val="bottom"/>
          </w:tcPr>
          <w:p>
            <w:pPr>
              <w:spacing w:after="0"/>
              <w:rPr>
                <w:sz w:val="11"/>
                <w:szCs w:val="11"/>
                <w:color w:val="auto"/>
              </w:rPr>
            </w:pPr>
          </w:p>
        </w:tc>
      </w:tr>
      <w:tr>
        <w:trPr>
          <w:trHeight w:val="122"/>
        </w:trPr>
        <w:tc>
          <w:tcPr>
            <w:tcW w:w="1540" w:type="dxa"/>
            <w:vAlign w:val="bottom"/>
            <w:shd w:val="clear" w:color="auto" w:fill="828282"/>
          </w:tcPr>
          <w:p>
            <w:pPr>
              <w:spacing w:after="0"/>
              <w:rPr>
                <w:sz w:val="10"/>
                <w:szCs w:val="10"/>
                <w:color w:val="auto"/>
              </w:rPr>
            </w:pPr>
          </w:p>
        </w:tc>
        <w:tc>
          <w:tcPr>
            <w:tcW w:w="3380" w:type="dxa"/>
            <w:vAlign w:val="bottom"/>
            <w:shd w:val="clear" w:color="auto" w:fill="828282"/>
          </w:tcPr>
          <w:p>
            <w:pPr>
              <w:spacing w:after="0"/>
              <w:rPr>
                <w:sz w:val="10"/>
                <w:szCs w:val="10"/>
                <w:color w:val="auto"/>
              </w:rPr>
            </w:pPr>
          </w:p>
        </w:tc>
        <w:tc>
          <w:tcPr>
            <w:tcW w:w="6500" w:type="dxa"/>
            <w:vAlign w:val="bottom"/>
          </w:tcPr>
          <w:p>
            <w:pPr>
              <w:spacing w:after="0"/>
              <w:rPr>
                <w:sz w:val="10"/>
                <w:szCs w:val="10"/>
                <w:color w:val="auto"/>
              </w:rPr>
            </w:pPr>
          </w:p>
        </w:tc>
      </w:tr>
    </w:tbl>
    <w:p>
      <w:pPr>
        <w:spacing w:after="0" w:line="20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3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11"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00" w:hanging="492"/>
        <w:spacing w:after="0" w:line="30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ind w:left="820" w:right="20" w:hanging="326"/>
        <w:spacing w:after="0" w:line="341"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820" w:hanging="326"/>
        <w:spacing w:after="0" w:line="295"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00" w:hanging="492"/>
        <w:spacing w:after="0" w:line="341"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6" w:lineRule="exact"/>
        <w:rPr>
          <w:rFonts w:ascii="Arial" w:cs="Arial" w:eastAsia="Arial" w:hAnsi="Arial"/>
          <w:sz w:val="17"/>
          <w:szCs w:val="17"/>
          <w:color w:val="auto"/>
        </w:rPr>
      </w:pPr>
    </w:p>
    <w:p>
      <w:pPr>
        <w:ind w:left="820" w:hanging="326"/>
        <w:spacing w:after="0" w:line="30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20" w:right="20" w:hanging="326"/>
        <w:spacing w:after="0" w:line="30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ind w:left="280"/>
        <w:spacing w:after="0"/>
        <w:tabs>
          <w:tab w:leader="none" w:pos="57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29, 2015</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31750</wp:posOffset>
            </wp:positionV>
            <wp:extent cx="3456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 and Principal Executive Officer</w:t>
      </w:r>
    </w:p>
    <w:p>
      <w:pPr>
        <w:sectPr>
          <w:pgSz w:w="11900" w:h="16838" w:orient="portrait"/>
          <w:cols w:equalWidth="0" w:num="1">
            <w:col w:w="11420"/>
          </w:cols>
          <w:pgMar w:left="240" w:top="58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3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211"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00" w:hanging="492"/>
        <w:spacing w:after="0" w:line="309"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500" w:hanging="492"/>
        <w:spacing w:after="0" w:line="295"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820" w:hanging="326"/>
        <w:spacing w:after="0" w:line="295"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ind w:left="820" w:right="20" w:hanging="326"/>
        <w:spacing w:after="0" w:line="341" w:lineRule="auto"/>
        <w:tabs>
          <w:tab w:leader="none" w:pos="8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820" w:hanging="326"/>
        <w:spacing w:after="0" w:line="295"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00" w:hanging="492"/>
        <w:spacing w:after="0" w:line="341"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6" w:lineRule="exact"/>
        <w:rPr>
          <w:rFonts w:ascii="Arial" w:cs="Arial" w:eastAsia="Arial" w:hAnsi="Arial"/>
          <w:sz w:val="17"/>
          <w:szCs w:val="17"/>
          <w:color w:val="auto"/>
        </w:rPr>
      </w:pPr>
    </w:p>
    <w:p>
      <w:pPr>
        <w:ind w:left="820" w:hanging="326"/>
        <w:spacing w:after="0" w:line="30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20" w:right="20" w:hanging="326"/>
        <w:spacing w:after="0" w:line="30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29, 2015</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 and Principal Accounting Officer</w:t>
      </w:r>
    </w:p>
    <w:p>
      <w:pPr>
        <w:sectPr>
          <w:pgSz w:w="11900" w:h="16838" w:orient="portrait"/>
          <w:cols w:equalWidth="0" w:num="1">
            <w:col w:w="11420"/>
          </w:cols>
          <w:pgMar w:left="240" w:top="58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1220" w:hanging="564"/>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27, 2015,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left="1220" w:hanging="564"/>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June 27, 2015 fairly presents, in all material respects, the financial condition and results of operations of Universal Forest Products, Inc.</w:t>
      </w:r>
    </w:p>
    <w:p>
      <w:pPr>
        <w:spacing w:after="0" w:line="200" w:lineRule="exact"/>
        <w:rPr>
          <w:sz w:val="20"/>
          <w:szCs w:val="20"/>
          <w:color w:val="auto"/>
        </w:rPr>
      </w:pPr>
    </w:p>
    <w:p>
      <w:pPr>
        <w:spacing w:after="0" w:line="34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UNIVERSAL FOREST PRODUCTS, INC.</w:t>
      </w:r>
    </w:p>
    <w:p>
      <w:pPr>
        <w:spacing w:after="0" w:line="333" w:lineRule="exact"/>
        <w:rPr>
          <w:sz w:val="20"/>
          <w:szCs w:val="20"/>
          <w:color w:val="auto"/>
        </w:rPr>
      </w:pPr>
    </w:p>
    <w:p>
      <w:pPr>
        <w:ind w:left="40"/>
        <w:spacing w:after="0"/>
        <w:tabs>
          <w:tab w:leader="none" w:pos="54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29, 2015</w:t>
      </w:r>
      <w:r>
        <w:rPr>
          <w:sz w:val="20"/>
          <w:szCs w:val="20"/>
          <w:color w:val="auto"/>
        </w:rPr>
        <w:tab/>
      </w:r>
      <w:r>
        <w:rPr>
          <w:rFonts w:ascii="Arial" w:cs="Arial" w:eastAsia="Arial" w:hAnsi="Arial"/>
          <w:sz w:val="16"/>
          <w:szCs w:val="16"/>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3790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Matthew J. Missad,</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1220" w:hanging="564"/>
        <w:spacing w:after="0" w:line="277" w:lineRule="auto"/>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27, 2015,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left="1220" w:hanging="564"/>
        <w:spacing w:after="0" w:line="277" w:lineRule="auto"/>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June 27, 2015 fairly presents, in all material respects, the financial condition and results of operations of Universal Forest Products, Inc.</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UNIVERSAL FOREST PRODUCTS, INC.</w:t>
      </w:r>
    </w:p>
    <w:p>
      <w:pPr>
        <w:spacing w:after="0" w:line="333" w:lineRule="exact"/>
        <w:rPr>
          <w:sz w:val="20"/>
          <w:szCs w:val="20"/>
          <w:color w:val="auto"/>
        </w:rPr>
      </w:pPr>
    </w:p>
    <w:p>
      <w:pPr>
        <w:ind w:left="40"/>
        <w:spacing w:after="0"/>
        <w:tabs>
          <w:tab w:leader="none" w:pos="54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29, 2015</w:t>
      </w:r>
      <w:r>
        <w:rPr>
          <w:sz w:val="20"/>
          <w:szCs w:val="20"/>
          <w:color w:val="auto"/>
        </w:rPr>
        <w:tab/>
      </w:r>
      <w:r>
        <w:rPr>
          <w:rFonts w:ascii="Arial" w:cs="Arial" w:eastAsia="Arial" w:hAnsi="Arial"/>
          <w:sz w:val="16"/>
          <w:szCs w:val="16"/>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31750</wp:posOffset>
            </wp:positionV>
            <wp:extent cx="37820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3"/>
    </w:lvl>
  </w:abstractNum>
  <w:abstractNum w:abstractNumId="4">
    <w:nsid w:val="41A7C4C9"/>
    <w:multiLevelType w:val="hybridMultilevel"/>
    <w:lvl w:ilvl="0">
      <w:lvlJc w:val="left"/>
      <w:lvlText w:val="%1."/>
      <w:numFmt w:val="upperLetter"/>
      <w:start w:val="4"/>
    </w:lvl>
  </w:abstractNum>
  <w:abstractNum w:abstractNumId="5">
    <w:nsid w:val="6B68079A"/>
    <w:multiLevelType w:val="hybridMultilevel"/>
    <w:lvl w:ilvl="0">
      <w:lvlJc w:val="left"/>
      <w:lvlText w:val="%1."/>
      <w:numFmt w:val="upperLetter"/>
      <w:start w:val="6"/>
    </w:lvl>
  </w:abstractNum>
  <w:abstractNum w:abstractNumId="6">
    <w:nsid w:val="4E6AFB66"/>
    <w:multiLevelType w:val="hybridMultilevel"/>
    <w:lvl w:ilvl="0">
      <w:lvlJc w:val="left"/>
      <w:lvlText w:val="%1."/>
      <w:numFmt w:val="upperLetter"/>
      <w:start w:val="7"/>
    </w:lvl>
  </w:abstractNum>
  <w:abstractNum w:abstractNumId="7">
    <w:nsid w:val="25E45D32"/>
    <w:multiLevelType w:val="hybridMultilevel"/>
    <w:lvl w:ilvl="0">
      <w:lvlJc w:val="left"/>
      <w:lvlText w:val="%1."/>
      <w:numFmt w:val="upperLetter"/>
      <w:start w:val="8"/>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31"/>
    </w:lvl>
    <w:lvl w:ilvl="1">
      <w:lvlJc w:val="left"/>
      <w:lvlText w:val="(%2)"/>
      <w:numFmt w:val="lowerLetter"/>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31"/>
    </w:lvl>
    <w:lvl w:ilvl="1">
      <w:lvlJc w:val="left"/>
      <w:lvlText w:val="(%2)"/>
      <w:numFmt w:val="lowerLetter"/>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2019-12-29T17:04:28Z</dcterms:created>
  <dcterms:modified xsi:type="dcterms:W3CDTF">2019-12-29T17:04:28Z</dcterms:modified>
</cp:coreProperties>
</file>