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491490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t>UNITED STATES</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February 21, 2023</w:t>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UFP INDUSTRIES, INC.</w:t>
      </w:r>
    </w:p>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76" w:lineRule="exact"/>
        <w:rPr>
          <w:sz w:val="24"/>
          <w:szCs w:val="24"/>
          <w:color w:val="auto"/>
        </w:rPr>
      </w:pPr>
    </w:p>
    <w:tbl>
      <w:tblPr>
        <w:tblLayout w:type="fixed"/>
        <w:tblInd w:w="440" w:type="dxa"/>
        <w:tblCellMar>
          <w:top w:w="0" w:type="dxa"/>
          <w:left w:w="0" w:type="dxa"/>
          <w:bottom w:w="0" w:type="dxa"/>
          <w:right w:w="0" w:type="dxa"/>
        </w:tblCellMar>
      </w:tblPr>
      <w:tr>
        <w:trPr>
          <w:trHeight w:val="221"/>
        </w:trPr>
        <w:tc>
          <w:tcPr>
            <w:tcW w:w="2600" w:type="dxa"/>
            <w:vAlign w:val="bottom"/>
          </w:tcPr>
          <w:p>
            <w:pPr>
              <w:jc w:val="center"/>
              <w:ind w:right="350"/>
              <w:spacing w:after="0"/>
              <w:rPr>
                <w:sz w:val="20"/>
                <w:szCs w:val="20"/>
                <w:color w:val="auto"/>
              </w:rPr>
            </w:pPr>
            <w:r>
              <w:rPr>
                <w:rFonts w:ascii="Arial" w:cs="Arial" w:eastAsia="Arial" w:hAnsi="Arial"/>
                <w:sz w:val="18"/>
                <w:szCs w:val="18"/>
                <w:b w:val="1"/>
                <w:bCs w:val="1"/>
                <w:color w:val="auto"/>
                <w:w w:val="92"/>
              </w:rPr>
              <w:t>Michigan</w:t>
            </w:r>
          </w:p>
        </w:tc>
        <w:tc>
          <w:tcPr>
            <w:tcW w:w="280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17"/>
        </w:trPr>
        <w:tc>
          <w:tcPr>
            <w:tcW w:w="2600" w:type="dxa"/>
            <w:vAlign w:val="bottom"/>
          </w:tcPr>
          <w:p>
            <w:pPr>
              <w:jc w:val="center"/>
              <w:ind w:right="350"/>
              <w:spacing w:after="0"/>
              <w:rPr>
                <w:sz w:val="20"/>
                <w:szCs w:val="20"/>
                <w:color w:val="auto"/>
              </w:rPr>
            </w:pPr>
            <w:r>
              <w:rPr>
                <w:rFonts w:ascii="Arial" w:cs="Arial" w:eastAsia="Arial" w:hAnsi="Arial"/>
                <w:sz w:val="18"/>
                <w:szCs w:val="18"/>
                <w:color w:val="auto"/>
                <w:w w:val="92"/>
              </w:rPr>
              <w:t>(State or other Jurisdiction of</w:t>
            </w:r>
          </w:p>
        </w:tc>
        <w:tc>
          <w:tcPr>
            <w:tcW w:w="2800" w:type="dxa"/>
            <w:vAlign w:val="bottom"/>
          </w:tcPr>
          <w:p>
            <w:pPr>
              <w:jc w:val="right"/>
              <w:ind w:right="970"/>
              <w:spacing w:after="0"/>
              <w:rPr>
                <w:sz w:val="20"/>
                <w:szCs w:val="20"/>
                <w:color w:val="auto"/>
              </w:rPr>
            </w:pPr>
            <w:r>
              <w:rPr>
                <w:rFonts w:ascii="Arial" w:cs="Arial" w:eastAsia="Arial" w:hAnsi="Arial"/>
                <w:sz w:val="18"/>
                <w:szCs w:val="18"/>
                <w:b w:val="1"/>
                <w:bCs w:val="1"/>
                <w:color w:val="auto"/>
              </w:rPr>
              <w:t>0-22684</w:t>
            </w:r>
          </w:p>
        </w:tc>
        <w:tc>
          <w:tcPr>
            <w:tcW w:w="2860" w:type="dxa"/>
            <w:vAlign w:val="bottom"/>
          </w:tcPr>
          <w:p>
            <w:pPr>
              <w:jc w:val="right"/>
              <w:ind w:right="710"/>
              <w:spacing w:after="0"/>
              <w:rPr>
                <w:sz w:val="20"/>
                <w:szCs w:val="20"/>
                <w:color w:val="auto"/>
              </w:rPr>
            </w:pPr>
            <w:r>
              <w:rPr>
                <w:rFonts w:ascii="Arial" w:cs="Arial" w:eastAsia="Arial" w:hAnsi="Arial"/>
                <w:sz w:val="18"/>
                <w:szCs w:val="18"/>
                <w:b w:val="1"/>
                <w:bCs w:val="1"/>
                <w:color w:val="auto"/>
              </w:rPr>
              <w:t>38-1465835</w:t>
            </w:r>
          </w:p>
        </w:tc>
      </w:tr>
      <w:tr>
        <w:trPr>
          <w:trHeight w:val="270"/>
        </w:trPr>
        <w:tc>
          <w:tcPr>
            <w:tcW w:w="2600" w:type="dxa"/>
            <w:vAlign w:val="bottom"/>
          </w:tcPr>
          <w:p>
            <w:pPr>
              <w:jc w:val="center"/>
              <w:ind w:right="350"/>
              <w:spacing w:after="0"/>
              <w:rPr>
                <w:sz w:val="20"/>
                <w:szCs w:val="20"/>
                <w:color w:val="auto"/>
              </w:rPr>
            </w:pPr>
            <w:r>
              <w:rPr>
                <w:rFonts w:ascii="Arial" w:cs="Arial" w:eastAsia="Arial" w:hAnsi="Arial"/>
                <w:sz w:val="18"/>
                <w:szCs w:val="18"/>
                <w:color w:val="auto"/>
                <w:w w:val="93"/>
              </w:rPr>
              <w:t>Incorporation)</w:t>
            </w:r>
          </w:p>
        </w:tc>
        <w:tc>
          <w:tcPr>
            <w:tcW w:w="280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860" w:type="dxa"/>
            <w:vAlign w:val="bottom"/>
          </w:tcPr>
          <w:p>
            <w:pPr>
              <w:jc w:val="center"/>
              <w:ind w:left="290"/>
              <w:spacing w:after="0"/>
              <w:rPr>
                <w:sz w:val="20"/>
                <w:szCs w:val="20"/>
                <w:color w:val="auto"/>
              </w:rPr>
            </w:pPr>
            <w:r>
              <w:rPr>
                <w:rFonts w:ascii="Arial" w:cs="Arial" w:eastAsia="Arial" w:hAnsi="Arial"/>
                <w:sz w:val="18"/>
                <w:szCs w:val="18"/>
                <w:color w:val="auto"/>
                <w:w w:val="94"/>
              </w:rPr>
              <w:t>(IRS Employer Identification No.)</w:t>
            </w:r>
          </w:p>
        </w:tc>
      </w:tr>
      <w:tr>
        <w:trPr>
          <w:trHeight w:val="485"/>
        </w:trPr>
        <w:tc>
          <w:tcPr>
            <w:tcW w:w="5400" w:type="dxa"/>
            <w:vAlign w:val="bottom"/>
            <w:gridSpan w:val="2"/>
          </w:tcPr>
          <w:p>
            <w:pPr>
              <w:jc w:val="center"/>
              <w:ind w:right="1630"/>
              <w:spacing w:after="0"/>
              <w:rPr>
                <w:sz w:val="20"/>
                <w:szCs w:val="20"/>
                <w:color w:val="auto"/>
              </w:rPr>
            </w:pPr>
            <w:r>
              <w:rPr>
                <w:rFonts w:ascii="Arial" w:cs="Arial" w:eastAsia="Arial" w:hAnsi="Arial"/>
                <w:sz w:val="18"/>
                <w:szCs w:val="18"/>
                <w:b w:val="1"/>
                <w:bCs w:val="1"/>
                <w:color w:val="auto"/>
                <w:w w:val="92"/>
              </w:rPr>
              <w:t>2801 East Beltline, NE Grand Rapids, Michigan</w:t>
            </w:r>
          </w:p>
        </w:tc>
        <w:tc>
          <w:tcPr>
            <w:tcW w:w="2860" w:type="dxa"/>
            <w:vAlign w:val="bottom"/>
          </w:tcPr>
          <w:p>
            <w:pPr>
              <w:jc w:val="right"/>
              <w:ind w:right="1630"/>
              <w:spacing w:after="0"/>
              <w:rPr>
                <w:sz w:val="20"/>
                <w:szCs w:val="20"/>
                <w:color w:val="auto"/>
              </w:rPr>
            </w:pPr>
            <w:r>
              <w:rPr>
                <w:rFonts w:ascii="Arial" w:cs="Arial" w:eastAsia="Arial" w:hAnsi="Arial"/>
                <w:sz w:val="18"/>
                <w:szCs w:val="18"/>
                <w:b w:val="1"/>
                <w:bCs w:val="1"/>
                <w:color w:val="auto"/>
              </w:rPr>
              <w:t>49525</w:t>
            </w:r>
          </w:p>
        </w:tc>
      </w:tr>
      <w:tr>
        <w:trPr>
          <w:trHeight w:val="230"/>
        </w:trPr>
        <w:tc>
          <w:tcPr>
            <w:tcW w:w="5400" w:type="dxa"/>
            <w:vAlign w:val="bottom"/>
            <w:gridSpan w:val="2"/>
          </w:tcPr>
          <w:p>
            <w:pPr>
              <w:jc w:val="center"/>
              <w:ind w:right="1630"/>
              <w:spacing w:after="0"/>
              <w:rPr>
                <w:sz w:val="20"/>
                <w:szCs w:val="20"/>
                <w:color w:val="auto"/>
              </w:rPr>
            </w:pPr>
            <w:r>
              <w:rPr>
                <w:rFonts w:ascii="Arial" w:cs="Arial" w:eastAsia="Arial" w:hAnsi="Arial"/>
                <w:sz w:val="18"/>
                <w:szCs w:val="18"/>
                <w:color w:val="auto"/>
                <w:w w:val="92"/>
              </w:rPr>
              <w:t>(Address of Principal Executive Offices)</w:t>
            </w:r>
          </w:p>
        </w:tc>
        <w:tc>
          <w:tcPr>
            <w:tcW w:w="2860" w:type="dxa"/>
            <w:vAlign w:val="bottom"/>
          </w:tcPr>
          <w:p>
            <w:pPr>
              <w:jc w:val="center"/>
              <w:ind w:right="930"/>
              <w:spacing w:after="0"/>
              <w:rPr>
                <w:sz w:val="20"/>
                <w:szCs w:val="20"/>
                <w:color w:val="auto"/>
              </w:rPr>
            </w:pPr>
            <w:r>
              <w:rPr>
                <w:rFonts w:ascii="Arial" w:cs="Arial" w:eastAsia="Arial" w:hAnsi="Arial"/>
                <w:sz w:val="18"/>
                <w:szCs w:val="18"/>
                <w:color w:val="auto"/>
                <w:w w:val="94"/>
              </w:rPr>
              <w:t>(Zip Code)</w:t>
            </w:r>
          </w:p>
        </w:tc>
      </w:tr>
    </w:tbl>
    <w:p>
      <w:pPr>
        <w:spacing w:after="0" w:line="171" w:lineRule="exact"/>
        <w:rPr>
          <w:sz w:val="24"/>
          <w:szCs w:val="24"/>
          <w:color w:val="auto"/>
        </w:rPr>
      </w:pPr>
    </w:p>
    <w:p>
      <w:pPr>
        <w:ind w:left="20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(616) 364-6161</w:t>
      </w:r>
    </w:p>
    <w:p>
      <w:pPr>
        <w:spacing w:after="0" w:line="144" w:lineRule="exact"/>
        <w:rPr>
          <w:sz w:val="24"/>
          <w:szCs w:val="24"/>
          <w:color w:val="auto"/>
        </w:rPr>
      </w:pPr>
    </w:p>
    <w:p>
      <w:pPr>
        <w:ind w:left="4300"/>
        <w:spacing w:after="0"/>
        <w:rPr>
          <w:sz w:val="20"/>
          <w:szCs w:val="20"/>
          <w:color w:val="auto"/>
        </w:rPr>
      </w:pPr>
      <w:r>
        <w:rPr>
          <w:rFonts w:ascii="Arial" w:cs="Arial" w:eastAsia="Arial" w:hAnsi="Arial"/>
          <w:sz w:val="18"/>
          <w:szCs w:val="18"/>
          <w:b w:val="1"/>
          <w:bCs w:val="1"/>
          <w:color w:val="auto"/>
        </w:rPr>
        <w:t>None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57" w:lineRule="exact"/>
        <w:rPr>
          <w:sz w:val="24"/>
          <w:szCs w:val="24"/>
          <w:color w:val="auto"/>
        </w:rPr>
      </w:pPr>
    </w:p>
    <w:p>
      <w:pPr>
        <w:ind w:left="60" w:right="79"/>
        <w:spacing w:after="0" w:line="31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4" w:lineRule="exact"/>
        <w:rPr>
          <w:sz w:val="24"/>
          <w:szCs w:val="24"/>
          <w:color w:val="auto"/>
        </w:rPr>
      </w:pPr>
    </w:p>
    <w:p>
      <w:pPr>
        <w:ind w:left="560" w:hanging="510"/>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580" w:hanging="530"/>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580" w:hanging="530"/>
        <w:spacing w:after="0"/>
        <w:tabs>
          <w:tab w:leader="none" w:pos="5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26" w:lineRule="exact"/>
        <w:rPr>
          <w:rFonts w:ascii="MS PGothic" w:cs="MS PGothic" w:eastAsia="MS PGothic" w:hAnsi="MS PGothic"/>
          <w:sz w:val="16"/>
          <w:szCs w:val="16"/>
          <w:color w:val="auto"/>
        </w:rPr>
      </w:pPr>
    </w:p>
    <w:p>
      <w:pPr>
        <w:ind w:left="60" w:right="359" w:hanging="10"/>
        <w:spacing w:after="0" w:line="376" w:lineRule="auto"/>
        <w:tabs>
          <w:tab w:leader="none" w:pos="58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195"/>
        </w:trPr>
        <w:tc>
          <w:tcPr>
            <w:tcW w:w="3140" w:type="dxa"/>
            <w:vAlign w:val="bottom"/>
            <w:tcBorders>
              <w:top w:val="single" w:sz="8" w:color="auto"/>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Title of each class</w:t>
            </w:r>
          </w:p>
        </w:tc>
        <w:tc>
          <w:tcPr>
            <w:tcW w:w="2660" w:type="dxa"/>
            <w:vAlign w:val="bottom"/>
            <w:tcBorders>
              <w:top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Trading Symbol(s)</w:t>
            </w:r>
          </w:p>
        </w:tc>
        <w:tc>
          <w:tcPr>
            <w:tcW w:w="3120" w:type="dxa"/>
            <w:vAlign w:val="bottom"/>
            <w:tcBorders>
              <w:top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Name of each exchange on which</w:t>
            </w:r>
          </w:p>
        </w:tc>
      </w:tr>
      <w:tr>
        <w:trPr>
          <w:trHeight w:val="230"/>
        </w:trPr>
        <w:tc>
          <w:tcPr>
            <w:tcW w:w="3140" w:type="dxa"/>
            <w:vAlign w:val="bottom"/>
            <w:tcBorders>
              <w:left w:val="single" w:sz="8" w:color="auto"/>
              <w:bottom w:val="single" w:sz="8" w:color="auto"/>
              <w:right w:val="single" w:sz="8" w:color="auto"/>
            </w:tcBorders>
          </w:tcPr>
          <w:p>
            <w:pPr>
              <w:spacing w:after="0"/>
              <w:rPr>
                <w:sz w:val="20"/>
                <w:szCs w:val="20"/>
                <w:color w:val="auto"/>
              </w:rPr>
            </w:pPr>
          </w:p>
        </w:tc>
        <w:tc>
          <w:tcPr>
            <w:tcW w:w="266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registered</w:t>
            </w:r>
          </w:p>
        </w:tc>
      </w:tr>
      <w:tr>
        <w:trPr>
          <w:trHeight w:val="210"/>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UFPI</w:t>
            </w:r>
          </w:p>
        </w:tc>
        <w:tc>
          <w:tcPr>
            <w:tcW w:w="3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202" w:lineRule="exact"/>
        <w:rPr>
          <w:sz w:val="24"/>
          <w:szCs w:val="24"/>
          <w:color w:val="auto"/>
        </w:rPr>
      </w:pPr>
    </w:p>
    <w:p>
      <w:pPr>
        <w:ind w:left="60" w:right="119"/>
        <w:spacing w:after="0" w:line="32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ind w:left="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6" w:lineRule="exact"/>
        <w:rPr>
          <w:sz w:val="24"/>
          <w:szCs w:val="24"/>
          <w:color w:val="auto"/>
        </w:rPr>
      </w:pPr>
    </w:p>
    <w:p>
      <w:pPr>
        <w:jc w:val="both"/>
        <w:ind w:left="60" w:right="439"/>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588645</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48260</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82550</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13" w:right="1440" w:bottom="1440" w:gutter="0" w:footer="0" w:header="0"/>
        </w:sectPr>
      </w:pPr>
    </w:p>
    <w:bookmarkStart w:id="1" w:name="page2"/>
    <w:bookmarkEnd w:id="1"/>
    <w:p>
      <w:pPr>
        <w:ind w:left="60"/>
        <w:spacing w:after="0"/>
        <w:tabs>
          <w:tab w:leader="none" w:pos="11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left="60" w:right="79"/>
        <w:spacing w:after="0" w:line="308" w:lineRule="auto"/>
        <w:rPr>
          <w:sz w:val="20"/>
          <w:szCs w:val="20"/>
          <w:color w:val="auto"/>
        </w:rPr>
      </w:pPr>
      <w:r>
        <w:rPr>
          <w:rFonts w:ascii="Arial" w:cs="Arial" w:eastAsia="Arial" w:hAnsi="Arial"/>
          <w:sz w:val="17"/>
          <w:szCs w:val="17"/>
          <w:color w:val="auto"/>
        </w:rPr>
        <w:t>On February 21, 2023, the Registrant issued a press release announcing its financial results for the quarter-ended December 31, 2022. A copy of the Registrant’s press release is attached as Exhibit 99(a) to this Current Report.</w:t>
      </w:r>
    </w:p>
    <w:p>
      <w:pPr>
        <w:spacing w:after="0" w:line="142"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Pro Forma Financial Information, and Exhibits</w:t>
      </w:r>
    </w:p>
    <w:p>
      <w:pPr>
        <w:spacing w:after="0" w:line="324" w:lineRule="exact"/>
        <w:rPr>
          <w:sz w:val="20"/>
          <w:szCs w:val="20"/>
          <w:color w:val="auto"/>
        </w:rPr>
      </w:pPr>
    </w:p>
    <w:p>
      <w:pPr>
        <w:ind w:left="1280" w:hanging="582"/>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9" w:lineRule="exact"/>
        <w:rPr>
          <w:sz w:val="20"/>
          <w:szCs w:val="20"/>
          <w:color w:val="auto"/>
        </w:rPr>
      </w:pPr>
    </w:p>
    <w:p>
      <w:pPr>
        <w:ind w:left="700"/>
        <w:spacing w:after="0"/>
        <w:tabs>
          <w:tab w:leader="none" w:pos="1260" w:val="left"/>
        </w:tabs>
        <w:rPr>
          <w:sz w:val="20"/>
          <w:szCs w:val="20"/>
          <w:color w:val="auto"/>
        </w:rPr>
      </w:pPr>
      <w:r>
        <w:rPr>
          <w:rFonts w:ascii="Arial" w:cs="Arial" w:eastAsia="Arial" w:hAnsi="Arial"/>
          <w:sz w:val="18"/>
          <w:szCs w:val="18"/>
          <w:color w:val="auto"/>
        </w:rPr>
        <w:t>99(a)</w:t>
      </w:r>
      <w:r>
        <w:rPr>
          <w:sz w:val="20"/>
          <w:szCs w:val="20"/>
          <w:color w:val="auto"/>
        </w:rPr>
        <w:tab/>
      </w:r>
      <w:r>
        <w:rPr>
          <w:rFonts w:ascii="Arial" w:cs="Arial" w:eastAsia="Arial" w:hAnsi="Arial"/>
          <w:sz w:val="18"/>
          <w:szCs w:val="18"/>
          <w:u w:val="single" w:color="auto"/>
          <w:color w:val="0000EE"/>
        </w:rPr>
        <w:t>Press Release dated February 21, 2023</w:t>
      </w:r>
    </w:p>
    <w:p>
      <w:pPr>
        <w:spacing w:after="0" w:line="225" w:lineRule="exact"/>
        <w:rPr>
          <w:sz w:val="20"/>
          <w:szCs w:val="20"/>
          <w:color w:val="auto"/>
        </w:rPr>
      </w:pPr>
    </w:p>
    <w:p>
      <w:pPr>
        <w:ind w:left="1280" w:hanging="582"/>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Cover Page Interactive File (the cover page XBRL tags are embedded in the Inline XBRL document).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68" w:lineRule="exact"/>
        <w:rPr>
          <w:rFonts w:ascii="Arial" w:cs="Arial" w:eastAsia="Arial" w:hAnsi="Arial"/>
          <w:sz w:val="17"/>
          <w:szCs w:val="17"/>
          <w:color w:val="auto"/>
        </w:rPr>
      </w:pPr>
    </w:p>
    <w:p>
      <w:pPr>
        <w:ind w:left="4460"/>
        <w:spacing w:after="0"/>
        <w:rPr>
          <w:rFonts w:ascii="Arial" w:cs="Arial" w:eastAsia="Arial" w:hAnsi="Arial"/>
          <w:sz w:val="17"/>
          <w:szCs w:val="17"/>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93" w:right="1440" w:bottom="144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5140" w:type="dxa"/>
            <w:vAlign w:val="bottom"/>
            <w:gridSpan w:val="3"/>
          </w:tcPr>
          <w:p>
            <w:pPr>
              <w:spacing w:after="0"/>
              <w:rPr>
                <w:sz w:val="20"/>
                <w:szCs w:val="20"/>
                <w:color w:val="auto"/>
              </w:rPr>
            </w:pPr>
            <w:r>
              <w:rPr>
                <w:rFonts w:ascii="Arial" w:cs="Arial" w:eastAsia="Arial" w:hAnsi="Arial"/>
                <w:sz w:val="18"/>
                <w:szCs w:val="18"/>
                <w:b w:val="1"/>
                <w:bCs w:val="1"/>
                <w:color w:val="auto"/>
              </w:rPr>
              <w:t>EXHIBIT INDEX</w:t>
            </w:r>
          </w:p>
        </w:tc>
      </w:tr>
      <w:tr>
        <w:trPr>
          <w:trHeight w:val="601"/>
        </w:trPr>
        <w:tc>
          <w:tcPr>
            <w:tcW w:w="14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Number</w:t>
            </w:r>
          </w:p>
        </w:tc>
        <w:tc>
          <w:tcPr>
            <w:tcW w:w="400" w:type="dxa"/>
            <w:vAlign w:val="bottom"/>
          </w:tcPr>
          <w:p>
            <w:pPr>
              <w:spacing w:after="0"/>
              <w:rPr>
                <w:sz w:val="24"/>
                <w:szCs w:val="24"/>
                <w:color w:val="auto"/>
              </w:rPr>
            </w:pPr>
          </w:p>
        </w:tc>
        <w:tc>
          <w:tcPr>
            <w:tcW w:w="1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Document</w:t>
            </w:r>
          </w:p>
        </w:tc>
        <w:tc>
          <w:tcPr>
            <w:tcW w:w="1400" w:type="dxa"/>
            <w:vAlign w:val="bottom"/>
            <w:tcBorders>
              <w:top w:val="single" w:sz="8" w:color="auto"/>
              <w:bottom w:val="single" w:sz="8" w:color="auto"/>
            </w:tcBorders>
            <w:gridSpan w:val="2"/>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r>
        <w:trPr>
          <w:trHeight w:val="290"/>
        </w:trPr>
        <w:tc>
          <w:tcPr>
            <w:tcW w:w="1800" w:type="dxa"/>
            <w:vAlign w:val="bottom"/>
            <w:gridSpan w:val="2"/>
          </w:tcPr>
          <w:p>
            <w:pPr>
              <w:ind w:left="20"/>
              <w:spacing w:after="0"/>
              <w:rPr>
                <w:sz w:val="20"/>
                <w:szCs w:val="20"/>
                <w:color w:val="auto"/>
              </w:rPr>
            </w:pPr>
            <w:r>
              <w:rPr>
                <w:rFonts w:ascii="Arial" w:cs="Arial" w:eastAsia="Arial" w:hAnsi="Arial"/>
                <w:sz w:val="18"/>
                <w:szCs w:val="18"/>
                <w:color w:val="auto"/>
              </w:rPr>
              <w:t>99(a)</w:t>
            </w:r>
          </w:p>
        </w:tc>
        <w:tc>
          <w:tcPr>
            <w:tcW w:w="7100" w:type="dxa"/>
            <w:vAlign w:val="bottom"/>
            <w:gridSpan w:val="4"/>
          </w:tcPr>
          <w:p>
            <w:pPr>
              <w:spacing w:after="0"/>
              <w:rPr>
                <w:sz w:val="20"/>
                <w:szCs w:val="20"/>
                <w:color w:val="auto"/>
              </w:rPr>
            </w:pPr>
            <w:r>
              <w:rPr>
                <w:rFonts w:ascii="Arial" w:cs="Arial" w:eastAsia="Arial" w:hAnsi="Arial"/>
                <w:sz w:val="18"/>
                <w:szCs w:val="18"/>
                <w:color w:val="0000EE"/>
              </w:rPr>
              <w:t>Press Release, dated February 21, 2023.</w:t>
            </w:r>
          </w:p>
        </w:tc>
      </w:tr>
      <w:tr>
        <w:trPr>
          <w:trHeight w:val="20"/>
        </w:trPr>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r>
      <w:tr>
        <w:trPr>
          <w:trHeight w:val="344"/>
        </w:trPr>
        <w:tc>
          <w:tcPr>
            <w:tcW w:w="1400" w:type="dxa"/>
            <w:vAlign w:val="bottom"/>
          </w:tcPr>
          <w:p>
            <w:pPr>
              <w:ind w:left="20"/>
              <w:spacing w:after="0"/>
              <w:rPr>
                <w:sz w:val="20"/>
                <w:szCs w:val="20"/>
                <w:color w:val="auto"/>
              </w:rPr>
            </w:pPr>
            <w:r>
              <w:rPr>
                <w:rFonts w:ascii="Arial" w:cs="Arial" w:eastAsia="Arial" w:hAnsi="Arial"/>
                <w:sz w:val="18"/>
                <w:szCs w:val="18"/>
                <w:color w:val="auto"/>
              </w:rPr>
              <w:t>104</w:t>
            </w:r>
          </w:p>
        </w:tc>
        <w:tc>
          <w:tcPr>
            <w:tcW w:w="400" w:type="dxa"/>
            <w:vAlign w:val="bottom"/>
          </w:tcPr>
          <w:p>
            <w:pPr>
              <w:spacing w:after="0"/>
              <w:rPr>
                <w:sz w:val="24"/>
                <w:szCs w:val="24"/>
                <w:color w:val="auto"/>
              </w:rPr>
            </w:pPr>
          </w:p>
        </w:tc>
        <w:tc>
          <w:tcPr>
            <w:tcW w:w="7100" w:type="dxa"/>
            <w:vAlign w:val="bottom"/>
            <w:gridSpan w:val="4"/>
          </w:tcPr>
          <w:p>
            <w:pPr>
              <w:spacing w:after="0"/>
              <w:rPr>
                <w:sz w:val="20"/>
                <w:szCs w:val="20"/>
                <w:color w:val="auto"/>
              </w:rPr>
            </w:pPr>
            <w:r>
              <w:rPr>
                <w:rFonts w:ascii="Arial" w:cs="Arial" w:eastAsia="Arial" w:hAnsi="Arial"/>
                <w:sz w:val="18"/>
                <w:szCs w:val="18"/>
                <w:color w:val="auto"/>
                <w:w w:val="94"/>
              </w:rPr>
              <w:t>Cover Page Interactive Data File (the cover page XBRL tags are embedded in the Inline XBRL</w:t>
            </w:r>
          </w:p>
        </w:tc>
      </w:tr>
      <w:tr>
        <w:trPr>
          <w:trHeight w:val="230"/>
        </w:trPr>
        <w:tc>
          <w:tcPr>
            <w:tcW w:w="1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100" w:type="dxa"/>
            <w:vAlign w:val="bottom"/>
            <w:gridSpan w:val="4"/>
          </w:tcPr>
          <w:p>
            <w:pPr>
              <w:spacing w:after="0"/>
              <w:rPr>
                <w:sz w:val="20"/>
                <w:szCs w:val="20"/>
                <w:color w:val="auto"/>
              </w:rPr>
            </w:pPr>
            <w:r>
              <w:rPr>
                <w:rFonts w:ascii="Arial" w:cs="Arial" w:eastAsia="Arial" w:hAnsi="Arial"/>
                <w:sz w:val="18"/>
                <w:szCs w:val="18"/>
                <w:color w:val="auto"/>
              </w:rPr>
              <w:t>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310" w:lineRule="exact"/>
        <w:rPr>
          <w:sz w:val="20"/>
          <w:szCs w:val="20"/>
          <w:color w:val="auto"/>
        </w:rPr>
      </w:pPr>
    </w:p>
    <w:p>
      <w:pPr>
        <w:ind w:left="60" w:right="79"/>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p>
        </w:tc>
        <w:tc>
          <w:tcPr>
            <w:tcW w:w="4700" w:type="dxa"/>
            <w:vAlign w:val="bottom"/>
            <w:gridSpan w:val="2"/>
          </w:tcPr>
          <w:p>
            <w:pPr>
              <w:ind w:left="1240"/>
              <w:spacing w:after="0"/>
              <w:rPr>
                <w:sz w:val="20"/>
                <w:szCs w:val="20"/>
                <w:color w:val="auto"/>
              </w:rPr>
            </w:pPr>
            <w:r>
              <w:rPr>
                <w:rFonts w:ascii="Arial" w:cs="Arial" w:eastAsia="Arial" w:hAnsi="Arial"/>
                <w:sz w:val="18"/>
                <w:szCs w:val="18"/>
                <w:color w:val="auto"/>
              </w:rPr>
              <w:t>UNIVERSAL FOREST PRODUCTS, INC.</w:t>
            </w:r>
          </w:p>
        </w:tc>
      </w:tr>
      <w:tr>
        <w:trPr>
          <w:trHeight w:val="256"/>
        </w:trPr>
        <w:tc>
          <w:tcPr>
            <w:tcW w:w="30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3100" w:type="dxa"/>
            <w:vAlign w:val="bottom"/>
          </w:tcPr>
          <w:p>
            <w:pPr>
              <w:ind w:left="940"/>
              <w:spacing w:after="0"/>
              <w:rPr>
                <w:sz w:val="20"/>
                <w:szCs w:val="20"/>
                <w:color w:val="auto"/>
              </w:rPr>
            </w:pPr>
            <w:r>
              <w:rPr>
                <w:rFonts w:ascii="Arial" w:cs="Arial" w:eastAsia="Arial" w:hAnsi="Arial"/>
                <w:sz w:val="18"/>
                <w:szCs w:val="18"/>
                <w:color w:val="auto"/>
              </w:rPr>
              <w:t>(Registrant)</w:t>
            </w:r>
          </w:p>
        </w:tc>
      </w:tr>
      <w:tr>
        <w:trPr>
          <w:trHeight w:val="513"/>
        </w:trPr>
        <w:tc>
          <w:tcPr>
            <w:tcW w:w="3080" w:type="dxa"/>
            <w:vAlign w:val="bottom"/>
          </w:tcPr>
          <w:p>
            <w:pPr>
              <w:spacing w:after="0"/>
              <w:rPr>
                <w:sz w:val="20"/>
                <w:szCs w:val="20"/>
                <w:color w:val="auto"/>
              </w:rPr>
            </w:pPr>
            <w:r>
              <w:rPr>
                <w:rFonts w:ascii="Arial" w:cs="Arial" w:eastAsia="Arial" w:hAnsi="Arial"/>
                <w:sz w:val="18"/>
                <w:szCs w:val="18"/>
                <w:color w:val="auto"/>
              </w:rPr>
              <w:t>Dated: February 21, 2023</w:t>
            </w:r>
          </w:p>
        </w:tc>
        <w:tc>
          <w:tcPr>
            <w:tcW w:w="4700" w:type="dxa"/>
            <w:vAlign w:val="bottom"/>
            <w:gridSpan w:val="2"/>
          </w:tcPr>
          <w:p>
            <w:pPr>
              <w:ind w:left="1240"/>
              <w:spacing w:after="0"/>
              <w:rPr>
                <w:sz w:val="20"/>
                <w:szCs w:val="20"/>
                <w:color w:val="auto"/>
              </w:rPr>
            </w:pPr>
            <w:r>
              <w:rPr>
                <w:rFonts w:ascii="Arial" w:cs="Arial" w:eastAsia="Arial" w:hAnsi="Arial"/>
                <w:sz w:val="18"/>
                <w:szCs w:val="18"/>
                <w:color w:val="auto"/>
              </w:rPr>
              <w:t>By:  /s/ Michael R. Cole</w:t>
            </w:r>
          </w:p>
        </w:tc>
      </w:tr>
      <w:tr>
        <w:trPr>
          <w:trHeight w:val="40"/>
        </w:trPr>
        <w:tc>
          <w:tcPr>
            <w:tcW w:w="30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r>
      <w:tr>
        <w:trPr>
          <w:trHeight w:val="222"/>
        </w:trPr>
        <w:tc>
          <w:tcPr>
            <w:tcW w:w="30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rPr>
              <w:t>Michael R. Cole</w:t>
            </w:r>
          </w:p>
        </w:tc>
      </w:tr>
      <w:tr>
        <w:trPr>
          <w:trHeight w:val="230"/>
        </w:trPr>
        <w:tc>
          <w:tcPr>
            <w:tcW w:w="30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w w:val="93"/>
              </w:rPr>
              <w:t>Principal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0" w:right="1440"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UFP Industries,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142875</wp:posOffset>
            </wp:positionV>
            <wp:extent cx="6497955"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5143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154305</wp:posOffset>
            </wp:positionV>
            <wp:extent cx="2632075" cy="4540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3207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20"/>
        <w:spacing w:after="0"/>
        <w:rPr>
          <w:sz w:val="20"/>
          <w:szCs w:val="20"/>
          <w:color w:val="auto"/>
        </w:rPr>
      </w:pPr>
      <w:r>
        <w:rPr>
          <w:rFonts w:ascii="Arial" w:cs="Arial" w:eastAsia="Arial" w:hAnsi="Arial"/>
          <w:sz w:val="29"/>
          <w:szCs w:val="29"/>
          <w:b w:val="1"/>
          <w:bCs w:val="1"/>
          <w:color w:val="auto"/>
        </w:rPr>
        <w:t>News release</w:t>
      </w:r>
    </w:p>
    <w:p>
      <w:pPr>
        <w:spacing w:after="0" w:line="24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---------------AT THE COMPANY---------------</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Dick Gauthier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VP of Investor Relations</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(616) 365-1555</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auto"/>
        </w:rPr>
        <w:t>FOR IMMEDIATE RELEASE</w:t>
      </w:r>
    </w:p>
    <w:p>
      <w:pPr>
        <w:spacing w:after="0" w:line="22"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auto"/>
        </w:rPr>
        <w:t>Tuesday, February 21, 2023</w:t>
      </w:r>
    </w:p>
    <w:p>
      <w:pPr>
        <w:spacing w:after="0" w:line="200" w:lineRule="exact"/>
        <w:rPr>
          <w:sz w:val="20"/>
          <w:szCs w:val="20"/>
          <w:color w:val="auto"/>
        </w:rPr>
      </w:pPr>
    </w:p>
    <w:p>
      <w:pPr>
        <w:spacing w:after="0" w:line="25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UFP Industries Announces Fourth Quarter and Fiscal 2022 Results</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Full year net sales increase 11 percent and earnings per share increase 28 percent</w:t>
      </w:r>
    </w:p>
    <w:p>
      <w:pPr>
        <w:spacing w:after="0" w:line="265" w:lineRule="exact"/>
        <w:rPr>
          <w:sz w:val="20"/>
          <w:szCs w:val="20"/>
          <w:color w:val="auto"/>
        </w:rPr>
      </w:pPr>
    </w:p>
    <w:p>
      <w:pPr>
        <w:ind w:left="320" w:right="180"/>
        <w:spacing w:after="0" w:line="379" w:lineRule="auto"/>
        <w:rPr>
          <w:sz w:val="20"/>
          <w:szCs w:val="20"/>
          <w:color w:val="auto"/>
        </w:rPr>
      </w:pPr>
      <w:r>
        <w:rPr>
          <w:rFonts w:ascii="Arial" w:cs="Arial" w:eastAsia="Arial" w:hAnsi="Arial"/>
          <w:sz w:val="18"/>
          <w:szCs w:val="18"/>
          <w:color w:val="auto"/>
        </w:rPr>
        <w:t>GRAND RAPIDS, Mich., Tuesday, Feb. 21, 2023 – UFP Industries, Inc. (Nasdaq: UFPI) today announced net sales of $1.9 billion, net earnings attributable to controlling interest of $133 million, and earnings per diluted share of $2.10 for the fourth quarter of 2022. The company also announced a record $9.6 billion in net sales for fiscal 2022, an 11 percent increase over 2021, and record 2022 earnings per diluted share of $10.97, a 28 percent increase over the previous year.</w:t>
      </w:r>
    </w:p>
    <w:p>
      <w:pPr>
        <w:spacing w:after="0" w:line="191" w:lineRule="exact"/>
        <w:rPr>
          <w:sz w:val="20"/>
          <w:szCs w:val="20"/>
          <w:color w:val="auto"/>
        </w:rPr>
      </w:pPr>
    </w:p>
    <w:p>
      <w:pPr>
        <w:ind w:left="320" w:right="140"/>
        <w:spacing w:after="0" w:line="403" w:lineRule="auto"/>
        <w:rPr>
          <w:sz w:val="20"/>
          <w:szCs w:val="20"/>
          <w:color w:val="auto"/>
        </w:rPr>
      </w:pPr>
      <w:r>
        <w:rPr>
          <w:rFonts w:ascii="Arial" w:cs="Arial" w:eastAsia="Arial" w:hAnsi="Arial"/>
          <w:sz w:val="17"/>
          <w:szCs w:val="17"/>
          <w:color w:val="auto"/>
        </w:rPr>
        <w:t>“As we celebrate record results for 2022, we also turn toward a cooling housing market and softening economy with determination and conviction,” said Chairman and CEO Matthew J. Missad. “Importantly, our strong balance sheet enables us to remain on offense during periods of economic uncertainty and invest in new product innovation and in markets with significant long-term value potential. Our balanced business model continues to prove its advantage by giving us the flexibility to adjust to market fluctuations and allocate resources where we see the greatest return across our diverse and complementary markets. We see opportunities in challenging times, and, as in the past, we plan to take advantage of them in 2023.</w:t>
      </w:r>
    </w:p>
    <w:p>
      <w:pPr>
        <w:spacing w:after="0" w:line="177" w:lineRule="exact"/>
        <w:rPr>
          <w:sz w:val="20"/>
          <w:szCs w:val="20"/>
          <w:color w:val="auto"/>
        </w:rPr>
      </w:pPr>
    </w:p>
    <w:p>
      <w:pPr>
        <w:ind w:left="320" w:right="180"/>
        <w:spacing w:after="0" w:line="402" w:lineRule="auto"/>
        <w:rPr>
          <w:sz w:val="20"/>
          <w:szCs w:val="20"/>
          <w:color w:val="auto"/>
        </w:rPr>
      </w:pPr>
      <w:r>
        <w:rPr>
          <w:rFonts w:ascii="Arial" w:cs="Arial" w:eastAsia="Arial" w:hAnsi="Arial"/>
          <w:sz w:val="18"/>
          <w:szCs w:val="18"/>
          <w:color w:val="auto"/>
        </w:rPr>
        <w:t>“To recognize the hard work of our teammates in 2022, we provided significant wage increases and will pay our production and hourly employees more than $60 million in bonuses and other extra compensation.”</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Fourth Quarter 2022 Highlights (comparisons on a year-over-year basis):</w:t>
      </w:r>
    </w:p>
    <w:p>
      <w:pPr>
        <w:spacing w:after="0" w:line="229" w:lineRule="exact"/>
        <w:rPr>
          <w:sz w:val="20"/>
          <w:szCs w:val="20"/>
          <w:color w:val="auto"/>
        </w:rPr>
      </w:pPr>
    </w:p>
    <w:p>
      <w:pPr>
        <w:ind w:left="960" w:right="200" w:hanging="322"/>
        <w:spacing w:after="0" w:line="375"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sales of $1.91 billion decreased 5 percent due to a 10 percent decrease in organic unit sales, a 4 percent increase in prices, and a 1 percent increase from acquisitions.</w:t>
      </w:r>
    </w:p>
    <w:p>
      <w:pPr>
        <w:spacing w:after="0" w:line="1" w:lineRule="exact"/>
        <w:rPr>
          <w:rFonts w:ascii="Arial" w:cs="Arial" w:eastAsia="Arial" w:hAnsi="Arial"/>
          <w:sz w:val="18"/>
          <w:szCs w:val="18"/>
          <w:color w:val="auto"/>
        </w:rPr>
      </w:pPr>
    </w:p>
    <w:p>
      <w:pPr>
        <w:ind w:left="960" w:hanging="32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product sales of $164 million increased 36 percent.</w:t>
      </w:r>
    </w:p>
    <w:p>
      <w:pPr>
        <w:spacing w:after="0" w:line="117" w:lineRule="exact"/>
        <w:rPr>
          <w:rFonts w:ascii="Arial" w:cs="Arial" w:eastAsia="Arial" w:hAnsi="Arial"/>
          <w:sz w:val="18"/>
          <w:szCs w:val="18"/>
          <w:color w:val="auto"/>
        </w:rPr>
      </w:pPr>
    </w:p>
    <w:p>
      <w:pPr>
        <w:ind w:left="960" w:hanging="32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Earnings from operations of $169 million decreased 14 percent.</w:t>
      </w:r>
    </w:p>
    <w:p>
      <w:pPr>
        <w:spacing w:after="0" w:line="117" w:lineRule="exact"/>
        <w:rPr>
          <w:rFonts w:ascii="Arial" w:cs="Arial" w:eastAsia="Arial" w:hAnsi="Arial"/>
          <w:sz w:val="18"/>
          <w:szCs w:val="18"/>
          <w:color w:val="auto"/>
        </w:rPr>
      </w:pPr>
    </w:p>
    <w:p>
      <w:pPr>
        <w:ind w:left="960" w:right="360" w:hanging="322"/>
        <w:spacing w:after="0" w:line="402"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 of $213 million decreased 5 percent from the record performance during the same period of 2021, while adjusted EBITDA margin remained unchanged at 11.1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288925</wp:posOffset>
            </wp:positionV>
            <wp:extent cx="64979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121" w:right="8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UFP Industries,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261"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Fiscal 2022 Highlights (comparisons on a year-over-year basis):</w:t>
      </w:r>
    </w:p>
    <w:p>
      <w:pPr>
        <w:spacing w:after="0" w:line="229" w:lineRule="exact"/>
        <w:rPr>
          <w:sz w:val="20"/>
          <w:szCs w:val="20"/>
          <w:color w:val="auto"/>
        </w:rPr>
      </w:pPr>
    </w:p>
    <w:p>
      <w:pPr>
        <w:ind w:left="960" w:right="40" w:hanging="322"/>
        <w:spacing w:after="0" w:line="375"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sales of $9.63 billion increased 11 percent due a 3 percent increase from acquisitions, a 9 percent increase in prices, and a 1 percent decline in organic unit sales.</w:t>
      </w:r>
    </w:p>
    <w:p>
      <w:pPr>
        <w:spacing w:after="0" w:line="1" w:lineRule="exact"/>
        <w:rPr>
          <w:rFonts w:ascii="Arial" w:cs="Arial" w:eastAsia="Arial" w:hAnsi="Arial"/>
          <w:sz w:val="18"/>
          <w:szCs w:val="18"/>
          <w:color w:val="auto"/>
        </w:rPr>
      </w:pPr>
    </w:p>
    <w:p>
      <w:pPr>
        <w:ind w:left="960" w:hanging="32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product sales were $736 million, up 53 percent.</w:t>
      </w:r>
    </w:p>
    <w:p>
      <w:pPr>
        <w:spacing w:after="0" w:line="117" w:lineRule="exact"/>
        <w:rPr>
          <w:rFonts w:ascii="Arial" w:cs="Arial" w:eastAsia="Arial" w:hAnsi="Arial"/>
          <w:sz w:val="18"/>
          <w:szCs w:val="18"/>
          <w:color w:val="auto"/>
        </w:rPr>
      </w:pPr>
    </w:p>
    <w:p>
      <w:pPr>
        <w:ind w:left="960" w:hanging="32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Earnings from operations of $950 million increased 29 percent. Acquisitions contributed $16.5 million to earnings.</w:t>
      </w:r>
    </w:p>
    <w:p>
      <w:pPr>
        <w:spacing w:after="0" w:line="117" w:lineRule="exact"/>
        <w:rPr>
          <w:rFonts w:ascii="Arial" w:cs="Arial" w:eastAsia="Arial" w:hAnsi="Arial"/>
          <w:sz w:val="18"/>
          <w:szCs w:val="18"/>
          <w:color w:val="auto"/>
        </w:rPr>
      </w:pPr>
    </w:p>
    <w:p>
      <w:pPr>
        <w:ind w:left="960" w:hanging="32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of $1.1 billion increased 32 percent. Acquisitions contributed $25.5 million to adjusted EBITDA.</w:t>
      </w:r>
    </w:p>
    <w:p>
      <w:pPr>
        <w:spacing w:after="0" w:line="3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Capital Allocation</w:t>
      </w:r>
    </w:p>
    <w:p>
      <w:pPr>
        <w:spacing w:after="0" w:line="324" w:lineRule="exact"/>
        <w:rPr>
          <w:sz w:val="20"/>
          <w:szCs w:val="20"/>
          <w:color w:val="auto"/>
        </w:rPr>
      </w:pPr>
    </w:p>
    <w:p>
      <w:pPr>
        <w:jc w:val="both"/>
        <w:ind w:left="320" w:right="60"/>
        <w:spacing w:after="0" w:line="389" w:lineRule="auto"/>
        <w:rPr>
          <w:sz w:val="20"/>
          <w:szCs w:val="20"/>
          <w:color w:val="auto"/>
        </w:rPr>
      </w:pPr>
      <w:r>
        <w:rPr>
          <w:rFonts w:ascii="Arial" w:cs="Arial" w:eastAsia="Arial" w:hAnsi="Arial"/>
          <w:sz w:val="18"/>
          <w:szCs w:val="18"/>
          <w:color w:val="auto"/>
        </w:rPr>
        <w:t>UFP Industries maintains a strong balance sheet with $281.3 million in net surplus cash (surplus cash less interest-bearing debt and cash overdraft) at year-end 2022, compared to $50.6 million in net debt at year-end 2021, and had more than $1.8 billion of liquidity at year-end 2022. The company’s return-focused approach to capital allocation included:</w:t>
      </w:r>
    </w:p>
    <w:p>
      <w:pPr>
        <w:spacing w:after="0" w:line="182" w:lineRule="exact"/>
        <w:rPr>
          <w:sz w:val="20"/>
          <w:szCs w:val="20"/>
          <w:color w:val="auto"/>
        </w:rPr>
      </w:pPr>
    </w:p>
    <w:p>
      <w:pPr>
        <w:ind w:left="640" w:right="360" w:hanging="326"/>
        <w:spacing w:after="0" w:line="422" w:lineRule="auto"/>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Investments of approximately $174 million for capital expenditures during 2022. The company is targeting $200-225 million in 2023, including value-added growth investments as well as significant investments in automation, robotics and technology.</w:t>
      </w:r>
    </w:p>
    <w:p>
      <w:pPr>
        <w:ind w:left="640" w:right="220" w:hanging="326"/>
        <w:spacing w:after="0" w:line="372"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Repurchases of approximately 1,247,000 shares of common stock for $95.8 million during 2022 (an average price of $76.83 per share). The company is authorized to purchase an additional 2 million shares through February 3, 2024, and will continue to repurchase UFPI shares when the price is advantageous to offset dilution resulting from long-term, share-based incentive compensation programs. In 2022, the company issued 919,000 shares for share-based compensation programs at an average issue price of $82.61 per share.</w:t>
      </w:r>
    </w:p>
    <w:p>
      <w:pPr>
        <w:spacing w:after="0" w:line="2" w:lineRule="exact"/>
        <w:rPr>
          <w:rFonts w:ascii="Arial" w:cs="Arial" w:eastAsia="Arial" w:hAnsi="Arial"/>
          <w:sz w:val="18"/>
          <w:szCs w:val="18"/>
          <w:color w:val="auto"/>
        </w:rPr>
      </w:pPr>
    </w:p>
    <w:p>
      <w:pPr>
        <w:ind w:left="640" w:right="20" w:hanging="326"/>
        <w:spacing w:after="0" w:line="389"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Paid dividends of $58.9 million or $0.95 per share in 2022, a 46 percent increase per share over 2021. On February 3, 2023, the Board approved a quarterly dividend payment of $0.25 per share, payable on March 15, 2023, to shareholders of record on March 1, 2023.</w:t>
      </w:r>
    </w:p>
    <w:p>
      <w:pPr>
        <w:spacing w:after="0" w:line="182" w:lineRule="exact"/>
        <w:rPr>
          <w:sz w:val="20"/>
          <w:szCs w:val="20"/>
          <w:color w:val="auto"/>
        </w:rPr>
      </w:pPr>
    </w:p>
    <w:p>
      <w:pPr>
        <w:ind w:left="320"/>
        <w:spacing w:after="0" w:line="384" w:lineRule="auto"/>
        <w:rPr>
          <w:sz w:val="20"/>
          <w:szCs w:val="20"/>
          <w:color w:val="auto"/>
        </w:rPr>
      </w:pPr>
      <w:r>
        <w:rPr>
          <w:rFonts w:ascii="Arial" w:cs="Arial" w:eastAsia="Arial" w:hAnsi="Arial"/>
          <w:sz w:val="18"/>
          <w:szCs w:val="18"/>
          <w:color w:val="auto"/>
        </w:rPr>
        <w:t>The company continues to seek strategic acquisitions that allow it to drive long-term growth and margin improvements, enhance its capabilities, and create incremental value for its customers and shareholders. During the fourth quarter of 2022, UFP Packaging acquired Titan Corrugated and its affiliate, All Boxed Up. For the full year 2022, UFP Industries made four acquisitions, including Cedar Poly, Ultra Aluminum Manufacturing, and a 50 percent stake in Dempsey Wood Products.</w:t>
      </w:r>
    </w:p>
    <w:p>
      <w:pPr>
        <w:spacing w:after="0" w:line="17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By business segment, the company reported the following 2022 results:</w:t>
      </w:r>
    </w:p>
    <w:p>
      <w:pPr>
        <w:spacing w:after="0" w:line="329"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UFP Retail Solutions</w:t>
      </w:r>
    </w:p>
    <w:p>
      <w:pPr>
        <w:spacing w:after="0" w:line="229" w:lineRule="exact"/>
        <w:rPr>
          <w:sz w:val="20"/>
          <w:szCs w:val="20"/>
          <w:color w:val="auto"/>
        </w:rPr>
      </w:pPr>
    </w:p>
    <w:p>
      <w:pPr>
        <w:ind w:left="320" w:right="40"/>
        <w:spacing w:after="0" w:line="389" w:lineRule="auto"/>
        <w:rPr>
          <w:sz w:val="20"/>
          <w:szCs w:val="20"/>
          <w:color w:val="auto"/>
        </w:rPr>
      </w:pPr>
      <w:r>
        <w:rPr>
          <w:rFonts w:ascii="Arial" w:cs="Arial" w:eastAsia="Arial" w:hAnsi="Arial"/>
          <w:sz w:val="18"/>
          <w:szCs w:val="18"/>
          <w:u w:val="single" w:color="auto"/>
          <w:color w:val="auto"/>
        </w:rPr>
        <w:t>Fourth Quarter</w:t>
      </w:r>
      <w:r>
        <w:rPr>
          <w:rFonts w:ascii="Arial" w:cs="Arial" w:eastAsia="Arial" w:hAnsi="Arial"/>
          <w:sz w:val="18"/>
          <w:szCs w:val="18"/>
          <w:color w:val="auto"/>
        </w:rPr>
        <w:t>: $690.7 million in net sales, down 2 percent from the fourth quarter of 2021 due to a 9 percent decline in organic unit sales and a 2 percent decline due to the transfer of certain building products to the construction segment, which was offset by a 7 percent increase in selling prices and a 2 percent increase from acquisitions.</w:t>
      </w:r>
    </w:p>
    <w:p>
      <w:pPr>
        <w:spacing w:after="0" w:line="276" w:lineRule="exact"/>
        <w:rPr>
          <w:sz w:val="20"/>
          <w:szCs w:val="20"/>
          <w:color w:val="auto"/>
        </w:rPr>
      </w:pPr>
    </w:p>
    <w:p>
      <w:pPr>
        <w:jc w:val="both"/>
        <w:ind w:left="320" w:right="260"/>
        <w:spacing w:after="0" w:line="389" w:lineRule="auto"/>
        <w:rPr>
          <w:sz w:val="20"/>
          <w:szCs w:val="20"/>
          <w:color w:val="auto"/>
        </w:rPr>
      </w:pPr>
      <w:r>
        <w:rPr>
          <w:rFonts w:ascii="Arial" w:cs="Arial" w:eastAsia="Arial" w:hAnsi="Arial"/>
          <w:sz w:val="18"/>
          <w:szCs w:val="18"/>
          <w:u w:val="single" w:color="auto"/>
          <w:color w:val="auto"/>
        </w:rPr>
        <w:t>Full Year</w:t>
      </w:r>
      <w:r>
        <w:rPr>
          <w:rFonts w:ascii="Arial" w:cs="Arial" w:eastAsia="Arial" w:hAnsi="Arial"/>
          <w:sz w:val="18"/>
          <w:szCs w:val="18"/>
          <w:color w:val="auto"/>
        </w:rPr>
        <w:t>: $3.65 billion in net sales, up 7 percent from 2021 due to a 5 percent increase in unit sales from acquisitions and a 7 percent increase in selling prices, which was offset by a 3 percent decline in organic unit sales and a 2 percent decrease due to the transfer of certain products to the construction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913130</wp:posOffset>
            </wp:positionV>
            <wp:extent cx="64979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180"/>
          </w:cols>
          <w:pgMar w:left="840" w:top="513" w:right="8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UFP Industries,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3</w:t>
      </w:r>
    </w:p>
    <w:p>
      <w:pPr>
        <w:spacing w:after="0" w:line="200" w:lineRule="exact"/>
        <w:rPr>
          <w:sz w:val="20"/>
          <w:szCs w:val="20"/>
          <w:color w:val="auto"/>
        </w:rPr>
      </w:pPr>
    </w:p>
    <w:p>
      <w:pPr>
        <w:spacing w:after="0" w:line="389" w:lineRule="exact"/>
        <w:rPr>
          <w:sz w:val="20"/>
          <w:szCs w:val="20"/>
          <w:color w:val="auto"/>
        </w:rPr>
      </w:pPr>
    </w:p>
    <w:p>
      <w:pPr>
        <w:ind w:left="320"/>
        <w:spacing w:after="0" w:line="381" w:lineRule="auto"/>
        <w:rPr>
          <w:sz w:val="20"/>
          <w:szCs w:val="20"/>
          <w:color w:val="auto"/>
        </w:rPr>
      </w:pPr>
      <w:r>
        <w:rPr>
          <w:rFonts w:ascii="Arial" w:cs="Arial" w:eastAsia="Arial" w:hAnsi="Arial"/>
          <w:sz w:val="18"/>
          <w:szCs w:val="18"/>
          <w:u w:val="single" w:color="auto"/>
          <w:color w:val="auto"/>
        </w:rPr>
        <w:t>Segment Outlook:</w:t>
      </w:r>
      <w:r>
        <w:rPr>
          <w:rFonts w:ascii="Arial" w:cs="Arial" w:eastAsia="Arial" w:hAnsi="Arial"/>
          <w:sz w:val="18"/>
          <w:szCs w:val="18"/>
          <w:color w:val="auto"/>
        </w:rPr>
        <w:t xml:space="preserve"> After experiencing a significant increase in demand during the pandemic, we continue to expect more normalized demand in our retail solutions segment in 2023. We anticipate lumber prices will normalize and follow more seasonal historical trends in 2023, and the retail segment will experience flat unit sales.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UFP Packaging (formerly UFP Industrial)</w:t>
      </w:r>
    </w:p>
    <w:p>
      <w:pPr>
        <w:spacing w:after="0" w:line="337" w:lineRule="exact"/>
        <w:rPr>
          <w:sz w:val="20"/>
          <w:szCs w:val="20"/>
          <w:color w:val="auto"/>
        </w:rPr>
      </w:pPr>
    </w:p>
    <w:p>
      <w:pPr>
        <w:ind w:left="320" w:right="240"/>
        <w:spacing w:after="0" w:line="402" w:lineRule="auto"/>
        <w:rPr>
          <w:sz w:val="20"/>
          <w:szCs w:val="20"/>
          <w:color w:val="auto"/>
        </w:rPr>
      </w:pPr>
      <w:r>
        <w:rPr>
          <w:rFonts w:ascii="Arial" w:cs="Arial" w:eastAsia="Arial" w:hAnsi="Arial"/>
          <w:sz w:val="18"/>
          <w:szCs w:val="18"/>
          <w:u w:val="single" w:color="auto"/>
          <w:color w:val="auto"/>
        </w:rPr>
        <w:t>Fourth Quarter</w:t>
      </w:r>
      <w:r>
        <w:rPr>
          <w:rFonts w:ascii="Arial" w:cs="Arial" w:eastAsia="Arial" w:hAnsi="Arial"/>
          <w:sz w:val="18"/>
          <w:szCs w:val="18"/>
          <w:color w:val="auto"/>
        </w:rPr>
        <w:t>: $522.2 million in net sales, up 1 percent compared to the fourth quarter of 2021, due to a 1 percent increase in selling prices and flat organic unit sales growth.</w:t>
      </w:r>
    </w:p>
    <w:p>
      <w:pPr>
        <w:spacing w:after="0" w:line="279" w:lineRule="exact"/>
        <w:rPr>
          <w:sz w:val="20"/>
          <w:szCs w:val="20"/>
          <w:color w:val="auto"/>
        </w:rPr>
      </w:pPr>
    </w:p>
    <w:p>
      <w:pPr>
        <w:ind w:left="320" w:right="460"/>
        <w:spacing w:after="0" w:line="387" w:lineRule="auto"/>
        <w:rPr>
          <w:sz w:val="20"/>
          <w:szCs w:val="20"/>
          <w:color w:val="auto"/>
        </w:rPr>
      </w:pPr>
      <w:r>
        <w:rPr>
          <w:rFonts w:ascii="Arial" w:cs="Arial" w:eastAsia="Arial" w:hAnsi="Arial"/>
          <w:sz w:val="18"/>
          <w:szCs w:val="18"/>
          <w:u w:val="single" w:color="auto"/>
          <w:color w:val="auto"/>
        </w:rPr>
        <w:t>Full Year</w:t>
      </w:r>
      <w:r>
        <w:rPr>
          <w:rFonts w:ascii="Arial" w:cs="Arial" w:eastAsia="Arial" w:hAnsi="Arial"/>
          <w:sz w:val="18"/>
          <w:szCs w:val="18"/>
          <w:color w:val="auto"/>
        </w:rPr>
        <w:t>: $2.39 billion in net sales, up 11 percent from the previous year due to a 12 percent increase in selling prices, a 1 percent increase in unit sales from acquisitions, and a 2 percent decrease in organic unit sales.</w:t>
      </w:r>
    </w:p>
    <w:p>
      <w:pPr>
        <w:spacing w:after="0" w:line="291" w:lineRule="exact"/>
        <w:rPr>
          <w:sz w:val="20"/>
          <w:szCs w:val="20"/>
          <w:color w:val="auto"/>
        </w:rPr>
      </w:pPr>
    </w:p>
    <w:p>
      <w:pPr>
        <w:ind w:left="320" w:right="60"/>
        <w:spacing w:after="0" w:line="402" w:lineRule="auto"/>
        <w:rPr>
          <w:sz w:val="20"/>
          <w:szCs w:val="20"/>
          <w:color w:val="auto"/>
        </w:rPr>
      </w:pPr>
      <w:r>
        <w:rPr>
          <w:rFonts w:ascii="Arial" w:cs="Arial" w:eastAsia="Arial" w:hAnsi="Arial"/>
          <w:sz w:val="18"/>
          <w:szCs w:val="18"/>
          <w:u w:val="single" w:color="auto"/>
          <w:color w:val="auto"/>
        </w:rPr>
        <w:t>Segment Outlook</w:t>
      </w:r>
      <w:r>
        <w:rPr>
          <w:rFonts w:ascii="Arial" w:cs="Arial" w:eastAsia="Arial" w:hAnsi="Arial"/>
          <w:sz w:val="18"/>
          <w:szCs w:val="18"/>
          <w:color w:val="auto"/>
        </w:rPr>
        <w:t>: We continue to monitor business activity and the key economic indicators that drive this segment with many of those metrics indicating unit sales will be flat to slightly down in 2023.</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UFP Construction</w:t>
      </w:r>
    </w:p>
    <w:p>
      <w:pPr>
        <w:spacing w:after="0" w:line="337" w:lineRule="exact"/>
        <w:rPr>
          <w:sz w:val="20"/>
          <w:szCs w:val="20"/>
          <w:color w:val="auto"/>
        </w:rPr>
      </w:pPr>
    </w:p>
    <w:p>
      <w:pPr>
        <w:ind w:left="320" w:right="100"/>
        <w:spacing w:after="0" w:line="381" w:lineRule="auto"/>
        <w:rPr>
          <w:sz w:val="20"/>
          <w:szCs w:val="20"/>
          <w:color w:val="auto"/>
        </w:rPr>
      </w:pPr>
      <w:r>
        <w:rPr>
          <w:rFonts w:ascii="Arial" w:cs="Arial" w:eastAsia="Arial" w:hAnsi="Arial"/>
          <w:sz w:val="18"/>
          <w:szCs w:val="18"/>
          <w:u w:val="single" w:color="auto"/>
          <w:color w:val="auto"/>
        </w:rPr>
        <w:t>Fourth Quarter:</w:t>
      </w:r>
      <w:r>
        <w:rPr>
          <w:rFonts w:ascii="Arial" w:cs="Arial" w:eastAsia="Arial" w:hAnsi="Arial"/>
          <w:sz w:val="18"/>
          <w:szCs w:val="18"/>
          <w:color w:val="auto"/>
        </w:rPr>
        <w:t xml:space="preserve"> $604.9 million in net sales, down 11 percent over the fourth quarter of 2021, due to a 16 percent decline in organic unit sales, a 3 percent increase in selling prices, and a 2 percent increase from the transfer of certain products from the retail solutions segment.</w:t>
      </w:r>
    </w:p>
    <w:p>
      <w:pPr>
        <w:spacing w:after="0" w:line="297" w:lineRule="exact"/>
        <w:rPr>
          <w:sz w:val="20"/>
          <w:szCs w:val="20"/>
          <w:color w:val="auto"/>
        </w:rPr>
      </w:pPr>
    </w:p>
    <w:p>
      <w:pPr>
        <w:ind w:left="320" w:right="380"/>
        <w:spacing w:after="0" w:line="483" w:lineRule="auto"/>
        <w:rPr>
          <w:sz w:val="20"/>
          <w:szCs w:val="20"/>
          <w:color w:val="auto"/>
        </w:rPr>
      </w:pPr>
      <w:r>
        <w:rPr>
          <w:rFonts w:ascii="Arial" w:cs="Arial" w:eastAsia="Arial" w:hAnsi="Arial"/>
          <w:sz w:val="16"/>
          <w:szCs w:val="16"/>
          <w:u w:val="single" w:color="auto"/>
          <w:color w:val="auto"/>
        </w:rPr>
        <w:t>Full Year</w:t>
      </w:r>
      <w:r>
        <w:rPr>
          <w:rFonts w:ascii="Arial" w:cs="Arial" w:eastAsia="Arial" w:hAnsi="Arial"/>
          <w:sz w:val="16"/>
          <w:szCs w:val="16"/>
          <w:color w:val="auto"/>
        </w:rPr>
        <w:t>: $3.14 billion in net sales, up 17 percent from the previous year due to an 11 percent increase in selling prices, a 4 percent increase in organic unit sales, and a 2 percent increase due to the transfer of certain products from the retail solutions segment.</w:t>
      </w:r>
    </w:p>
    <w:p>
      <w:pPr>
        <w:spacing w:after="0" w:line="231" w:lineRule="exact"/>
        <w:rPr>
          <w:sz w:val="20"/>
          <w:szCs w:val="20"/>
          <w:color w:val="auto"/>
        </w:rPr>
      </w:pPr>
    </w:p>
    <w:p>
      <w:pPr>
        <w:jc w:val="both"/>
        <w:ind w:left="320" w:right="100"/>
        <w:spacing w:after="0" w:line="381" w:lineRule="auto"/>
        <w:rPr>
          <w:sz w:val="20"/>
          <w:szCs w:val="20"/>
          <w:color w:val="auto"/>
        </w:rPr>
      </w:pPr>
      <w:r>
        <w:rPr>
          <w:rFonts w:ascii="Arial" w:cs="Arial" w:eastAsia="Arial" w:hAnsi="Arial"/>
          <w:sz w:val="18"/>
          <w:szCs w:val="18"/>
          <w:u w:val="single" w:color="auto"/>
          <w:color w:val="auto"/>
        </w:rPr>
        <w:t>Segment Outlook:</w:t>
      </w:r>
      <w:r>
        <w:rPr>
          <w:rFonts w:ascii="Arial" w:cs="Arial" w:eastAsia="Arial" w:hAnsi="Arial"/>
          <w:sz w:val="18"/>
          <w:szCs w:val="18"/>
          <w:color w:val="auto"/>
        </w:rPr>
        <w:t xml:space="preserve"> The portion of the construction business which focuses on housing includes site-built residential (14 percent of total company sales in 2022) and factory built (12 percent). There are many estimates on housing starts, with the consensus estimating a 15-20 percent decline in 2023.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CONFERENCE CALL</w:t>
      </w:r>
    </w:p>
    <w:p>
      <w:pPr>
        <w:spacing w:after="0" w:line="337" w:lineRule="exact"/>
        <w:rPr>
          <w:sz w:val="20"/>
          <w:szCs w:val="20"/>
          <w:color w:val="auto"/>
        </w:rPr>
      </w:pPr>
    </w:p>
    <w:p>
      <w:pPr>
        <w:ind w:left="320"/>
        <w:spacing w:after="0" w:line="379" w:lineRule="auto"/>
        <w:rPr>
          <w:sz w:val="20"/>
          <w:szCs w:val="20"/>
          <w:color w:val="auto"/>
        </w:rPr>
      </w:pPr>
      <w:r>
        <w:rPr>
          <w:rFonts w:ascii="Arial" w:cs="Arial" w:eastAsia="Arial" w:hAnsi="Arial"/>
          <w:sz w:val="18"/>
          <w:szCs w:val="18"/>
          <w:color w:val="auto"/>
        </w:rPr>
        <w:t>UFP Industries will conduct a conference call to discuss information included in this news release and related matters at 4:30 p.m. ET on Tuesday, February 21, 2023. The call will be hosted by CEO Matthew J. Missad and CFO Michael Cole, and will be available simultaneously and in its entirety to all interested investors and news media through a webcast at http://www.ufpi.com. A replay of the call will be available through the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301625</wp:posOffset>
            </wp:positionV>
            <wp:extent cx="649795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160"/>
          </w:cols>
          <w:pgMar w:left="840" w:top="513" w:right="8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UFP Industries,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4</w:t>
      </w:r>
    </w:p>
    <w:p>
      <w:pPr>
        <w:spacing w:after="0" w:line="26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UFP Industries, Inc.</w:t>
      </w:r>
    </w:p>
    <w:p>
      <w:pPr>
        <w:spacing w:after="0" w:line="337" w:lineRule="exact"/>
        <w:rPr>
          <w:sz w:val="20"/>
          <w:szCs w:val="20"/>
          <w:color w:val="auto"/>
        </w:rPr>
      </w:pPr>
    </w:p>
    <w:p>
      <w:pPr>
        <w:ind w:left="320"/>
        <w:spacing w:after="0" w:line="404" w:lineRule="auto"/>
        <w:rPr>
          <w:sz w:val="20"/>
          <w:szCs w:val="20"/>
          <w:color w:val="auto"/>
        </w:rPr>
      </w:pPr>
      <w:r>
        <w:rPr>
          <w:rFonts w:ascii="Arial" w:cs="Arial" w:eastAsia="Arial" w:hAnsi="Arial"/>
          <w:sz w:val="17"/>
          <w:szCs w:val="17"/>
          <w:color w:val="auto"/>
        </w:rPr>
        <w:t>UFP Industries is a holding company whose operating subsidiaries – UFP Packaging, UFP Construction and UFP Retail Solutions – manufacture, distribute and sell a wide variety of value-added products used in residential and commercial construction, packaging and other industrial applications worldwide. Founded in 1955, the company is headquartered in Grand Rapids, Mich., with affiliates in North America, Europe, Asia and Australia. UFP Industries is ranked #401 on the Fortune 500 and #149 on Industry Week’s list of America’s Largest Manufacturers. For more about UFP Industries, go to www.ufpi.com.</w:t>
      </w:r>
    </w:p>
    <w:p>
      <w:pPr>
        <w:spacing w:after="0" w:line="65" w:lineRule="exact"/>
        <w:rPr>
          <w:sz w:val="20"/>
          <w:szCs w:val="20"/>
          <w:color w:val="auto"/>
        </w:rPr>
      </w:pPr>
    </w:p>
    <w:p>
      <w:pPr>
        <w:ind w:left="320" w:right="60"/>
        <w:spacing w:after="0" w:line="385" w:lineRule="auto"/>
        <w:rPr>
          <w:sz w:val="20"/>
          <w:szCs w:val="20"/>
          <w:color w:val="auto"/>
        </w:rPr>
      </w:pPr>
      <w:r>
        <w:rPr>
          <w:rFonts w:ascii="Arial" w:cs="Arial" w:eastAsia="Arial" w:hAnsi="Arial"/>
          <w:sz w:val="14"/>
          <w:szCs w:val="14"/>
          <w:i w:val="1"/>
          <w:iCs w:val="1"/>
          <w:color w:val="auto"/>
        </w:rPr>
        <w:t>This press release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The Company does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the price of lumber; adverse or unusual weather conditions; adverse economic conditions in the markets we serve; government regulations, particularly involving environmental and safety regulations; and our ability to make successful business acquisitions. Certain of these risk factors as well as other risk factors and additional information are included in the Company's reports on Form 10-K and 10-Q on file with the Securities and Exchange Commission</w:t>
      </w:r>
    </w:p>
    <w:p>
      <w:pPr>
        <w:spacing w:after="0" w:line="102"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Non-GAAP Financial Information</w:t>
      </w:r>
    </w:p>
    <w:p>
      <w:pPr>
        <w:spacing w:after="0" w:line="204" w:lineRule="exact"/>
        <w:rPr>
          <w:sz w:val="20"/>
          <w:szCs w:val="20"/>
          <w:color w:val="auto"/>
        </w:rPr>
      </w:pPr>
    </w:p>
    <w:p>
      <w:pPr>
        <w:ind w:left="320" w:right="260"/>
        <w:spacing w:after="0" w:line="398" w:lineRule="auto"/>
        <w:rPr>
          <w:sz w:val="20"/>
          <w:szCs w:val="20"/>
          <w:color w:val="auto"/>
        </w:rPr>
      </w:pPr>
      <w:r>
        <w:rPr>
          <w:rFonts w:ascii="Arial" w:cs="Arial" w:eastAsia="Arial" w:hAnsi="Arial"/>
          <w:sz w:val="14"/>
          <w:szCs w:val="14"/>
          <w:i w:val="1"/>
          <w:iCs w:val="1"/>
          <w:color w:val="auto"/>
        </w:rPr>
        <w:t>This release includes certain financial information not prepared in accordance with U.S. GAAP. Because not all companies calculate non-GAAP financial information identically (or at all), the presentations herein may not be comparable to other similarly titled measures used by other companies. Management considers Adjusted EBITDA, a non-GAAP measure, an alternative performance measure which may provide useful information to investors.</w:t>
      </w:r>
    </w:p>
    <w:p>
      <w:pPr>
        <w:spacing w:after="0" w:line="77"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Net earnings</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Net earnings refers to net earnings attributable to controlling interest unless specifically noted.</w:t>
      </w:r>
    </w:p>
    <w:p>
      <w:pPr>
        <w:spacing w:after="0" w:line="20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803275</wp:posOffset>
            </wp:positionV>
            <wp:extent cx="64979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160"/>
          </w:cols>
          <w:pgMar w:left="840" w:top="513" w:right="899" w:bottom="1440" w:gutter="0" w:footer="0" w:header="0"/>
        </w:sectPr>
      </w:pPr>
    </w:p>
    <w:bookmarkStart w:id="8" w:name="page9"/>
    <w:bookmarkEnd w:id="8"/>
    <w:p>
      <w:pPr>
        <w:ind w:left="20"/>
        <w:spacing w:after="0"/>
        <w:rPr>
          <w:sz w:val="20"/>
          <w:szCs w:val="20"/>
          <w:color w:val="auto"/>
        </w:rPr>
      </w:pPr>
      <w:r>
        <w:rPr>
          <w:rFonts w:ascii="Arial" w:cs="Arial" w:eastAsia="Arial" w:hAnsi="Arial"/>
          <w:sz w:val="18"/>
          <w:szCs w:val="18"/>
          <w:b w:val="1"/>
          <w:bCs w:val="1"/>
          <w:color w:val="auto"/>
        </w:rPr>
        <w:t>UFP Industries,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Page 5</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 AND COMPREHENSIVE INCOME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TWELVE MONTHS 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2022/2021</w:t>
      </w:r>
    </w:p>
    <w:p>
      <w:pPr>
        <w:spacing w:after="0" w:line="84"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00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4"/>
          </w:tcPr>
          <w:p>
            <w:pPr>
              <w:jc w:val="right"/>
              <w:ind w:right="420"/>
              <w:spacing w:after="0"/>
              <w:rPr>
                <w:sz w:val="20"/>
                <w:szCs w:val="20"/>
                <w:color w:val="auto"/>
              </w:rPr>
            </w:pPr>
            <w:r>
              <w:rPr>
                <w:rFonts w:ascii="Arial" w:cs="Arial" w:eastAsia="Arial" w:hAnsi="Arial"/>
                <w:sz w:val="16"/>
                <w:szCs w:val="16"/>
                <w:b w:val="1"/>
                <w:bCs w:val="1"/>
                <w:color w:val="auto"/>
                <w:w w:val="99"/>
              </w:rPr>
              <w:t>Quarter Period</w:t>
            </w:r>
          </w:p>
        </w:tc>
        <w:tc>
          <w:tcPr>
            <w:tcW w:w="620" w:type="dxa"/>
            <w:vAlign w:val="bottom"/>
            <w:tcBorders>
              <w:top w:val="single" w:sz="8" w:color="auto"/>
              <w:bottom w:val="single" w:sz="8" w:color="auto"/>
              <w:right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4"/>
          </w:tcPr>
          <w:p>
            <w:pPr>
              <w:jc w:val="right"/>
              <w:ind w:right="540"/>
              <w:spacing w:after="0"/>
              <w:rPr>
                <w:sz w:val="20"/>
                <w:szCs w:val="20"/>
                <w:color w:val="auto"/>
              </w:rPr>
            </w:pPr>
            <w:r>
              <w:rPr>
                <w:rFonts w:ascii="Arial" w:cs="Arial" w:eastAsia="Arial" w:hAnsi="Arial"/>
                <w:sz w:val="16"/>
                <w:szCs w:val="16"/>
                <w:b w:val="1"/>
                <w:bCs w:val="1"/>
                <w:color w:val="auto"/>
              </w:rPr>
              <w:t>Year to Date</w:t>
            </w:r>
          </w:p>
        </w:tc>
        <w:tc>
          <w:tcPr>
            <w:tcW w:w="600" w:type="dxa"/>
            <w:vAlign w:val="bottom"/>
            <w:tcBorders>
              <w:top w:val="single" w:sz="8" w:color="auto"/>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62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2022</w:t>
            </w:r>
          </w:p>
        </w:tc>
        <w:tc>
          <w:tcPr>
            <w:tcW w:w="62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1,913,697</w:t>
            </w: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1"/>
              </w:rPr>
              <w:t>100.0 %</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2,016,805</w:t>
            </w:r>
          </w:p>
        </w:tc>
        <w:tc>
          <w:tcPr>
            <w:tcW w:w="10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100.0 %</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9,626,739</w:t>
            </w: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1"/>
              </w:rPr>
              <w:t>100.0 %</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8,636,134</w:t>
            </w: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100.0 %</w:t>
            </w:r>
          </w:p>
        </w:tc>
        <w:tc>
          <w:tcPr>
            <w:tcW w:w="0" w:type="dxa"/>
            <w:vAlign w:val="bottom"/>
          </w:tcPr>
          <w:p>
            <w:pPr>
              <w:spacing w:after="0"/>
              <w:rPr>
                <w:sz w:val="1"/>
                <w:szCs w:val="1"/>
                <w:color w:val="auto"/>
              </w:rPr>
            </w:pPr>
          </w:p>
        </w:tc>
      </w:tr>
      <w:tr>
        <w:trPr>
          <w:trHeight w:val="203"/>
        </w:trPr>
        <w:tc>
          <w:tcPr>
            <w:tcW w:w="400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COST OF GOODS SOLD</w:t>
            </w: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1,556,227</w:t>
            </w: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81.3</w:t>
            </w: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1,645,241</w:t>
            </w:r>
          </w:p>
        </w:tc>
        <w:tc>
          <w:tcPr>
            <w:tcW w:w="10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81.6</w:t>
            </w: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7,837,278</w:t>
            </w: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81.4</w:t>
            </w: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7,229,167</w:t>
            </w: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83.7</w:t>
            </w:r>
          </w:p>
        </w:tc>
        <w:tc>
          <w:tcPr>
            <w:tcW w:w="0" w:type="dxa"/>
            <w:vAlign w:val="bottom"/>
          </w:tcPr>
          <w:p>
            <w:pPr>
              <w:spacing w:after="0"/>
              <w:rPr>
                <w:sz w:val="1"/>
                <w:szCs w:val="1"/>
                <w:color w:val="auto"/>
              </w:rPr>
            </w:pPr>
          </w:p>
        </w:tc>
      </w:tr>
      <w:tr>
        <w:trPr>
          <w:trHeight w:val="196"/>
        </w:trPr>
        <w:tc>
          <w:tcPr>
            <w:tcW w:w="400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357,470</w:t>
            </w: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371,564</w:t>
            </w:r>
          </w:p>
        </w:tc>
        <w:tc>
          <w:tcPr>
            <w:tcW w:w="10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18.4</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1,789,461</w:t>
            </w: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1,406,967</w:t>
            </w: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03"/>
        </w:trPr>
        <w:tc>
          <w:tcPr>
            <w:tcW w:w="400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0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SELLING, GENERAL AND ADMINISTRATIVE</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0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EXPENSES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183,064</w:t>
            </w:r>
          </w:p>
        </w:tc>
        <w:tc>
          <w:tcPr>
            <w:tcW w:w="120" w:type="dxa"/>
            <w:vAlign w:val="bottom"/>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178,149</w:t>
            </w:r>
          </w:p>
        </w:tc>
        <w:tc>
          <w:tcPr>
            <w:tcW w:w="100" w:type="dxa"/>
            <w:vAlign w:val="bottom"/>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8.8</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832,079</w:t>
            </w:r>
          </w:p>
        </w:tc>
        <w:tc>
          <w:tcPr>
            <w:tcW w:w="120" w:type="dxa"/>
            <w:vAlign w:val="bottom"/>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682,253</w:t>
            </w:r>
          </w:p>
        </w:tc>
        <w:tc>
          <w:tcPr>
            <w:tcW w:w="100" w:type="dxa"/>
            <w:vAlign w:val="bottom"/>
            <w:shd w:val="clear" w:color="auto" w:fill="CCEEFF"/>
          </w:tcPr>
          <w:p>
            <w:pPr>
              <w:spacing w:after="0"/>
              <w:rPr>
                <w:sz w:val="18"/>
                <w:szCs w:val="18"/>
                <w:color w:val="auto"/>
              </w:rPr>
            </w:pPr>
          </w:p>
        </w:tc>
        <w:tc>
          <w:tcPr>
            <w:tcW w:w="600" w:type="dxa"/>
            <w:vAlign w:val="bottom"/>
            <w:tcBorders>
              <w:right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3"/>
        </w:trPr>
        <w:tc>
          <w:tcPr>
            <w:tcW w:w="4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OTHER (GAINS) LOSSES, NET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5,857</w:t>
            </w:r>
          </w:p>
        </w:tc>
        <w:tc>
          <w:tcPr>
            <w:tcW w:w="120" w:type="dxa"/>
            <w:vAlign w:val="bottom"/>
          </w:tcPr>
          <w:p>
            <w:pPr>
              <w:spacing w:after="0"/>
              <w:rPr>
                <w:sz w:val="17"/>
                <w:szCs w:val="17"/>
                <w:color w:val="auto"/>
              </w:rPr>
            </w:pPr>
          </w:p>
        </w:tc>
        <w:tc>
          <w:tcPr>
            <w:tcW w:w="62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(1,592)</w:t>
            </w:r>
          </w:p>
        </w:tc>
        <w:tc>
          <w:tcPr>
            <w:tcW w:w="62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7,198</w:t>
            </w:r>
          </w:p>
        </w:tc>
        <w:tc>
          <w:tcPr>
            <w:tcW w:w="120" w:type="dxa"/>
            <w:vAlign w:val="bottom"/>
          </w:tcPr>
          <w:p>
            <w:pPr>
              <w:spacing w:after="0"/>
              <w:rPr>
                <w:sz w:val="17"/>
                <w:szCs w:val="17"/>
                <w:color w:val="auto"/>
              </w:rPr>
            </w:pPr>
          </w:p>
        </w:tc>
        <w:tc>
          <w:tcPr>
            <w:tcW w:w="620" w:type="dxa"/>
            <w:vAlign w:val="bottom"/>
            <w:tcBorders>
              <w:right w:val="single" w:sz="8" w:color="auto"/>
            </w:tcBorders>
          </w:tcPr>
          <w:p>
            <w:pPr>
              <w:jc w:val="right"/>
              <w:ind w:right="17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(12,840)</w:t>
            </w:r>
          </w:p>
        </w:tc>
        <w:tc>
          <w:tcPr>
            <w:tcW w:w="6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6"/>
        </w:trPr>
        <w:tc>
          <w:tcPr>
            <w:tcW w:w="4000" w:type="dxa"/>
            <w:vAlign w:val="bottom"/>
            <w:tcBorders>
              <w:top w:val="single" w:sz="8" w:color="CCEEFF"/>
              <w:left w:val="single" w:sz="8" w:color="auto"/>
              <w:right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right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EARNINGS FROM OPERATIONS</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168,549</w:t>
            </w:r>
          </w:p>
        </w:tc>
        <w:tc>
          <w:tcPr>
            <w:tcW w:w="120" w:type="dxa"/>
            <w:vAlign w:val="bottom"/>
          </w:tcPr>
          <w:p>
            <w:pPr>
              <w:spacing w:after="0"/>
              <w:rPr>
                <w:sz w:val="17"/>
                <w:szCs w:val="17"/>
                <w:color w:val="auto"/>
              </w:rPr>
            </w:pPr>
          </w:p>
        </w:tc>
        <w:tc>
          <w:tcPr>
            <w:tcW w:w="62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195,007</w:t>
            </w:r>
          </w:p>
        </w:tc>
        <w:tc>
          <w:tcPr>
            <w:tcW w:w="100" w:type="dxa"/>
            <w:vAlign w:val="bottom"/>
          </w:tcPr>
          <w:p>
            <w:pPr>
              <w:spacing w:after="0"/>
              <w:rPr>
                <w:sz w:val="17"/>
                <w:szCs w:val="17"/>
                <w:color w:val="auto"/>
              </w:rPr>
            </w:pPr>
          </w:p>
        </w:tc>
        <w:tc>
          <w:tcPr>
            <w:tcW w:w="62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950,184</w:t>
            </w:r>
          </w:p>
        </w:tc>
        <w:tc>
          <w:tcPr>
            <w:tcW w:w="120" w:type="dxa"/>
            <w:vAlign w:val="bottom"/>
          </w:tcPr>
          <w:p>
            <w:pPr>
              <w:spacing w:after="0"/>
              <w:rPr>
                <w:sz w:val="17"/>
                <w:szCs w:val="17"/>
                <w:color w:val="auto"/>
              </w:rPr>
            </w:pPr>
          </w:p>
        </w:tc>
        <w:tc>
          <w:tcPr>
            <w:tcW w:w="620" w:type="dxa"/>
            <w:vAlign w:val="bottom"/>
            <w:tcBorders>
              <w:right w:val="single" w:sz="8" w:color="auto"/>
            </w:tcBorders>
          </w:tcPr>
          <w:p>
            <w:pPr>
              <w:jc w:val="right"/>
              <w:ind w:right="179"/>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737,554</w:t>
            </w:r>
          </w:p>
        </w:tc>
        <w:tc>
          <w:tcPr>
            <w:tcW w:w="100" w:type="dxa"/>
            <w:vAlign w:val="bottom"/>
          </w:tcPr>
          <w:p>
            <w:pPr>
              <w:spacing w:after="0"/>
              <w:rPr>
                <w:sz w:val="17"/>
                <w:szCs w:val="17"/>
                <w:color w:val="auto"/>
              </w:rPr>
            </w:pPr>
          </w:p>
        </w:tc>
        <w:tc>
          <w:tcPr>
            <w:tcW w:w="600" w:type="dxa"/>
            <w:vAlign w:val="bottom"/>
            <w:tcBorders>
              <w:right w:val="single" w:sz="8" w:color="auto"/>
            </w:tcBorders>
          </w:tcPr>
          <w:p>
            <w:pPr>
              <w:jc w:val="right"/>
              <w:ind w:right="119"/>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03"/>
        </w:trPr>
        <w:tc>
          <w:tcPr>
            <w:tcW w:w="4000" w:type="dxa"/>
            <w:vAlign w:val="bottom"/>
            <w:tcBorders>
              <w:left w:val="single" w:sz="8" w:color="auto"/>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INTEREST AND OTHER</w:t>
            </w:r>
          </w:p>
        </w:tc>
        <w:tc>
          <w:tcPr>
            <w:tcW w:w="1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(4,490)</w:t>
            </w:r>
          </w:p>
        </w:tc>
        <w:tc>
          <w:tcPr>
            <w:tcW w:w="620" w:type="dxa"/>
            <w:vAlign w:val="bottom"/>
            <w:tcBorders>
              <w:right w:val="single" w:sz="8" w:color="auto"/>
            </w:tcBorders>
          </w:tcPr>
          <w:p>
            <w:pPr>
              <w:jc w:val="right"/>
              <w:ind w:right="11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1,938</w:t>
            </w:r>
          </w:p>
        </w:tc>
        <w:tc>
          <w:tcPr>
            <w:tcW w:w="100" w:type="dxa"/>
            <w:vAlign w:val="bottom"/>
          </w:tcPr>
          <w:p>
            <w:pPr>
              <w:spacing w:after="0"/>
              <w:rPr>
                <w:sz w:val="17"/>
                <w:szCs w:val="17"/>
                <w:color w:val="auto"/>
              </w:rPr>
            </w:pPr>
          </w:p>
        </w:tc>
        <w:tc>
          <w:tcPr>
            <w:tcW w:w="62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15,368</w:t>
            </w:r>
          </w:p>
        </w:tc>
        <w:tc>
          <w:tcPr>
            <w:tcW w:w="120" w:type="dxa"/>
            <w:vAlign w:val="bottom"/>
          </w:tcPr>
          <w:p>
            <w:pPr>
              <w:spacing w:after="0"/>
              <w:rPr>
                <w:sz w:val="17"/>
                <w:szCs w:val="17"/>
                <w:color w:val="auto"/>
              </w:rPr>
            </w:pPr>
          </w:p>
        </w:tc>
        <w:tc>
          <w:tcPr>
            <w:tcW w:w="620" w:type="dxa"/>
            <w:vAlign w:val="bottom"/>
            <w:tcBorders>
              <w:right w:val="single" w:sz="8" w:color="auto"/>
            </w:tcBorders>
          </w:tcPr>
          <w:p>
            <w:pPr>
              <w:jc w:val="right"/>
              <w:ind w:right="17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11,218</w:t>
            </w:r>
          </w:p>
        </w:tc>
        <w:tc>
          <w:tcPr>
            <w:tcW w:w="100" w:type="dxa"/>
            <w:vAlign w:val="bottom"/>
          </w:tcPr>
          <w:p>
            <w:pPr>
              <w:spacing w:after="0"/>
              <w:rPr>
                <w:sz w:val="17"/>
                <w:szCs w:val="17"/>
                <w:color w:val="auto"/>
              </w:rPr>
            </w:pPr>
          </w:p>
        </w:tc>
        <w:tc>
          <w:tcPr>
            <w:tcW w:w="600" w:type="dxa"/>
            <w:vAlign w:val="bottom"/>
            <w:tcBorders>
              <w:right w:val="single" w:sz="8" w:color="auto"/>
            </w:tcBorders>
          </w:tcPr>
          <w:p>
            <w:pPr>
              <w:jc w:val="right"/>
              <w:ind w:right="11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6"/>
        </w:trPr>
        <w:tc>
          <w:tcPr>
            <w:tcW w:w="4000" w:type="dxa"/>
            <w:vAlign w:val="bottom"/>
            <w:tcBorders>
              <w:top w:val="single" w:sz="8" w:color="CCEEFF"/>
              <w:left w:val="single" w:sz="8" w:color="auto"/>
              <w:right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right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EARNINGS BEFORE INCOME TAXES</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173,039</w:t>
            </w:r>
          </w:p>
        </w:tc>
        <w:tc>
          <w:tcPr>
            <w:tcW w:w="120" w:type="dxa"/>
            <w:vAlign w:val="bottom"/>
          </w:tcPr>
          <w:p>
            <w:pPr>
              <w:spacing w:after="0"/>
              <w:rPr>
                <w:sz w:val="17"/>
                <w:szCs w:val="17"/>
                <w:color w:val="auto"/>
              </w:rPr>
            </w:pPr>
          </w:p>
        </w:tc>
        <w:tc>
          <w:tcPr>
            <w:tcW w:w="62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193,069</w:t>
            </w:r>
          </w:p>
        </w:tc>
        <w:tc>
          <w:tcPr>
            <w:tcW w:w="100" w:type="dxa"/>
            <w:vAlign w:val="bottom"/>
          </w:tcPr>
          <w:p>
            <w:pPr>
              <w:spacing w:after="0"/>
              <w:rPr>
                <w:sz w:val="17"/>
                <w:szCs w:val="17"/>
                <w:color w:val="auto"/>
              </w:rPr>
            </w:pPr>
          </w:p>
        </w:tc>
        <w:tc>
          <w:tcPr>
            <w:tcW w:w="62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934,816</w:t>
            </w:r>
          </w:p>
        </w:tc>
        <w:tc>
          <w:tcPr>
            <w:tcW w:w="120" w:type="dxa"/>
            <w:vAlign w:val="bottom"/>
          </w:tcPr>
          <w:p>
            <w:pPr>
              <w:spacing w:after="0"/>
              <w:rPr>
                <w:sz w:val="17"/>
                <w:szCs w:val="17"/>
                <w:color w:val="auto"/>
              </w:rPr>
            </w:pPr>
          </w:p>
        </w:tc>
        <w:tc>
          <w:tcPr>
            <w:tcW w:w="620" w:type="dxa"/>
            <w:vAlign w:val="bottom"/>
            <w:tcBorders>
              <w:right w:val="single" w:sz="8" w:color="auto"/>
            </w:tcBorders>
          </w:tcPr>
          <w:p>
            <w:pPr>
              <w:jc w:val="right"/>
              <w:ind w:right="179"/>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726,336</w:t>
            </w:r>
          </w:p>
        </w:tc>
        <w:tc>
          <w:tcPr>
            <w:tcW w:w="100" w:type="dxa"/>
            <w:vAlign w:val="bottom"/>
          </w:tcPr>
          <w:p>
            <w:pPr>
              <w:spacing w:after="0"/>
              <w:rPr>
                <w:sz w:val="17"/>
                <w:szCs w:val="17"/>
                <w:color w:val="auto"/>
              </w:rPr>
            </w:pPr>
          </w:p>
        </w:tc>
        <w:tc>
          <w:tcPr>
            <w:tcW w:w="600" w:type="dxa"/>
            <w:vAlign w:val="bottom"/>
            <w:tcBorders>
              <w:right w:val="single" w:sz="8" w:color="auto"/>
            </w:tcBorders>
          </w:tcPr>
          <w:p>
            <w:pPr>
              <w:jc w:val="right"/>
              <w:ind w:right="119"/>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03"/>
        </w:trPr>
        <w:tc>
          <w:tcPr>
            <w:tcW w:w="4000" w:type="dxa"/>
            <w:vAlign w:val="bottom"/>
            <w:tcBorders>
              <w:left w:val="single" w:sz="8" w:color="auto"/>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Borders>
              <w:left w:val="single" w:sz="8" w:color="auto"/>
              <w:bottom w:val="single" w:sz="8" w:color="CCEEFF"/>
              <w:right w:val="single" w:sz="8" w:color="auto"/>
            </w:tcBorders>
          </w:tcPr>
          <w:p>
            <w:pPr>
              <w:ind w:left="20"/>
              <w:spacing w:after="0"/>
              <w:rPr>
                <w:sz w:val="20"/>
                <w:szCs w:val="20"/>
                <w:color w:val="auto"/>
              </w:rPr>
            </w:pPr>
            <w:r>
              <w:rPr>
                <w:rFonts w:ascii="Arial" w:cs="Arial" w:eastAsia="Arial" w:hAnsi="Arial"/>
                <w:sz w:val="16"/>
                <w:szCs w:val="16"/>
                <w:b w:val="1"/>
                <w:bCs w:val="1"/>
                <w:color w:val="auto"/>
              </w:rPr>
              <w:t>INCOME TAXES</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41,160</w:t>
            </w:r>
          </w:p>
        </w:tc>
        <w:tc>
          <w:tcPr>
            <w:tcW w:w="12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right w:val="single" w:sz="8" w:color="auto"/>
            </w:tcBorders>
          </w:tcPr>
          <w:p>
            <w:pPr>
              <w:jc w:val="right"/>
              <w:ind w:right="15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46,063</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right w:val="single" w:sz="8" w:color="auto"/>
            </w:tcBorders>
          </w:tcPr>
          <w:p>
            <w:pPr>
              <w:jc w:val="right"/>
              <w:ind w:right="15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229,852</w:t>
            </w:r>
          </w:p>
        </w:tc>
        <w:tc>
          <w:tcPr>
            <w:tcW w:w="12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right w:val="single" w:sz="8" w:color="auto"/>
            </w:tcBorders>
          </w:tcPr>
          <w:p>
            <w:pPr>
              <w:jc w:val="right"/>
              <w:ind w:right="17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173,972</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right w:val="single" w:sz="8" w:color="auto"/>
            </w:tcBorders>
          </w:tcPr>
          <w:p>
            <w:pPr>
              <w:jc w:val="right"/>
              <w:ind w:right="1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96"/>
        </w:trPr>
        <w:tc>
          <w:tcPr>
            <w:tcW w:w="4000" w:type="dxa"/>
            <w:vAlign w:val="bottom"/>
            <w:tcBorders>
              <w:left w:val="single" w:sz="8" w:color="auto"/>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NET EARNINGS</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131,879</w:t>
            </w:r>
          </w:p>
        </w:tc>
        <w:tc>
          <w:tcPr>
            <w:tcW w:w="120" w:type="dxa"/>
            <w:vAlign w:val="bottom"/>
          </w:tcPr>
          <w:p>
            <w:pPr>
              <w:spacing w:after="0"/>
              <w:rPr>
                <w:sz w:val="17"/>
                <w:szCs w:val="17"/>
                <w:color w:val="auto"/>
              </w:rPr>
            </w:pPr>
          </w:p>
        </w:tc>
        <w:tc>
          <w:tcPr>
            <w:tcW w:w="62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147,006</w:t>
            </w:r>
          </w:p>
        </w:tc>
        <w:tc>
          <w:tcPr>
            <w:tcW w:w="100" w:type="dxa"/>
            <w:vAlign w:val="bottom"/>
          </w:tcPr>
          <w:p>
            <w:pPr>
              <w:spacing w:after="0"/>
              <w:rPr>
                <w:sz w:val="17"/>
                <w:szCs w:val="17"/>
                <w:color w:val="auto"/>
              </w:rPr>
            </w:pPr>
          </w:p>
        </w:tc>
        <w:tc>
          <w:tcPr>
            <w:tcW w:w="62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704,964</w:t>
            </w:r>
          </w:p>
        </w:tc>
        <w:tc>
          <w:tcPr>
            <w:tcW w:w="120" w:type="dxa"/>
            <w:vAlign w:val="bottom"/>
          </w:tcPr>
          <w:p>
            <w:pPr>
              <w:spacing w:after="0"/>
              <w:rPr>
                <w:sz w:val="17"/>
                <w:szCs w:val="17"/>
                <w:color w:val="auto"/>
              </w:rPr>
            </w:pPr>
          </w:p>
        </w:tc>
        <w:tc>
          <w:tcPr>
            <w:tcW w:w="620" w:type="dxa"/>
            <w:vAlign w:val="bottom"/>
            <w:tcBorders>
              <w:right w:val="single" w:sz="8" w:color="auto"/>
            </w:tcBorders>
          </w:tcPr>
          <w:p>
            <w:pPr>
              <w:jc w:val="right"/>
              <w:ind w:right="179"/>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552,364</w:t>
            </w:r>
          </w:p>
        </w:tc>
        <w:tc>
          <w:tcPr>
            <w:tcW w:w="100" w:type="dxa"/>
            <w:vAlign w:val="bottom"/>
          </w:tcPr>
          <w:p>
            <w:pPr>
              <w:spacing w:after="0"/>
              <w:rPr>
                <w:sz w:val="17"/>
                <w:szCs w:val="17"/>
                <w:color w:val="auto"/>
              </w:rPr>
            </w:pPr>
          </w:p>
        </w:tc>
        <w:tc>
          <w:tcPr>
            <w:tcW w:w="600" w:type="dxa"/>
            <w:vAlign w:val="bottom"/>
            <w:tcBorders>
              <w:right w:val="single" w:sz="8" w:color="auto"/>
            </w:tcBorders>
          </w:tcPr>
          <w:p>
            <w:pPr>
              <w:jc w:val="right"/>
              <w:ind w:right="119"/>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03"/>
        </w:trPr>
        <w:tc>
          <w:tcPr>
            <w:tcW w:w="4000" w:type="dxa"/>
            <w:vAlign w:val="bottom"/>
            <w:tcBorders>
              <w:left w:val="single" w:sz="8" w:color="auto"/>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LESS NET LOSS (EARNINGS) ATTRIBUTABLE TO</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NONCONTROLLING INTEREST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710</w:t>
            </w:r>
          </w:p>
        </w:tc>
        <w:tc>
          <w:tcPr>
            <w:tcW w:w="120" w:type="dxa"/>
            <w:vAlign w:val="bottom"/>
          </w:tcPr>
          <w:p>
            <w:pPr>
              <w:spacing w:after="0"/>
              <w:rPr>
                <w:sz w:val="18"/>
                <w:szCs w:val="18"/>
                <w:color w:val="auto"/>
              </w:rPr>
            </w:pPr>
          </w:p>
        </w:tc>
        <w:tc>
          <w:tcPr>
            <w:tcW w:w="62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(9,100)</w:t>
            </w:r>
          </w:p>
        </w:tc>
        <w:tc>
          <w:tcPr>
            <w:tcW w:w="62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(12,313)</w:t>
            </w:r>
          </w:p>
        </w:tc>
        <w:tc>
          <w:tcPr>
            <w:tcW w:w="620" w:type="dxa"/>
            <w:vAlign w:val="bottom"/>
            <w:tcBorders>
              <w:right w:val="single" w:sz="8" w:color="auto"/>
            </w:tcBorders>
          </w:tcPr>
          <w:p>
            <w:pPr>
              <w:jc w:val="right"/>
              <w:ind w:right="11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(16,724)</w:t>
            </w:r>
          </w:p>
        </w:tc>
        <w:tc>
          <w:tcPr>
            <w:tcW w:w="6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99"/>
        </w:trPr>
        <w:tc>
          <w:tcPr>
            <w:tcW w:w="4000" w:type="dxa"/>
            <w:vAlign w:val="bottom"/>
            <w:tcBorders>
              <w:top w:val="single" w:sz="8" w:color="CCEEFF"/>
              <w:left w:val="single" w:sz="8" w:color="auto"/>
              <w:right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right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NET EARNINGS ATTRIBUTABLE TO</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132,589</w:t>
            </w:r>
          </w:p>
        </w:tc>
        <w:tc>
          <w:tcPr>
            <w:tcW w:w="12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137,906</w:t>
            </w:r>
          </w:p>
        </w:tc>
        <w:tc>
          <w:tcPr>
            <w:tcW w:w="10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692,651</w:t>
            </w:r>
          </w:p>
        </w:tc>
        <w:tc>
          <w:tcPr>
            <w:tcW w:w="12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535,640</w:t>
            </w:r>
          </w:p>
        </w:tc>
        <w:tc>
          <w:tcPr>
            <w:tcW w:w="10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00" w:type="dxa"/>
            <w:vAlign w:val="bottom"/>
            <w:tcBorders>
              <w:left w:val="single" w:sz="8" w:color="auto"/>
              <w:bottom w:val="single" w:sz="8" w:color="CCEEFF"/>
              <w:right w:val="single" w:sz="8" w:color="auto"/>
            </w:tcBorders>
          </w:tcPr>
          <w:p>
            <w:pPr>
              <w:ind w:left="20"/>
              <w:spacing w:after="0"/>
              <w:rPr>
                <w:sz w:val="20"/>
                <w:szCs w:val="20"/>
                <w:color w:val="auto"/>
              </w:rPr>
            </w:pPr>
            <w:r>
              <w:rPr>
                <w:rFonts w:ascii="Arial" w:cs="Arial" w:eastAsia="Arial" w:hAnsi="Arial"/>
                <w:sz w:val="16"/>
                <w:szCs w:val="16"/>
                <w:b w:val="1"/>
                <w:bCs w:val="1"/>
                <w:color w:val="auto"/>
              </w:rPr>
              <w:t>CONTROLLING INTEREST</w:t>
            </w:r>
          </w:p>
        </w:tc>
        <w:tc>
          <w:tcPr>
            <w:tcW w:w="100" w:type="dxa"/>
            <w:vAlign w:val="bottom"/>
            <w:tcBorders>
              <w:bottom w:val="single" w:sz="8" w:color="auto"/>
            </w:tcBorders>
            <w:vMerge w:val="continue"/>
          </w:tcPr>
          <w:p>
            <w:pPr>
              <w:spacing w:after="0"/>
              <w:rPr>
                <w:sz w:val="21"/>
                <w:szCs w:val="21"/>
                <w:color w:val="auto"/>
              </w:rPr>
            </w:pPr>
          </w:p>
        </w:tc>
        <w:tc>
          <w:tcPr>
            <w:tcW w:w="72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right w:val="single" w:sz="8" w:color="auto"/>
            </w:tcBorders>
          </w:tcPr>
          <w:p>
            <w:pPr>
              <w:jc w:val="right"/>
              <w:ind w:right="159"/>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auto"/>
            </w:tcBorders>
            <w:vMerge w:val="continue"/>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right w:val="single" w:sz="8" w:color="auto"/>
            </w:tcBorders>
          </w:tcPr>
          <w:p>
            <w:pPr>
              <w:jc w:val="right"/>
              <w:ind w:right="159"/>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auto"/>
            </w:tcBorders>
            <w:vMerge w:val="continue"/>
          </w:tcPr>
          <w:p>
            <w:pPr>
              <w:spacing w:after="0"/>
              <w:rPr>
                <w:sz w:val="21"/>
                <w:szCs w:val="21"/>
                <w:color w:val="auto"/>
              </w:rPr>
            </w:pPr>
          </w:p>
        </w:tc>
        <w:tc>
          <w:tcPr>
            <w:tcW w:w="72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right w:val="single" w:sz="8" w:color="auto"/>
            </w:tcBorders>
          </w:tcPr>
          <w:p>
            <w:pPr>
              <w:jc w:val="right"/>
              <w:ind w:right="179"/>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auto"/>
            </w:tcBorders>
            <w:vMerge w:val="continue"/>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right w:val="single" w:sz="8" w:color="auto"/>
            </w:tcBorders>
          </w:tcPr>
          <w:p>
            <w:pPr>
              <w:jc w:val="right"/>
              <w:ind w:right="119"/>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83"/>
        </w:trPr>
        <w:tc>
          <w:tcPr>
            <w:tcW w:w="4000" w:type="dxa"/>
            <w:vAlign w:val="bottom"/>
            <w:tcBorders>
              <w:left w:val="single" w:sz="8" w:color="auto"/>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EARNINGS PER SHARE - 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11.05</w:t>
            </w: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8.61</w:t>
            </w:r>
          </w:p>
        </w:tc>
        <w:tc>
          <w:tcPr>
            <w:tcW w:w="10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Borders>
              <w:left w:val="single" w:sz="8" w:color="auto"/>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EARNINGS PER SHARE -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10.97</w:t>
            </w: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8.59</w:t>
            </w:r>
          </w:p>
        </w:tc>
        <w:tc>
          <w:tcPr>
            <w:tcW w:w="10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Borders>
              <w:left w:val="single" w:sz="8" w:color="auto"/>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135,057</w:t>
            </w: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143,210</w:t>
            </w:r>
          </w:p>
        </w:tc>
        <w:tc>
          <w:tcPr>
            <w:tcW w:w="1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702,466</w:t>
            </w: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547,068</w:t>
            </w:r>
          </w:p>
        </w:tc>
        <w:tc>
          <w:tcPr>
            <w:tcW w:w="10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Borders>
              <w:left w:val="single" w:sz="8" w:color="auto"/>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LESS COMPREHENSIVE INCOME</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ATTRIBUTABLE TO NONCONTROLLING</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INTEREST</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(195)</w:t>
            </w:r>
          </w:p>
        </w:tc>
        <w:tc>
          <w:tcPr>
            <w:tcW w:w="6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(7,431)</w:t>
            </w: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(13,485)</w:t>
            </w:r>
          </w:p>
        </w:tc>
        <w:tc>
          <w:tcPr>
            <w:tcW w:w="6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(15,039)</w:t>
            </w:r>
          </w:p>
        </w:tc>
        <w:tc>
          <w:tcPr>
            <w:tcW w:w="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000" w:type="dxa"/>
            <w:vAlign w:val="bottom"/>
            <w:tcBorders>
              <w:top w:val="single" w:sz="8" w:color="CCEEFF"/>
              <w:left w:val="single" w:sz="8" w:color="auto"/>
              <w:right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right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COMPREHENSIVE INCOME ATTRIBUTABLE TO</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134,862</w:t>
            </w:r>
          </w:p>
        </w:tc>
        <w:tc>
          <w:tcPr>
            <w:tcW w:w="12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135,779</w:t>
            </w:r>
          </w:p>
        </w:tc>
        <w:tc>
          <w:tcPr>
            <w:tcW w:w="10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688,981</w:t>
            </w:r>
          </w:p>
        </w:tc>
        <w:tc>
          <w:tcPr>
            <w:tcW w:w="12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532,029</w:t>
            </w:r>
          </w:p>
        </w:tc>
        <w:tc>
          <w:tcPr>
            <w:tcW w:w="10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00" w:type="dxa"/>
            <w:vAlign w:val="bottom"/>
            <w:tcBorders>
              <w:left w:val="single" w:sz="8" w:color="auto"/>
              <w:bottom w:val="single" w:sz="8" w:color="CCEEFF"/>
              <w:right w:val="single" w:sz="8" w:color="auto"/>
            </w:tcBorders>
          </w:tcPr>
          <w:p>
            <w:pPr>
              <w:ind w:left="20"/>
              <w:spacing w:after="0"/>
              <w:rPr>
                <w:sz w:val="20"/>
                <w:szCs w:val="20"/>
                <w:color w:val="auto"/>
              </w:rPr>
            </w:pPr>
            <w:r>
              <w:rPr>
                <w:rFonts w:ascii="Arial" w:cs="Arial" w:eastAsia="Arial" w:hAnsi="Arial"/>
                <w:sz w:val="16"/>
                <w:szCs w:val="16"/>
                <w:b w:val="1"/>
                <w:bCs w:val="1"/>
                <w:color w:val="auto"/>
              </w:rPr>
              <w:t>CONTROLLING INTEREST</w:t>
            </w:r>
          </w:p>
        </w:tc>
        <w:tc>
          <w:tcPr>
            <w:tcW w:w="100" w:type="dxa"/>
            <w:vAlign w:val="bottom"/>
            <w:tcBorders>
              <w:bottom w:val="single" w:sz="8" w:color="auto"/>
            </w:tcBorders>
            <w:vMerge w:val="continue"/>
          </w:tcPr>
          <w:p>
            <w:pPr>
              <w:spacing w:after="0"/>
              <w:rPr>
                <w:sz w:val="21"/>
                <w:szCs w:val="21"/>
                <w:color w:val="auto"/>
              </w:rPr>
            </w:pPr>
          </w:p>
        </w:tc>
        <w:tc>
          <w:tcPr>
            <w:tcW w:w="72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right w:val="single" w:sz="8" w:color="auto"/>
            </w:tcBorders>
          </w:tcPr>
          <w:p>
            <w:pPr>
              <w:spacing w:after="0"/>
              <w:rPr>
                <w:sz w:val="21"/>
                <w:szCs w:val="21"/>
                <w:color w:val="auto"/>
              </w:rPr>
            </w:pPr>
          </w:p>
        </w:tc>
        <w:tc>
          <w:tcPr>
            <w:tcW w:w="100" w:type="dxa"/>
            <w:vAlign w:val="bottom"/>
            <w:tcBorders>
              <w:bottom w:val="single" w:sz="8" w:color="auto"/>
            </w:tcBorders>
            <w:vMerge w:val="continue"/>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right w:val="single" w:sz="8" w:color="auto"/>
            </w:tcBorders>
          </w:tcPr>
          <w:p>
            <w:pPr>
              <w:spacing w:after="0"/>
              <w:rPr>
                <w:sz w:val="21"/>
                <w:szCs w:val="21"/>
                <w:color w:val="auto"/>
              </w:rPr>
            </w:pPr>
          </w:p>
        </w:tc>
        <w:tc>
          <w:tcPr>
            <w:tcW w:w="120" w:type="dxa"/>
            <w:vAlign w:val="bottom"/>
            <w:tcBorders>
              <w:bottom w:val="single" w:sz="8" w:color="auto"/>
            </w:tcBorders>
            <w:vMerge w:val="continue"/>
          </w:tcPr>
          <w:p>
            <w:pPr>
              <w:spacing w:after="0"/>
              <w:rPr>
                <w:sz w:val="21"/>
                <w:szCs w:val="21"/>
                <w:color w:val="auto"/>
              </w:rPr>
            </w:pPr>
          </w:p>
        </w:tc>
        <w:tc>
          <w:tcPr>
            <w:tcW w:w="72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right w:val="single" w:sz="8" w:color="auto"/>
            </w:tcBorders>
          </w:tcPr>
          <w:p>
            <w:pPr>
              <w:spacing w:after="0"/>
              <w:rPr>
                <w:sz w:val="21"/>
                <w:szCs w:val="21"/>
                <w:color w:val="auto"/>
              </w:rPr>
            </w:pPr>
          </w:p>
        </w:tc>
        <w:tc>
          <w:tcPr>
            <w:tcW w:w="100" w:type="dxa"/>
            <w:vAlign w:val="bottom"/>
            <w:tcBorders>
              <w:bottom w:val="single" w:sz="8" w:color="auto"/>
            </w:tcBorders>
            <w:vMerge w:val="continue"/>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00" w:type="dxa"/>
            <w:vAlign w:val="bottom"/>
            <w:tcBorders>
              <w:left w:val="single" w:sz="8" w:color="auto"/>
              <w:bottom w:val="single" w:sz="8" w:color="auto"/>
              <w:right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right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right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right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91"/>
        </w:trPr>
        <w:tc>
          <w:tcPr>
            <w:tcW w:w="4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820" w:top="513" w:right="839" w:bottom="1440" w:gutter="0" w:footer="0" w:header="0"/>
        </w:sectPr>
      </w:pPr>
    </w:p>
    <w:bookmarkStart w:id="9" w:name="page10"/>
    <w:bookmarkEnd w:id="9"/>
    <w:p>
      <w:pPr>
        <w:ind w:left="20"/>
        <w:spacing w:after="0"/>
        <w:rPr>
          <w:sz w:val="20"/>
          <w:szCs w:val="20"/>
          <w:color w:val="auto"/>
        </w:rPr>
      </w:pPr>
      <w:r>
        <w:rPr>
          <w:rFonts w:ascii="Arial" w:cs="Arial" w:eastAsia="Arial" w:hAnsi="Arial"/>
          <w:sz w:val="18"/>
          <w:szCs w:val="18"/>
          <w:b w:val="1"/>
          <w:bCs w:val="1"/>
          <w:color w:val="auto"/>
        </w:rPr>
        <w:t>UFP Industries,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Page 6</w:t>
      </w:r>
    </w:p>
    <w:p>
      <w:pPr>
        <w:spacing w:after="0" w:line="207" w:lineRule="exact"/>
        <w:rPr>
          <w:sz w:val="20"/>
          <w:szCs w:val="20"/>
          <w:color w:val="auto"/>
        </w:rPr>
      </w:pPr>
    </w:p>
    <w:p>
      <w:pPr>
        <w:jc w:val="center"/>
        <w:ind w:left="840" w:right="1280"/>
        <w:spacing w:after="0" w:line="275" w:lineRule="auto"/>
        <w:rPr>
          <w:sz w:val="20"/>
          <w:szCs w:val="20"/>
          <w:color w:val="auto"/>
        </w:rPr>
      </w:pPr>
      <w:r>
        <w:rPr>
          <w:rFonts w:ascii="Arial" w:cs="Arial" w:eastAsia="Arial" w:hAnsi="Arial"/>
          <w:sz w:val="18"/>
          <w:szCs w:val="18"/>
          <w:b w:val="1"/>
          <w:bCs w:val="1"/>
          <w:color w:val="auto"/>
        </w:rPr>
        <w:t>CONDENSED CONSOLIDATED STATEMENTS OF EARNINGS BY SEGMENT (UNAUDITED) FOR THE THREE AND TWELVE MONTHS ENDED DECEMBER 2022/2021</w:t>
      </w: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236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580" w:type="dxa"/>
            <w:vAlign w:val="bottom"/>
            <w:tcBorders>
              <w:top w:val="single" w:sz="8" w:color="auto"/>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5"/>
              </w:rPr>
              <w:t>Quarter Period</w:t>
            </w:r>
          </w:p>
        </w:tc>
        <w:tc>
          <w:tcPr>
            <w:tcW w:w="1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360" w:type="dxa"/>
            <w:vAlign w:val="bottom"/>
            <w:tcBorders>
              <w:left w:val="single" w:sz="8" w:color="auto"/>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jc w:val="right"/>
              <w:ind w:right="30"/>
              <w:spacing w:after="0" w:line="155" w:lineRule="exact"/>
              <w:rPr>
                <w:sz w:val="20"/>
                <w:szCs w:val="20"/>
                <w:color w:val="auto"/>
              </w:rPr>
            </w:pPr>
            <w:r>
              <w:rPr>
                <w:rFonts w:ascii="Arial" w:cs="Arial" w:eastAsia="Arial" w:hAnsi="Arial"/>
                <w:sz w:val="14"/>
                <w:szCs w:val="14"/>
                <w:b w:val="1"/>
                <w:bCs w:val="1"/>
                <w:color w:val="auto"/>
                <w:w w:val="83"/>
              </w:rPr>
              <w:t>2022</w:t>
            </w:r>
          </w:p>
        </w:tc>
        <w:tc>
          <w:tcPr>
            <w:tcW w:w="9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60" w:type="dxa"/>
            <w:vAlign w:val="bottom"/>
            <w:tcBorders>
              <w:left w:val="single" w:sz="8" w:color="auto"/>
              <w:right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10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Retail</w:t>
            </w:r>
          </w:p>
        </w:tc>
        <w:tc>
          <w:tcPr>
            <w:tcW w:w="180" w:type="dxa"/>
            <w:vAlign w:val="bottom"/>
          </w:tcPr>
          <w:p>
            <w:pPr>
              <w:spacing w:after="0"/>
              <w:rPr>
                <w:sz w:val="14"/>
                <w:szCs w:val="14"/>
                <w:color w:val="auto"/>
              </w:rPr>
            </w:pPr>
          </w:p>
        </w:tc>
        <w:tc>
          <w:tcPr>
            <w:tcW w:w="118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Packaging</w:t>
            </w:r>
          </w:p>
        </w:tc>
        <w:tc>
          <w:tcPr>
            <w:tcW w:w="120" w:type="dxa"/>
            <w:vAlign w:val="bottom"/>
          </w:tcPr>
          <w:p>
            <w:pPr>
              <w:spacing w:after="0"/>
              <w:rPr>
                <w:sz w:val="14"/>
                <w:szCs w:val="14"/>
                <w:color w:val="auto"/>
              </w:rPr>
            </w:pPr>
          </w:p>
        </w:tc>
        <w:tc>
          <w:tcPr>
            <w:tcW w:w="1020" w:type="dxa"/>
            <w:vAlign w:val="bottom"/>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Construction</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116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Corporate</w:t>
            </w:r>
          </w:p>
        </w:tc>
        <w:tc>
          <w:tcPr>
            <w:tcW w:w="240" w:type="dxa"/>
            <w:vAlign w:val="bottom"/>
          </w:tcPr>
          <w:p>
            <w:pPr>
              <w:spacing w:after="0"/>
              <w:rPr>
                <w:sz w:val="14"/>
                <w:szCs w:val="14"/>
                <w:color w:val="auto"/>
              </w:rPr>
            </w:pPr>
          </w:p>
        </w:tc>
        <w:tc>
          <w:tcPr>
            <w:tcW w:w="940" w:type="dxa"/>
            <w:vAlign w:val="bottom"/>
            <w:tcBorders>
              <w:right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360" w:type="dxa"/>
            <w:vAlign w:val="bottom"/>
            <w:tcBorders>
              <w:top w:val="single" w:sz="8" w:color="auto"/>
              <w:left w:val="single" w:sz="8" w:color="auto"/>
              <w:right w:val="single" w:sz="8" w:color="auto"/>
            </w:tcBorders>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NET SALES</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690,663</w:t>
            </w: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522,171</w:t>
            </w: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604,895</w:t>
            </w: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99,425</w:t>
            </w: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(3,457)</w:t>
            </w:r>
          </w:p>
        </w:tc>
        <w:tc>
          <w:tcPr>
            <w:tcW w:w="2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right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1,913,697</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COST OF GOODS SOLD</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631,116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391,443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466,541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70,207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(3,080)</w:t>
            </w:r>
          </w:p>
        </w:tc>
        <w:tc>
          <w:tcPr>
            <w:tcW w:w="240" w:type="dxa"/>
            <w:vAlign w:val="bottom"/>
          </w:tcPr>
          <w:p>
            <w:pPr>
              <w:spacing w:after="0"/>
              <w:rPr>
                <w:sz w:val="18"/>
                <w:szCs w:val="1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1,556,227</w:t>
            </w:r>
          </w:p>
        </w:tc>
        <w:tc>
          <w:tcPr>
            <w:tcW w:w="0" w:type="dxa"/>
            <w:vAlign w:val="bottom"/>
          </w:tcPr>
          <w:p>
            <w:pPr>
              <w:spacing w:after="0"/>
              <w:rPr>
                <w:sz w:val="1"/>
                <w:szCs w:val="1"/>
                <w:color w:val="auto"/>
              </w:rPr>
            </w:pPr>
          </w:p>
        </w:tc>
      </w:tr>
      <w:tr>
        <w:trPr>
          <w:trHeight w:val="209"/>
        </w:trPr>
        <w:tc>
          <w:tcPr>
            <w:tcW w:w="2360" w:type="dxa"/>
            <w:vAlign w:val="bottom"/>
            <w:tcBorders>
              <w:top w:val="single" w:sz="8" w:color="CCEEFF"/>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59,547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130,728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138,354</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357,470</w:t>
            </w:r>
          </w:p>
        </w:tc>
        <w:tc>
          <w:tcPr>
            <w:tcW w:w="0" w:type="dxa"/>
            <w:vAlign w:val="bottom"/>
          </w:tcPr>
          <w:p>
            <w:pPr>
              <w:spacing w:after="0"/>
              <w:rPr>
                <w:sz w:val="1"/>
                <w:szCs w:val="1"/>
                <w:color w:val="auto"/>
              </w:rPr>
            </w:pPr>
          </w:p>
        </w:tc>
      </w:tr>
      <w:tr>
        <w:trPr>
          <w:trHeight w:val="189"/>
        </w:trPr>
        <w:tc>
          <w:tcPr>
            <w:tcW w:w="2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SELLING, GENERAL AND</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ADMINISTRATIVE</w:t>
            </w:r>
          </w:p>
        </w:tc>
        <w:tc>
          <w:tcPr>
            <w:tcW w:w="20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33,893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49,871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61,695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17,012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20,593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183,064</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EXPENSES</w:t>
            </w: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4,844</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5,857</w:t>
            </w:r>
          </w:p>
        </w:tc>
        <w:tc>
          <w:tcPr>
            <w:tcW w:w="0" w:type="dxa"/>
            <w:vAlign w:val="bottom"/>
          </w:tcPr>
          <w:p>
            <w:pPr>
              <w:spacing w:after="0"/>
              <w:rPr>
                <w:sz w:val="1"/>
                <w:szCs w:val="1"/>
                <w:color w:val="auto"/>
              </w:rPr>
            </w:pPr>
          </w:p>
        </w:tc>
      </w:tr>
      <w:tr>
        <w:trPr>
          <w:trHeight w:val="169"/>
        </w:trPr>
        <w:tc>
          <w:tcPr>
            <w:tcW w:w="236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6"/>
                <w:szCs w:val="16"/>
                <w:b w:val="1"/>
                <w:bCs w:val="1"/>
                <w:color w:val="auto"/>
              </w:rPr>
              <w:t>EARNINGS FROM</w:t>
            </w:r>
          </w:p>
        </w:tc>
        <w:tc>
          <w:tcPr>
            <w:tcW w:w="200" w:type="dxa"/>
            <w:vAlign w:val="bottom"/>
            <w:vMerge w:val="restart"/>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25,471</w:t>
            </w:r>
          </w:p>
        </w:tc>
        <w:tc>
          <w:tcPr>
            <w:tcW w:w="2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81,346</w:t>
            </w:r>
          </w:p>
        </w:tc>
        <w:tc>
          <w:tcPr>
            <w:tcW w:w="2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75,400</w:t>
            </w:r>
          </w:p>
        </w:tc>
        <w:tc>
          <w:tcPr>
            <w:tcW w:w="40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7,362</w:t>
            </w:r>
          </w:p>
        </w:tc>
        <w:tc>
          <w:tcPr>
            <w:tcW w:w="200" w:type="dxa"/>
            <w:vAlign w:val="bottom"/>
          </w:tcPr>
          <w:p>
            <w:pPr>
              <w:spacing w:after="0"/>
              <w:rPr>
                <w:sz w:val="14"/>
                <w:szCs w:val="14"/>
                <w:color w:val="auto"/>
              </w:rPr>
            </w:pPr>
          </w:p>
        </w:tc>
        <w:tc>
          <w:tcPr>
            <w:tcW w:w="180" w:type="dxa"/>
            <w:vAlign w:val="bottom"/>
            <w:vMerge w:val="restart"/>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(21,030)</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168,549</w:t>
            </w:r>
          </w:p>
        </w:tc>
        <w:tc>
          <w:tcPr>
            <w:tcW w:w="0" w:type="dxa"/>
            <w:vAlign w:val="bottom"/>
          </w:tcPr>
          <w:p>
            <w:pPr>
              <w:spacing w:after="0"/>
              <w:rPr>
                <w:sz w:val="1"/>
                <w:szCs w:val="1"/>
                <w:color w:val="auto"/>
              </w:rPr>
            </w:pPr>
          </w:p>
        </w:tc>
      </w:tr>
      <w:tr>
        <w:trPr>
          <w:trHeight w:val="203"/>
        </w:trPr>
        <w:tc>
          <w:tcPr>
            <w:tcW w:w="2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OPERATIONS</w:t>
            </w:r>
          </w:p>
        </w:tc>
        <w:tc>
          <w:tcPr>
            <w:tcW w:w="20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9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60" w:type="dxa"/>
            <w:vAlign w:val="bottom"/>
            <w:tcBorders>
              <w:left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360" w:type="dxa"/>
            <w:vAlign w:val="bottom"/>
            <w:tcBorders>
              <w:left w:val="single" w:sz="8" w:color="auto"/>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3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5"/>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360" w:type="dxa"/>
            <w:vAlign w:val="bottom"/>
            <w:tcBorders>
              <w:left w:val="single" w:sz="8" w:color="auto"/>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gridSpan w:val="5"/>
          </w:tcPr>
          <w:p>
            <w:pPr>
              <w:jc w:val="center"/>
              <w:ind w:right="280"/>
              <w:spacing w:after="0" w:line="142" w:lineRule="exact"/>
              <w:rPr>
                <w:sz w:val="20"/>
                <w:szCs w:val="20"/>
                <w:color w:val="auto"/>
              </w:rPr>
            </w:pPr>
            <w:r>
              <w:rPr>
                <w:rFonts w:ascii="Arial" w:cs="Arial" w:eastAsia="Arial" w:hAnsi="Arial"/>
                <w:sz w:val="14"/>
                <w:szCs w:val="14"/>
                <w:b w:val="1"/>
                <w:bCs w:val="1"/>
                <w:color w:val="auto"/>
                <w:w w:val="95"/>
              </w:rPr>
              <w:t>Quarter Period</w:t>
            </w: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360" w:type="dxa"/>
            <w:vAlign w:val="bottom"/>
            <w:tcBorders>
              <w:left w:val="single" w:sz="8" w:color="auto"/>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jc w:val="right"/>
              <w:ind w:right="30"/>
              <w:spacing w:after="0" w:line="155" w:lineRule="exact"/>
              <w:rPr>
                <w:sz w:val="20"/>
                <w:szCs w:val="20"/>
                <w:color w:val="auto"/>
              </w:rPr>
            </w:pPr>
            <w:r>
              <w:rPr>
                <w:rFonts w:ascii="Arial" w:cs="Arial" w:eastAsia="Arial" w:hAnsi="Arial"/>
                <w:sz w:val="14"/>
                <w:szCs w:val="14"/>
                <w:b w:val="1"/>
                <w:bCs w:val="1"/>
                <w:color w:val="auto"/>
                <w:w w:val="83"/>
              </w:rPr>
              <w:t>2021</w:t>
            </w:r>
          </w:p>
        </w:tc>
        <w:tc>
          <w:tcPr>
            <w:tcW w:w="9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360" w:type="dxa"/>
            <w:vAlign w:val="bottom"/>
            <w:tcBorders>
              <w:left w:val="single" w:sz="8" w:color="auto"/>
              <w:right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110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Retail</w:t>
            </w:r>
          </w:p>
        </w:tc>
        <w:tc>
          <w:tcPr>
            <w:tcW w:w="180" w:type="dxa"/>
            <w:vAlign w:val="bottom"/>
          </w:tcPr>
          <w:p>
            <w:pPr>
              <w:spacing w:after="0"/>
              <w:rPr>
                <w:sz w:val="12"/>
                <w:szCs w:val="12"/>
                <w:color w:val="auto"/>
              </w:rPr>
            </w:pPr>
          </w:p>
        </w:tc>
        <w:tc>
          <w:tcPr>
            <w:tcW w:w="118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Packaging</w:t>
            </w:r>
          </w:p>
        </w:tc>
        <w:tc>
          <w:tcPr>
            <w:tcW w:w="120" w:type="dxa"/>
            <w:vAlign w:val="bottom"/>
          </w:tcPr>
          <w:p>
            <w:pPr>
              <w:spacing w:after="0"/>
              <w:rPr>
                <w:sz w:val="12"/>
                <w:szCs w:val="12"/>
                <w:color w:val="auto"/>
              </w:rPr>
            </w:pPr>
          </w:p>
        </w:tc>
        <w:tc>
          <w:tcPr>
            <w:tcW w:w="1020" w:type="dxa"/>
            <w:vAlign w:val="bottom"/>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Construction</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2"/>
                <w:szCs w:val="12"/>
                <w:color w:val="auto"/>
              </w:rPr>
            </w:pPr>
          </w:p>
        </w:tc>
        <w:tc>
          <w:tcPr>
            <w:tcW w:w="116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Corporate</w:t>
            </w:r>
          </w:p>
        </w:tc>
        <w:tc>
          <w:tcPr>
            <w:tcW w:w="240" w:type="dxa"/>
            <w:vAlign w:val="bottom"/>
          </w:tcPr>
          <w:p>
            <w:pPr>
              <w:spacing w:after="0"/>
              <w:rPr>
                <w:sz w:val="12"/>
                <w:szCs w:val="12"/>
                <w:color w:val="auto"/>
              </w:rPr>
            </w:pPr>
          </w:p>
        </w:tc>
        <w:tc>
          <w:tcPr>
            <w:tcW w:w="940" w:type="dxa"/>
            <w:vAlign w:val="bottom"/>
            <w:tcBorders>
              <w:right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360" w:type="dxa"/>
            <w:vAlign w:val="bottom"/>
            <w:tcBorders>
              <w:top w:val="single" w:sz="8" w:color="auto"/>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703,897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514,854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677,326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118,738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2,016,805</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bottom w:val="single" w:sz="8" w:color="CCEEFF"/>
              <w:right w:val="single" w:sz="8" w:color="auto"/>
            </w:tcBorders>
          </w:tcPr>
          <w:p>
            <w:pPr>
              <w:ind w:left="20"/>
              <w:spacing w:after="0"/>
              <w:rPr>
                <w:sz w:val="20"/>
                <w:szCs w:val="20"/>
                <w:color w:val="auto"/>
              </w:rPr>
            </w:pPr>
            <w:r>
              <w:rPr>
                <w:rFonts w:ascii="Arial" w:cs="Arial" w:eastAsia="Arial" w:hAnsi="Arial"/>
                <w:sz w:val="18"/>
                <w:szCs w:val="18"/>
                <w:b w:val="1"/>
                <w:bCs w:val="1"/>
                <w:color w:val="auto"/>
              </w:rPr>
              <w:t>COST OF GOODS SOLD</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639,827</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391,365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523,334</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76,846</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13,869</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1,645,241</w:t>
            </w:r>
          </w:p>
        </w:tc>
        <w:tc>
          <w:tcPr>
            <w:tcW w:w="0" w:type="dxa"/>
            <w:vAlign w:val="bottom"/>
          </w:tcPr>
          <w:p>
            <w:pPr>
              <w:spacing w:after="0"/>
              <w:rPr>
                <w:sz w:val="1"/>
                <w:szCs w:val="1"/>
                <w:color w:val="auto"/>
              </w:rPr>
            </w:pPr>
          </w:p>
        </w:tc>
      </w:tr>
      <w:tr>
        <w:trPr>
          <w:trHeight w:val="210"/>
        </w:trPr>
        <w:tc>
          <w:tcPr>
            <w:tcW w:w="23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64,070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123,489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153,992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371,564</w:t>
            </w:r>
          </w:p>
        </w:tc>
        <w:tc>
          <w:tcPr>
            <w:tcW w:w="0" w:type="dxa"/>
            <w:vAlign w:val="bottom"/>
          </w:tcPr>
          <w:p>
            <w:pPr>
              <w:spacing w:after="0"/>
              <w:rPr>
                <w:sz w:val="1"/>
                <w:szCs w:val="1"/>
                <w:color w:val="auto"/>
              </w:rPr>
            </w:pPr>
          </w:p>
        </w:tc>
      </w:tr>
      <w:tr>
        <w:trPr>
          <w:trHeight w:val="189"/>
        </w:trPr>
        <w:tc>
          <w:tcPr>
            <w:tcW w:w="2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SELLING, GENERAL AND</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ADMINISTRATIVE</w:t>
            </w:r>
          </w:p>
        </w:tc>
        <w:tc>
          <w:tcPr>
            <w:tcW w:w="20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24,658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49,455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74,148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12,182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17,706</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178,149</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EXPENSES</w:t>
            </w: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4"/>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(531)</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0"/>
        </w:trPr>
        <w:tc>
          <w:tcPr>
            <w:tcW w:w="23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EARNINGS FROM</w:t>
            </w: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360" w:type="dxa"/>
            <w:vAlign w:val="bottom"/>
            <w:tcBorders>
              <w:left w:val="single" w:sz="8" w:color="auto"/>
              <w:right w:val="single" w:sz="8" w:color="auto"/>
            </w:tcBorders>
            <w:vMerge w:val="continue"/>
          </w:tcPr>
          <w:p>
            <w:pPr>
              <w:spacing w:after="0"/>
              <w:rPr>
                <w:sz w:val="14"/>
                <w:szCs w:val="14"/>
                <w:color w:val="auto"/>
              </w:rPr>
            </w:pPr>
          </w:p>
        </w:tc>
        <w:tc>
          <w:tcPr>
            <w:tcW w:w="200" w:type="dxa"/>
            <w:vAlign w:val="bottom"/>
            <w:vMerge w:val="restart"/>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39,324</w:t>
            </w:r>
          </w:p>
        </w:tc>
        <w:tc>
          <w:tcPr>
            <w:tcW w:w="2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74,594</w:t>
            </w:r>
          </w:p>
        </w:tc>
        <w:tc>
          <w:tcPr>
            <w:tcW w:w="2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79,900</w:t>
            </w:r>
          </w:p>
        </w:tc>
        <w:tc>
          <w:tcPr>
            <w:tcW w:w="200" w:type="dxa"/>
            <w:vAlign w:val="bottom"/>
            <w:vMerge w:val="restart"/>
          </w:tcPr>
          <w:p>
            <w:pPr>
              <w:spacing w:after="0"/>
              <w:rPr>
                <w:sz w:val="14"/>
                <w:szCs w:val="14"/>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30,243</w:t>
            </w:r>
          </w:p>
        </w:tc>
        <w:tc>
          <w:tcPr>
            <w:tcW w:w="200" w:type="dxa"/>
            <w:vAlign w:val="bottom"/>
          </w:tcPr>
          <w:p>
            <w:pPr>
              <w:spacing w:after="0"/>
              <w:rPr>
                <w:sz w:val="14"/>
                <w:szCs w:val="14"/>
                <w:color w:val="auto"/>
              </w:rPr>
            </w:pPr>
          </w:p>
        </w:tc>
        <w:tc>
          <w:tcPr>
            <w:tcW w:w="180" w:type="dxa"/>
            <w:vAlign w:val="bottom"/>
            <w:vMerge w:val="restart"/>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(29,054)</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195,007</w:t>
            </w:r>
          </w:p>
        </w:tc>
        <w:tc>
          <w:tcPr>
            <w:tcW w:w="0" w:type="dxa"/>
            <w:vAlign w:val="bottom"/>
          </w:tcPr>
          <w:p>
            <w:pPr>
              <w:spacing w:after="0"/>
              <w:rPr>
                <w:sz w:val="1"/>
                <w:szCs w:val="1"/>
                <w:color w:val="auto"/>
              </w:rPr>
            </w:pPr>
          </w:p>
        </w:tc>
      </w:tr>
      <w:tr>
        <w:trPr>
          <w:trHeight w:val="203"/>
        </w:trPr>
        <w:tc>
          <w:tcPr>
            <w:tcW w:w="2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OPERATIONS</w:t>
            </w:r>
          </w:p>
        </w:tc>
        <w:tc>
          <w:tcPr>
            <w:tcW w:w="20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9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60" w:type="dxa"/>
            <w:vAlign w:val="bottom"/>
            <w:tcBorders>
              <w:left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360" w:type="dxa"/>
            <w:vAlign w:val="bottom"/>
            <w:tcBorders>
              <w:left w:val="single" w:sz="8" w:color="auto"/>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3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5"/>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360" w:type="dxa"/>
            <w:vAlign w:val="bottom"/>
            <w:tcBorders>
              <w:left w:val="single" w:sz="8" w:color="auto"/>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gridSpan w:val="5"/>
          </w:tcPr>
          <w:p>
            <w:pPr>
              <w:jc w:val="center"/>
              <w:ind w:right="280"/>
              <w:spacing w:after="0" w:line="142" w:lineRule="exact"/>
              <w:rPr>
                <w:sz w:val="20"/>
                <w:szCs w:val="20"/>
                <w:color w:val="auto"/>
              </w:rPr>
            </w:pPr>
            <w:r>
              <w:rPr>
                <w:rFonts w:ascii="Arial" w:cs="Arial" w:eastAsia="Arial" w:hAnsi="Arial"/>
                <w:sz w:val="14"/>
                <w:szCs w:val="14"/>
                <w:b w:val="1"/>
                <w:bCs w:val="1"/>
                <w:color w:val="auto"/>
                <w:w w:val="95"/>
              </w:rPr>
              <w:t>Year to Date</w:t>
            </w: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360" w:type="dxa"/>
            <w:vAlign w:val="bottom"/>
            <w:tcBorders>
              <w:left w:val="single" w:sz="8" w:color="auto"/>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jc w:val="right"/>
              <w:ind w:right="30"/>
              <w:spacing w:after="0" w:line="155" w:lineRule="exact"/>
              <w:rPr>
                <w:sz w:val="20"/>
                <w:szCs w:val="20"/>
                <w:color w:val="auto"/>
              </w:rPr>
            </w:pPr>
            <w:r>
              <w:rPr>
                <w:rFonts w:ascii="Arial" w:cs="Arial" w:eastAsia="Arial" w:hAnsi="Arial"/>
                <w:sz w:val="14"/>
                <w:szCs w:val="14"/>
                <w:b w:val="1"/>
                <w:bCs w:val="1"/>
                <w:color w:val="auto"/>
                <w:w w:val="83"/>
              </w:rPr>
              <w:t>2022</w:t>
            </w:r>
          </w:p>
        </w:tc>
        <w:tc>
          <w:tcPr>
            <w:tcW w:w="9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60" w:type="dxa"/>
            <w:vAlign w:val="bottom"/>
            <w:tcBorders>
              <w:left w:val="single" w:sz="8" w:color="auto"/>
              <w:right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10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Retail</w:t>
            </w:r>
          </w:p>
        </w:tc>
        <w:tc>
          <w:tcPr>
            <w:tcW w:w="180" w:type="dxa"/>
            <w:vAlign w:val="bottom"/>
          </w:tcPr>
          <w:p>
            <w:pPr>
              <w:spacing w:after="0"/>
              <w:rPr>
                <w:sz w:val="14"/>
                <w:szCs w:val="14"/>
                <w:color w:val="auto"/>
              </w:rPr>
            </w:pPr>
          </w:p>
        </w:tc>
        <w:tc>
          <w:tcPr>
            <w:tcW w:w="118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Packaging</w:t>
            </w:r>
          </w:p>
        </w:tc>
        <w:tc>
          <w:tcPr>
            <w:tcW w:w="120" w:type="dxa"/>
            <w:vAlign w:val="bottom"/>
          </w:tcPr>
          <w:p>
            <w:pPr>
              <w:spacing w:after="0"/>
              <w:rPr>
                <w:sz w:val="14"/>
                <w:szCs w:val="14"/>
                <w:color w:val="auto"/>
              </w:rPr>
            </w:pPr>
          </w:p>
        </w:tc>
        <w:tc>
          <w:tcPr>
            <w:tcW w:w="1020" w:type="dxa"/>
            <w:vAlign w:val="bottom"/>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Construction</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116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Corporate</w:t>
            </w:r>
          </w:p>
        </w:tc>
        <w:tc>
          <w:tcPr>
            <w:tcW w:w="240" w:type="dxa"/>
            <w:vAlign w:val="bottom"/>
          </w:tcPr>
          <w:p>
            <w:pPr>
              <w:spacing w:after="0"/>
              <w:rPr>
                <w:sz w:val="14"/>
                <w:szCs w:val="14"/>
                <w:color w:val="auto"/>
              </w:rPr>
            </w:pPr>
          </w:p>
        </w:tc>
        <w:tc>
          <w:tcPr>
            <w:tcW w:w="940" w:type="dxa"/>
            <w:vAlign w:val="bottom"/>
            <w:tcBorders>
              <w:right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360" w:type="dxa"/>
            <w:vAlign w:val="bottom"/>
            <w:tcBorders>
              <w:top w:val="single" w:sz="8" w:color="auto"/>
              <w:left w:val="single" w:sz="8" w:color="auto"/>
              <w:right w:val="single" w:sz="8" w:color="auto"/>
            </w:tcBorders>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NET SALES</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3,650,639</w:t>
            </w: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2,394,681</w:t>
            </w: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3,143,868</w:t>
            </w: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431,611</w:t>
            </w: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5,940</w:t>
            </w:r>
          </w:p>
        </w:tc>
        <w:tc>
          <w:tcPr>
            <w:tcW w:w="2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right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9,626,739</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bottom w:val="single" w:sz="8" w:color="CCEEFF"/>
              <w:right w:val="single" w:sz="8" w:color="auto"/>
            </w:tcBorders>
          </w:tcPr>
          <w:p>
            <w:pPr>
              <w:ind w:left="20"/>
              <w:spacing w:after="0"/>
              <w:rPr>
                <w:sz w:val="20"/>
                <w:szCs w:val="20"/>
                <w:color w:val="auto"/>
              </w:rPr>
            </w:pPr>
            <w:r>
              <w:rPr>
                <w:rFonts w:ascii="Arial" w:cs="Arial" w:eastAsia="Arial" w:hAnsi="Arial"/>
                <w:sz w:val="18"/>
                <w:szCs w:val="18"/>
                <w:b w:val="1"/>
                <w:bCs w:val="1"/>
                <w:color w:val="auto"/>
              </w:rPr>
              <w:t>COST OF GOODS SOLD</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3,306,112</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1,808,449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2,417,212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300,307</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5,198</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7,837,278</w:t>
            </w:r>
          </w:p>
        </w:tc>
        <w:tc>
          <w:tcPr>
            <w:tcW w:w="0" w:type="dxa"/>
            <w:vAlign w:val="bottom"/>
          </w:tcPr>
          <w:p>
            <w:pPr>
              <w:spacing w:after="0"/>
              <w:rPr>
                <w:sz w:val="1"/>
                <w:szCs w:val="1"/>
                <w:color w:val="auto"/>
              </w:rPr>
            </w:pPr>
          </w:p>
        </w:tc>
      </w:tr>
      <w:tr>
        <w:trPr>
          <w:trHeight w:val="209"/>
        </w:trPr>
        <w:tc>
          <w:tcPr>
            <w:tcW w:w="23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344,527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586,232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726,656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131,304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1,789,461</w:t>
            </w:r>
          </w:p>
        </w:tc>
        <w:tc>
          <w:tcPr>
            <w:tcW w:w="0" w:type="dxa"/>
            <w:vAlign w:val="bottom"/>
          </w:tcPr>
          <w:p>
            <w:pPr>
              <w:spacing w:after="0"/>
              <w:rPr>
                <w:sz w:val="1"/>
                <w:szCs w:val="1"/>
                <w:color w:val="auto"/>
              </w:rPr>
            </w:pPr>
          </w:p>
        </w:tc>
      </w:tr>
      <w:tr>
        <w:trPr>
          <w:trHeight w:val="189"/>
        </w:trPr>
        <w:tc>
          <w:tcPr>
            <w:tcW w:w="2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SELLING, GENERAL AND</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ADMINISTRATIVE</w:t>
            </w:r>
          </w:p>
        </w:tc>
        <w:tc>
          <w:tcPr>
            <w:tcW w:w="20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193,383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250,858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328,125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66,745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(7,032)</w:t>
            </w:r>
          </w:p>
        </w:tc>
        <w:tc>
          <w:tcPr>
            <w:tcW w:w="240" w:type="dxa"/>
            <w:vAlign w:val="bottom"/>
          </w:tcPr>
          <w:p>
            <w:pPr>
              <w:spacing w:after="0"/>
              <w:rPr>
                <w:sz w:val="17"/>
                <w:szCs w:val="17"/>
                <w:color w:val="auto"/>
              </w:rPr>
            </w:pPr>
          </w:p>
        </w:tc>
        <w:tc>
          <w:tcPr>
            <w:tcW w:w="9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832,079</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EXPENSES</w:t>
            </w: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(774)</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7,198</w:t>
            </w:r>
          </w:p>
        </w:tc>
        <w:tc>
          <w:tcPr>
            <w:tcW w:w="0" w:type="dxa"/>
            <w:vAlign w:val="bottom"/>
          </w:tcPr>
          <w:p>
            <w:pPr>
              <w:spacing w:after="0"/>
              <w:rPr>
                <w:sz w:val="1"/>
                <w:szCs w:val="1"/>
                <w:color w:val="auto"/>
              </w:rPr>
            </w:pPr>
          </w:p>
        </w:tc>
      </w:tr>
      <w:tr>
        <w:trPr>
          <w:trHeight w:val="169"/>
        </w:trPr>
        <w:tc>
          <w:tcPr>
            <w:tcW w:w="236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6"/>
                <w:szCs w:val="16"/>
                <w:b w:val="1"/>
                <w:bCs w:val="1"/>
                <w:color w:val="auto"/>
              </w:rPr>
              <w:t>EARNINGS FROM</w:t>
            </w:r>
          </w:p>
        </w:tc>
        <w:tc>
          <w:tcPr>
            <w:tcW w:w="200" w:type="dxa"/>
            <w:vAlign w:val="bottom"/>
            <w:tcBorders>
              <w:top w:val="single" w:sz="8" w:color="auto"/>
            </w:tcBorders>
            <w:vMerge w:val="restart"/>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150,327</w:t>
            </w:r>
          </w:p>
        </w:tc>
        <w:tc>
          <w:tcPr>
            <w:tcW w:w="200" w:type="dxa"/>
            <w:vAlign w:val="bottom"/>
          </w:tcPr>
          <w:p>
            <w:pPr>
              <w:spacing w:after="0"/>
              <w:rPr>
                <w:sz w:val="14"/>
                <w:szCs w:val="14"/>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335,245</w:t>
            </w:r>
          </w:p>
        </w:tc>
        <w:tc>
          <w:tcPr>
            <w:tcW w:w="20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397,434</w:t>
            </w:r>
          </w:p>
        </w:tc>
        <w:tc>
          <w:tcPr>
            <w:tcW w:w="200" w:type="dxa"/>
            <w:vAlign w:val="bottom"/>
            <w:vMerge w:val="restart"/>
          </w:tcPr>
          <w:p>
            <w:pPr>
              <w:spacing w:after="0"/>
              <w:rPr>
                <w:sz w:val="14"/>
                <w:szCs w:val="14"/>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58,630</w:t>
            </w:r>
          </w:p>
        </w:tc>
        <w:tc>
          <w:tcPr>
            <w:tcW w:w="200" w:type="dxa"/>
            <w:vAlign w:val="bottom"/>
          </w:tcPr>
          <w:p>
            <w:pPr>
              <w:spacing w:after="0"/>
              <w:rPr>
                <w:sz w:val="14"/>
                <w:szCs w:val="14"/>
                <w:color w:val="auto"/>
              </w:rPr>
            </w:pPr>
          </w:p>
        </w:tc>
        <w:tc>
          <w:tcPr>
            <w:tcW w:w="180" w:type="dxa"/>
            <w:vAlign w:val="bottom"/>
            <w:tcBorders>
              <w:top w:val="single" w:sz="8" w:color="auto"/>
            </w:tcBorders>
            <w:vMerge w:val="restart"/>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8,548</w:t>
            </w:r>
          </w:p>
        </w:tc>
        <w:tc>
          <w:tcPr>
            <w:tcW w:w="200" w:type="dxa"/>
            <w:vAlign w:val="bottom"/>
          </w:tcPr>
          <w:p>
            <w:pPr>
              <w:spacing w:after="0"/>
              <w:rPr>
                <w:sz w:val="14"/>
                <w:szCs w:val="14"/>
                <w:color w:val="auto"/>
              </w:rPr>
            </w:pPr>
          </w:p>
        </w:tc>
        <w:tc>
          <w:tcPr>
            <w:tcW w:w="2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right w:val="single" w:sz="8" w:color="auto"/>
            </w:tcBorders>
            <w:vMerge w:val="restart"/>
          </w:tcPr>
          <w:p>
            <w:pPr>
              <w:jc w:val="right"/>
              <w:spacing w:after="0"/>
              <w:rPr>
                <w:sz w:val="20"/>
                <w:szCs w:val="20"/>
                <w:color w:val="auto"/>
              </w:rPr>
            </w:pPr>
            <w:r>
              <w:rPr>
                <w:rFonts w:ascii="Arial" w:cs="Arial" w:eastAsia="Arial" w:hAnsi="Arial"/>
                <w:sz w:val="18"/>
                <w:szCs w:val="18"/>
                <w:color w:val="auto"/>
              </w:rPr>
              <w:t>950,184</w:t>
            </w:r>
          </w:p>
        </w:tc>
        <w:tc>
          <w:tcPr>
            <w:tcW w:w="0" w:type="dxa"/>
            <w:vAlign w:val="bottom"/>
          </w:tcPr>
          <w:p>
            <w:pPr>
              <w:spacing w:after="0"/>
              <w:rPr>
                <w:sz w:val="1"/>
                <w:szCs w:val="1"/>
                <w:color w:val="auto"/>
              </w:rPr>
            </w:pPr>
          </w:p>
        </w:tc>
      </w:tr>
      <w:tr>
        <w:trPr>
          <w:trHeight w:val="208"/>
        </w:trPr>
        <w:tc>
          <w:tcPr>
            <w:tcW w:w="2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OPERATIONS</w:t>
            </w:r>
          </w:p>
        </w:tc>
        <w:tc>
          <w:tcPr>
            <w:tcW w:w="20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60" w:type="dxa"/>
            <w:vAlign w:val="bottom"/>
            <w:tcBorders>
              <w:lef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360" w:type="dxa"/>
            <w:vAlign w:val="bottom"/>
            <w:tcBorders>
              <w:left w:val="single" w:sz="8" w:color="auto"/>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3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5"/>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360" w:type="dxa"/>
            <w:vAlign w:val="bottom"/>
            <w:tcBorders>
              <w:left w:val="single" w:sz="8" w:color="auto"/>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gridSpan w:val="5"/>
          </w:tcPr>
          <w:p>
            <w:pPr>
              <w:jc w:val="center"/>
              <w:ind w:right="280"/>
              <w:spacing w:after="0" w:line="142" w:lineRule="exact"/>
              <w:rPr>
                <w:sz w:val="20"/>
                <w:szCs w:val="20"/>
                <w:color w:val="auto"/>
              </w:rPr>
            </w:pPr>
            <w:r>
              <w:rPr>
                <w:rFonts w:ascii="Arial" w:cs="Arial" w:eastAsia="Arial" w:hAnsi="Arial"/>
                <w:sz w:val="14"/>
                <w:szCs w:val="14"/>
                <w:b w:val="1"/>
                <w:bCs w:val="1"/>
                <w:color w:val="auto"/>
                <w:w w:val="95"/>
              </w:rPr>
              <w:t>Year to Date</w:t>
            </w: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360" w:type="dxa"/>
            <w:vAlign w:val="bottom"/>
            <w:tcBorders>
              <w:left w:val="single" w:sz="8" w:color="auto"/>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jc w:val="right"/>
              <w:ind w:right="30"/>
              <w:spacing w:after="0" w:line="155" w:lineRule="exact"/>
              <w:rPr>
                <w:sz w:val="20"/>
                <w:szCs w:val="20"/>
                <w:color w:val="auto"/>
              </w:rPr>
            </w:pPr>
            <w:r>
              <w:rPr>
                <w:rFonts w:ascii="Arial" w:cs="Arial" w:eastAsia="Arial" w:hAnsi="Arial"/>
                <w:sz w:val="14"/>
                <w:szCs w:val="14"/>
                <w:b w:val="1"/>
                <w:bCs w:val="1"/>
                <w:color w:val="auto"/>
                <w:w w:val="83"/>
              </w:rPr>
              <w:t>2021</w:t>
            </w:r>
          </w:p>
        </w:tc>
        <w:tc>
          <w:tcPr>
            <w:tcW w:w="9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360" w:type="dxa"/>
            <w:vAlign w:val="bottom"/>
            <w:tcBorders>
              <w:left w:val="single" w:sz="8" w:color="auto"/>
              <w:right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110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Retail</w:t>
            </w:r>
          </w:p>
        </w:tc>
        <w:tc>
          <w:tcPr>
            <w:tcW w:w="180" w:type="dxa"/>
            <w:vAlign w:val="bottom"/>
          </w:tcPr>
          <w:p>
            <w:pPr>
              <w:spacing w:after="0"/>
              <w:rPr>
                <w:sz w:val="12"/>
                <w:szCs w:val="12"/>
                <w:color w:val="auto"/>
              </w:rPr>
            </w:pPr>
          </w:p>
        </w:tc>
        <w:tc>
          <w:tcPr>
            <w:tcW w:w="118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Packaging</w:t>
            </w:r>
          </w:p>
        </w:tc>
        <w:tc>
          <w:tcPr>
            <w:tcW w:w="120" w:type="dxa"/>
            <w:vAlign w:val="bottom"/>
          </w:tcPr>
          <w:p>
            <w:pPr>
              <w:spacing w:after="0"/>
              <w:rPr>
                <w:sz w:val="12"/>
                <w:szCs w:val="12"/>
                <w:color w:val="auto"/>
              </w:rPr>
            </w:pPr>
          </w:p>
        </w:tc>
        <w:tc>
          <w:tcPr>
            <w:tcW w:w="1020" w:type="dxa"/>
            <w:vAlign w:val="bottom"/>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Construction</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2"/>
                <w:szCs w:val="12"/>
                <w:color w:val="auto"/>
              </w:rPr>
            </w:pPr>
          </w:p>
        </w:tc>
        <w:tc>
          <w:tcPr>
            <w:tcW w:w="116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Corporate</w:t>
            </w:r>
          </w:p>
        </w:tc>
        <w:tc>
          <w:tcPr>
            <w:tcW w:w="240" w:type="dxa"/>
            <w:vAlign w:val="bottom"/>
          </w:tcPr>
          <w:p>
            <w:pPr>
              <w:spacing w:after="0"/>
              <w:rPr>
                <w:sz w:val="12"/>
                <w:szCs w:val="12"/>
                <w:color w:val="auto"/>
              </w:rPr>
            </w:pPr>
          </w:p>
        </w:tc>
        <w:tc>
          <w:tcPr>
            <w:tcW w:w="940" w:type="dxa"/>
            <w:vAlign w:val="bottom"/>
            <w:tcBorders>
              <w:right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360" w:type="dxa"/>
            <w:vAlign w:val="bottom"/>
            <w:tcBorders>
              <w:top w:val="single" w:sz="8" w:color="auto"/>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3,418,337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2,148,142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2,698,434</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362,473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8,748</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8,636,134</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bottom w:val="single" w:sz="8" w:color="CCEEFF"/>
              <w:right w:val="single" w:sz="8" w:color="auto"/>
            </w:tcBorders>
          </w:tcPr>
          <w:p>
            <w:pPr>
              <w:ind w:left="20"/>
              <w:spacing w:after="0"/>
              <w:rPr>
                <w:sz w:val="20"/>
                <w:szCs w:val="20"/>
                <w:color w:val="auto"/>
              </w:rPr>
            </w:pPr>
            <w:r>
              <w:rPr>
                <w:rFonts w:ascii="Arial" w:cs="Arial" w:eastAsia="Arial" w:hAnsi="Arial"/>
                <w:sz w:val="18"/>
                <w:szCs w:val="18"/>
                <w:b w:val="1"/>
                <w:bCs w:val="1"/>
                <w:color w:val="auto"/>
              </w:rPr>
              <w:t>COST OF GOODS SOLD</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3,120,634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1,683,466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2,167,405</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237,696</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19,966</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7,229,167</w:t>
            </w:r>
          </w:p>
        </w:tc>
        <w:tc>
          <w:tcPr>
            <w:tcW w:w="0" w:type="dxa"/>
            <w:vAlign w:val="bottom"/>
          </w:tcPr>
          <w:p>
            <w:pPr>
              <w:spacing w:after="0"/>
              <w:rPr>
                <w:sz w:val="1"/>
                <w:szCs w:val="1"/>
                <w:color w:val="auto"/>
              </w:rPr>
            </w:pPr>
          </w:p>
        </w:tc>
      </w:tr>
      <w:tr>
        <w:trPr>
          <w:trHeight w:val="209"/>
        </w:trPr>
        <w:tc>
          <w:tcPr>
            <w:tcW w:w="23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297,703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464,676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531,029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124,777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1,406,967</w:t>
            </w:r>
          </w:p>
        </w:tc>
        <w:tc>
          <w:tcPr>
            <w:tcW w:w="0" w:type="dxa"/>
            <w:vAlign w:val="bottom"/>
          </w:tcPr>
          <w:p>
            <w:pPr>
              <w:spacing w:after="0"/>
              <w:rPr>
                <w:sz w:val="1"/>
                <w:szCs w:val="1"/>
                <w:color w:val="auto"/>
              </w:rPr>
            </w:pPr>
          </w:p>
        </w:tc>
      </w:tr>
      <w:tr>
        <w:trPr>
          <w:trHeight w:val="189"/>
        </w:trPr>
        <w:tc>
          <w:tcPr>
            <w:tcW w:w="2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SELLING, GENERAL AND</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ADMINISTRATIVE</w:t>
            </w:r>
          </w:p>
        </w:tc>
        <w:tc>
          <w:tcPr>
            <w:tcW w:w="20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169,033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200,194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267,292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52,204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(6,470)</w:t>
            </w:r>
          </w:p>
        </w:tc>
        <w:tc>
          <w:tcPr>
            <w:tcW w:w="240" w:type="dxa"/>
            <w:vAlign w:val="bottom"/>
          </w:tcPr>
          <w:p>
            <w:pPr>
              <w:spacing w:after="0"/>
              <w:rPr>
                <w:sz w:val="17"/>
                <w:szCs w:val="17"/>
                <w:color w:val="auto"/>
              </w:rPr>
            </w:pPr>
          </w:p>
        </w:tc>
        <w:tc>
          <w:tcPr>
            <w:tcW w:w="9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682,253</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EXPENSES</w:t>
            </w: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4"/>
              <w:spacing w:after="0"/>
              <w:rPr>
                <w:sz w:val="20"/>
                <w:szCs w:val="20"/>
                <w:color w:val="auto"/>
              </w:rPr>
            </w:pPr>
            <w:r>
              <w:rPr>
                <w:rFonts w:ascii="Arial" w:cs="Arial" w:eastAsia="Arial" w:hAnsi="Arial"/>
                <w:sz w:val="18"/>
                <w:szCs w:val="18"/>
                <w:color w:val="auto"/>
              </w:rPr>
              <w:t>(493)</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(9,560)</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(12,840)</w:t>
            </w:r>
          </w:p>
        </w:tc>
        <w:tc>
          <w:tcPr>
            <w:tcW w:w="0" w:type="dxa"/>
            <w:vAlign w:val="bottom"/>
          </w:tcPr>
          <w:p>
            <w:pPr>
              <w:spacing w:after="0"/>
              <w:rPr>
                <w:sz w:val="1"/>
                <w:szCs w:val="1"/>
                <w:color w:val="auto"/>
              </w:rPr>
            </w:pPr>
          </w:p>
        </w:tc>
      </w:tr>
      <w:tr>
        <w:trPr>
          <w:trHeight w:val="169"/>
        </w:trPr>
        <w:tc>
          <w:tcPr>
            <w:tcW w:w="236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6"/>
                <w:szCs w:val="16"/>
                <w:b w:val="1"/>
                <w:bCs w:val="1"/>
                <w:color w:val="auto"/>
              </w:rPr>
              <w:t>EARNINGS FROM</w:t>
            </w:r>
          </w:p>
        </w:tc>
        <w:tc>
          <w:tcPr>
            <w:tcW w:w="200" w:type="dxa"/>
            <w:vAlign w:val="bottom"/>
            <w:tcBorders>
              <w:top w:val="single" w:sz="8" w:color="auto"/>
            </w:tcBorders>
            <w:vMerge w:val="restart"/>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128,764</w:t>
            </w:r>
          </w:p>
        </w:tc>
        <w:tc>
          <w:tcPr>
            <w:tcW w:w="200" w:type="dxa"/>
            <w:vAlign w:val="bottom"/>
          </w:tcPr>
          <w:p>
            <w:pPr>
              <w:spacing w:after="0"/>
              <w:rPr>
                <w:sz w:val="14"/>
                <w:szCs w:val="14"/>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264,938</w:t>
            </w:r>
          </w:p>
        </w:tc>
        <w:tc>
          <w:tcPr>
            <w:tcW w:w="20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264,230</w:t>
            </w:r>
          </w:p>
        </w:tc>
        <w:tc>
          <w:tcPr>
            <w:tcW w:w="200" w:type="dxa"/>
            <w:vAlign w:val="bottom"/>
            <w:vMerge w:val="restart"/>
          </w:tcPr>
          <w:p>
            <w:pPr>
              <w:spacing w:after="0"/>
              <w:rPr>
                <w:sz w:val="14"/>
                <w:szCs w:val="14"/>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74,810</w:t>
            </w:r>
          </w:p>
        </w:tc>
        <w:tc>
          <w:tcPr>
            <w:tcW w:w="200" w:type="dxa"/>
            <w:vAlign w:val="bottom"/>
          </w:tcPr>
          <w:p>
            <w:pPr>
              <w:spacing w:after="0"/>
              <w:rPr>
                <w:sz w:val="14"/>
                <w:szCs w:val="14"/>
                <w:color w:val="auto"/>
              </w:rPr>
            </w:pPr>
          </w:p>
        </w:tc>
        <w:tc>
          <w:tcPr>
            <w:tcW w:w="180" w:type="dxa"/>
            <w:vAlign w:val="bottom"/>
            <w:tcBorders>
              <w:top w:val="single" w:sz="8" w:color="auto"/>
            </w:tcBorders>
            <w:vMerge w:val="restart"/>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4,812</w:t>
            </w:r>
          </w:p>
        </w:tc>
        <w:tc>
          <w:tcPr>
            <w:tcW w:w="200" w:type="dxa"/>
            <w:vAlign w:val="bottom"/>
          </w:tcPr>
          <w:p>
            <w:pPr>
              <w:spacing w:after="0"/>
              <w:rPr>
                <w:sz w:val="14"/>
                <w:szCs w:val="14"/>
                <w:color w:val="auto"/>
              </w:rPr>
            </w:pPr>
          </w:p>
        </w:tc>
        <w:tc>
          <w:tcPr>
            <w:tcW w:w="2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right w:val="single" w:sz="8" w:color="auto"/>
            </w:tcBorders>
            <w:vMerge w:val="restart"/>
          </w:tcPr>
          <w:p>
            <w:pPr>
              <w:jc w:val="right"/>
              <w:spacing w:after="0"/>
              <w:rPr>
                <w:sz w:val="20"/>
                <w:szCs w:val="20"/>
                <w:color w:val="auto"/>
              </w:rPr>
            </w:pPr>
            <w:r>
              <w:rPr>
                <w:rFonts w:ascii="Arial" w:cs="Arial" w:eastAsia="Arial" w:hAnsi="Arial"/>
                <w:sz w:val="18"/>
                <w:szCs w:val="18"/>
                <w:color w:val="auto"/>
              </w:rPr>
              <w:t>737,554</w:t>
            </w:r>
          </w:p>
        </w:tc>
        <w:tc>
          <w:tcPr>
            <w:tcW w:w="0" w:type="dxa"/>
            <w:vAlign w:val="bottom"/>
          </w:tcPr>
          <w:p>
            <w:pPr>
              <w:spacing w:after="0"/>
              <w:rPr>
                <w:sz w:val="1"/>
                <w:szCs w:val="1"/>
                <w:color w:val="auto"/>
              </w:rPr>
            </w:pPr>
          </w:p>
        </w:tc>
      </w:tr>
      <w:tr>
        <w:trPr>
          <w:trHeight w:val="208"/>
        </w:trPr>
        <w:tc>
          <w:tcPr>
            <w:tcW w:w="2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OPERATIONS</w:t>
            </w:r>
          </w:p>
        </w:tc>
        <w:tc>
          <w:tcPr>
            <w:tcW w:w="20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60" w:type="dxa"/>
            <w:vAlign w:val="bottom"/>
            <w:tcBorders>
              <w:lef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360" w:type="dxa"/>
            <w:vAlign w:val="bottom"/>
            <w:tcBorders>
              <w:left w:val="single" w:sz="8" w:color="auto"/>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56"/>
        </w:trPr>
        <w:tc>
          <w:tcPr>
            <w:tcW w:w="2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820" w:top="513" w:right="839" w:bottom="1440" w:gutter="0" w:footer="0" w:header="0"/>
        </w:sectPr>
      </w:pPr>
    </w:p>
    <w:bookmarkStart w:id="10" w:name="page11"/>
    <w:bookmarkEnd w:id="10"/>
    <w:p>
      <w:pPr>
        <w:ind w:left="20"/>
        <w:spacing w:after="0"/>
        <w:rPr>
          <w:sz w:val="20"/>
          <w:szCs w:val="20"/>
          <w:color w:val="auto"/>
        </w:rPr>
      </w:pPr>
      <w:r>
        <w:rPr>
          <w:rFonts w:ascii="Arial" w:cs="Arial" w:eastAsia="Arial" w:hAnsi="Arial"/>
          <w:sz w:val="18"/>
          <w:szCs w:val="18"/>
          <w:b w:val="1"/>
          <w:bCs w:val="1"/>
          <w:color w:val="auto"/>
        </w:rPr>
        <w:t>UFP Industries,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Page 7</w:t>
      </w:r>
    </w:p>
    <w:p>
      <w:pPr>
        <w:spacing w:after="0" w:line="207"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ADJUSTED EBITDA RECONCILIATION BY SEGMENT (UNAUDITED) FOR THE THREE MONTHS ENDED DECEMBER 2022/2021</w:t>
      </w:r>
    </w:p>
    <w:p>
      <w:pPr>
        <w:spacing w:after="0" w:line="200" w:lineRule="exact"/>
        <w:rPr>
          <w:sz w:val="20"/>
          <w:szCs w:val="20"/>
          <w:color w:val="auto"/>
        </w:rPr>
      </w:pP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508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540" w:type="dxa"/>
            <w:vAlign w:val="bottom"/>
            <w:tcBorders>
              <w:top w:val="single" w:sz="8" w:color="auto"/>
              <w:bottom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w w:val="97"/>
              </w:rPr>
              <w:t>Quarter Period</w:t>
            </w:r>
          </w:p>
        </w:tc>
        <w:tc>
          <w:tcPr>
            <w:tcW w:w="1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right w:val="single" w:sz="8" w:color="auto"/>
            </w:tcBorders>
          </w:tcPr>
          <w:p>
            <w:pPr>
              <w:spacing w:after="0"/>
              <w:rPr>
                <w:sz w:val="14"/>
                <w:szCs w:val="14"/>
                <w:color w:val="auto"/>
              </w:rPr>
            </w:pPr>
          </w:p>
        </w:tc>
      </w:tr>
      <w:tr>
        <w:trPr>
          <w:trHeight w:val="155"/>
        </w:trPr>
        <w:tc>
          <w:tcPr>
            <w:tcW w:w="5080" w:type="dxa"/>
            <w:vAlign w:val="bottom"/>
            <w:tcBorders>
              <w:left w:val="single" w:sz="8" w:color="auto"/>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89"/>
              </w:rPr>
              <w:t>2022</w:t>
            </w: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r>
      <w:tr>
        <w:trPr>
          <w:trHeight w:val="142"/>
        </w:trPr>
        <w:tc>
          <w:tcPr>
            <w:tcW w:w="5080" w:type="dxa"/>
            <w:vAlign w:val="bottom"/>
            <w:tcBorders>
              <w:left w:val="single" w:sz="8" w:color="auto"/>
              <w:right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6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Retail</w:t>
            </w:r>
          </w:p>
        </w:tc>
        <w:tc>
          <w:tcPr>
            <w:tcW w:w="86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Packaging</w:t>
            </w:r>
          </w:p>
        </w:tc>
        <w:tc>
          <w:tcPr>
            <w:tcW w:w="8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6"/>
              </w:rPr>
              <w:t>Construction</w:t>
            </w:r>
          </w:p>
        </w:tc>
        <w:tc>
          <w:tcPr>
            <w:tcW w:w="100" w:type="dxa"/>
            <w:vAlign w:val="bottom"/>
          </w:tcPr>
          <w:p>
            <w:pPr>
              <w:spacing w:after="0"/>
              <w:rPr>
                <w:sz w:val="12"/>
                <w:szCs w:val="12"/>
                <w:color w:val="auto"/>
              </w:rPr>
            </w:pPr>
          </w:p>
        </w:tc>
        <w:tc>
          <w:tcPr>
            <w:tcW w:w="7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c>
          <w:tcPr>
            <w:tcW w:w="8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Corporate</w:t>
            </w:r>
          </w:p>
        </w:tc>
        <w:tc>
          <w:tcPr>
            <w:tcW w:w="820" w:type="dxa"/>
            <w:vAlign w:val="bottom"/>
            <w:tcBorders>
              <w:right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5080" w:type="dxa"/>
            <w:vAlign w:val="bottom"/>
            <w:tcBorders>
              <w:top w:val="single" w:sz="8" w:color="auto"/>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19,357</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62,233</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57,451</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8,708</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(15,870)</w:t>
            </w:r>
          </w:p>
        </w:tc>
        <w:tc>
          <w:tcPr>
            <w:tcW w:w="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$ 131,879</w:t>
            </w:r>
          </w:p>
        </w:tc>
      </w:tr>
      <w:tr>
        <w:trPr>
          <w:trHeight w:val="216"/>
        </w:trPr>
        <w:tc>
          <w:tcPr>
            <w:tcW w:w="5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Interest and other</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(572)</w:t>
            </w: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(4,038)</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(4,490)</w:t>
            </w:r>
          </w:p>
        </w:tc>
      </w:tr>
      <w:tr>
        <w:trPr>
          <w:trHeight w:val="216"/>
        </w:trPr>
        <w:tc>
          <w:tcPr>
            <w:tcW w:w="50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19,685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(5,182)</w:t>
            </w:r>
          </w:p>
        </w:tc>
        <w:tc>
          <w:tcPr>
            <w:tcW w:w="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41,160</w:t>
            </w:r>
          </w:p>
        </w:tc>
      </w:tr>
      <w:tr>
        <w:trPr>
          <w:trHeight w:val="216"/>
        </w:trPr>
        <w:tc>
          <w:tcPr>
            <w:tcW w:w="5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2"/>
              </w:rPr>
              <w:t>Expenses associated with share-based compensation arrangements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1,153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1,283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4,408</w:t>
            </w:r>
          </w:p>
        </w:tc>
        <w:tc>
          <w:tcPr>
            <w:tcW w:w="40" w:type="dxa"/>
            <w:vAlign w:val="bottom"/>
          </w:tcPr>
          <w:p>
            <w:pPr>
              <w:spacing w:after="0"/>
              <w:rPr>
                <w:sz w:val="18"/>
                <w:szCs w:val="18"/>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8,177</w:t>
            </w:r>
          </w:p>
        </w:tc>
      </w:tr>
      <w:tr>
        <w:trPr>
          <w:trHeight w:val="216"/>
        </w:trPr>
        <w:tc>
          <w:tcPr>
            <w:tcW w:w="50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loss (gain) on disposition and impairment of assets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(489)</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w:t>
            </w:r>
          </w:p>
        </w:tc>
        <w:tc>
          <w:tcPr>
            <w:tcW w:w="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w:t>
            </w:r>
          </w:p>
        </w:tc>
      </w:tr>
      <w:tr>
        <w:trPr>
          <w:trHeight w:val="216"/>
        </w:trPr>
        <w:tc>
          <w:tcPr>
            <w:tcW w:w="5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Impairment of goodwill and other intangibles</w:t>
            </w:r>
          </w:p>
        </w:tc>
        <w:tc>
          <w:tcPr>
            <w:tcW w:w="1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4,261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4,261</w:t>
            </w:r>
          </w:p>
        </w:tc>
      </w:tr>
      <w:tr>
        <w:trPr>
          <w:trHeight w:val="216"/>
        </w:trPr>
        <w:tc>
          <w:tcPr>
            <w:tcW w:w="50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7,176</w:t>
            </w:r>
          </w:p>
        </w:tc>
        <w:tc>
          <w:tcPr>
            <w:tcW w:w="4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25,182</w:t>
            </w:r>
          </w:p>
        </w:tc>
      </w:tr>
      <w:tr>
        <w:trPr>
          <w:trHeight w:val="216"/>
        </w:trPr>
        <w:tc>
          <w:tcPr>
            <w:tcW w:w="5080" w:type="dxa"/>
            <w:vAlign w:val="bottom"/>
            <w:tcBorders>
              <w:left w:val="single" w:sz="8" w:color="auto"/>
              <w:bottom w:val="single" w:sz="8" w:color="CCEEFF"/>
              <w:right w:val="single" w:sz="8" w:color="auto"/>
            </w:tcBorders>
          </w:tcPr>
          <w:p>
            <w:pPr>
              <w:ind w:left="20"/>
              <w:spacing w:after="0"/>
              <w:rPr>
                <w:sz w:val="20"/>
                <w:szCs w:val="20"/>
                <w:color w:val="auto"/>
              </w:rPr>
            </w:pPr>
            <w:r>
              <w:rPr>
                <w:rFonts w:ascii="Arial" w:cs="Arial" w:eastAsia="Arial" w:hAnsi="Arial"/>
                <w:sz w:val="18"/>
                <w:szCs w:val="18"/>
                <w:color w:val="auto"/>
              </w:rPr>
              <w:t>Amortization of intangibles</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40" w:type="dxa"/>
            <w:vAlign w:val="bottom"/>
            <w:tcBorders>
              <w:bottom w:val="single" w:sz="8" w:color="CCEEFF"/>
            </w:tcBorders>
          </w:tcPr>
          <w:p>
            <w:pPr>
              <w:spacing w:after="0"/>
              <w:rPr>
                <w:sz w:val="18"/>
                <w:szCs w:val="18"/>
                <w:color w:val="auto"/>
              </w:rPr>
            </w:pP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6,051</w:t>
            </w:r>
          </w:p>
        </w:tc>
      </w:tr>
      <w:tr>
        <w:trPr>
          <w:trHeight w:val="209"/>
        </w:trPr>
        <w:tc>
          <w:tcPr>
            <w:tcW w:w="508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34,266</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88,986</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84,012</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15,581</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(9,692)</w:t>
            </w:r>
          </w:p>
        </w:tc>
        <w:tc>
          <w:tcPr>
            <w:tcW w:w="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xml:space="preserve">$ </w:t>
            </w:r>
            <w:r>
              <w:rPr>
                <w:rFonts w:ascii="Arial" w:cs="Arial" w:eastAsia="Arial" w:hAnsi="Arial"/>
                <w:sz w:val="18"/>
                <w:szCs w:val="18"/>
                <w:b w:val="1"/>
                <w:bCs w:val="1"/>
                <w:color w:val="auto"/>
                <w:w w:val="92"/>
              </w:rPr>
              <w:t>213,153</w:t>
            </w:r>
          </w:p>
        </w:tc>
      </w:tr>
      <w:tr>
        <w:trPr>
          <w:trHeight w:val="20"/>
        </w:trPr>
        <w:tc>
          <w:tcPr>
            <w:tcW w:w="5080" w:type="dxa"/>
            <w:vAlign w:val="bottom"/>
            <w:tcBorders>
              <w:lef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r>
      <w:tr>
        <w:trPr>
          <w:trHeight w:val="197"/>
        </w:trPr>
        <w:tc>
          <w:tcPr>
            <w:tcW w:w="508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r>
      <w:tr>
        <w:trPr>
          <w:trHeight w:val="216"/>
        </w:trPr>
        <w:tc>
          <w:tcPr>
            <w:tcW w:w="50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as a Percentage of Net Sales</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280.4%</w:t>
            </w:r>
          </w:p>
        </w:tc>
        <w:tc>
          <w:tcPr>
            <w:tcW w:w="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09"/>
        </w:trPr>
        <w:tc>
          <w:tcPr>
            <w:tcW w:w="50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142"/>
        </w:trPr>
        <w:tc>
          <w:tcPr>
            <w:tcW w:w="5080" w:type="dxa"/>
            <w:vAlign w:val="bottom"/>
            <w:tcBorders>
              <w:left w:val="single" w:sz="8" w:color="auto"/>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5"/>
          </w:tcPr>
          <w:p>
            <w:pPr>
              <w:jc w:val="center"/>
              <w:ind w:right="140"/>
              <w:spacing w:after="0" w:line="142" w:lineRule="exact"/>
              <w:rPr>
                <w:sz w:val="20"/>
                <w:szCs w:val="20"/>
                <w:color w:val="auto"/>
              </w:rPr>
            </w:pPr>
            <w:r>
              <w:rPr>
                <w:rFonts w:ascii="Arial" w:cs="Arial" w:eastAsia="Arial" w:hAnsi="Arial"/>
                <w:sz w:val="14"/>
                <w:szCs w:val="14"/>
                <w:b w:val="1"/>
                <w:bCs w:val="1"/>
                <w:color w:val="auto"/>
                <w:w w:val="97"/>
              </w:rPr>
              <w:t>Quarter Period</w:t>
            </w: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r>
      <w:tr>
        <w:trPr>
          <w:trHeight w:val="155"/>
        </w:trPr>
        <w:tc>
          <w:tcPr>
            <w:tcW w:w="5080" w:type="dxa"/>
            <w:vAlign w:val="bottom"/>
            <w:tcBorders>
              <w:left w:val="single" w:sz="8" w:color="auto"/>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89"/>
              </w:rPr>
              <w:t>2021</w:t>
            </w: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r>
      <w:tr>
        <w:trPr>
          <w:trHeight w:val="142"/>
        </w:trPr>
        <w:tc>
          <w:tcPr>
            <w:tcW w:w="5080" w:type="dxa"/>
            <w:vAlign w:val="bottom"/>
            <w:tcBorders>
              <w:left w:val="single" w:sz="8" w:color="auto"/>
              <w:right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6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Retail</w:t>
            </w:r>
          </w:p>
        </w:tc>
        <w:tc>
          <w:tcPr>
            <w:tcW w:w="86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Packaging</w:t>
            </w:r>
          </w:p>
        </w:tc>
        <w:tc>
          <w:tcPr>
            <w:tcW w:w="8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6"/>
              </w:rPr>
              <w:t>Construction</w:t>
            </w:r>
          </w:p>
        </w:tc>
        <w:tc>
          <w:tcPr>
            <w:tcW w:w="100" w:type="dxa"/>
            <w:vAlign w:val="bottom"/>
          </w:tcPr>
          <w:p>
            <w:pPr>
              <w:spacing w:after="0"/>
              <w:rPr>
                <w:sz w:val="12"/>
                <w:szCs w:val="12"/>
                <w:color w:val="auto"/>
              </w:rPr>
            </w:pPr>
          </w:p>
        </w:tc>
        <w:tc>
          <w:tcPr>
            <w:tcW w:w="7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c>
          <w:tcPr>
            <w:tcW w:w="8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Corporate</w:t>
            </w:r>
          </w:p>
        </w:tc>
        <w:tc>
          <w:tcPr>
            <w:tcW w:w="820" w:type="dxa"/>
            <w:vAlign w:val="bottom"/>
            <w:tcBorders>
              <w:right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5080" w:type="dxa"/>
            <w:vAlign w:val="bottom"/>
            <w:tcBorders>
              <w:top w:val="single" w:sz="8" w:color="auto"/>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31,418</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53,967</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60,273</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26,346</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(24,998)</w:t>
            </w:r>
          </w:p>
        </w:tc>
        <w:tc>
          <w:tcPr>
            <w:tcW w:w="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$ 147,006</w:t>
            </w:r>
          </w:p>
        </w:tc>
      </w:tr>
      <w:tr>
        <w:trPr>
          <w:trHeight w:val="216"/>
        </w:trPr>
        <w:tc>
          <w:tcPr>
            <w:tcW w:w="5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Interest and other</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1,688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(3,765)</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3,214</w:t>
            </w:r>
          </w:p>
        </w:tc>
        <w:tc>
          <w:tcPr>
            <w:tcW w:w="40" w:type="dxa"/>
            <w:vAlign w:val="bottom"/>
          </w:tcPr>
          <w:p>
            <w:pPr>
              <w:spacing w:after="0"/>
              <w:rPr>
                <w:sz w:val="18"/>
                <w:szCs w:val="18"/>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1,939</w:t>
            </w:r>
          </w:p>
        </w:tc>
      </w:tr>
      <w:tr>
        <w:trPr>
          <w:trHeight w:val="216"/>
        </w:trPr>
        <w:tc>
          <w:tcPr>
            <w:tcW w:w="50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18,939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(7,270)</w:t>
            </w:r>
          </w:p>
        </w:tc>
        <w:tc>
          <w:tcPr>
            <w:tcW w:w="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46,063</w:t>
            </w:r>
          </w:p>
        </w:tc>
      </w:tr>
      <w:tr>
        <w:trPr>
          <w:trHeight w:val="216"/>
        </w:trPr>
        <w:tc>
          <w:tcPr>
            <w:tcW w:w="5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2"/>
              </w:rPr>
              <w:t>Expenses associated with share-based compensation arrangements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778</w:t>
            </w:r>
          </w:p>
        </w:tc>
        <w:tc>
          <w:tcPr>
            <w:tcW w:w="40" w:type="dxa"/>
            <w:vAlign w:val="bottom"/>
          </w:tcPr>
          <w:p>
            <w:pPr>
              <w:spacing w:after="0"/>
              <w:rPr>
                <w:sz w:val="18"/>
                <w:szCs w:val="18"/>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2,780</w:t>
            </w:r>
          </w:p>
        </w:tc>
      </w:tr>
      <w:tr>
        <w:trPr>
          <w:trHeight w:val="216"/>
        </w:trPr>
        <w:tc>
          <w:tcPr>
            <w:tcW w:w="50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loss (gain) on disposition and impairment of assets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(2,079)</w:t>
            </w:r>
          </w:p>
        </w:tc>
        <w:tc>
          <w:tcPr>
            <w:tcW w:w="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r>
      <w:tr>
        <w:trPr>
          <w:trHeight w:val="216"/>
        </w:trPr>
        <w:tc>
          <w:tcPr>
            <w:tcW w:w="5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Depreciation expense</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4,670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6,794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3,499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6,763</w:t>
            </w:r>
          </w:p>
        </w:tc>
        <w:tc>
          <w:tcPr>
            <w:tcW w:w="40" w:type="dxa"/>
            <w:vAlign w:val="bottom"/>
          </w:tcPr>
          <w:p>
            <w:pPr>
              <w:spacing w:after="0"/>
              <w:rPr>
                <w:sz w:val="18"/>
                <w:szCs w:val="18"/>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22,443</w:t>
            </w:r>
          </w:p>
        </w:tc>
      </w:tr>
      <w:tr>
        <w:trPr>
          <w:trHeight w:val="216"/>
        </w:trPr>
        <w:tc>
          <w:tcPr>
            <w:tcW w:w="50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0" w:type="dxa"/>
            <w:vAlign w:val="bottom"/>
            <w:shd w:val="clear" w:color="auto" w:fill="CCEEFF"/>
          </w:tcPr>
          <w:p>
            <w:pPr>
              <w:spacing w:after="0"/>
              <w:rPr>
                <w:sz w:val="18"/>
                <w:szCs w:val="18"/>
                <w:color w:val="auto"/>
              </w:rPr>
            </w:pP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4,579</w:t>
            </w:r>
          </w:p>
        </w:tc>
      </w:tr>
      <w:tr>
        <w:trPr>
          <w:trHeight w:val="250"/>
        </w:trPr>
        <w:tc>
          <w:tcPr>
            <w:tcW w:w="5080" w:type="dxa"/>
            <w:vAlign w:val="bottom"/>
            <w:tcBorders>
              <w:left w:val="single" w:sz="8" w:color="auto"/>
              <w:bottom w:val="single" w:sz="8" w:color="CCEEFF"/>
              <w:right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45,943</w:t>
            </w:r>
          </w:p>
        </w:tc>
        <w:tc>
          <w:tcPr>
            <w:tcW w:w="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84,070</w:t>
            </w:r>
          </w:p>
        </w:tc>
        <w:tc>
          <w:tcPr>
            <w:tcW w:w="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85,393</w:t>
            </w: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31,427</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(23,533)</w:t>
            </w:r>
          </w:p>
        </w:tc>
        <w:tc>
          <w:tcPr>
            <w:tcW w:w="40" w:type="dxa"/>
            <w:vAlign w:val="bottom"/>
            <w:tcBorders>
              <w:bottom w:val="single" w:sz="8" w:color="CCEEFF"/>
            </w:tcBorders>
          </w:tcPr>
          <w:p>
            <w:pPr>
              <w:spacing w:after="0"/>
              <w:rPr>
                <w:sz w:val="21"/>
                <w:szCs w:val="21"/>
                <w:color w:val="auto"/>
              </w:rPr>
            </w:pP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2"/>
              </w:rPr>
              <w:t xml:space="preserve">$ </w:t>
            </w:r>
            <w:r>
              <w:rPr>
                <w:rFonts w:ascii="Arial" w:cs="Arial" w:eastAsia="Arial" w:hAnsi="Arial"/>
                <w:sz w:val="18"/>
                <w:szCs w:val="18"/>
                <w:b w:val="1"/>
                <w:bCs w:val="1"/>
                <w:color w:val="auto"/>
                <w:w w:val="92"/>
              </w:rPr>
              <w:t>223,300</w:t>
            </w:r>
          </w:p>
        </w:tc>
      </w:tr>
      <w:tr>
        <w:trPr>
          <w:trHeight w:val="197"/>
        </w:trPr>
        <w:tc>
          <w:tcPr>
            <w:tcW w:w="5080" w:type="dxa"/>
            <w:vAlign w:val="bottom"/>
            <w:tcBorders>
              <w:left w:val="single" w:sz="8" w:color="auto"/>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r>
      <w:tr>
        <w:trPr>
          <w:trHeight w:val="216"/>
        </w:trPr>
        <w:tc>
          <w:tcPr>
            <w:tcW w:w="5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 as a Percentage of Net Sales</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1"/>
              </w:rPr>
              <w:t>(1182.6)%</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11.1%</w:t>
            </w:r>
          </w:p>
        </w:tc>
      </w:tr>
      <w:tr>
        <w:trPr>
          <w:trHeight w:val="973"/>
        </w:trPr>
        <w:tc>
          <w:tcPr>
            <w:tcW w:w="5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513" w:right="839" w:bottom="1440" w:gutter="0" w:footer="0" w:header="0"/>
        </w:sectPr>
      </w:pPr>
    </w:p>
    <w:bookmarkStart w:id="11" w:name="page12"/>
    <w:bookmarkEnd w:id="11"/>
    <w:p>
      <w:pPr>
        <w:ind w:left="20"/>
        <w:spacing w:after="0"/>
        <w:rPr>
          <w:sz w:val="20"/>
          <w:szCs w:val="20"/>
          <w:color w:val="auto"/>
        </w:rPr>
      </w:pPr>
      <w:r>
        <w:rPr>
          <w:rFonts w:ascii="Arial" w:cs="Arial" w:eastAsia="Arial" w:hAnsi="Arial"/>
          <w:sz w:val="18"/>
          <w:szCs w:val="18"/>
          <w:b w:val="1"/>
          <w:bCs w:val="1"/>
          <w:color w:val="auto"/>
        </w:rPr>
        <w:t>UFP Industries,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Page 8</w:t>
      </w:r>
    </w:p>
    <w:p>
      <w:pPr>
        <w:spacing w:after="0" w:line="207"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ADJUSTED EBITDA RECONCILIATION BY SEGMENT (UNAUDITED) FOR THE TWELVE MONTHS ENDED DECEMBER 2022/2021</w:t>
      </w:r>
    </w:p>
    <w:p>
      <w:pPr>
        <w:spacing w:after="0" w:line="200" w:lineRule="exact"/>
        <w:rPr>
          <w:sz w:val="20"/>
          <w:szCs w:val="20"/>
          <w:color w:val="auto"/>
        </w:rPr>
      </w:pP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508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1680" w:type="dxa"/>
            <w:vAlign w:val="bottom"/>
            <w:tcBorders>
              <w:top w:val="single" w:sz="8" w:color="auto"/>
              <w:bottom w:val="single" w:sz="8" w:color="auto"/>
            </w:tcBorders>
            <w:gridSpan w:val="5"/>
          </w:tcPr>
          <w:p>
            <w:pPr>
              <w:jc w:val="center"/>
              <w:ind w:left="54"/>
              <w:spacing w:after="0"/>
              <w:rPr>
                <w:sz w:val="20"/>
                <w:szCs w:val="20"/>
                <w:color w:val="auto"/>
              </w:rPr>
            </w:pPr>
            <w:r>
              <w:rPr>
                <w:rFonts w:ascii="Arial" w:cs="Arial" w:eastAsia="Arial" w:hAnsi="Arial"/>
                <w:sz w:val="14"/>
                <w:szCs w:val="14"/>
                <w:b w:val="1"/>
                <w:bCs w:val="1"/>
                <w:color w:val="auto"/>
                <w:w w:val="95"/>
              </w:rPr>
              <w:t>Year to Date</w:t>
            </w:r>
          </w:p>
        </w:tc>
        <w:tc>
          <w:tcPr>
            <w:tcW w:w="1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right w:val="single" w:sz="8" w:color="auto"/>
            </w:tcBorders>
          </w:tcPr>
          <w:p>
            <w:pPr>
              <w:spacing w:after="0"/>
              <w:rPr>
                <w:sz w:val="14"/>
                <w:szCs w:val="14"/>
                <w:color w:val="auto"/>
              </w:rPr>
            </w:pPr>
          </w:p>
        </w:tc>
      </w:tr>
      <w:tr>
        <w:trPr>
          <w:trHeight w:val="156"/>
        </w:trPr>
        <w:tc>
          <w:tcPr>
            <w:tcW w:w="5080" w:type="dxa"/>
            <w:vAlign w:val="bottom"/>
            <w:tcBorders>
              <w:left w:val="single" w:sz="8" w:color="auto"/>
              <w:bottom w:val="single" w:sz="8" w:color="auto"/>
              <w:right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4"/>
          </w:tcPr>
          <w:p>
            <w:pPr>
              <w:jc w:val="center"/>
              <w:ind w:left="114"/>
              <w:spacing w:after="0" w:line="155" w:lineRule="exact"/>
              <w:rPr>
                <w:sz w:val="20"/>
                <w:szCs w:val="20"/>
                <w:color w:val="auto"/>
              </w:rPr>
            </w:pPr>
            <w:r>
              <w:rPr>
                <w:rFonts w:ascii="Arial" w:cs="Arial" w:eastAsia="Arial" w:hAnsi="Arial"/>
                <w:sz w:val="14"/>
                <w:szCs w:val="14"/>
                <w:b w:val="1"/>
                <w:bCs w:val="1"/>
                <w:color w:val="auto"/>
                <w:w w:val="96"/>
              </w:rPr>
              <w:t>2022</w:t>
            </w: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r>
      <w:tr>
        <w:trPr>
          <w:trHeight w:val="162"/>
        </w:trPr>
        <w:tc>
          <w:tcPr>
            <w:tcW w:w="5080" w:type="dxa"/>
            <w:vAlign w:val="bottom"/>
            <w:tcBorders>
              <w:left w:val="single" w:sz="8" w:color="auto"/>
              <w:right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82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Retail</w:t>
            </w:r>
          </w:p>
        </w:tc>
        <w:tc>
          <w:tcPr>
            <w:tcW w:w="84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Packaging</w:t>
            </w:r>
          </w:p>
        </w:tc>
        <w:tc>
          <w:tcPr>
            <w:tcW w:w="8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Construction</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94"/>
              </w:rPr>
              <w:t>All Other</w:t>
            </w:r>
          </w:p>
        </w:tc>
        <w:tc>
          <w:tcPr>
            <w:tcW w:w="84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4"/>
                <w:szCs w:val="14"/>
                <w:color w:val="auto"/>
              </w:rPr>
            </w:pPr>
          </w:p>
        </w:tc>
        <w:tc>
          <w:tcPr>
            <w:tcW w:w="840" w:type="dxa"/>
            <w:vAlign w:val="bottom"/>
            <w:tcBorders>
              <w:right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Total</w:t>
            </w:r>
          </w:p>
        </w:tc>
      </w:tr>
      <w:tr>
        <w:trPr>
          <w:trHeight w:val="189"/>
        </w:trPr>
        <w:tc>
          <w:tcPr>
            <w:tcW w:w="5080" w:type="dxa"/>
            <w:vAlign w:val="bottom"/>
            <w:tcBorders>
              <w:top w:val="single" w:sz="8" w:color="auto"/>
              <w:left w:val="single" w:sz="8" w:color="auto"/>
              <w:right w:val="single" w:sz="8" w:color="auto"/>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Net earnings</w:t>
            </w:r>
          </w:p>
        </w:tc>
        <w:tc>
          <w:tcPr>
            <w:tcW w:w="7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7"/>
              </w:rPr>
              <w:t>$ 113,245</w:t>
            </w:r>
          </w:p>
        </w:tc>
        <w:tc>
          <w:tcPr>
            <w:tcW w:w="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9"/>
              </w:rPr>
              <w:t>$ 251,187</w:t>
            </w:r>
          </w:p>
        </w:tc>
        <w:tc>
          <w:tcPr>
            <w:tcW w:w="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2"/>
              </w:rPr>
              <w:t>$ 299,721</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42,844</w:t>
            </w: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(2,033)</w:t>
            </w: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right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704,964</w:t>
            </w:r>
          </w:p>
        </w:tc>
      </w:tr>
      <w:tr>
        <w:trPr>
          <w:trHeight w:val="216"/>
        </w:trPr>
        <w:tc>
          <w:tcPr>
            <w:tcW w:w="5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Interest and other</w:t>
            </w:r>
          </w:p>
        </w:tc>
        <w:tc>
          <w:tcPr>
            <w:tcW w:w="780" w:type="dxa"/>
            <w:vAlign w:val="bottom"/>
          </w:tcPr>
          <w:p>
            <w:pPr>
              <w:jc w:val="right"/>
              <w:spacing w:after="0"/>
              <w:rPr>
                <w:sz w:val="20"/>
                <w:szCs w:val="20"/>
                <w:color w:val="auto"/>
              </w:rPr>
            </w:pPr>
            <w:r>
              <w:rPr>
                <w:rFonts w:ascii="Arial" w:cs="Arial" w:eastAsia="Arial" w:hAnsi="Arial"/>
                <w:sz w:val="18"/>
                <w:szCs w:val="18"/>
                <w:color w:val="auto"/>
              </w:rPr>
              <w:t>162</w:t>
            </w: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2,158</w:t>
            </w:r>
          </w:p>
        </w:tc>
        <w:tc>
          <w:tcPr>
            <w:tcW w:w="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1,817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11,243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15,368</w:t>
            </w:r>
          </w:p>
        </w:tc>
      </w:tr>
      <w:tr>
        <w:trPr>
          <w:trHeight w:val="216"/>
        </w:trPr>
        <w:tc>
          <w:tcPr>
            <w:tcW w:w="50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36,920</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81,900</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(662)</w:t>
            </w:r>
          </w:p>
        </w:tc>
        <w:tc>
          <w:tcPr>
            <w:tcW w:w="140" w:type="dxa"/>
            <w:vAlign w:val="bottom"/>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229,852</w:t>
            </w:r>
          </w:p>
        </w:tc>
      </w:tr>
      <w:tr>
        <w:trPr>
          <w:trHeight w:val="216"/>
        </w:trPr>
        <w:tc>
          <w:tcPr>
            <w:tcW w:w="5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2"/>
              </w:rPr>
              <w:t>Expenses associated with share-based compensation arrangements</w:t>
            </w:r>
          </w:p>
        </w:tc>
        <w:tc>
          <w:tcPr>
            <w:tcW w:w="780" w:type="dxa"/>
            <w:vAlign w:val="bottom"/>
          </w:tcPr>
          <w:p>
            <w:pPr>
              <w:jc w:val="right"/>
              <w:spacing w:after="0"/>
              <w:rPr>
                <w:sz w:val="20"/>
                <w:szCs w:val="20"/>
                <w:color w:val="auto"/>
              </w:rPr>
            </w:pPr>
            <w:r>
              <w:rPr>
                <w:rFonts w:ascii="Arial" w:cs="Arial" w:eastAsia="Arial" w:hAnsi="Arial"/>
                <w:sz w:val="18"/>
                <w:szCs w:val="18"/>
                <w:color w:val="auto"/>
              </w:rPr>
              <w:t>4,476</w:t>
            </w: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5,125</w:t>
            </w: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4,882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13,059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28,156</w:t>
            </w:r>
          </w:p>
        </w:tc>
      </w:tr>
      <w:tr>
        <w:trPr>
          <w:trHeight w:val="216"/>
        </w:trPr>
        <w:tc>
          <w:tcPr>
            <w:tcW w:w="50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loss (gain) on disposition and impairment of assets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(1,327)</w:t>
            </w:r>
          </w:p>
        </w:tc>
        <w:tc>
          <w:tcPr>
            <w:tcW w:w="140" w:type="dxa"/>
            <w:vAlign w:val="bottom"/>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w:t>
            </w:r>
          </w:p>
        </w:tc>
      </w:tr>
      <w:tr>
        <w:trPr>
          <w:trHeight w:val="216"/>
        </w:trPr>
        <w:tc>
          <w:tcPr>
            <w:tcW w:w="5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Impairment of goodwill and other intangibles</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4,261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4,261</w:t>
            </w:r>
          </w:p>
        </w:tc>
      </w:tr>
      <w:tr>
        <w:trPr>
          <w:trHeight w:val="216"/>
        </w:trPr>
        <w:tc>
          <w:tcPr>
            <w:tcW w:w="50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19,898</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28,191</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94,063</w:t>
            </w:r>
          </w:p>
        </w:tc>
      </w:tr>
      <w:tr>
        <w:trPr>
          <w:trHeight w:val="216"/>
        </w:trPr>
        <w:tc>
          <w:tcPr>
            <w:tcW w:w="5080" w:type="dxa"/>
            <w:vAlign w:val="bottom"/>
            <w:tcBorders>
              <w:left w:val="single" w:sz="8" w:color="auto"/>
              <w:bottom w:val="single" w:sz="8" w:color="CCEEFF"/>
              <w:right w:val="single" w:sz="8" w:color="auto"/>
            </w:tcBorders>
          </w:tcPr>
          <w:p>
            <w:pPr>
              <w:ind w:left="20"/>
              <w:spacing w:after="0"/>
              <w:rPr>
                <w:sz w:val="20"/>
                <w:szCs w:val="20"/>
                <w:color w:val="auto"/>
              </w:rPr>
            </w:pPr>
            <w:r>
              <w:rPr>
                <w:rFonts w:ascii="Arial" w:cs="Arial" w:eastAsia="Arial" w:hAnsi="Arial"/>
                <w:sz w:val="18"/>
                <w:szCs w:val="18"/>
                <w:color w:val="auto"/>
              </w:rPr>
              <w:t>Amortization of intangibles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4,131</w:t>
            </w:r>
          </w:p>
        </w:tc>
        <w:tc>
          <w:tcPr>
            <w:tcW w:w="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6,925</w:t>
            </w:r>
          </w:p>
        </w:tc>
        <w:tc>
          <w:tcPr>
            <w:tcW w:w="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3,358</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19,499</w:t>
            </w:r>
          </w:p>
        </w:tc>
      </w:tr>
      <w:tr>
        <w:trPr>
          <w:trHeight w:val="209"/>
        </w:trPr>
        <w:tc>
          <w:tcPr>
            <w:tcW w:w="508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xml:space="preserve">$ </w:t>
            </w:r>
            <w:r>
              <w:rPr>
                <w:rFonts w:ascii="Arial" w:cs="Arial" w:eastAsia="Arial" w:hAnsi="Arial"/>
                <w:sz w:val="18"/>
                <w:szCs w:val="18"/>
                <w:b w:val="1"/>
                <w:bCs w:val="1"/>
                <w:color w:val="auto"/>
                <w:w w:val="87"/>
              </w:rPr>
              <w:t>179,617</w:t>
            </w:r>
          </w:p>
        </w:tc>
        <w:tc>
          <w:tcPr>
            <w:tcW w:w="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xml:space="preserve">$ </w:t>
            </w:r>
            <w:r>
              <w:rPr>
                <w:rFonts w:ascii="Arial" w:cs="Arial" w:eastAsia="Arial" w:hAnsi="Arial"/>
                <w:sz w:val="18"/>
                <w:szCs w:val="18"/>
                <w:b w:val="1"/>
                <w:bCs w:val="1"/>
                <w:color w:val="auto"/>
                <w:w w:val="89"/>
              </w:rPr>
              <w:t>375,617</w:t>
            </w:r>
          </w:p>
        </w:tc>
        <w:tc>
          <w:tcPr>
            <w:tcW w:w="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xml:space="preserve">$ </w:t>
            </w:r>
            <w:r>
              <w:rPr>
                <w:rFonts w:ascii="Arial" w:cs="Arial" w:eastAsia="Arial" w:hAnsi="Arial"/>
                <w:sz w:val="18"/>
                <w:szCs w:val="18"/>
                <w:b w:val="1"/>
                <w:bCs w:val="1"/>
                <w:color w:val="auto"/>
                <w:w w:val="92"/>
              </w:rPr>
              <w:t>422,387</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71,415</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48,412</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1,097,448</w:t>
            </w:r>
          </w:p>
        </w:tc>
      </w:tr>
      <w:tr>
        <w:trPr>
          <w:trHeight w:val="20"/>
        </w:trPr>
        <w:tc>
          <w:tcPr>
            <w:tcW w:w="5080" w:type="dxa"/>
            <w:vAlign w:val="bottom"/>
            <w:tcBorders>
              <w:lef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r>
      <w:tr>
        <w:trPr>
          <w:trHeight w:val="197"/>
        </w:trPr>
        <w:tc>
          <w:tcPr>
            <w:tcW w:w="5080" w:type="dxa"/>
            <w:vAlign w:val="bottom"/>
            <w:tcBorders>
              <w:left w:val="single" w:sz="8" w:color="auto"/>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r>
      <w:tr>
        <w:trPr>
          <w:trHeight w:val="216"/>
        </w:trPr>
        <w:tc>
          <w:tcPr>
            <w:tcW w:w="50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as a Percentage of Net Sales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815.0%</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09"/>
        </w:trPr>
        <w:tc>
          <w:tcPr>
            <w:tcW w:w="50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142"/>
        </w:trPr>
        <w:tc>
          <w:tcPr>
            <w:tcW w:w="5080" w:type="dxa"/>
            <w:vAlign w:val="bottom"/>
            <w:tcBorders>
              <w:left w:val="single" w:sz="8" w:color="auto"/>
              <w:bottom w:val="single" w:sz="8" w:color="auto"/>
              <w:right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5"/>
          </w:tcPr>
          <w:p>
            <w:pPr>
              <w:jc w:val="center"/>
              <w:ind w:left="54"/>
              <w:spacing w:after="0" w:line="142" w:lineRule="exact"/>
              <w:rPr>
                <w:sz w:val="20"/>
                <w:szCs w:val="20"/>
                <w:color w:val="auto"/>
              </w:rPr>
            </w:pPr>
            <w:r>
              <w:rPr>
                <w:rFonts w:ascii="Arial" w:cs="Arial" w:eastAsia="Arial" w:hAnsi="Arial"/>
                <w:sz w:val="14"/>
                <w:szCs w:val="14"/>
                <w:b w:val="1"/>
                <w:bCs w:val="1"/>
                <w:color w:val="auto"/>
                <w:w w:val="95"/>
              </w:rPr>
              <w:t>Year to Date</w:t>
            </w: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r>
      <w:tr>
        <w:trPr>
          <w:trHeight w:val="155"/>
        </w:trPr>
        <w:tc>
          <w:tcPr>
            <w:tcW w:w="5080" w:type="dxa"/>
            <w:vAlign w:val="bottom"/>
            <w:tcBorders>
              <w:left w:val="single" w:sz="8" w:color="auto"/>
              <w:bottom w:val="single" w:sz="8" w:color="auto"/>
              <w:right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4"/>
          </w:tcPr>
          <w:p>
            <w:pPr>
              <w:jc w:val="center"/>
              <w:ind w:left="114"/>
              <w:spacing w:after="0" w:line="155" w:lineRule="exact"/>
              <w:rPr>
                <w:sz w:val="20"/>
                <w:szCs w:val="20"/>
                <w:color w:val="auto"/>
              </w:rPr>
            </w:pPr>
            <w:r>
              <w:rPr>
                <w:rFonts w:ascii="Arial" w:cs="Arial" w:eastAsia="Arial" w:hAnsi="Arial"/>
                <w:sz w:val="14"/>
                <w:szCs w:val="14"/>
                <w:b w:val="1"/>
                <w:bCs w:val="1"/>
                <w:color w:val="auto"/>
                <w:w w:val="96"/>
              </w:rPr>
              <w:t>2021</w:t>
            </w: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r>
      <w:tr>
        <w:trPr>
          <w:trHeight w:val="162"/>
        </w:trPr>
        <w:tc>
          <w:tcPr>
            <w:tcW w:w="5080" w:type="dxa"/>
            <w:vAlign w:val="bottom"/>
            <w:tcBorders>
              <w:left w:val="single" w:sz="8" w:color="auto"/>
              <w:right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82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Retail</w:t>
            </w:r>
          </w:p>
        </w:tc>
        <w:tc>
          <w:tcPr>
            <w:tcW w:w="84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Packaging</w:t>
            </w:r>
          </w:p>
        </w:tc>
        <w:tc>
          <w:tcPr>
            <w:tcW w:w="8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Construction</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94"/>
              </w:rPr>
              <w:t>All Other</w:t>
            </w:r>
          </w:p>
        </w:tc>
        <w:tc>
          <w:tcPr>
            <w:tcW w:w="84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4"/>
                <w:szCs w:val="14"/>
                <w:color w:val="auto"/>
              </w:rPr>
            </w:pPr>
          </w:p>
        </w:tc>
        <w:tc>
          <w:tcPr>
            <w:tcW w:w="840" w:type="dxa"/>
            <w:vAlign w:val="bottom"/>
            <w:tcBorders>
              <w:right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Total</w:t>
            </w:r>
          </w:p>
        </w:tc>
      </w:tr>
      <w:tr>
        <w:trPr>
          <w:trHeight w:val="189"/>
        </w:trPr>
        <w:tc>
          <w:tcPr>
            <w:tcW w:w="5080" w:type="dxa"/>
            <w:vAlign w:val="bottom"/>
            <w:tcBorders>
              <w:top w:val="single" w:sz="8" w:color="auto"/>
              <w:left w:val="single" w:sz="8" w:color="auto"/>
              <w:right w:val="single" w:sz="8" w:color="auto"/>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Net earnings</w:t>
            </w:r>
          </w:p>
        </w:tc>
        <w:tc>
          <w:tcPr>
            <w:tcW w:w="7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3"/>
              </w:rPr>
              <w:t>$  98,802</w:t>
            </w:r>
          </w:p>
        </w:tc>
        <w:tc>
          <w:tcPr>
            <w:tcW w:w="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9"/>
              </w:rPr>
              <w:t>$ 197,593</w:t>
            </w:r>
          </w:p>
        </w:tc>
        <w:tc>
          <w:tcPr>
            <w:tcW w:w="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2"/>
              </w:rPr>
              <w:t>$ 200,948</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61,527</w:t>
            </w: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(6,506)</w:t>
            </w: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right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552,364</w:t>
            </w:r>
          </w:p>
        </w:tc>
      </w:tr>
      <w:tr>
        <w:trPr>
          <w:trHeight w:val="216"/>
        </w:trPr>
        <w:tc>
          <w:tcPr>
            <w:tcW w:w="5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Interest and other</w:t>
            </w:r>
          </w:p>
        </w:tc>
        <w:tc>
          <w:tcPr>
            <w:tcW w:w="780" w:type="dxa"/>
            <w:vAlign w:val="bottom"/>
          </w:tcPr>
          <w:p>
            <w:pPr>
              <w:jc w:val="right"/>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3,882</w:t>
            </w:r>
          </w:p>
        </w:tc>
        <w:tc>
          <w:tcPr>
            <w:tcW w:w="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(6,095)</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13,367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11,218</w:t>
            </w:r>
          </w:p>
        </w:tc>
      </w:tr>
      <w:tr>
        <w:trPr>
          <w:trHeight w:val="216"/>
        </w:trPr>
        <w:tc>
          <w:tcPr>
            <w:tcW w:w="50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29,890</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63,463</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63,290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(2,049)</w:t>
            </w:r>
          </w:p>
        </w:tc>
        <w:tc>
          <w:tcPr>
            <w:tcW w:w="140" w:type="dxa"/>
            <w:vAlign w:val="bottom"/>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173,972</w:t>
            </w:r>
          </w:p>
        </w:tc>
      </w:tr>
      <w:tr>
        <w:trPr>
          <w:trHeight w:val="216"/>
        </w:trPr>
        <w:tc>
          <w:tcPr>
            <w:tcW w:w="5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2"/>
              </w:rPr>
              <w:t>Expenses associated with share-based compensation arrangements</w:t>
            </w:r>
          </w:p>
        </w:tc>
        <w:tc>
          <w:tcPr>
            <w:tcW w:w="780" w:type="dxa"/>
            <w:vAlign w:val="bottom"/>
          </w:tcPr>
          <w:p>
            <w:pPr>
              <w:jc w:val="right"/>
              <w:spacing w:after="0"/>
              <w:rPr>
                <w:sz w:val="20"/>
                <w:szCs w:val="20"/>
                <w:color w:val="auto"/>
              </w:rPr>
            </w:pPr>
            <w:r>
              <w:rPr>
                <w:rFonts w:ascii="Arial" w:cs="Arial" w:eastAsia="Arial" w:hAnsi="Arial"/>
                <w:sz w:val="18"/>
                <w:szCs w:val="18"/>
                <w:color w:val="auto"/>
              </w:rPr>
              <w:t>2,747</w:t>
            </w: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2,520</w:t>
            </w: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2,452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2,920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11,224</w:t>
            </w:r>
          </w:p>
        </w:tc>
      </w:tr>
      <w:tr>
        <w:trPr>
          <w:trHeight w:val="216"/>
        </w:trPr>
        <w:tc>
          <w:tcPr>
            <w:tcW w:w="50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loss (gain) on disposition and impairment of assets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(11,994)</w:t>
            </w:r>
          </w:p>
        </w:tc>
        <w:tc>
          <w:tcPr>
            <w:tcW w:w="140" w:type="dxa"/>
            <w:vAlign w:val="bottom"/>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(11,992)</w:t>
            </w:r>
          </w:p>
        </w:tc>
      </w:tr>
      <w:tr>
        <w:trPr>
          <w:trHeight w:val="216"/>
        </w:trPr>
        <w:tc>
          <w:tcPr>
            <w:tcW w:w="5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Depreciation expense</w:t>
            </w:r>
          </w:p>
        </w:tc>
        <w:tc>
          <w:tcPr>
            <w:tcW w:w="780" w:type="dxa"/>
            <w:vAlign w:val="bottom"/>
          </w:tcPr>
          <w:p>
            <w:pPr>
              <w:jc w:val="right"/>
              <w:spacing w:after="0"/>
              <w:rPr>
                <w:sz w:val="20"/>
                <w:szCs w:val="20"/>
                <w:color w:val="auto"/>
              </w:rPr>
            </w:pPr>
            <w:r>
              <w:rPr>
                <w:rFonts w:ascii="Arial" w:cs="Arial" w:eastAsia="Arial" w:hAnsi="Arial"/>
                <w:sz w:val="18"/>
                <w:szCs w:val="18"/>
                <w:color w:val="auto"/>
              </w:rPr>
              <w:t>16,955</w:t>
            </w: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26,219</w:t>
            </w: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13,151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2,094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25,765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84,184</w:t>
            </w:r>
          </w:p>
        </w:tc>
      </w:tr>
      <w:tr>
        <w:trPr>
          <w:trHeight w:val="216"/>
        </w:trPr>
        <w:tc>
          <w:tcPr>
            <w:tcW w:w="50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6,093</w:t>
            </w:r>
          </w:p>
        </w:tc>
        <w:tc>
          <w:tcPr>
            <w:tcW w:w="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13,948</w:t>
            </w:r>
          </w:p>
        </w:tc>
      </w:tr>
      <w:tr>
        <w:trPr>
          <w:trHeight w:val="250"/>
        </w:trPr>
        <w:tc>
          <w:tcPr>
            <w:tcW w:w="5080" w:type="dxa"/>
            <w:vAlign w:val="bottom"/>
            <w:tcBorders>
              <w:left w:val="single" w:sz="8" w:color="auto"/>
              <w:bottom w:val="single" w:sz="8" w:color="CCEEFF"/>
              <w:right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 xml:space="preserve">$ </w:t>
            </w:r>
            <w:r>
              <w:rPr>
                <w:rFonts w:ascii="Arial" w:cs="Arial" w:eastAsia="Arial" w:hAnsi="Arial"/>
                <w:sz w:val="18"/>
                <w:szCs w:val="18"/>
                <w:b w:val="1"/>
                <w:bCs w:val="1"/>
                <w:color w:val="auto"/>
                <w:w w:val="87"/>
              </w:rPr>
              <w:t>151,248</w:t>
            </w:r>
          </w:p>
        </w:tc>
        <w:tc>
          <w:tcPr>
            <w:tcW w:w="4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xml:space="preserve">$ </w:t>
            </w:r>
            <w:r>
              <w:rPr>
                <w:rFonts w:ascii="Arial" w:cs="Arial" w:eastAsia="Arial" w:hAnsi="Arial"/>
                <w:sz w:val="18"/>
                <w:szCs w:val="18"/>
                <w:b w:val="1"/>
                <w:bCs w:val="1"/>
                <w:color w:val="auto"/>
                <w:w w:val="89"/>
              </w:rPr>
              <w:t>299,770</w:t>
            </w:r>
          </w:p>
        </w:tc>
        <w:tc>
          <w:tcPr>
            <w:tcW w:w="6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 xml:space="preserve">$ </w:t>
            </w:r>
            <w:r>
              <w:rPr>
                <w:rFonts w:ascii="Arial" w:cs="Arial" w:eastAsia="Arial" w:hAnsi="Arial"/>
                <w:sz w:val="18"/>
                <w:szCs w:val="18"/>
                <w:b w:val="1"/>
                <w:bCs w:val="1"/>
                <w:color w:val="auto"/>
                <w:w w:val="92"/>
              </w:rPr>
              <w:t>283,358</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78,825</w:t>
            </w:r>
          </w:p>
        </w:tc>
        <w:tc>
          <w:tcPr>
            <w:tcW w:w="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21,717</w:t>
            </w: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834,918</w:t>
            </w:r>
          </w:p>
        </w:tc>
      </w:tr>
      <w:tr>
        <w:trPr>
          <w:trHeight w:val="197"/>
        </w:trPr>
        <w:tc>
          <w:tcPr>
            <w:tcW w:w="5080" w:type="dxa"/>
            <w:vAlign w:val="bottom"/>
            <w:tcBorders>
              <w:left w:val="single" w:sz="8" w:color="auto"/>
              <w:right w:val="single" w:sz="8" w:color="auto"/>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r>
      <w:tr>
        <w:trPr>
          <w:trHeight w:val="216"/>
        </w:trPr>
        <w:tc>
          <w:tcPr>
            <w:tcW w:w="5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 as a Percentage of Net Sales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248.3%</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756"/>
        </w:trPr>
        <w:tc>
          <w:tcPr>
            <w:tcW w:w="50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513" w:right="839" w:bottom="1440" w:gutter="0" w:footer="0" w:header="0"/>
        </w:sectPr>
      </w:pPr>
    </w:p>
    <w:bookmarkStart w:id="12" w:name="page13"/>
    <w:bookmarkEnd w:id="12"/>
    <w:p>
      <w:pPr>
        <w:ind w:left="20"/>
        <w:spacing w:after="0"/>
        <w:rPr>
          <w:sz w:val="20"/>
          <w:szCs w:val="20"/>
          <w:color w:val="auto"/>
        </w:rPr>
      </w:pPr>
      <w:r>
        <w:rPr>
          <w:rFonts w:ascii="Arial" w:cs="Arial" w:eastAsia="Arial" w:hAnsi="Arial"/>
          <w:sz w:val="18"/>
          <w:szCs w:val="18"/>
          <w:b w:val="1"/>
          <w:bCs w:val="1"/>
          <w:color w:val="auto"/>
        </w:rPr>
        <w:t>UFP Industries,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Page 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2022/2021</w:t>
      </w:r>
    </w:p>
    <w:p>
      <w:pPr>
        <w:spacing w:after="0" w:line="64"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27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1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LIABILITIES AND EQUITY</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399"/>
        </w:trPr>
        <w:tc>
          <w:tcPr>
            <w:tcW w:w="2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780" w:type="dxa"/>
            <w:vAlign w:val="bottom"/>
            <w:tcBorders>
              <w:left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559,397</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286,662</w:t>
            </w:r>
          </w:p>
        </w:tc>
        <w:tc>
          <w:tcPr>
            <w:tcW w:w="180" w:type="dxa"/>
            <w:vAlign w:val="bottom"/>
            <w:tcBorders>
              <w:right w:val="single" w:sz="8" w:color="auto"/>
            </w:tcBorders>
            <w:shd w:val="clear" w:color="auto" w:fill="CCEEFF"/>
          </w:tcPr>
          <w:p>
            <w:pPr>
              <w:spacing w:after="0"/>
              <w:rPr>
                <w:sz w:val="19"/>
                <w:szCs w:val="19"/>
                <w:color w:val="auto"/>
              </w:rPr>
            </w:pPr>
          </w:p>
        </w:tc>
        <w:tc>
          <w:tcPr>
            <w:tcW w:w="276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Cash Overdraft</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17,030</w:t>
            </w:r>
          </w:p>
        </w:tc>
        <w:tc>
          <w:tcPr>
            <w:tcW w:w="0" w:type="dxa"/>
            <w:vAlign w:val="bottom"/>
          </w:tcPr>
          <w:p>
            <w:pPr>
              <w:spacing w:after="0"/>
              <w:rPr>
                <w:sz w:val="1"/>
                <w:szCs w:val="1"/>
                <w:color w:val="auto"/>
              </w:rPr>
            </w:pPr>
          </w:p>
        </w:tc>
      </w:tr>
      <w:tr>
        <w:trPr>
          <w:trHeight w:val="203"/>
        </w:trPr>
        <w:tc>
          <w:tcPr>
            <w:tcW w:w="278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17"/>
                <w:szCs w:val="17"/>
                <w:color w:val="auto"/>
              </w:rPr>
            </w:pPr>
          </w:p>
        </w:tc>
        <w:tc>
          <w:tcPr>
            <w:tcW w:w="1020" w:type="dxa"/>
            <w:vAlign w:val="bottom"/>
            <w:tcBorders>
              <w:right w:val="single" w:sz="8" w:color="auto"/>
            </w:tcBorders>
          </w:tcPr>
          <w:p>
            <w:pPr>
              <w:jc w:val="right"/>
              <w:ind w:right="179"/>
              <w:spacing w:after="0"/>
              <w:rPr>
                <w:sz w:val="20"/>
                <w:szCs w:val="20"/>
                <w:color w:val="auto"/>
              </w:rPr>
            </w:pPr>
            <w:r>
              <w:rPr>
                <w:rFonts w:ascii="Arial" w:cs="Arial" w:eastAsia="Arial" w:hAnsi="Arial"/>
                <w:sz w:val="16"/>
                <w:szCs w:val="16"/>
                <w:color w:val="auto"/>
              </w:rPr>
              <w:t>226</w:t>
            </w:r>
          </w:p>
        </w:tc>
        <w:tc>
          <w:tcPr>
            <w:tcW w:w="180" w:type="dxa"/>
            <w:vAlign w:val="bottom"/>
          </w:tcPr>
          <w:p>
            <w:pPr>
              <w:spacing w:after="0"/>
              <w:rPr>
                <w:sz w:val="17"/>
                <w:szCs w:val="17"/>
                <w:color w:val="auto"/>
              </w:rPr>
            </w:pP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4,561</w:t>
            </w:r>
          </w:p>
        </w:tc>
        <w:tc>
          <w:tcPr>
            <w:tcW w:w="180" w:type="dxa"/>
            <w:vAlign w:val="bottom"/>
            <w:tcBorders>
              <w:right w:val="single" w:sz="8" w:color="auto"/>
            </w:tcBorders>
          </w:tcPr>
          <w:p>
            <w:pPr>
              <w:spacing w:after="0"/>
              <w:rPr>
                <w:sz w:val="17"/>
                <w:szCs w:val="17"/>
                <w:color w:val="auto"/>
              </w:rPr>
            </w:pPr>
          </w:p>
        </w:tc>
        <w:tc>
          <w:tcPr>
            <w:tcW w:w="276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17"/>
                <w:szCs w:val="17"/>
                <w:color w:val="auto"/>
              </w:rPr>
            </w:pPr>
          </w:p>
        </w:tc>
        <w:tc>
          <w:tcPr>
            <w:tcW w:w="1020" w:type="dxa"/>
            <w:vAlign w:val="bottom"/>
            <w:tcBorders>
              <w:right w:val="single" w:sz="8" w:color="auto"/>
            </w:tcBorders>
          </w:tcPr>
          <w:p>
            <w:pPr>
              <w:jc w:val="right"/>
              <w:ind w:right="179"/>
              <w:spacing w:after="0"/>
              <w:rPr>
                <w:sz w:val="20"/>
                <w:szCs w:val="20"/>
                <w:color w:val="auto"/>
              </w:rPr>
            </w:pPr>
            <w:r>
              <w:rPr>
                <w:rFonts w:ascii="Arial" w:cs="Arial" w:eastAsia="Arial" w:hAnsi="Arial"/>
                <w:sz w:val="16"/>
                <w:szCs w:val="16"/>
                <w:color w:val="auto"/>
              </w:rPr>
              <w:t>206,941</w:t>
            </w:r>
          </w:p>
        </w:tc>
        <w:tc>
          <w:tcPr>
            <w:tcW w:w="180" w:type="dxa"/>
            <w:vAlign w:val="bottom"/>
          </w:tcPr>
          <w:p>
            <w:pPr>
              <w:spacing w:after="0"/>
              <w:rPr>
                <w:sz w:val="17"/>
                <w:szCs w:val="17"/>
                <w:color w:val="auto"/>
              </w:rPr>
            </w:pPr>
          </w:p>
        </w:tc>
        <w:tc>
          <w:tcPr>
            <w:tcW w:w="9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319,125</w:t>
            </w:r>
          </w:p>
        </w:tc>
        <w:tc>
          <w:tcPr>
            <w:tcW w:w="0" w:type="dxa"/>
            <w:vAlign w:val="bottom"/>
          </w:tcPr>
          <w:p>
            <w:pPr>
              <w:spacing w:after="0"/>
              <w:rPr>
                <w:sz w:val="1"/>
                <w:szCs w:val="1"/>
                <w:color w:val="auto"/>
              </w:rPr>
            </w:pPr>
          </w:p>
        </w:tc>
      </w:tr>
      <w:tr>
        <w:trPr>
          <w:trHeight w:val="203"/>
        </w:trPr>
        <w:tc>
          <w:tcPr>
            <w:tcW w:w="2780" w:type="dxa"/>
            <w:vAlign w:val="bottom"/>
            <w:tcBorders>
              <w:left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Investments</w:t>
            </w:r>
          </w:p>
        </w:tc>
        <w:tc>
          <w:tcPr>
            <w:tcW w:w="18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36,013</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36,495</w:t>
            </w:r>
          </w:p>
        </w:tc>
        <w:tc>
          <w:tcPr>
            <w:tcW w:w="180" w:type="dxa"/>
            <w:vAlign w:val="bottom"/>
            <w:tcBorders>
              <w:right w:val="single" w:sz="8" w:color="auto"/>
            </w:tcBorders>
            <w:shd w:val="clear" w:color="auto" w:fill="CCEEFF"/>
          </w:tcPr>
          <w:p>
            <w:pPr>
              <w:spacing w:after="0"/>
              <w:rPr>
                <w:sz w:val="17"/>
                <w:szCs w:val="17"/>
                <w:color w:val="auto"/>
              </w:rPr>
            </w:pPr>
          </w:p>
        </w:tc>
        <w:tc>
          <w:tcPr>
            <w:tcW w:w="276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Accrued liabilities and other</w:t>
            </w:r>
          </w:p>
        </w:tc>
        <w:tc>
          <w:tcPr>
            <w:tcW w:w="2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401,952</w:t>
            </w:r>
          </w:p>
        </w:tc>
        <w:tc>
          <w:tcPr>
            <w:tcW w:w="18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397,204</w:t>
            </w:r>
          </w:p>
        </w:tc>
        <w:tc>
          <w:tcPr>
            <w:tcW w:w="0" w:type="dxa"/>
            <w:vAlign w:val="bottom"/>
          </w:tcPr>
          <w:p>
            <w:pPr>
              <w:spacing w:after="0"/>
              <w:rPr>
                <w:sz w:val="1"/>
                <w:szCs w:val="1"/>
                <w:color w:val="auto"/>
              </w:rPr>
            </w:pPr>
          </w:p>
        </w:tc>
      </w:tr>
      <w:tr>
        <w:trPr>
          <w:trHeight w:val="213"/>
        </w:trPr>
        <w:tc>
          <w:tcPr>
            <w:tcW w:w="2780" w:type="dxa"/>
            <w:vAlign w:val="bottom"/>
            <w:tcBorders>
              <w:left w:val="single" w:sz="8" w:color="auto"/>
              <w:bottom w:val="single" w:sz="8" w:color="CCEEFF"/>
              <w:right w:val="single" w:sz="8" w:color="auto"/>
            </w:tcBorders>
          </w:tcPr>
          <w:p>
            <w:pPr>
              <w:ind w:left="240"/>
              <w:spacing w:after="0"/>
              <w:rPr>
                <w:sz w:val="20"/>
                <w:szCs w:val="20"/>
                <w:color w:val="auto"/>
              </w:rPr>
            </w:pPr>
            <w:r>
              <w:rPr>
                <w:rFonts w:ascii="Arial" w:cs="Arial" w:eastAsia="Arial" w:hAnsi="Arial"/>
                <w:sz w:val="16"/>
                <w:szCs w:val="16"/>
                <w:color w:val="auto"/>
              </w:rPr>
              <w:t>Accounts receivable</w:t>
            </w: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right w:val="single" w:sz="8" w:color="auto"/>
            </w:tcBorders>
          </w:tcPr>
          <w:p>
            <w:pPr>
              <w:jc w:val="right"/>
              <w:ind w:right="179"/>
              <w:spacing w:after="0"/>
              <w:rPr>
                <w:sz w:val="20"/>
                <w:szCs w:val="20"/>
                <w:color w:val="auto"/>
              </w:rPr>
            </w:pPr>
            <w:r>
              <w:rPr>
                <w:rFonts w:ascii="Arial" w:cs="Arial" w:eastAsia="Arial" w:hAnsi="Arial"/>
                <w:sz w:val="16"/>
                <w:szCs w:val="16"/>
                <w:color w:val="auto"/>
              </w:rPr>
              <w:t>617,604</w:t>
            </w: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right w:val="single" w:sz="8" w:color="auto"/>
            </w:tcBorders>
          </w:tcPr>
          <w:p>
            <w:pPr>
              <w:jc w:val="right"/>
              <w:spacing w:after="0"/>
              <w:rPr>
                <w:sz w:val="20"/>
                <w:szCs w:val="20"/>
                <w:color w:val="auto"/>
              </w:rPr>
            </w:pPr>
            <w:r>
              <w:rPr>
                <w:rFonts w:ascii="Arial" w:cs="Arial" w:eastAsia="Arial" w:hAnsi="Arial"/>
                <w:sz w:val="16"/>
                <w:szCs w:val="16"/>
                <w:color w:val="auto"/>
              </w:rPr>
              <w:t>737,805</w:t>
            </w:r>
          </w:p>
        </w:tc>
        <w:tc>
          <w:tcPr>
            <w:tcW w:w="180" w:type="dxa"/>
            <w:vAlign w:val="bottom"/>
            <w:tcBorders>
              <w:bottom w:val="single" w:sz="8" w:color="CCEEFF"/>
              <w:right w:val="single" w:sz="8" w:color="auto"/>
            </w:tcBorders>
          </w:tcPr>
          <w:p>
            <w:pPr>
              <w:spacing w:after="0"/>
              <w:rPr>
                <w:sz w:val="18"/>
                <w:szCs w:val="18"/>
                <w:color w:val="auto"/>
              </w:rPr>
            </w:pPr>
          </w:p>
        </w:tc>
        <w:tc>
          <w:tcPr>
            <w:tcW w:w="2760" w:type="dxa"/>
            <w:vAlign w:val="bottom"/>
            <w:tcBorders>
              <w:bottom w:val="single" w:sz="8" w:color="CCEEFF"/>
              <w:right w:val="single" w:sz="8" w:color="auto"/>
            </w:tcBorders>
          </w:tcPr>
          <w:p>
            <w:pPr>
              <w:ind w:left="220"/>
              <w:spacing w:after="0"/>
              <w:rPr>
                <w:sz w:val="20"/>
                <w:szCs w:val="20"/>
                <w:color w:val="auto"/>
              </w:rPr>
            </w:pPr>
            <w:r>
              <w:rPr>
                <w:rFonts w:ascii="Arial" w:cs="Arial" w:eastAsia="Arial" w:hAnsi="Arial"/>
                <w:sz w:val="16"/>
                <w:szCs w:val="16"/>
                <w:color w:val="auto"/>
              </w:rPr>
              <w:t>Current portion of debt</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6"/>
                <w:szCs w:val="16"/>
                <w:color w:val="auto"/>
              </w:rPr>
              <w:t>2,942</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42,683</w:t>
            </w:r>
          </w:p>
        </w:tc>
        <w:tc>
          <w:tcPr>
            <w:tcW w:w="0" w:type="dxa"/>
            <w:vAlign w:val="bottom"/>
          </w:tcPr>
          <w:p>
            <w:pPr>
              <w:spacing w:after="0"/>
              <w:rPr>
                <w:sz w:val="1"/>
                <w:szCs w:val="1"/>
                <w:color w:val="auto"/>
              </w:rPr>
            </w:pPr>
          </w:p>
        </w:tc>
      </w:tr>
      <w:tr>
        <w:trPr>
          <w:trHeight w:val="199"/>
        </w:trPr>
        <w:tc>
          <w:tcPr>
            <w:tcW w:w="2780" w:type="dxa"/>
            <w:vAlign w:val="bottom"/>
            <w:tcBorders>
              <w:left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973,227</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963,320</w:t>
            </w:r>
          </w:p>
        </w:tc>
        <w:tc>
          <w:tcPr>
            <w:tcW w:w="180" w:type="dxa"/>
            <w:vAlign w:val="bottom"/>
            <w:tcBorders>
              <w:right w:val="single" w:sz="8" w:color="auto"/>
            </w:tcBorders>
            <w:shd w:val="clear" w:color="auto" w:fill="CCEEFF"/>
          </w:tcPr>
          <w:p>
            <w:pPr>
              <w:spacing w:after="0"/>
              <w:rPr>
                <w:sz w:val="17"/>
                <w:szCs w:val="17"/>
                <w:color w:val="auto"/>
              </w:rPr>
            </w:pPr>
          </w:p>
        </w:tc>
        <w:tc>
          <w:tcPr>
            <w:tcW w:w="27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tcBorders>
              <w:left w:val="single" w:sz="8" w:color="auto"/>
              <w:bottom w:val="single" w:sz="8" w:color="CCEEFF"/>
              <w:right w:val="single" w:sz="8" w:color="auto"/>
            </w:tcBorders>
          </w:tcPr>
          <w:p>
            <w:pPr>
              <w:ind w:left="2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6"/>
                <w:szCs w:val="16"/>
                <w:color w:val="auto"/>
              </w:rPr>
              <w:t>75,646</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44,633</w:t>
            </w:r>
          </w:p>
        </w:tc>
        <w:tc>
          <w:tcPr>
            <w:tcW w:w="180" w:type="dxa"/>
            <w:vAlign w:val="bottom"/>
            <w:tcBorders>
              <w:bottom w:val="single" w:sz="8" w:color="CCEEFF"/>
              <w:right w:val="single" w:sz="8" w:color="auto"/>
            </w:tcBorders>
          </w:tcPr>
          <w:p>
            <w:pPr>
              <w:spacing w:after="0"/>
              <w:rPr>
                <w:sz w:val="17"/>
                <w:szCs w:val="17"/>
                <w:color w:val="auto"/>
              </w:rPr>
            </w:pPr>
          </w:p>
        </w:tc>
        <w:tc>
          <w:tcPr>
            <w:tcW w:w="2760" w:type="dxa"/>
            <w:vAlign w:val="bottom"/>
            <w:tcBorders>
              <w:bottom w:val="single" w:sz="8" w:color="CCEEFF"/>
              <w:right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right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Borders>
              <w:left w:val="single" w:sz="8" w:color="auto"/>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27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TOTAL CURRENT ASSETS</w:t>
            </w:r>
          </w:p>
        </w:tc>
        <w:tc>
          <w:tcPr>
            <w:tcW w:w="180" w:type="dxa"/>
            <w:vAlign w:val="bottom"/>
          </w:tcPr>
          <w:p>
            <w:pPr>
              <w:spacing w:after="0"/>
              <w:rPr>
                <w:sz w:val="17"/>
                <w:szCs w:val="17"/>
                <w:color w:val="auto"/>
              </w:rPr>
            </w:pPr>
          </w:p>
        </w:tc>
        <w:tc>
          <w:tcPr>
            <w:tcW w:w="1020" w:type="dxa"/>
            <w:vAlign w:val="bottom"/>
            <w:tcBorders>
              <w:right w:val="single" w:sz="8" w:color="auto"/>
            </w:tcBorders>
          </w:tcPr>
          <w:p>
            <w:pPr>
              <w:jc w:val="right"/>
              <w:ind w:right="179"/>
              <w:spacing w:after="0"/>
              <w:rPr>
                <w:sz w:val="20"/>
                <w:szCs w:val="20"/>
                <w:color w:val="auto"/>
              </w:rPr>
            </w:pPr>
            <w:r>
              <w:rPr>
                <w:rFonts w:ascii="Arial" w:cs="Arial" w:eastAsia="Arial" w:hAnsi="Arial"/>
                <w:sz w:val="16"/>
                <w:szCs w:val="16"/>
                <w:color w:val="auto"/>
              </w:rPr>
              <w:t>2,262,113</w:t>
            </w:r>
          </w:p>
        </w:tc>
        <w:tc>
          <w:tcPr>
            <w:tcW w:w="180" w:type="dxa"/>
            <w:vAlign w:val="bottom"/>
          </w:tcPr>
          <w:p>
            <w:pPr>
              <w:spacing w:after="0"/>
              <w:rPr>
                <w:sz w:val="17"/>
                <w:szCs w:val="17"/>
                <w:color w:val="auto"/>
              </w:rPr>
            </w:pP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2,073,476</w:t>
            </w:r>
          </w:p>
        </w:tc>
        <w:tc>
          <w:tcPr>
            <w:tcW w:w="180" w:type="dxa"/>
            <w:vAlign w:val="bottom"/>
            <w:tcBorders>
              <w:right w:val="single" w:sz="8" w:color="auto"/>
            </w:tcBorders>
          </w:tcPr>
          <w:p>
            <w:pPr>
              <w:spacing w:after="0"/>
              <w:rPr>
                <w:sz w:val="17"/>
                <w:szCs w:val="17"/>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TOTAL CURRENT LIABILITIES</w:t>
            </w:r>
          </w:p>
        </w:tc>
        <w:tc>
          <w:tcPr>
            <w:tcW w:w="200" w:type="dxa"/>
            <w:vAlign w:val="bottom"/>
          </w:tcPr>
          <w:p>
            <w:pPr>
              <w:spacing w:after="0"/>
              <w:rPr>
                <w:sz w:val="17"/>
                <w:szCs w:val="17"/>
                <w:color w:val="auto"/>
              </w:rPr>
            </w:pPr>
          </w:p>
        </w:tc>
        <w:tc>
          <w:tcPr>
            <w:tcW w:w="1020" w:type="dxa"/>
            <w:vAlign w:val="bottom"/>
            <w:tcBorders>
              <w:right w:val="single" w:sz="8" w:color="auto"/>
            </w:tcBorders>
          </w:tcPr>
          <w:p>
            <w:pPr>
              <w:jc w:val="right"/>
              <w:ind w:right="179"/>
              <w:spacing w:after="0"/>
              <w:rPr>
                <w:sz w:val="20"/>
                <w:szCs w:val="20"/>
                <w:color w:val="auto"/>
              </w:rPr>
            </w:pPr>
            <w:r>
              <w:rPr>
                <w:rFonts w:ascii="Arial" w:cs="Arial" w:eastAsia="Arial" w:hAnsi="Arial"/>
                <w:sz w:val="16"/>
                <w:szCs w:val="16"/>
                <w:color w:val="auto"/>
              </w:rPr>
              <w:t>611,835</w:t>
            </w:r>
          </w:p>
        </w:tc>
        <w:tc>
          <w:tcPr>
            <w:tcW w:w="180" w:type="dxa"/>
            <w:vAlign w:val="bottom"/>
          </w:tcPr>
          <w:p>
            <w:pPr>
              <w:spacing w:after="0"/>
              <w:rPr>
                <w:sz w:val="17"/>
                <w:szCs w:val="17"/>
                <w:color w:val="auto"/>
              </w:rPr>
            </w:pPr>
          </w:p>
        </w:tc>
        <w:tc>
          <w:tcPr>
            <w:tcW w:w="9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776,042</w:t>
            </w:r>
          </w:p>
        </w:tc>
        <w:tc>
          <w:tcPr>
            <w:tcW w:w="0" w:type="dxa"/>
            <w:vAlign w:val="bottom"/>
          </w:tcPr>
          <w:p>
            <w:pPr>
              <w:spacing w:after="0"/>
              <w:rPr>
                <w:sz w:val="1"/>
                <w:szCs w:val="1"/>
                <w:color w:val="auto"/>
              </w:rPr>
            </w:pPr>
          </w:p>
        </w:tc>
      </w:tr>
      <w:tr>
        <w:trPr>
          <w:trHeight w:val="203"/>
        </w:trPr>
        <w:tc>
          <w:tcPr>
            <w:tcW w:w="2780" w:type="dxa"/>
            <w:vAlign w:val="bottom"/>
            <w:tcBorders>
              <w:left w:val="single" w:sz="8" w:color="auto"/>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27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80" w:type="dxa"/>
            <w:vAlign w:val="bottom"/>
            <w:tcBorders>
              <w:left w:val="single" w:sz="8" w:color="auto"/>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LONG-TERM DEBT AND</w:t>
            </w:r>
          </w:p>
        </w:tc>
        <w:tc>
          <w:tcPr>
            <w:tcW w:w="20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OTHER ASSETS</w:t>
            </w:r>
          </w:p>
        </w:tc>
        <w:tc>
          <w:tcPr>
            <w:tcW w:w="180" w:type="dxa"/>
            <w:vAlign w:val="bottom"/>
          </w:tcPr>
          <w:p>
            <w:pPr>
              <w:spacing w:after="0"/>
              <w:rPr>
                <w:sz w:val="18"/>
                <w:szCs w:val="18"/>
                <w:color w:val="auto"/>
              </w:rPr>
            </w:pPr>
          </w:p>
        </w:tc>
        <w:tc>
          <w:tcPr>
            <w:tcW w:w="1020" w:type="dxa"/>
            <w:vAlign w:val="bottom"/>
            <w:tcBorders>
              <w:right w:val="single" w:sz="8" w:color="auto"/>
            </w:tcBorders>
          </w:tcPr>
          <w:p>
            <w:pPr>
              <w:jc w:val="right"/>
              <w:ind w:right="179"/>
              <w:spacing w:after="0"/>
              <w:rPr>
                <w:sz w:val="20"/>
                <w:szCs w:val="20"/>
                <w:color w:val="auto"/>
              </w:rPr>
            </w:pPr>
            <w:r>
              <w:rPr>
                <w:rFonts w:ascii="Arial" w:cs="Arial" w:eastAsia="Arial" w:hAnsi="Arial"/>
                <w:sz w:val="16"/>
                <w:szCs w:val="16"/>
                <w:color w:val="auto"/>
              </w:rPr>
              <w:t>232,427</w:t>
            </w:r>
          </w:p>
        </w:tc>
        <w:tc>
          <w:tcPr>
            <w:tcW w:w="180" w:type="dxa"/>
            <w:vAlign w:val="bottom"/>
          </w:tcPr>
          <w:p>
            <w:pPr>
              <w:spacing w:after="0"/>
              <w:rPr>
                <w:sz w:val="18"/>
                <w:szCs w:val="18"/>
                <w:color w:val="auto"/>
              </w:rPr>
            </w:pP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151,351</w:t>
            </w:r>
          </w:p>
        </w:tc>
        <w:tc>
          <w:tcPr>
            <w:tcW w:w="18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FINANCE LEASE OBLIGATIONS</w:t>
            </w:r>
          </w:p>
        </w:tc>
        <w:tc>
          <w:tcPr>
            <w:tcW w:w="200" w:type="dxa"/>
            <w:vAlign w:val="bottom"/>
          </w:tcPr>
          <w:p>
            <w:pPr>
              <w:spacing w:after="0"/>
              <w:rPr>
                <w:sz w:val="18"/>
                <w:szCs w:val="18"/>
                <w:color w:val="auto"/>
              </w:rPr>
            </w:pPr>
          </w:p>
        </w:tc>
        <w:tc>
          <w:tcPr>
            <w:tcW w:w="1020" w:type="dxa"/>
            <w:vAlign w:val="bottom"/>
            <w:tcBorders>
              <w:right w:val="single" w:sz="8" w:color="auto"/>
            </w:tcBorders>
          </w:tcPr>
          <w:p>
            <w:pPr>
              <w:jc w:val="right"/>
              <w:ind w:right="179"/>
              <w:spacing w:after="0"/>
              <w:rPr>
                <w:sz w:val="20"/>
                <w:szCs w:val="20"/>
                <w:color w:val="auto"/>
              </w:rPr>
            </w:pPr>
            <w:r>
              <w:rPr>
                <w:rFonts w:ascii="Arial" w:cs="Arial" w:eastAsia="Arial" w:hAnsi="Arial"/>
                <w:sz w:val="16"/>
                <w:szCs w:val="16"/>
                <w:color w:val="auto"/>
              </w:rPr>
              <w:t>275,154</w:t>
            </w:r>
          </w:p>
        </w:tc>
        <w:tc>
          <w:tcPr>
            <w:tcW w:w="180" w:type="dxa"/>
            <w:vAlign w:val="bottom"/>
          </w:tcPr>
          <w:p>
            <w:pPr>
              <w:spacing w:after="0"/>
              <w:rPr>
                <w:sz w:val="18"/>
                <w:szCs w:val="18"/>
                <w:color w:val="auto"/>
              </w:rPr>
            </w:pPr>
          </w:p>
        </w:tc>
        <w:tc>
          <w:tcPr>
            <w:tcW w:w="9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277,567</w:t>
            </w:r>
          </w:p>
        </w:tc>
        <w:tc>
          <w:tcPr>
            <w:tcW w:w="0" w:type="dxa"/>
            <w:vAlign w:val="bottom"/>
          </w:tcPr>
          <w:p>
            <w:pPr>
              <w:spacing w:after="0"/>
              <w:rPr>
                <w:sz w:val="1"/>
                <w:szCs w:val="1"/>
                <w:color w:val="auto"/>
              </w:rPr>
            </w:pPr>
          </w:p>
        </w:tc>
      </w:tr>
      <w:tr>
        <w:trPr>
          <w:trHeight w:val="205"/>
        </w:trPr>
        <w:tc>
          <w:tcPr>
            <w:tcW w:w="27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INTANGIBLE ASSETS, NET</w:t>
            </w:r>
          </w:p>
        </w:tc>
        <w:tc>
          <w:tcPr>
            <w:tcW w:w="18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488,551</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431,424</w:t>
            </w:r>
          </w:p>
        </w:tc>
        <w:tc>
          <w:tcPr>
            <w:tcW w:w="180" w:type="dxa"/>
            <w:vAlign w:val="bottom"/>
            <w:tcBorders>
              <w:right w:val="single" w:sz="8" w:color="auto"/>
            </w:tcBorders>
            <w:shd w:val="clear" w:color="auto" w:fill="CCEEFF"/>
          </w:tcPr>
          <w:p>
            <w:pPr>
              <w:spacing w:after="0"/>
              <w:rPr>
                <w:sz w:val="17"/>
                <w:szCs w:val="17"/>
                <w:color w:val="auto"/>
              </w:rPr>
            </w:pPr>
          </w:p>
        </w:tc>
        <w:tc>
          <w:tcPr>
            <w:tcW w:w="27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OTHER LIABILITIES</w:t>
            </w:r>
          </w:p>
        </w:tc>
        <w:tc>
          <w:tcPr>
            <w:tcW w:w="2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181,381</w:t>
            </w:r>
          </w:p>
        </w:tc>
        <w:tc>
          <w:tcPr>
            <w:tcW w:w="18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175,093</w:t>
            </w:r>
          </w:p>
        </w:tc>
        <w:tc>
          <w:tcPr>
            <w:tcW w:w="0" w:type="dxa"/>
            <w:vAlign w:val="bottom"/>
          </w:tcPr>
          <w:p>
            <w:pPr>
              <w:spacing w:after="0"/>
              <w:rPr>
                <w:sz w:val="1"/>
                <w:szCs w:val="1"/>
                <w:color w:val="auto"/>
              </w:rPr>
            </w:pPr>
          </w:p>
        </w:tc>
      </w:tr>
      <w:tr>
        <w:trPr>
          <w:trHeight w:val="203"/>
        </w:trPr>
        <w:tc>
          <w:tcPr>
            <w:tcW w:w="278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7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tcBorders>
              <w:left w:val="single" w:sz="8" w:color="auto"/>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27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TEMPORARY EQUITY</w:t>
            </w:r>
          </w:p>
        </w:tc>
        <w:tc>
          <w:tcPr>
            <w:tcW w:w="2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6,880</w:t>
            </w:r>
          </w:p>
        </w:tc>
        <w:tc>
          <w:tcPr>
            <w:tcW w:w="18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78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7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PROPERTY, PLANT AND</w:t>
            </w:r>
          </w:p>
        </w:tc>
        <w:tc>
          <w:tcPr>
            <w:tcW w:w="180" w:type="dxa"/>
            <w:vAlign w:val="bottom"/>
            <w:shd w:val="clear" w:color="auto" w:fill="CCEEFF"/>
          </w:tcPr>
          <w:p>
            <w:pPr>
              <w:spacing w:after="0"/>
              <w:rPr>
                <w:sz w:val="16"/>
                <w:szCs w:val="16"/>
                <w:color w:val="auto"/>
              </w:rPr>
            </w:pPr>
          </w:p>
        </w:tc>
        <w:tc>
          <w:tcPr>
            <w:tcW w:w="102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tcBorders>
              <w:right w:val="single" w:sz="8" w:color="auto"/>
            </w:tcBorders>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276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EQUIPMENT, NET</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688,982</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589,020</w:t>
            </w:r>
          </w:p>
        </w:tc>
        <w:tc>
          <w:tcPr>
            <w:tcW w:w="180" w:type="dxa"/>
            <w:vAlign w:val="bottom"/>
            <w:tcBorders>
              <w:right w:val="single" w:sz="8" w:color="auto"/>
            </w:tcBorders>
            <w:shd w:val="clear" w:color="auto" w:fill="CCEEFF"/>
          </w:tcPr>
          <w:p>
            <w:pPr>
              <w:spacing w:after="0"/>
              <w:rPr>
                <w:sz w:val="18"/>
                <w:szCs w:val="18"/>
                <w:color w:val="auto"/>
              </w:rPr>
            </w:pPr>
          </w:p>
        </w:tc>
        <w:tc>
          <w:tcPr>
            <w:tcW w:w="27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SHAREHOLDERS'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2,596,823</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2,016,569</w:t>
            </w:r>
          </w:p>
        </w:tc>
        <w:tc>
          <w:tcPr>
            <w:tcW w:w="0" w:type="dxa"/>
            <w:vAlign w:val="bottom"/>
          </w:tcPr>
          <w:p>
            <w:pPr>
              <w:spacing w:after="0"/>
              <w:rPr>
                <w:sz w:val="1"/>
                <w:szCs w:val="1"/>
                <w:color w:val="auto"/>
              </w:rPr>
            </w:pPr>
          </w:p>
        </w:tc>
      </w:tr>
      <w:tr>
        <w:trPr>
          <w:trHeight w:val="199"/>
        </w:trPr>
        <w:tc>
          <w:tcPr>
            <w:tcW w:w="278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7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tcBorders>
              <w:left w:val="single" w:sz="8" w:color="auto"/>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27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80" w:type="dxa"/>
            <w:vAlign w:val="bottom"/>
            <w:tcBorders>
              <w:left w:val="single" w:sz="8" w:color="auto"/>
              <w:right w:val="single" w:sz="8" w:color="auto"/>
            </w:tcBorders>
          </w:tcPr>
          <w:p>
            <w:pPr>
              <w:spacing w:after="0"/>
              <w:rPr>
                <w:sz w:val="16"/>
                <w:szCs w:val="16"/>
                <w:color w:val="auto"/>
              </w:rPr>
            </w:pPr>
          </w:p>
        </w:tc>
        <w:tc>
          <w:tcPr>
            <w:tcW w:w="180" w:type="dxa"/>
            <w:vAlign w:val="bottom"/>
            <w:vMerge w:val="restart"/>
          </w:tcPr>
          <w:p>
            <w:pPr>
              <w:jc w:val="right"/>
              <w:ind w:right="24"/>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auto"/>
            </w:tcBorders>
            <w:vMerge w:val="restart"/>
          </w:tcPr>
          <w:p>
            <w:pPr>
              <w:jc w:val="right"/>
              <w:ind w:right="179"/>
              <w:spacing w:after="0"/>
              <w:rPr>
                <w:sz w:val="20"/>
                <w:szCs w:val="20"/>
                <w:color w:val="auto"/>
              </w:rPr>
            </w:pPr>
            <w:r>
              <w:rPr>
                <w:rFonts w:ascii="Arial" w:cs="Arial" w:eastAsia="Arial" w:hAnsi="Arial"/>
                <w:sz w:val="16"/>
                <w:szCs w:val="16"/>
                <w:color w:val="auto"/>
              </w:rPr>
              <w:t>3,672,073</w:t>
            </w:r>
          </w:p>
        </w:tc>
        <w:tc>
          <w:tcPr>
            <w:tcW w:w="180" w:type="dxa"/>
            <w:vAlign w:val="bottom"/>
            <w:vMerge w:val="restart"/>
          </w:tcPr>
          <w:p>
            <w:pPr>
              <w:jc w:val="right"/>
              <w:ind w:right="24"/>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3,245,271</w:t>
            </w:r>
          </w:p>
        </w:tc>
        <w:tc>
          <w:tcPr>
            <w:tcW w:w="180" w:type="dxa"/>
            <w:vAlign w:val="bottom"/>
            <w:tcBorders>
              <w:right w:val="single" w:sz="8" w:color="auto"/>
            </w:tcBorders>
          </w:tcPr>
          <w:p>
            <w:pPr>
              <w:spacing w:after="0"/>
              <w:rPr>
                <w:sz w:val="16"/>
                <w:szCs w:val="16"/>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TOTAL LIABILITIES AND</w:t>
            </w:r>
          </w:p>
        </w:tc>
        <w:tc>
          <w:tcPr>
            <w:tcW w:w="200" w:type="dxa"/>
            <w:vAlign w:val="bottom"/>
            <w:vMerge w:val="restart"/>
          </w:tcPr>
          <w:p>
            <w:pPr>
              <w:jc w:val="right"/>
              <w:ind w:right="44"/>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auto"/>
            </w:tcBorders>
            <w:vMerge w:val="restart"/>
          </w:tcPr>
          <w:p>
            <w:pPr>
              <w:jc w:val="right"/>
              <w:ind w:right="179"/>
              <w:spacing w:after="0"/>
              <w:rPr>
                <w:sz w:val="20"/>
                <w:szCs w:val="20"/>
                <w:color w:val="auto"/>
              </w:rPr>
            </w:pPr>
            <w:r>
              <w:rPr>
                <w:rFonts w:ascii="Arial" w:cs="Arial" w:eastAsia="Arial" w:hAnsi="Arial"/>
                <w:sz w:val="16"/>
                <w:szCs w:val="16"/>
                <w:color w:val="auto"/>
              </w:rPr>
              <w:t>3,672,073</w:t>
            </w:r>
          </w:p>
        </w:tc>
        <w:tc>
          <w:tcPr>
            <w:tcW w:w="180" w:type="dxa"/>
            <w:vAlign w:val="bottom"/>
            <w:vMerge w:val="restart"/>
          </w:tcPr>
          <w:p>
            <w:pPr>
              <w:jc w:val="right"/>
              <w:ind w:right="24"/>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3,245,271</w:t>
            </w:r>
          </w:p>
        </w:tc>
        <w:tc>
          <w:tcPr>
            <w:tcW w:w="0" w:type="dxa"/>
            <w:vAlign w:val="bottom"/>
          </w:tcPr>
          <w:p>
            <w:pPr>
              <w:spacing w:after="0"/>
              <w:rPr>
                <w:sz w:val="1"/>
                <w:szCs w:val="1"/>
                <w:color w:val="auto"/>
              </w:rPr>
            </w:pPr>
          </w:p>
        </w:tc>
      </w:tr>
      <w:tr>
        <w:trPr>
          <w:trHeight w:val="243"/>
        </w:trPr>
        <w:tc>
          <w:tcPr>
            <w:tcW w:w="27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vMerge w:val="continue"/>
          </w:tcPr>
          <w:p>
            <w:pPr>
              <w:spacing w:after="0"/>
              <w:rPr>
                <w:sz w:val="21"/>
                <w:szCs w:val="21"/>
                <w:color w:val="auto"/>
              </w:rPr>
            </w:pPr>
          </w:p>
        </w:tc>
        <w:tc>
          <w:tcPr>
            <w:tcW w:w="1020" w:type="dxa"/>
            <w:vAlign w:val="bottom"/>
            <w:tcBorders>
              <w:bottom w:val="single" w:sz="8" w:color="auto"/>
              <w:right w:val="single" w:sz="8" w:color="auto"/>
            </w:tcBorders>
            <w:vMerge w:val="continue"/>
          </w:tcPr>
          <w:p>
            <w:pPr>
              <w:spacing w:after="0"/>
              <w:rPr>
                <w:sz w:val="21"/>
                <w:szCs w:val="21"/>
                <w:color w:val="auto"/>
              </w:rPr>
            </w:pPr>
          </w:p>
        </w:tc>
        <w:tc>
          <w:tcPr>
            <w:tcW w:w="180" w:type="dxa"/>
            <w:vAlign w:val="bottom"/>
            <w:tcBorders>
              <w:bottom w:val="single" w:sz="8" w:color="auto"/>
            </w:tcBorders>
            <w:vMerge w:val="continue"/>
          </w:tcPr>
          <w:p>
            <w:pPr>
              <w:spacing w:after="0"/>
              <w:rPr>
                <w:sz w:val="21"/>
                <w:szCs w:val="21"/>
                <w:color w:val="auto"/>
              </w:rPr>
            </w:pPr>
          </w:p>
        </w:tc>
        <w:tc>
          <w:tcPr>
            <w:tcW w:w="840" w:type="dxa"/>
            <w:vAlign w:val="bottom"/>
            <w:tcBorders>
              <w:bottom w:val="single" w:sz="8" w:color="auto"/>
              <w:right w:val="single" w:sz="8" w:color="auto"/>
            </w:tcBorders>
            <w:vMerge w:val="continue"/>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EQUITY</w:t>
            </w:r>
          </w:p>
        </w:tc>
        <w:tc>
          <w:tcPr>
            <w:tcW w:w="200" w:type="dxa"/>
            <w:vAlign w:val="bottom"/>
            <w:tcBorders>
              <w:bottom w:val="single" w:sz="8" w:color="auto"/>
            </w:tcBorders>
            <w:vMerge w:val="continue"/>
          </w:tcPr>
          <w:p>
            <w:pPr>
              <w:spacing w:after="0"/>
              <w:rPr>
                <w:sz w:val="21"/>
                <w:szCs w:val="21"/>
                <w:color w:val="auto"/>
              </w:rPr>
            </w:pPr>
          </w:p>
        </w:tc>
        <w:tc>
          <w:tcPr>
            <w:tcW w:w="1020" w:type="dxa"/>
            <w:vAlign w:val="bottom"/>
            <w:tcBorders>
              <w:bottom w:val="single" w:sz="8" w:color="auto"/>
              <w:right w:val="single" w:sz="8" w:color="auto"/>
            </w:tcBorders>
            <w:vMerge w:val="continue"/>
          </w:tcPr>
          <w:p>
            <w:pPr>
              <w:spacing w:after="0"/>
              <w:rPr>
                <w:sz w:val="21"/>
                <w:szCs w:val="21"/>
                <w:color w:val="auto"/>
              </w:rPr>
            </w:pPr>
          </w:p>
        </w:tc>
        <w:tc>
          <w:tcPr>
            <w:tcW w:w="180" w:type="dxa"/>
            <w:vAlign w:val="bottom"/>
            <w:tcBorders>
              <w:bottom w:val="single" w:sz="8" w:color="auto"/>
            </w:tcBorders>
            <w:vMerge w:val="continue"/>
          </w:tcPr>
          <w:p>
            <w:pPr>
              <w:spacing w:after="0"/>
              <w:rPr>
                <w:sz w:val="21"/>
                <w:szCs w:val="21"/>
                <w:color w:val="auto"/>
              </w:rPr>
            </w:pPr>
          </w:p>
        </w:tc>
        <w:tc>
          <w:tcPr>
            <w:tcW w:w="90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175"/>
        </w:trPr>
        <w:tc>
          <w:tcPr>
            <w:tcW w:w="2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820" w:top="513" w:right="839" w:bottom="1440" w:gutter="0" w:footer="0" w:header="0"/>
        </w:sectPr>
      </w:pPr>
    </w:p>
    <w:bookmarkStart w:id="13" w:name="page14"/>
    <w:bookmarkEnd w:id="13"/>
    <w:p>
      <w:pPr>
        <w:ind w:left="20"/>
        <w:spacing w:after="0"/>
        <w:rPr>
          <w:sz w:val="20"/>
          <w:szCs w:val="20"/>
          <w:color w:val="auto"/>
        </w:rPr>
      </w:pPr>
      <w:r>
        <w:rPr>
          <w:rFonts w:ascii="Arial" w:cs="Arial" w:eastAsia="Arial" w:hAnsi="Arial"/>
          <w:sz w:val="18"/>
          <w:szCs w:val="18"/>
          <w:b w:val="1"/>
          <w:bCs w:val="1"/>
          <w:color w:val="auto"/>
        </w:rPr>
        <w:t>UFP Industries,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Page 10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TWELVE MONTHS 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2022/2021</w:t>
      </w:r>
    </w:p>
    <w:p>
      <w:pPr>
        <w:spacing w:after="0" w:line="9"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2022</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r>
      <w:tr>
        <w:trPr>
          <w:trHeight w:val="196"/>
        </w:trPr>
        <w:tc>
          <w:tcPr>
            <w:tcW w:w="7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r>
      <w:tr>
        <w:trPr>
          <w:trHeight w:val="203"/>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340" w:type="dxa"/>
            <w:vAlign w:val="bottom"/>
            <w:tcBorders>
              <w:right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704,964</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552,364</w:t>
            </w:r>
          </w:p>
        </w:tc>
      </w:tr>
      <w:tr>
        <w:trPr>
          <w:trHeight w:val="203"/>
        </w:trPr>
        <w:tc>
          <w:tcPr>
            <w:tcW w:w="7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Adjustments to reconcile net earnings to net cash from operating activities:</w:t>
            </w:r>
          </w:p>
        </w:tc>
        <w:tc>
          <w:tcPr>
            <w:tcW w:w="30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r>
      <w:tr>
        <w:trPr>
          <w:trHeight w:val="203"/>
        </w:trPr>
        <w:tc>
          <w:tcPr>
            <w:tcW w:w="7220" w:type="dxa"/>
            <w:vAlign w:val="bottom"/>
            <w:tcBorders>
              <w:left w:val="single" w:sz="8" w:color="auto"/>
              <w:right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tcBorders>
              <w:right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spacing w:after="0"/>
              <w:rPr>
                <w:sz w:val="17"/>
                <w:szCs w:val="17"/>
                <w:color w:val="auto"/>
              </w:rPr>
            </w:pPr>
          </w:p>
        </w:tc>
      </w:tr>
      <w:tr>
        <w:trPr>
          <w:trHeight w:val="203"/>
        </w:trPr>
        <w:tc>
          <w:tcPr>
            <w:tcW w:w="722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Depreciation</w:t>
            </w:r>
          </w:p>
        </w:tc>
        <w:tc>
          <w:tcPr>
            <w:tcW w:w="300" w:type="dxa"/>
            <w:vAlign w:val="bottom"/>
          </w:tcPr>
          <w:p>
            <w:pPr>
              <w:spacing w:after="0"/>
              <w:rPr>
                <w:sz w:val="17"/>
                <w:szCs w:val="17"/>
                <w:color w:val="auto"/>
              </w:rPr>
            </w:pPr>
          </w:p>
        </w:tc>
        <w:tc>
          <w:tcPr>
            <w:tcW w:w="1340" w:type="dxa"/>
            <w:vAlign w:val="bottom"/>
            <w:tcBorders>
              <w:right w:val="single" w:sz="8" w:color="auto"/>
            </w:tcBorders>
          </w:tcPr>
          <w:p>
            <w:pPr>
              <w:jc w:val="right"/>
              <w:ind w:right="359"/>
              <w:spacing w:after="0"/>
              <w:rPr>
                <w:sz w:val="20"/>
                <w:szCs w:val="20"/>
                <w:color w:val="auto"/>
              </w:rPr>
            </w:pPr>
            <w:r>
              <w:rPr>
                <w:rFonts w:ascii="Arial" w:cs="Arial" w:eastAsia="Arial" w:hAnsi="Arial"/>
                <w:sz w:val="16"/>
                <w:szCs w:val="16"/>
                <w:color w:val="auto"/>
              </w:rPr>
              <w:t>94,063</w:t>
            </w:r>
          </w:p>
        </w:tc>
        <w:tc>
          <w:tcPr>
            <w:tcW w:w="300" w:type="dxa"/>
            <w:vAlign w:val="bottom"/>
          </w:tcPr>
          <w:p>
            <w:pPr>
              <w:spacing w:after="0"/>
              <w:rPr>
                <w:sz w:val="17"/>
                <w:szCs w:val="17"/>
                <w:color w:val="auto"/>
              </w:rPr>
            </w:pPr>
          </w:p>
        </w:tc>
        <w:tc>
          <w:tcPr>
            <w:tcW w:w="108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84,184</w:t>
            </w:r>
          </w:p>
        </w:tc>
      </w:tr>
      <w:tr>
        <w:trPr>
          <w:trHeight w:val="203"/>
        </w:trPr>
        <w:tc>
          <w:tcPr>
            <w:tcW w:w="7220" w:type="dxa"/>
            <w:vAlign w:val="bottom"/>
            <w:tcBorders>
              <w:left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Amortization of intangibles</w:t>
            </w:r>
          </w:p>
        </w:tc>
        <w:tc>
          <w:tcPr>
            <w:tcW w:w="300" w:type="dxa"/>
            <w:vAlign w:val="bottom"/>
            <w:shd w:val="clear" w:color="auto" w:fill="CCEEFF"/>
          </w:tcPr>
          <w:p>
            <w:pPr>
              <w:spacing w:after="0"/>
              <w:rPr>
                <w:sz w:val="17"/>
                <w:szCs w:val="17"/>
                <w:color w:val="auto"/>
              </w:rPr>
            </w:pPr>
          </w:p>
        </w:tc>
        <w:tc>
          <w:tcPr>
            <w:tcW w:w="1340" w:type="dxa"/>
            <w:vAlign w:val="bottom"/>
            <w:tcBorders>
              <w:right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19,499</w:t>
            </w:r>
          </w:p>
        </w:tc>
        <w:tc>
          <w:tcPr>
            <w:tcW w:w="300" w:type="dxa"/>
            <w:vAlign w:val="bottom"/>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13,948</w:t>
            </w:r>
          </w:p>
        </w:tc>
      </w:tr>
      <w:tr>
        <w:trPr>
          <w:trHeight w:val="203"/>
        </w:trPr>
        <w:tc>
          <w:tcPr>
            <w:tcW w:w="722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Expense associated with share-based and grant compensation arrangements</w:t>
            </w:r>
          </w:p>
        </w:tc>
        <w:tc>
          <w:tcPr>
            <w:tcW w:w="300" w:type="dxa"/>
            <w:vAlign w:val="bottom"/>
          </w:tcPr>
          <w:p>
            <w:pPr>
              <w:spacing w:after="0"/>
              <w:rPr>
                <w:sz w:val="17"/>
                <w:szCs w:val="17"/>
                <w:color w:val="auto"/>
              </w:rPr>
            </w:pPr>
          </w:p>
        </w:tc>
        <w:tc>
          <w:tcPr>
            <w:tcW w:w="1340" w:type="dxa"/>
            <w:vAlign w:val="bottom"/>
            <w:tcBorders>
              <w:right w:val="single" w:sz="8" w:color="auto"/>
            </w:tcBorders>
          </w:tcPr>
          <w:p>
            <w:pPr>
              <w:jc w:val="right"/>
              <w:ind w:right="359"/>
              <w:spacing w:after="0"/>
              <w:rPr>
                <w:sz w:val="20"/>
                <w:szCs w:val="20"/>
                <w:color w:val="auto"/>
              </w:rPr>
            </w:pPr>
            <w:r>
              <w:rPr>
                <w:rFonts w:ascii="Arial" w:cs="Arial" w:eastAsia="Arial" w:hAnsi="Arial"/>
                <w:sz w:val="16"/>
                <w:szCs w:val="16"/>
                <w:color w:val="auto"/>
              </w:rPr>
              <w:t>28,156</w:t>
            </w:r>
          </w:p>
        </w:tc>
        <w:tc>
          <w:tcPr>
            <w:tcW w:w="300" w:type="dxa"/>
            <w:vAlign w:val="bottom"/>
          </w:tcPr>
          <w:p>
            <w:pPr>
              <w:spacing w:after="0"/>
              <w:rPr>
                <w:sz w:val="17"/>
                <w:szCs w:val="17"/>
                <w:color w:val="auto"/>
              </w:rPr>
            </w:pPr>
          </w:p>
        </w:tc>
        <w:tc>
          <w:tcPr>
            <w:tcW w:w="108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11,224</w:t>
            </w:r>
          </w:p>
        </w:tc>
      </w:tr>
      <w:tr>
        <w:trPr>
          <w:trHeight w:val="203"/>
        </w:trPr>
        <w:tc>
          <w:tcPr>
            <w:tcW w:w="7220" w:type="dxa"/>
            <w:vAlign w:val="bottom"/>
            <w:tcBorders>
              <w:left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Deferred income taxes (credit)</w:t>
            </w:r>
          </w:p>
        </w:tc>
        <w:tc>
          <w:tcPr>
            <w:tcW w:w="300" w:type="dxa"/>
            <w:vAlign w:val="bottom"/>
            <w:shd w:val="clear" w:color="auto" w:fill="CCEEFF"/>
          </w:tcPr>
          <w:p>
            <w:pPr>
              <w:spacing w:after="0"/>
              <w:rPr>
                <w:sz w:val="17"/>
                <w:szCs w:val="17"/>
                <w:color w:val="auto"/>
              </w:rPr>
            </w:pPr>
          </w:p>
        </w:tc>
        <w:tc>
          <w:tcPr>
            <w:tcW w:w="1340" w:type="dxa"/>
            <w:vAlign w:val="bottom"/>
            <w:tcBorders>
              <w:right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(16,289)</w:t>
            </w:r>
          </w:p>
        </w:tc>
        <w:tc>
          <w:tcPr>
            <w:tcW w:w="300" w:type="dxa"/>
            <w:vAlign w:val="bottom"/>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5,653</w:t>
            </w:r>
          </w:p>
        </w:tc>
      </w:tr>
      <w:tr>
        <w:trPr>
          <w:trHeight w:val="203"/>
        </w:trPr>
        <w:tc>
          <w:tcPr>
            <w:tcW w:w="722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Unrealized loss (gain) on investment and other</w:t>
            </w:r>
          </w:p>
        </w:tc>
        <w:tc>
          <w:tcPr>
            <w:tcW w:w="300" w:type="dxa"/>
            <w:vAlign w:val="bottom"/>
          </w:tcPr>
          <w:p>
            <w:pPr>
              <w:spacing w:after="0"/>
              <w:rPr>
                <w:sz w:val="17"/>
                <w:szCs w:val="17"/>
                <w:color w:val="auto"/>
              </w:rPr>
            </w:pPr>
          </w:p>
        </w:tc>
        <w:tc>
          <w:tcPr>
            <w:tcW w:w="1340" w:type="dxa"/>
            <w:vAlign w:val="bottom"/>
            <w:tcBorders>
              <w:right w:val="single" w:sz="8" w:color="auto"/>
            </w:tcBorders>
          </w:tcPr>
          <w:p>
            <w:pPr>
              <w:jc w:val="right"/>
              <w:ind w:right="359"/>
              <w:spacing w:after="0"/>
              <w:rPr>
                <w:sz w:val="20"/>
                <w:szCs w:val="20"/>
                <w:color w:val="auto"/>
              </w:rPr>
            </w:pPr>
            <w:r>
              <w:rPr>
                <w:rFonts w:ascii="Arial" w:cs="Arial" w:eastAsia="Arial" w:hAnsi="Arial"/>
                <w:sz w:val="16"/>
                <w:szCs w:val="16"/>
                <w:color w:val="auto"/>
              </w:rPr>
              <w:t>5,768</w:t>
            </w:r>
          </w:p>
        </w:tc>
        <w:tc>
          <w:tcPr>
            <w:tcW w:w="300" w:type="dxa"/>
            <w:vAlign w:val="bottom"/>
          </w:tcPr>
          <w:p>
            <w:pPr>
              <w:spacing w:after="0"/>
              <w:rPr>
                <w:sz w:val="17"/>
                <w:szCs w:val="17"/>
                <w:color w:val="auto"/>
              </w:rPr>
            </w:pPr>
          </w:p>
        </w:tc>
        <w:tc>
          <w:tcPr>
            <w:tcW w:w="108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(4,118)</w:t>
            </w:r>
          </w:p>
        </w:tc>
      </w:tr>
      <w:tr>
        <w:trPr>
          <w:trHeight w:val="202"/>
        </w:trPr>
        <w:tc>
          <w:tcPr>
            <w:tcW w:w="7220" w:type="dxa"/>
            <w:vAlign w:val="bottom"/>
            <w:tcBorders>
              <w:left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Equity in loss of investee</w:t>
            </w:r>
          </w:p>
        </w:tc>
        <w:tc>
          <w:tcPr>
            <w:tcW w:w="300" w:type="dxa"/>
            <w:vAlign w:val="bottom"/>
            <w:shd w:val="clear" w:color="auto" w:fill="CCEEFF"/>
          </w:tcPr>
          <w:p>
            <w:pPr>
              <w:spacing w:after="0"/>
              <w:rPr>
                <w:sz w:val="17"/>
                <w:szCs w:val="17"/>
                <w:color w:val="auto"/>
              </w:rPr>
            </w:pPr>
          </w:p>
        </w:tc>
        <w:tc>
          <w:tcPr>
            <w:tcW w:w="1340" w:type="dxa"/>
            <w:vAlign w:val="bottom"/>
            <w:tcBorders>
              <w:right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2,183</w:t>
            </w:r>
          </w:p>
        </w:tc>
        <w:tc>
          <w:tcPr>
            <w:tcW w:w="300" w:type="dxa"/>
            <w:vAlign w:val="bottom"/>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3,902</w:t>
            </w:r>
          </w:p>
        </w:tc>
      </w:tr>
      <w:tr>
        <w:trPr>
          <w:trHeight w:val="203"/>
        </w:trPr>
        <w:tc>
          <w:tcPr>
            <w:tcW w:w="722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Net loss (gain) on sale and disposition of assets</w:t>
            </w:r>
          </w:p>
        </w:tc>
        <w:tc>
          <w:tcPr>
            <w:tcW w:w="300" w:type="dxa"/>
            <w:vAlign w:val="bottom"/>
          </w:tcPr>
          <w:p>
            <w:pPr>
              <w:spacing w:after="0"/>
              <w:rPr>
                <w:sz w:val="17"/>
                <w:szCs w:val="17"/>
                <w:color w:val="auto"/>
              </w:rPr>
            </w:pPr>
          </w:p>
        </w:tc>
        <w:tc>
          <w:tcPr>
            <w:tcW w:w="1340" w:type="dxa"/>
            <w:vAlign w:val="bottom"/>
            <w:tcBorders>
              <w:right w:val="single" w:sz="8" w:color="auto"/>
            </w:tcBorders>
          </w:tcPr>
          <w:p>
            <w:pPr>
              <w:jc w:val="right"/>
              <w:ind w:right="359"/>
              <w:spacing w:after="0"/>
              <w:rPr>
                <w:sz w:val="20"/>
                <w:szCs w:val="20"/>
                <w:color w:val="auto"/>
              </w:rPr>
            </w:pPr>
            <w:r>
              <w:rPr>
                <w:rFonts w:ascii="Arial" w:cs="Arial" w:eastAsia="Arial" w:hAnsi="Arial"/>
                <w:sz w:val="16"/>
                <w:szCs w:val="16"/>
                <w:color w:val="auto"/>
              </w:rPr>
              <w:t>1,285</w:t>
            </w:r>
          </w:p>
        </w:tc>
        <w:tc>
          <w:tcPr>
            <w:tcW w:w="300" w:type="dxa"/>
            <w:vAlign w:val="bottom"/>
          </w:tcPr>
          <w:p>
            <w:pPr>
              <w:spacing w:after="0"/>
              <w:rPr>
                <w:sz w:val="17"/>
                <w:szCs w:val="17"/>
                <w:color w:val="auto"/>
              </w:rPr>
            </w:pPr>
          </w:p>
        </w:tc>
        <w:tc>
          <w:tcPr>
            <w:tcW w:w="108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(11,992)</w:t>
            </w:r>
          </w:p>
        </w:tc>
      </w:tr>
      <w:tr>
        <w:trPr>
          <w:trHeight w:val="203"/>
        </w:trPr>
        <w:tc>
          <w:tcPr>
            <w:tcW w:w="7220" w:type="dxa"/>
            <w:vAlign w:val="bottom"/>
            <w:tcBorders>
              <w:left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Impairment of goodwill and other intangibles</w:t>
            </w:r>
          </w:p>
        </w:tc>
        <w:tc>
          <w:tcPr>
            <w:tcW w:w="300" w:type="dxa"/>
            <w:vAlign w:val="bottom"/>
            <w:shd w:val="clear" w:color="auto" w:fill="CCEEFF"/>
          </w:tcPr>
          <w:p>
            <w:pPr>
              <w:spacing w:after="0"/>
              <w:rPr>
                <w:sz w:val="17"/>
                <w:szCs w:val="17"/>
                <w:color w:val="auto"/>
              </w:rPr>
            </w:pPr>
          </w:p>
        </w:tc>
        <w:tc>
          <w:tcPr>
            <w:tcW w:w="1340" w:type="dxa"/>
            <w:vAlign w:val="bottom"/>
            <w:tcBorders>
              <w:right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4,261</w:t>
            </w:r>
          </w:p>
        </w:tc>
        <w:tc>
          <w:tcPr>
            <w:tcW w:w="300" w:type="dxa"/>
            <w:vAlign w:val="bottom"/>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r>
      <w:tr>
        <w:trPr>
          <w:trHeight w:val="203"/>
        </w:trPr>
        <w:tc>
          <w:tcPr>
            <w:tcW w:w="722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Changes in:</w:t>
            </w:r>
          </w:p>
        </w:tc>
        <w:tc>
          <w:tcPr>
            <w:tcW w:w="30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r>
      <w:tr>
        <w:trPr>
          <w:trHeight w:val="203"/>
        </w:trPr>
        <w:tc>
          <w:tcPr>
            <w:tcW w:w="7220" w:type="dxa"/>
            <w:vAlign w:val="bottom"/>
            <w:tcBorders>
              <w:left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Accounts receivable</w:t>
            </w:r>
          </w:p>
        </w:tc>
        <w:tc>
          <w:tcPr>
            <w:tcW w:w="300" w:type="dxa"/>
            <w:vAlign w:val="bottom"/>
            <w:shd w:val="clear" w:color="auto" w:fill="CCEEFF"/>
          </w:tcPr>
          <w:p>
            <w:pPr>
              <w:spacing w:after="0"/>
              <w:rPr>
                <w:sz w:val="17"/>
                <w:szCs w:val="17"/>
                <w:color w:val="auto"/>
              </w:rPr>
            </w:pPr>
          </w:p>
        </w:tc>
        <w:tc>
          <w:tcPr>
            <w:tcW w:w="1340" w:type="dxa"/>
            <w:vAlign w:val="bottom"/>
            <w:tcBorders>
              <w:right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130,704</w:t>
            </w:r>
          </w:p>
        </w:tc>
        <w:tc>
          <w:tcPr>
            <w:tcW w:w="300" w:type="dxa"/>
            <w:vAlign w:val="bottom"/>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(85,439)</w:t>
            </w:r>
          </w:p>
        </w:tc>
      </w:tr>
      <w:tr>
        <w:trPr>
          <w:trHeight w:val="203"/>
        </w:trPr>
        <w:tc>
          <w:tcPr>
            <w:tcW w:w="722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Inventories</w:t>
            </w:r>
          </w:p>
        </w:tc>
        <w:tc>
          <w:tcPr>
            <w:tcW w:w="300" w:type="dxa"/>
            <w:vAlign w:val="bottom"/>
          </w:tcPr>
          <w:p>
            <w:pPr>
              <w:spacing w:after="0"/>
              <w:rPr>
                <w:sz w:val="17"/>
                <w:szCs w:val="17"/>
                <w:color w:val="auto"/>
              </w:rPr>
            </w:pPr>
          </w:p>
        </w:tc>
        <w:tc>
          <w:tcPr>
            <w:tcW w:w="1340" w:type="dxa"/>
            <w:vAlign w:val="bottom"/>
            <w:tcBorders>
              <w:right w:val="single" w:sz="8" w:color="auto"/>
            </w:tcBorders>
          </w:tcPr>
          <w:p>
            <w:pPr>
              <w:jc w:val="right"/>
              <w:ind w:right="359"/>
              <w:spacing w:after="0"/>
              <w:rPr>
                <w:sz w:val="20"/>
                <w:szCs w:val="20"/>
                <w:color w:val="auto"/>
              </w:rPr>
            </w:pPr>
            <w:r>
              <w:rPr>
                <w:rFonts w:ascii="Arial" w:cs="Arial" w:eastAsia="Arial" w:hAnsi="Arial"/>
                <w:sz w:val="16"/>
                <w:szCs w:val="16"/>
                <w:color w:val="auto"/>
              </w:rPr>
              <w:t>718</w:t>
            </w:r>
          </w:p>
        </w:tc>
        <w:tc>
          <w:tcPr>
            <w:tcW w:w="300" w:type="dxa"/>
            <w:vAlign w:val="bottom"/>
          </w:tcPr>
          <w:p>
            <w:pPr>
              <w:spacing w:after="0"/>
              <w:rPr>
                <w:sz w:val="17"/>
                <w:szCs w:val="17"/>
                <w:color w:val="auto"/>
              </w:rPr>
            </w:pPr>
          </w:p>
        </w:tc>
        <w:tc>
          <w:tcPr>
            <w:tcW w:w="108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(260,301)</w:t>
            </w:r>
          </w:p>
        </w:tc>
      </w:tr>
      <w:tr>
        <w:trPr>
          <w:trHeight w:val="203"/>
        </w:trPr>
        <w:tc>
          <w:tcPr>
            <w:tcW w:w="7220" w:type="dxa"/>
            <w:vAlign w:val="bottom"/>
            <w:tcBorders>
              <w:left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Accounts payable and cash overdraft</w:t>
            </w:r>
          </w:p>
        </w:tc>
        <w:tc>
          <w:tcPr>
            <w:tcW w:w="300" w:type="dxa"/>
            <w:vAlign w:val="bottom"/>
            <w:shd w:val="clear" w:color="auto" w:fill="CCEEFF"/>
          </w:tcPr>
          <w:p>
            <w:pPr>
              <w:spacing w:after="0"/>
              <w:rPr>
                <w:sz w:val="17"/>
                <w:szCs w:val="17"/>
                <w:color w:val="auto"/>
              </w:rPr>
            </w:pPr>
          </w:p>
        </w:tc>
        <w:tc>
          <w:tcPr>
            <w:tcW w:w="1340" w:type="dxa"/>
            <w:vAlign w:val="bottom"/>
            <w:tcBorders>
              <w:right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(137,907)</w:t>
            </w:r>
          </w:p>
        </w:tc>
        <w:tc>
          <w:tcPr>
            <w:tcW w:w="300" w:type="dxa"/>
            <w:vAlign w:val="bottom"/>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78,060</w:t>
            </w:r>
          </w:p>
        </w:tc>
      </w:tr>
      <w:tr>
        <w:trPr>
          <w:trHeight w:val="203"/>
        </w:trPr>
        <w:tc>
          <w:tcPr>
            <w:tcW w:w="7220" w:type="dxa"/>
            <w:vAlign w:val="bottom"/>
            <w:tcBorders>
              <w:left w:val="single" w:sz="8" w:color="auto"/>
              <w:bottom w:val="single" w:sz="8" w:color="CCEEFF"/>
              <w:right w:val="single" w:sz="8" w:color="auto"/>
            </w:tcBorders>
          </w:tcPr>
          <w:p>
            <w:pPr>
              <w:ind w:left="340"/>
              <w:spacing w:after="0"/>
              <w:rPr>
                <w:sz w:val="20"/>
                <w:szCs w:val="20"/>
                <w:color w:val="auto"/>
              </w:rPr>
            </w:pPr>
            <w:r>
              <w:rPr>
                <w:rFonts w:ascii="Arial" w:cs="Arial" w:eastAsia="Arial" w:hAnsi="Arial"/>
                <w:sz w:val="16"/>
                <w:szCs w:val="16"/>
                <w:color w:val="auto"/>
              </w:rPr>
              <w:t>Accrued liabilities and other</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color w:val="auto"/>
              </w:rPr>
              <w:t>(5,838)</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jc w:val="right"/>
              <w:ind w:right="99"/>
              <w:spacing w:after="0"/>
              <w:rPr>
                <w:sz w:val="20"/>
                <w:szCs w:val="20"/>
                <w:color w:val="auto"/>
              </w:rPr>
            </w:pPr>
            <w:r>
              <w:rPr>
                <w:rFonts w:ascii="Arial" w:cs="Arial" w:eastAsia="Arial" w:hAnsi="Arial"/>
                <w:sz w:val="16"/>
                <w:szCs w:val="16"/>
                <w:color w:val="auto"/>
              </w:rPr>
              <w:t>124,992</w:t>
            </w:r>
          </w:p>
        </w:tc>
      </w:tr>
      <w:tr>
        <w:trPr>
          <w:trHeight w:val="196"/>
        </w:trPr>
        <w:tc>
          <w:tcPr>
            <w:tcW w:w="7220" w:type="dxa"/>
            <w:vAlign w:val="bottom"/>
            <w:tcBorders>
              <w:left w:val="single" w:sz="8" w:color="auto"/>
              <w:right w:val="single" w:sz="8" w:color="auto"/>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NET CASH FROM OPERATING ACTIVITIES</w:t>
            </w:r>
          </w:p>
        </w:tc>
        <w:tc>
          <w:tcPr>
            <w:tcW w:w="300" w:type="dxa"/>
            <w:vAlign w:val="bottom"/>
            <w:shd w:val="clear" w:color="auto" w:fill="CCEEFF"/>
          </w:tcPr>
          <w:p>
            <w:pPr>
              <w:spacing w:after="0"/>
              <w:rPr>
                <w:sz w:val="17"/>
                <w:szCs w:val="17"/>
                <w:color w:val="auto"/>
              </w:rPr>
            </w:pPr>
          </w:p>
        </w:tc>
        <w:tc>
          <w:tcPr>
            <w:tcW w:w="1340" w:type="dxa"/>
            <w:vAlign w:val="bottom"/>
            <w:tcBorders>
              <w:right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831,567</w:t>
            </w:r>
          </w:p>
        </w:tc>
        <w:tc>
          <w:tcPr>
            <w:tcW w:w="300" w:type="dxa"/>
            <w:vAlign w:val="bottom"/>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512,477</w:t>
            </w:r>
          </w:p>
        </w:tc>
      </w:tr>
      <w:tr>
        <w:trPr>
          <w:trHeight w:val="203"/>
        </w:trPr>
        <w:tc>
          <w:tcPr>
            <w:tcW w:w="7220" w:type="dxa"/>
            <w:vAlign w:val="bottom"/>
            <w:tcBorders>
              <w:left w:val="single" w:sz="8" w:color="auto"/>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r>
      <w:tr>
        <w:trPr>
          <w:trHeight w:val="203"/>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USED IN INVESTING ACTIVITIES:</w:t>
            </w:r>
          </w:p>
        </w:tc>
        <w:tc>
          <w:tcPr>
            <w:tcW w:w="300" w:type="dxa"/>
            <w:vAlign w:val="bottom"/>
            <w:shd w:val="clear" w:color="auto" w:fill="CCEEFF"/>
          </w:tcPr>
          <w:p>
            <w:pPr>
              <w:spacing w:after="0"/>
              <w:rPr>
                <w:sz w:val="17"/>
                <w:szCs w:val="17"/>
                <w:color w:val="auto"/>
              </w:rPr>
            </w:pPr>
          </w:p>
        </w:tc>
        <w:tc>
          <w:tcPr>
            <w:tcW w:w="1340" w:type="dxa"/>
            <w:vAlign w:val="bottom"/>
            <w:tcBorders>
              <w:right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spacing w:after="0"/>
              <w:rPr>
                <w:sz w:val="17"/>
                <w:szCs w:val="17"/>
                <w:color w:val="auto"/>
              </w:rPr>
            </w:pPr>
          </w:p>
        </w:tc>
      </w:tr>
      <w:tr>
        <w:trPr>
          <w:trHeight w:val="202"/>
        </w:trPr>
        <w:tc>
          <w:tcPr>
            <w:tcW w:w="7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tcPr>
          <w:p>
            <w:pPr>
              <w:spacing w:after="0"/>
              <w:rPr>
                <w:sz w:val="17"/>
                <w:szCs w:val="17"/>
                <w:color w:val="auto"/>
              </w:rPr>
            </w:pPr>
          </w:p>
        </w:tc>
        <w:tc>
          <w:tcPr>
            <w:tcW w:w="134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(174,124)</w:t>
            </w:r>
          </w:p>
        </w:tc>
        <w:tc>
          <w:tcPr>
            <w:tcW w:w="300" w:type="dxa"/>
            <w:vAlign w:val="bottom"/>
          </w:tcPr>
          <w:p>
            <w:pPr>
              <w:spacing w:after="0"/>
              <w:rPr>
                <w:sz w:val="17"/>
                <w:szCs w:val="17"/>
                <w:color w:val="auto"/>
              </w:rPr>
            </w:pPr>
          </w:p>
        </w:tc>
        <w:tc>
          <w:tcPr>
            <w:tcW w:w="108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(151,166)</w:t>
            </w:r>
          </w:p>
        </w:tc>
      </w:tr>
      <w:tr>
        <w:trPr>
          <w:trHeight w:val="203"/>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Proceeds from sale of property, plant and equipment</w:t>
            </w:r>
          </w:p>
        </w:tc>
        <w:tc>
          <w:tcPr>
            <w:tcW w:w="300" w:type="dxa"/>
            <w:vAlign w:val="bottom"/>
            <w:shd w:val="clear" w:color="auto" w:fill="CCEEFF"/>
          </w:tcPr>
          <w:p>
            <w:pPr>
              <w:spacing w:after="0"/>
              <w:rPr>
                <w:sz w:val="17"/>
                <w:szCs w:val="17"/>
                <w:color w:val="auto"/>
              </w:rPr>
            </w:pPr>
          </w:p>
        </w:tc>
        <w:tc>
          <w:tcPr>
            <w:tcW w:w="1340" w:type="dxa"/>
            <w:vAlign w:val="bottom"/>
            <w:tcBorders>
              <w:right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3,805</w:t>
            </w:r>
          </w:p>
        </w:tc>
        <w:tc>
          <w:tcPr>
            <w:tcW w:w="300" w:type="dxa"/>
            <w:vAlign w:val="bottom"/>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29,973</w:t>
            </w:r>
          </w:p>
        </w:tc>
      </w:tr>
      <w:tr>
        <w:trPr>
          <w:trHeight w:val="203"/>
        </w:trPr>
        <w:tc>
          <w:tcPr>
            <w:tcW w:w="7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Acquisitions, net of cash received and purchase of equity method investment</w:t>
            </w:r>
          </w:p>
        </w:tc>
        <w:tc>
          <w:tcPr>
            <w:tcW w:w="300" w:type="dxa"/>
            <w:vAlign w:val="bottom"/>
          </w:tcPr>
          <w:p>
            <w:pPr>
              <w:spacing w:after="0"/>
              <w:rPr>
                <w:sz w:val="17"/>
                <w:szCs w:val="17"/>
                <w:color w:val="auto"/>
              </w:rPr>
            </w:pPr>
          </w:p>
        </w:tc>
        <w:tc>
          <w:tcPr>
            <w:tcW w:w="134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(180,151)</w:t>
            </w:r>
          </w:p>
        </w:tc>
        <w:tc>
          <w:tcPr>
            <w:tcW w:w="300" w:type="dxa"/>
            <w:vAlign w:val="bottom"/>
          </w:tcPr>
          <w:p>
            <w:pPr>
              <w:spacing w:after="0"/>
              <w:rPr>
                <w:sz w:val="17"/>
                <w:szCs w:val="17"/>
                <w:color w:val="auto"/>
              </w:rPr>
            </w:pPr>
          </w:p>
        </w:tc>
        <w:tc>
          <w:tcPr>
            <w:tcW w:w="108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(475,960)</w:t>
            </w:r>
          </w:p>
        </w:tc>
      </w:tr>
      <w:tr>
        <w:trPr>
          <w:trHeight w:val="203"/>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Purchases of investments</w:t>
            </w:r>
          </w:p>
        </w:tc>
        <w:tc>
          <w:tcPr>
            <w:tcW w:w="300" w:type="dxa"/>
            <w:vAlign w:val="bottom"/>
            <w:shd w:val="clear" w:color="auto" w:fill="CCEEFF"/>
          </w:tcPr>
          <w:p>
            <w:pPr>
              <w:spacing w:after="0"/>
              <w:rPr>
                <w:sz w:val="17"/>
                <w:szCs w:val="17"/>
                <w:color w:val="auto"/>
              </w:rPr>
            </w:pPr>
          </w:p>
        </w:tc>
        <w:tc>
          <w:tcPr>
            <w:tcW w:w="1340" w:type="dxa"/>
            <w:vAlign w:val="bottom"/>
            <w:tcBorders>
              <w:right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(19,875)</w:t>
            </w:r>
          </w:p>
        </w:tc>
        <w:tc>
          <w:tcPr>
            <w:tcW w:w="300" w:type="dxa"/>
            <w:vAlign w:val="bottom"/>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(23,797)</w:t>
            </w:r>
          </w:p>
        </w:tc>
      </w:tr>
      <w:tr>
        <w:trPr>
          <w:trHeight w:val="203"/>
        </w:trPr>
        <w:tc>
          <w:tcPr>
            <w:tcW w:w="7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Proceeds from sale of investments</w:t>
            </w:r>
          </w:p>
        </w:tc>
        <w:tc>
          <w:tcPr>
            <w:tcW w:w="300" w:type="dxa"/>
            <w:vAlign w:val="bottom"/>
          </w:tcPr>
          <w:p>
            <w:pPr>
              <w:spacing w:after="0"/>
              <w:rPr>
                <w:sz w:val="17"/>
                <w:szCs w:val="17"/>
                <w:color w:val="auto"/>
              </w:rPr>
            </w:pPr>
          </w:p>
        </w:tc>
        <w:tc>
          <w:tcPr>
            <w:tcW w:w="1340" w:type="dxa"/>
            <w:vAlign w:val="bottom"/>
            <w:tcBorders>
              <w:right w:val="single" w:sz="8" w:color="auto"/>
            </w:tcBorders>
          </w:tcPr>
          <w:p>
            <w:pPr>
              <w:jc w:val="right"/>
              <w:ind w:right="359"/>
              <w:spacing w:after="0"/>
              <w:rPr>
                <w:sz w:val="20"/>
                <w:szCs w:val="20"/>
                <w:color w:val="auto"/>
              </w:rPr>
            </w:pPr>
            <w:r>
              <w:rPr>
                <w:rFonts w:ascii="Arial" w:cs="Arial" w:eastAsia="Arial" w:hAnsi="Arial"/>
                <w:sz w:val="16"/>
                <w:szCs w:val="16"/>
                <w:color w:val="auto"/>
              </w:rPr>
              <w:t>12,874</w:t>
            </w:r>
          </w:p>
        </w:tc>
        <w:tc>
          <w:tcPr>
            <w:tcW w:w="300" w:type="dxa"/>
            <w:vAlign w:val="bottom"/>
          </w:tcPr>
          <w:p>
            <w:pPr>
              <w:spacing w:after="0"/>
              <w:rPr>
                <w:sz w:val="17"/>
                <w:szCs w:val="17"/>
                <w:color w:val="auto"/>
              </w:rPr>
            </w:pPr>
          </w:p>
        </w:tc>
        <w:tc>
          <w:tcPr>
            <w:tcW w:w="108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14,882</w:t>
            </w:r>
          </w:p>
        </w:tc>
      </w:tr>
      <w:tr>
        <w:trPr>
          <w:trHeight w:val="203"/>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right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3,535</w:t>
            </w: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(5,119)</w:t>
            </w:r>
          </w:p>
        </w:tc>
      </w:tr>
      <w:tr>
        <w:trPr>
          <w:trHeight w:val="196"/>
        </w:trPr>
        <w:tc>
          <w:tcPr>
            <w:tcW w:w="7220" w:type="dxa"/>
            <w:vAlign w:val="bottom"/>
            <w:tcBorders>
              <w:left w:val="single" w:sz="8" w:color="auto"/>
              <w:right w:val="single" w:sz="8" w:color="auto"/>
            </w:tcBorders>
          </w:tcPr>
          <w:p>
            <w:pPr>
              <w:ind w:left="460"/>
              <w:spacing w:after="0"/>
              <w:rPr>
                <w:sz w:val="20"/>
                <w:szCs w:val="20"/>
                <w:color w:val="auto"/>
              </w:rPr>
            </w:pPr>
            <w:r>
              <w:rPr>
                <w:rFonts w:ascii="Arial" w:cs="Arial" w:eastAsia="Arial" w:hAnsi="Arial"/>
                <w:sz w:val="16"/>
                <w:szCs w:val="16"/>
                <w:b w:val="1"/>
                <w:bCs w:val="1"/>
                <w:color w:val="auto"/>
              </w:rPr>
              <w:t>NET CASH USED IN INVESTING ACTIVITIES</w:t>
            </w:r>
          </w:p>
        </w:tc>
        <w:tc>
          <w:tcPr>
            <w:tcW w:w="300" w:type="dxa"/>
            <w:vAlign w:val="bottom"/>
          </w:tcPr>
          <w:p>
            <w:pPr>
              <w:spacing w:after="0"/>
              <w:rPr>
                <w:sz w:val="17"/>
                <w:szCs w:val="17"/>
                <w:color w:val="auto"/>
              </w:rPr>
            </w:pPr>
          </w:p>
        </w:tc>
        <w:tc>
          <w:tcPr>
            <w:tcW w:w="134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(353,936)</w:t>
            </w:r>
          </w:p>
        </w:tc>
        <w:tc>
          <w:tcPr>
            <w:tcW w:w="300" w:type="dxa"/>
            <w:vAlign w:val="bottom"/>
          </w:tcPr>
          <w:p>
            <w:pPr>
              <w:spacing w:after="0"/>
              <w:rPr>
                <w:sz w:val="17"/>
                <w:szCs w:val="17"/>
                <w:color w:val="auto"/>
              </w:rPr>
            </w:pPr>
          </w:p>
        </w:tc>
        <w:tc>
          <w:tcPr>
            <w:tcW w:w="108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(611,187)</w:t>
            </w:r>
          </w:p>
        </w:tc>
      </w:tr>
      <w:tr>
        <w:trPr>
          <w:trHeight w:val="203"/>
        </w:trPr>
        <w:tc>
          <w:tcPr>
            <w:tcW w:w="7220" w:type="dxa"/>
            <w:vAlign w:val="bottom"/>
            <w:tcBorders>
              <w:left w:val="single" w:sz="8" w:color="auto"/>
              <w:right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tcBorders>
              <w:right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spacing w:after="0"/>
              <w:rPr>
                <w:sz w:val="17"/>
                <w:szCs w:val="17"/>
                <w:color w:val="auto"/>
              </w:rPr>
            </w:pPr>
          </w:p>
        </w:tc>
      </w:tr>
      <w:tr>
        <w:trPr>
          <w:trHeight w:val="203"/>
        </w:trPr>
        <w:tc>
          <w:tcPr>
            <w:tcW w:w="7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CASH FLOWS USED IN FINANCING ACTIVITIES:</w:t>
            </w:r>
          </w:p>
        </w:tc>
        <w:tc>
          <w:tcPr>
            <w:tcW w:w="30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r>
      <w:tr>
        <w:trPr>
          <w:trHeight w:val="203"/>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Borrowings under revolving credit facilities</w:t>
            </w:r>
          </w:p>
        </w:tc>
        <w:tc>
          <w:tcPr>
            <w:tcW w:w="300" w:type="dxa"/>
            <w:vAlign w:val="bottom"/>
            <w:shd w:val="clear" w:color="auto" w:fill="CCEEFF"/>
          </w:tcPr>
          <w:p>
            <w:pPr>
              <w:spacing w:after="0"/>
              <w:rPr>
                <w:sz w:val="17"/>
                <w:szCs w:val="17"/>
                <w:color w:val="auto"/>
              </w:rPr>
            </w:pPr>
          </w:p>
        </w:tc>
        <w:tc>
          <w:tcPr>
            <w:tcW w:w="1340" w:type="dxa"/>
            <w:vAlign w:val="bottom"/>
            <w:tcBorders>
              <w:right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605,101</w:t>
            </w:r>
          </w:p>
        </w:tc>
        <w:tc>
          <w:tcPr>
            <w:tcW w:w="300" w:type="dxa"/>
            <w:vAlign w:val="bottom"/>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892,072</w:t>
            </w:r>
          </w:p>
        </w:tc>
      </w:tr>
      <w:tr>
        <w:trPr>
          <w:trHeight w:val="203"/>
        </w:trPr>
        <w:tc>
          <w:tcPr>
            <w:tcW w:w="7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Repayments under revolving credit facilities</w:t>
            </w:r>
          </w:p>
        </w:tc>
        <w:tc>
          <w:tcPr>
            <w:tcW w:w="300" w:type="dxa"/>
            <w:vAlign w:val="bottom"/>
          </w:tcPr>
          <w:p>
            <w:pPr>
              <w:spacing w:after="0"/>
              <w:rPr>
                <w:sz w:val="17"/>
                <w:szCs w:val="17"/>
                <w:color w:val="auto"/>
              </w:rPr>
            </w:pPr>
          </w:p>
        </w:tc>
        <w:tc>
          <w:tcPr>
            <w:tcW w:w="134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(607,549)</w:t>
            </w:r>
          </w:p>
        </w:tc>
        <w:tc>
          <w:tcPr>
            <w:tcW w:w="300" w:type="dxa"/>
            <w:vAlign w:val="bottom"/>
          </w:tcPr>
          <w:p>
            <w:pPr>
              <w:spacing w:after="0"/>
              <w:rPr>
                <w:sz w:val="17"/>
                <w:szCs w:val="17"/>
                <w:color w:val="auto"/>
              </w:rPr>
            </w:pPr>
          </w:p>
        </w:tc>
        <w:tc>
          <w:tcPr>
            <w:tcW w:w="108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(888,695)</w:t>
            </w:r>
          </w:p>
        </w:tc>
      </w:tr>
      <w:tr>
        <w:trPr>
          <w:trHeight w:val="203"/>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Repayments of debt</w:t>
            </w:r>
          </w:p>
        </w:tc>
        <w:tc>
          <w:tcPr>
            <w:tcW w:w="300" w:type="dxa"/>
            <w:vAlign w:val="bottom"/>
            <w:shd w:val="clear" w:color="auto" w:fill="CCEEFF"/>
          </w:tcPr>
          <w:p>
            <w:pPr>
              <w:spacing w:after="0"/>
              <w:rPr>
                <w:sz w:val="17"/>
                <w:szCs w:val="17"/>
                <w:color w:val="auto"/>
              </w:rPr>
            </w:pPr>
          </w:p>
        </w:tc>
        <w:tc>
          <w:tcPr>
            <w:tcW w:w="1340" w:type="dxa"/>
            <w:vAlign w:val="bottom"/>
            <w:tcBorders>
              <w:right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(38,719)</w:t>
            </w:r>
          </w:p>
        </w:tc>
        <w:tc>
          <w:tcPr>
            <w:tcW w:w="300" w:type="dxa"/>
            <w:vAlign w:val="bottom"/>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r>
      <w:tr>
        <w:trPr>
          <w:trHeight w:val="203"/>
        </w:trPr>
        <w:tc>
          <w:tcPr>
            <w:tcW w:w="7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Contingent consideration payments and other</w:t>
            </w:r>
          </w:p>
        </w:tc>
        <w:tc>
          <w:tcPr>
            <w:tcW w:w="300" w:type="dxa"/>
            <w:vAlign w:val="bottom"/>
          </w:tcPr>
          <w:p>
            <w:pPr>
              <w:spacing w:after="0"/>
              <w:rPr>
                <w:sz w:val="17"/>
                <w:szCs w:val="17"/>
                <w:color w:val="auto"/>
              </w:rPr>
            </w:pPr>
          </w:p>
        </w:tc>
        <w:tc>
          <w:tcPr>
            <w:tcW w:w="134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(2,856)</w:t>
            </w:r>
          </w:p>
        </w:tc>
        <w:tc>
          <w:tcPr>
            <w:tcW w:w="300" w:type="dxa"/>
            <w:vAlign w:val="bottom"/>
          </w:tcPr>
          <w:p>
            <w:pPr>
              <w:spacing w:after="0"/>
              <w:rPr>
                <w:sz w:val="17"/>
                <w:szCs w:val="17"/>
                <w:color w:val="auto"/>
              </w:rPr>
            </w:pPr>
          </w:p>
        </w:tc>
        <w:tc>
          <w:tcPr>
            <w:tcW w:w="108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(3,176)</w:t>
            </w:r>
          </w:p>
        </w:tc>
      </w:tr>
      <w:tr>
        <w:trPr>
          <w:trHeight w:val="203"/>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Proceeds from issuance of common stock</w:t>
            </w:r>
          </w:p>
        </w:tc>
        <w:tc>
          <w:tcPr>
            <w:tcW w:w="300" w:type="dxa"/>
            <w:vAlign w:val="bottom"/>
            <w:shd w:val="clear" w:color="auto" w:fill="CCEEFF"/>
          </w:tcPr>
          <w:p>
            <w:pPr>
              <w:spacing w:after="0"/>
              <w:rPr>
                <w:sz w:val="17"/>
                <w:szCs w:val="17"/>
                <w:color w:val="auto"/>
              </w:rPr>
            </w:pPr>
          </w:p>
        </w:tc>
        <w:tc>
          <w:tcPr>
            <w:tcW w:w="1340" w:type="dxa"/>
            <w:vAlign w:val="bottom"/>
            <w:tcBorders>
              <w:right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2,769</w:t>
            </w:r>
          </w:p>
        </w:tc>
        <w:tc>
          <w:tcPr>
            <w:tcW w:w="300" w:type="dxa"/>
            <w:vAlign w:val="bottom"/>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2,116</w:t>
            </w:r>
          </w:p>
        </w:tc>
      </w:tr>
      <w:tr>
        <w:trPr>
          <w:trHeight w:val="203"/>
        </w:trPr>
        <w:tc>
          <w:tcPr>
            <w:tcW w:w="7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Dividends paid to shareholders</w:t>
            </w:r>
          </w:p>
        </w:tc>
        <w:tc>
          <w:tcPr>
            <w:tcW w:w="300" w:type="dxa"/>
            <w:vAlign w:val="bottom"/>
          </w:tcPr>
          <w:p>
            <w:pPr>
              <w:spacing w:after="0"/>
              <w:rPr>
                <w:sz w:val="17"/>
                <w:szCs w:val="17"/>
                <w:color w:val="auto"/>
              </w:rPr>
            </w:pPr>
          </w:p>
        </w:tc>
        <w:tc>
          <w:tcPr>
            <w:tcW w:w="134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(58,860)</w:t>
            </w:r>
          </w:p>
        </w:tc>
        <w:tc>
          <w:tcPr>
            <w:tcW w:w="300" w:type="dxa"/>
            <w:vAlign w:val="bottom"/>
          </w:tcPr>
          <w:p>
            <w:pPr>
              <w:spacing w:after="0"/>
              <w:rPr>
                <w:sz w:val="17"/>
                <w:szCs w:val="17"/>
                <w:color w:val="auto"/>
              </w:rPr>
            </w:pPr>
          </w:p>
        </w:tc>
        <w:tc>
          <w:tcPr>
            <w:tcW w:w="108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(40,209)</w:t>
            </w:r>
          </w:p>
        </w:tc>
      </w:tr>
      <w:tr>
        <w:trPr>
          <w:trHeight w:val="203"/>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Distributions to noncontrolling interest</w:t>
            </w:r>
          </w:p>
        </w:tc>
        <w:tc>
          <w:tcPr>
            <w:tcW w:w="300" w:type="dxa"/>
            <w:vAlign w:val="bottom"/>
            <w:shd w:val="clear" w:color="auto" w:fill="CCEEFF"/>
          </w:tcPr>
          <w:p>
            <w:pPr>
              <w:spacing w:after="0"/>
              <w:rPr>
                <w:sz w:val="17"/>
                <w:szCs w:val="17"/>
                <w:color w:val="auto"/>
              </w:rPr>
            </w:pPr>
          </w:p>
        </w:tc>
        <w:tc>
          <w:tcPr>
            <w:tcW w:w="1340" w:type="dxa"/>
            <w:vAlign w:val="bottom"/>
            <w:tcBorders>
              <w:right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(12,024)</w:t>
            </w:r>
          </w:p>
        </w:tc>
        <w:tc>
          <w:tcPr>
            <w:tcW w:w="300" w:type="dxa"/>
            <w:vAlign w:val="bottom"/>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(6,750)</w:t>
            </w:r>
          </w:p>
        </w:tc>
      </w:tr>
      <w:tr>
        <w:trPr>
          <w:trHeight w:val="203"/>
        </w:trPr>
        <w:tc>
          <w:tcPr>
            <w:tcW w:w="7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Repurchase of common stock</w:t>
            </w:r>
          </w:p>
        </w:tc>
        <w:tc>
          <w:tcPr>
            <w:tcW w:w="300" w:type="dxa"/>
            <w:vAlign w:val="bottom"/>
          </w:tcPr>
          <w:p>
            <w:pPr>
              <w:spacing w:after="0"/>
              <w:rPr>
                <w:sz w:val="17"/>
                <w:szCs w:val="17"/>
                <w:color w:val="auto"/>
              </w:rPr>
            </w:pPr>
          </w:p>
        </w:tc>
        <w:tc>
          <w:tcPr>
            <w:tcW w:w="134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(95,774)</w:t>
            </w:r>
          </w:p>
        </w:tc>
        <w:tc>
          <w:tcPr>
            <w:tcW w:w="300" w:type="dxa"/>
            <w:vAlign w:val="bottom"/>
          </w:tcPr>
          <w:p>
            <w:pPr>
              <w:spacing w:after="0"/>
              <w:rPr>
                <w:sz w:val="17"/>
                <w:szCs w:val="17"/>
                <w:color w:val="auto"/>
              </w:rPr>
            </w:pPr>
          </w:p>
        </w:tc>
        <w:tc>
          <w:tcPr>
            <w:tcW w:w="108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w:t>
            </w:r>
          </w:p>
        </w:tc>
      </w:tr>
      <w:tr>
        <w:trPr>
          <w:trHeight w:val="203"/>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right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(2,298)</w:t>
            </w: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(364)</w:t>
            </w:r>
          </w:p>
        </w:tc>
      </w:tr>
      <w:tr>
        <w:trPr>
          <w:trHeight w:val="196"/>
        </w:trPr>
        <w:tc>
          <w:tcPr>
            <w:tcW w:w="7220" w:type="dxa"/>
            <w:vAlign w:val="bottom"/>
            <w:tcBorders>
              <w:left w:val="single" w:sz="8" w:color="auto"/>
              <w:right w:val="single" w:sz="8" w:color="auto"/>
            </w:tcBorders>
          </w:tcPr>
          <w:p>
            <w:pPr>
              <w:ind w:left="460"/>
              <w:spacing w:after="0"/>
              <w:rPr>
                <w:sz w:val="20"/>
                <w:szCs w:val="20"/>
                <w:color w:val="auto"/>
              </w:rPr>
            </w:pPr>
            <w:r>
              <w:rPr>
                <w:rFonts w:ascii="Arial" w:cs="Arial" w:eastAsia="Arial" w:hAnsi="Arial"/>
                <w:sz w:val="16"/>
                <w:szCs w:val="16"/>
                <w:b w:val="1"/>
                <w:bCs w:val="1"/>
                <w:color w:val="auto"/>
              </w:rPr>
              <w:t>NET CASH USED INFINANCING ACTIVITIES</w:t>
            </w:r>
          </w:p>
        </w:tc>
        <w:tc>
          <w:tcPr>
            <w:tcW w:w="300" w:type="dxa"/>
            <w:vAlign w:val="bottom"/>
          </w:tcPr>
          <w:p>
            <w:pPr>
              <w:spacing w:after="0"/>
              <w:rPr>
                <w:sz w:val="17"/>
                <w:szCs w:val="17"/>
                <w:color w:val="auto"/>
              </w:rPr>
            </w:pPr>
          </w:p>
        </w:tc>
        <w:tc>
          <w:tcPr>
            <w:tcW w:w="134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(210,210)</w:t>
            </w:r>
          </w:p>
        </w:tc>
        <w:tc>
          <w:tcPr>
            <w:tcW w:w="300" w:type="dxa"/>
            <w:vAlign w:val="bottom"/>
          </w:tcPr>
          <w:p>
            <w:pPr>
              <w:spacing w:after="0"/>
              <w:rPr>
                <w:sz w:val="17"/>
                <w:szCs w:val="17"/>
                <w:color w:val="auto"/>
              </w:rPr>
            </w:pPr>
          </w:p>
        </w:tc>
        <w:tc>
          <w:tcPr>
            <w:tcW w:w="108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(45,006)</w:t>
            </w:r>
          </w:p>
        </w:tc>
      </w:tr>
      <w:tr>
        <w:trPr>
          <w:trHeight w:val="203"/>
        </w:trPr>
        <w:tc>
          <w:tcPr>
            <w:tcW w:w="7220" w:type="dxa"/>
            <w:vAlign w:val="bottom"/>
            <w:tcBorders>
              <w:left w:val="single" w:sz="8" w:color="auto"/>
              <w:right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tcBorders>
              <w:right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spacing w:after="0"/>
              <w:rPr>
                <w:sz w:val="17"/>
                <w:szCs w:val="17"/>
                <w:color w:val="auto"/>
              </w:rPr>
            </w:pPr>
          </w:p>
        </w:tc>
      </w:tr>
      <w:tr>
        <w:trPr>
          <w:trHeight w:val="203"/>
        </w:trPr>
        <w:tc>
          <w:tcPr>
            <w:tcW w:w="7220" w:type="dxa"/>
            <w:vAlign w:val="bottom"/>
            <w:tcBorders>
              <w:left w:val="single" w:sz="8" w:color="auto"/>
              <w:bottom w:val="single" w:sz="8" w:color="CCEEFF"/>
              <w:right w:val="single" w:sz="8" w:color="auto"/>
            </w:tcBorders>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jc w:val="right"/>
              <w:ind w:right="359"/>
              <w:spacing w:after="0"/>
              <w:rPr>
                <w:sz w:val="20"/>
                <w:szCs w:val="20"/>
                <w:color w:val="auto"/>
              </w:rPr>
            </w:pPr>
            <w:r>
              <w:rPr>
                <w:rFonts w:ascii="Arial" w:cs="Arial" w:eastAsia="Arial" w:hAnsi="Arial"/>
                <w:sz w:val="16"/>
                <w:szCs w:val="16"/>
                <w:color w:val="auto"/>
              </w:rPr>
              <w:t>979</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(1,669)</w:t>
            </w:r>
          </w:p>
        </w:tc>
      </w:tr>
      <w:tr>
        <w:trPr>
          <w:trHeight w:val="196"/>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CHANGE IN CASH AND CASH EQUIVALENTS</w:t>
            </w:r>
          </w:p>
        </w:tc>
        <w:tc>
          <w:tcPr>
            <w:tcW w:w="300" w:type="dxa"/>
            <w:vAlign w:val="bottom"/>
            <w:shd w:val="clear" w:color="auto" w:fill="CCEEFF"/>
          </w:tcPr>
          <w:p>
            <w:pPr>
              <w:spacing w:after="0"/>
              <w:rPr>
                <w:sz w:val="17"/>
                <w:szCs w:val="17"/>
                <w:color w:val="auto"/>
              </w:rPr>
            </w:pPr>
          </w:p>
        </w:tc>
        <w:tc>
          <w:tcPr>
            <w:tcW w:w="1340" w:type="dxa"/>
            <w:vAlign w:val="bottom"/>
            <w:tcBorders>
              <w:right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268,400</w:t>
            </w:r>
          </w:p>
        </w:tc>
        <w:tc>
          <w:tcPr>
            <w:tcW w:w="300" w:type="dxa"/>
            <w:vAlign w:val="bottom"/>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(145,385)</w:t>
            </w:r>
          </w:p>
        </w:tc>
      </w:tr>
      <w:tr>
        <w:trPr>
          <w:trHeight w:val="203"/>
        </w:trPr>
        <w:tc>
          <w:tcPr>
            <w:tcW w:w="7220" w:type="dxa"/>
            <w:vAlign w:val="bottom"/>
            <w:tcBorders>
              <w:left w:val="single" w:sz="8" w:color="auto"/>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r>
      <w:tr>
        <w:trPr>
          <w:trHeight w:val="203"/>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ALL CASH AND CASH EQUIVALENTS, BEGINNING OF PERIOD</w:t>
            </w:r>
          </w:p>
        </w:tc>
        <w:tc>
          <w:tcPr>
            <w:tcW w:w="3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right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291,223</w:t>
            </w: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right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436,608</w:t>
            </w:r>
          </w:p>
        </w:tc>
      </w:tr>
      <w:tr>
        <w:trPr>
          <w:trHeight w:val="196"/>
        </w:trPr>
        <w:tc>
          <w:tcPr>
            <w:tcW w:w="7220" w:type="dxa"/>
            <w:vAlign w:val="bottom"/>
            <w:tcBorders>
              <w:left w:val="single" w:sz="8" w:color="auto"/>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r>
      <w:tr>
        <w:trPr>
          <w:trHeight w:val="203"/>
        </w:trPr>
        <w:tc>
          <w:tcPr>
            <w:tcW w:w="722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ALL CASH AND CASH EQUIVALENTS, END OF PERIOD</w:t>
            </w: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right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559,623</w:t>
            </w: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right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291,223</w:t>
            </w:r>
          </w:p>
        </w:tc>
      </w:tr>
      <w:tr>
        <w:trPr>
          <w:trHeight w:val="20"/>
        </w:trPr>
        <w:tc>
          <w:tcPr>
            <w:tcW w:w="7220" w:type="dxa"/>
            <w:vAlign w:val="bottom"/>
            <w:tcBorders>
              <w:lef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7220" w:type="dxa"/>
            <w:vAlign w:val="bottom"/>
            <w:tcBorders>
              <w:left w:val="single" w:sz="8" w:color="auto"/>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r>
      <w:tr>
        <w:trPr>
          <w:trHeight w:val="202"/>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Reconciliation of cash and cash equivalents and restricted cash:</w:t>
            </w:r>
          </w:p>
        </w:tc>
        <w:tc>
          <w:tcPr>
            <w:tcW w:w="300" w:type="dxa"/>
            <w:vAlign w:val="bottom"/>
            <w:shd w:val="clear" w:color="auto" w:fill="CCEEFF"/>
          </w:tcPr>
          <w:p>
            <w:pPr>
              <w:spacing w:after="0"/>
              <w:rPr>
                <w:sz w:val="17"/>
                <w:szCs w:val="17"/>
                <w:color w:val="auto"/>
              </w:rPr>
            </w:pPr>
          </w:p>
        </w:tc>
        <w:tc>
          <w:tcPr>
            <w:tcW w:w="1340" w:type="dxa"/>
            <w:vAlign w:val="bottom"/>
            <w:tcBorders>
              <w:right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spacing w:after="0"/>
              <w:rPr>
                <w:sz w:val="17"/>
                <w:szCs w:val="17"/>
                <w:color w:val="auto"/>
              </w:rPr>
            </w:pPr>
          </w:p>
        </w:tc>
      </w:tr>
      <w:tr>
        <w:trPr>
          <w:trHeight w:val="203"/>
        </w:trPr>
        <w:tc>
          <w:tcPr>
            <w:tcW w:w="7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340" w:type="dxa"/>
            <w:vAlign w:val="bottom"/>
            <w:tcBorders>
              <w:right w:val="single" w:sz="8" w:color="auto"/>
            </w:tcBorders>
          </w:tcPr>
          <w:p>
            <w:pPr>
              <w:jc w:val="right"/>
              <w:ind w:right="359"/>
              <w:spacing w:after="0"/>
              <w:rPr>
                <w:sz w:val="20"/>
                <w:szCs w:val="20"/>
                <w:color w:val="auto"/>
              </w:rPr>
            </w:pPr>
            <w:r>
              <w:rPr>
                <w:rFonts w:ascii="Arial" w:cs="Arial" w:eastAsia="Arial" w:hAnsi="Arial"/>
                <w:sz w:val="16"/>
                <w:szCs w:val="16"/>
                <w:color w:val="auto"/>
              </w:rPr>
              <w:t>286,662</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436,507</w:t>
            </w:r>
          </w:p>
        </w:tc>
      </w:tr>
      <w:tr>
        <w:trPr>
          <w:trHeight w:val="203"/>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Restricted cash, beginning of period</w:t>
            </w:r>
          </w:p>
        </w:tc>
        <w:tc>
          <w:tcPr>
            <w:tcW w:w="3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right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4,561</w:t>
            </w: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right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101</w:t>
            </w:r>
          </w:p>
        </w:tc>
      </w:tr>
      <w:tr>
        <w:trPr>
          <w:trHeight w:val="196"/>
        </w:trPr>
        <w:tc>
          <w:tcPr>
            <w:tcW w:w="7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All cash and cash equivalents, beginning of period</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340" w:type="dxa"/>
            <w:vAlign w:val="bottom"/>
            <w:tcBorders>
              <w:right w:val="single" w:sz="8" w:color="auto"/>
            </w:tcBorders>
          </w:tcPr>
          <w:p>
            <w:pPr>
              <w:jc w:val="right"/>
              <w:ind w:right="359"/>
              <w:spacing w:after="0"/>
              <w:rPr>
                <w:sz w:val="20"/>
                <w:szCs w:val="20"/>
                <w:color w:val="auto"/>
              </w:rPr>
            </w:pPr>
            <w:r>
              <w:rPr>
                <w:rFonts w:ascii="Arial" w:cs="Arial" w:eastAsia="Arial" w:hAnsi="Arial"/>
                <w:sz w:val="16"/>
                <w:szCs w:val="16"/>
                <w:color w:val="auto"/>
              </w:rPr>
              <w:t>291,223</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436,608</w:t>
            </w:r>
          </w:p>
        </w:tc>
      </w:tr>
      <w:tr>
        <w:trPr>
          <w:trHeight w:val="203"/>
        </w:trPr>
        <w:tc>
          <w:tcPr>
            <w:tcW w:w="7220" w:type="dxa"/>
            <w:vAlign w:val="bottom"/>
            <w:tcBorders>
              <w:left w:val="single" w:sz="8" w:color="auto"/>
              <w:right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tcBorders>
              <w:right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spacing w:after="0"/>
              <w:rPr>
                <w:sz w:val="17"/>
                <w:szCs w:val="17"/>
                <w:color w:val="auto"/>
              </w:rPr>
            </w:pPr>
          </w:p>
        </w:tc>
      </w:tr>
      <w:tr>
        <w:trPr>
          <w:trHeight w:val="203"/>
        </w:trPr>
        <w:tc>
          <w:tcPr>
            <w:tcW w:w="7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340" w:type="dxa"/>
            <w:vAlign w:val="bottom"/>
            <w:tcBorders>
              <w:right w:val="single" w:sz="8" w:color="auto"/>
            </w:tcBorders>
          </w:tcPr>
          <w:p>
            <w:pPr>
              <w:jc w:val="right"/>
              <w:ind w:right="359"/>
              <w:spacing w:after="0"/>
              <w:rPr>
                <w:sz w:val="20"/>
                <w:szCs w:val="20"/>
                <w:color w:val="auto"/>
              </w:rPr>
            </w:pPr>
            <w:r>
              <w:rPr>
                <w:rFonts w:ascii="Arial" w:cs="Arial" w:eastAsia="Arial" w:hAnsi="Arial"/>
                <w:sz w:val="16"/>
                <w:szCs w:val="16"/>
                <w:color w:val="auto"/>
              </w:rPr>
              <w:t>559,397</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286,662</w:t>
            </w:r>
          </w:p>
        </w:tc>
      </w:tr>
      <w:tr>
        <w:trPr>
          <w:trHeight w:val="203"/>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Restricted cash, end of period</w:t>
            </w:r>
          </w:p>
        </w:tc>
        <w:tc>
          <w:tcPr>
            <w:tcW w:w="3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right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226</w:t>
            </w: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right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4,561</w:t>
            </w:r>
          </w:p>
        </w:tc>
      </w:tr>
      <w:tr>
        <w:trPr>
          <w:trHeight w:val="236"/>
        </w:trPr>
        <w:tc>
          <w:tcPr>
            <w:tcW w:w="7220" w:type="dxa"/>
            <w:vAlign w:val="bottom"/>
            <w:tcBorders>
              <w:left w:val="single" w:sz="8" w:color="auto"/>
              <w:bottom w:val="single" w:sz="8" w:color="CCEEFF"/>
              <w:right w:val="single" w:sz="8" w:color="auto"/>
            </w:tcBorders>
          </w:tcPr>
          <w:p>
            <w:pPr>
              <w:ind w:left="20"/>
              <w:spacing w:after="0"/>
              <w:rPr>
                <w:sz w:val="20"/>
                <w:szCs w:val="20"/>
                <w:color w:val="auto"/>
              </w:rPr>
            </w:pPr>
            <w:r>
              <w:rPr>
                <w:rFonts w:ascii="Arial" w:cs="Arial" w:eastAsia="Arial" w:hAnsi="Arial"/>
                <w:sz w:val="16"/>
                <w:szCs w:val="16"/>
                <w:color w:val="auto"/>
              </w:rPr>
              <w:t>All cash and cash equivalents, end of period</w:t>
            </w: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right w:val="single" w:sz="8" w:color="auto"/>
            </w:tcBorders>
          </w:tcPr>
          <w:p>
            <w:pPr>
              <w:jc w:val="right"/>
              <w:ind w:right="359"/>
              <w:spacing w:after="0"/>
              <w:rPr>
                <w:sz w:val="20"/>
                <w:szCs w:val="20"/>
                <w:color w:val="auto"/>
              </w:rPr>
            </w:pPr>
            <w:r>
              <w:rPr>
                <w:rFonts w:ascii="Arial" w:cs="Arial" w:eastAsia="Arial" w:hAnsi="Arial"/>
                <w:sz w:val="16"/>
                <w:szCs w:val="16"/>
                <w:color w:val="auto"/>
              </w:rPr>
              <w:t>559,623</w:t>
            </w: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right w:val="single" w:sz="8" w:color="auto"/>
            </w:tcBorders>
          </w:tcPr>
          <w:p>
            <w:pPr>
              <w:jc w:val="right"/>
              <w:ind w:right="99"/>
              <w:spacing w:after="0"/>
              <w:rPr>
                <w:sz w:val="20"/>
                <w:szCs w:val="20"/>
                <w:color w:val="auto"/>
              </w:rPr>
            </w:pPr>
            <w:r>
              <w:rPr>
                <w:rFonts w:ascii="Arial" w:cs="Arial" w:eastAsia="Arial" w:hAnsi="Arial"/>
                <w:sz w:val="16"/>
                <w:szCs w:val="16"/>
                <w:color w:val="auto"/>
              </w:rPr>
              <w:t>291,223</w:t>
            </w:r>
          </w:p>
        </w:tc>
      </w:tr>
      <w:tr>
        <w:trPr>
          <w:trHeight w:val="183"/>
        </w:trPr>
        <w:tc>
          <w:tcPr>
            <w:tcW w:w="7220" w:type="dxa"/>
            <w:vAlign w:val="bottom"/>
            <w:tcBorders>
              <w:left w:val="single" w:sz="8" w:color="auto"/>
              <w:bottom w:val="single" w:sz="8" w:color="auto"/>
              <w:right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right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right w:val="single" w:sz="8" w:color="auto"/>
            </w:tcBorders>
            <w:shd w:val="clear" w:color="auto" w:fill="CCEEFF"/>
          </w:tcPr>
          <w:p>
            <w:pPr>
              <w:spacing w:after="0"/>
              <w:rPr>
                <w:sz w:val="15"/>
                <w:szCs w:val="15"/>
                <w:color w:val="auto"/>
              </w:rPr>
            </w:pPr>
          </w:p>
        </w:tc>
      </w:tr>
      <w:tr>
        <w:trPr>
          <w:trHeight w:val="756"/>
        </w:trPr>
        <w:tc>
          <w:tcPr>
            <w:tcW w:w="7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240"/>
      </w:cols>
      <w:pgMar w:left="820" w:top="513"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3"/>
    </w:lvl>
  </w:abstractNum>
  <w:abstractNum w:abstractNumId="2">
    <w:nsid w:val="238E1F29"/>
    <w:multiLevelType w:val="hybridMultilevel"/>
    <w:lvl w:ilvl="0">
      <w:lvlJc w:val="left"/>
      <w:lvlText w:val="%1"/>
      <w:numFmt w:val="decimal"/>
      <w:start w:val="104"/>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2023-02-21T15:13:08Z</dcterms:created>
  <dcterms:modified xsi:type="dcterms:W3CDTF">2023-02-21T15:13:08Z</dcterms:modified>
</cp:coreProperties>
</file>