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right"/>
        <w:spacing w:after="0"/>
        <w:rPr>
          <w:sz w:val="20"/>
          <w:szCs w:val="20"/>
          <w:color w:val="auto"/>
        </w:rPr>
      </w:pPr>
      <w:r>
        <w:rPr>
          <w:rFonts w:ascii="Arial" w:cs="Arial" w:eastAsia="Arial" w:hAnsi="Arial"/>
          <w:sz w:val="13"/>
          <w:szCs w:val="13"/>
          <w:b w:val="1"/>
          <w:bCs w:val="1"/>
          <w:color w:val="auto"/>
        </w:rPr>
        <w:t>Exhibit 99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18415</wp:posOffset>
            </wp:positionH>
            <wp:positionV relativeFrom="paragraph">
              <wp:posOffset>57785</wp:posOffset>
            </wp:positionV>
            <wp:extent cx="5683250" cy="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5683250" cy="1905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102235</wp:posOffset>
            </wp:positionV>
            <wp:extent cx="5683250" cy="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5683250" cy="6350"/>
                    </a:xfrm>
                    <a:prstGeom prst="rect">
                      <a:avLst/>
                    </a:prstGeom>
                    <a:noFill/>
                  </pic:spPr>
                </pic:pic>
              </a:graphicData>
            </a:graphic>
          </wp:anchor>
        </w:drawing>
      </w:r>
    </w:p>
    <w:p>
      <w:pPr>
        <w:spacing w:after="0" w:line="204" w:lineRule="exact"/>
        <w:rPr>
          <w:sz w:val="24"/>
          <w:szCs w:val="24"/>
          <w:color w:val="auto"/>
        </w:rPr>
      </w:pPr>
    </w:p>
    <w:p>
      <w:pPr>
        <w:jc w:val="center"/>
        <w:ind w:right="600"/>
        <w:spacing w:after="0"/>
        <w:rPr>
          <w:sz w:val="20"/>
          <w:szCs w:val="20"/>
          <w:color w:val="auto"/>
        </w:rPr>
      </w:pPr>
      <w:r>
        <w:rPr>
          <w:rFonts w:ascii="Arial" w:cs="Arial" w:eastAsia="Arial" w:hAnsi="Arial"/>
          <w:sz w:val="18"/>
          <w:szCs w:val="18"/>
          <w:b w:val="1"/>
          <w:bCs w:val="1"/>
          <w:color w:val="auto"/>
        </w:rPr>
        <w:t>UNITED STATES</w:t>
      </w:r>
    </w:p>
    <w:p>
      <w:pPr>
        <w:spacing w:after="0" w:line="31" w:lineRule="exact"/>
        <w:rPr>
          <w:sz w:val="24"/>
          <w:szCs w:val="24"/>
          <w:color w:val="auto"/>
        </w:rPr>
      </w:pPr>
    </w:p>
    <w:p>
      <w:pPr>
        <w:jc w:val="center"/>
        <w:ind w:right="600"/>
        <w:spacing w:after="0"/>
        <w:rPr>
          <w:sz w:val="20"/>
          <w:szCs w:val="20"/>
          <w:color w:val="auto"/>
        </w:rPr>
      </w:pPr>
      <w:r>
        <w:rPr>
          <w:rFonts w:ascii="Arial" w:cs="Arial" w:eastAsia="Arial" w:hAnsi="Arial"/>
          <w:sz w:val="18"/>
          <w:szCs w:val="18"/>
          <w:b w:val="1"/>
          <w:bCs w:val="1"/>
          <w:color w:val="auto"/>
        </w:rPr>
        <w:t>SECURITIES AND EXCHANGE COMMISSION</w:t>
      </w:r>
    </w:p>
    <w:p>
      <w:pPr>
        <w:spacing w:after="0" w:line="5" w:lineRule="exact"/>
        <w:rPr>
          <w:sz w:val="24"/>
          <w:szCs w:val="24"/>
          <w:color w:val="auto"/>
        </w:rPr>
      </w:pPr>
    </w:p>
    <w:p>
      <w:pPr>
        <w:jc w:val="center"/>
        <w:ind w:right="600"/>
        <w:spacing w:after="0"/>
        <w:rPr>
          <w:sz w:val="20"/>
          <w:szCs w:val="20"/>
          <w:color w:val="auto"/>
        </w:rPr>
      </w:pPr>
      <w:r>
        <w:rPr>
          <w:rFonts w:ascii="Arial" w:cs="Arial" w:eastAsia="Arial" w:hAnsi="Arial"/>
          <w:sz w:val="16"/>
          <w:szCs w:val="16"/>
          <w:b w:val="1"/>
          <w:bCs w:val="1"/>
          <w:color w:val="auto"/>
        </w:rPr>
        <w:t>Washington, D.C. 20549</w:t>
      </w:r>
    </w:p>
    <w:p>
      <w:pPr>
        <w:spacing w:after="0" w:line="37" w:lineRule="exact"/>
        <w:rPr>
          <w:sz w:val="24"/>
          <w:szCs w:val="24"/>
          <w:color w:val="auto"/>
        </w:rPr>
      </w:pPr>
    </w:p>
    <w:p>
      <w:pPr>
        <w:ind w:left="3920"/>
        <w:spacing w:after="0"/>
        <w:rPr>
          <w:sz w:val="20"/>
          <w:szCs w:val="20"/>
          <w:color w:val="auto"/>
        </w:rPr>
      </w:pPr>
      <w:r>
        <w:rPr>
          <w:rFonts w:ascii="Arial" w:cs="Arial" w:eastAsia="Arial" w:hAnsi="Arial"/>
          <w:sz w:val="24"/>
          <w:szCs w:val="24"/>
          <w:b w:val="1"/>
          <w:bCs w:val="1"/>
          <w:color w:val="auto"/>
        </w:rPr>
        <w:t>FORM 8-K</w:t>
      </w:r>
    </w:p>
    <w:p>
      <w:pPr>
        <w:spacing w:after="0" w:line="78" w:lineRule="exact"/>
        <w:rPr>
          <w:sz w:val="24"/>
          <w:szCs w:val="24"/>
          <w:color w:val="auto"/>
        </w:rPr>
      </w:pPr>
    </w:p>
    <w:p>
      <w:pPr>
        <w:jc w:val="center"/>
        <w:ind w:right="600"/>
        <w:spacing w:after="0"/>
        <w:rPr>
          <w:sz w:val="20"/>
          <w:szCs w:val="20"/>
          <w:color w:val="auto"/>
        </w:rPr>
      </w:pPr>
      <w:r>
        <w:rPr>
          <w:rFonts w:ascii="Arial" w:cs="Arial" w:eastAsia="Arial" w:hAnsi="Arial"/>
          <w:sz w:val="13"/>
          <w:szCs w:val="13"/>
          <w:b w:val="1"/>
          <w:bCs w:val="1"/>
          <w:color w:val="auto"/>
        </w:rPr>
        <w:t>CURRENT REPORT</w:t>
      </w:r>
    </w:p>
    <w:p>
      <w:pPr>
        <w:spacing w:after="0" w:line="20" w:lineRule="exact"/>
        <w:rPr>
          <w:sz w:val="24"/>
          <w:szCs w:val="24"/>
          <w:color w:val="auto"/>
        </w:rPr>
      </w:pPr>
    </w:p>
    <w:p>
      <w:pPr>
        <w:jc w:val="center"/>
        <w:ind w:right="600"/>
        <w:spacing w:after="0"/>
        <w:rPr>
          <w:sz w:val="20"/>
          <w:szCs w:val="20"/>
          <w:color w:val="auto"/>
        </w:rPr>
      </w:pPr>
      <w:r>
        <w:rPr>
          <w:rFonts w:ascii="Arial" w:cs="Arial" w:eastAsia="Arial" w:hAnsi="Arial"/>
          <w:sz w:val="13"/>
          <w:szCs w:val="13"/>
          <w:b w:val="1"/>
          <w:bCs w:val="1"/>
          <w:color w:val="auto"/>
        </w:rPr>
        <w:t>Pursuant to Section 13 OR 15(d) of the Securities Exchange Act of 1934</w:t>
      </w:r>
    </w:p>
    <w:p>
      <w:pPr>
        <w:spacing w:after="0" w:line="61" w:lineRule="exact"/>
        <w:rPr>
          <w:sz w:val="24"/>
          <w:szCs w:val="24"/>
          <w:color w:val="auto"/>
        </w:rPr>
      </w:pPr>
    </w:p>
    <w:p>
      <w:pPr>
        <w:ind w:left="2840"/>
        <w:spacing w:after="0"/>
        <w:rPr>
          <w:sz w:val="20"/>
          <w:szCs w:val="20"/>
          <w:color w:val="auto"/>
        </w:rPr>
      </w:pPr>
      <w:r>
        <w:rPr>
          <w:rFonts w:ascii="Arial" w:cs="Arial" w:eastAsia="Arial" w:hAnsi="Arial"/>
          <w:sz w:val="13"/>
          <w:szCs w:val="13"/>
          <w:color w:val="auto"/>
        </w:rPr>
        <w:t>Date of Report (Date of earliest event reported): May 15, 2023</w:t>
      </w:r>
    </w:p>
    <w:p>
      <w:pPr>
        <w:spacing w:after="0" w:line="56" w:lineRule="exact"/>
        <w:rPr>
          <w:sz w:val="24"/>
          <w:szCs w:val="24"/>
          <w:color w:val="auto"/>
        </w:rPr>
      </w:pPr>
    </w:p>
    <w:p>
      <w:pPr>
        <w:jc w:val="center"/>
        <w:ind w:right="600"/>
        <w:spacing w:after="0"/>
        <w:rPr>
          <w:sz w:val="20"/>
          <w:szCs w:val="20"/>
          <w:color w:val="auto"/>
        </w:rPr>
      </w:pPr>
      <w:r>
        <w:rPr>
          <w:rFonts w:ascii="Arial" w:cs="Arial" w:eastAsia="Arial" w:hAnsi="Arial"/>
          <w:sz w:val="32"/>
          <w:szCs w:val="32"/>
          <w:b w:val="1"/>
          <w:bCs w:val="1"/>
          <w:color w:val="auto"/>
        </w:rPr>
        <w:t>UFP INDUSTRIES, INC.</w:t>
      </w:r>
    </w:p>
    <w:p>
      <w:pPr>
        <w:spacing w:after="0" w:line="31" w:lineRule="exact"/>
        <w:rPr>
          <w:sz w:val="24"/>
          <w:szCs w:val="24"/>
          <w:color w:val="auto"/>
        </w:rPr>
      </w:pPr>
    </w:p>
    <w:p>
      <w:pPr>
        <w:ind w:left="3140"/>
        <w:spacing w:after="0"/>
        <w:rPr>
          <w:sz w:val="20"/>
          <w:szCs w:val="20"/>
          <w:color w:val="auto"/>
        </w:rPr>
      </w:pPr>
      <w:r>
        <w:rPr>
          <w:rFonts w:ascii="Arial" w:cs="Arial" w:eastAsia="Arial" w:hAnsi="Arial"/>
          <w:sz w:val="13"/>
          <w:szCs w:val="13"/>
          <w:color w:val="auto"/>
        </w:rPr>
        <w:t>(Exact name of registrant as specified in its charter)</w:t>
      </w:r>
    </w:p>
    <w:p>
      <w:pPr>
        <w:spacing w:after="0" w:line="183" w:lineRule="exact"/>
        <w:rPr>
          <w:sz w:val="24"/>
          <w:szCs w:val="24"/>
          <w:color w:val="auto"/>
        </w:rPr>
      </w:pPr>
    </w:p>
    <w:tbl>
      <w:tblPr>
        <w:tblLayout w:type="fixed"/>
        <w:tblInd w:w="340" w:type="dxa"/>
        <w:tblCellMar>
          <w:top w:w="0" w:type="dxa"/>
          <w:left w:w="0" w:type="dxa"/>
          <w:bottom w:w="0" w:type="dxa"/>
          <w:right w:w="0" w:type="dxa"/>
        </w:tblCellMar>
      </w:tblPr>
      <w:tr>
        <w:trPr>
          <w:trHeight w:val="163"/>
        </w:trPr>
        <w:tc>
          <w:tcPr>
            <w:tcW w:w="3360" w:type="dxa"/>
            <w:vAlign w:val="bottom"/>
          </w:tcPr>
          <w:p>
            <w:pPr>
              <w:jc w:val="center"/>
              <w:ind w:right="954"/>
              <w:spacing w:after="0"/>
              <w:rPr>
                <w:sz w:val="20"/>
                <w:szCs w:val="20"/>
                <w:color w:val="auto"/>
              </w:rPr>
            </w:pPr>
            <w:r>
              <w:rPr>
                <w:rFonts w:ascii="Arial" w:cs="Arial" w:eastAsia="Arial" w:hAnsi="Arial"/>
                <w:sz w:val="13"/>
                <w:szCs w:val="13"/>
                <w:b w:val="1"/>
                <w:bCs w:val="1"/>
                <w:color w:val="auto"/>
                <w:w w:val="95"/>
              </w:rPr>
              <w:t>Michigan</w:t>
            </w:r>
          </w:p>
        </w:tc>
        <w:tc>
          <w:tcPr>
            <w:tcW w:w="2140" w:type="dxa"/>
            <w:vAlign w:val="bottom"/>
          </w:tcPr>
          <w:p>
            <w:pPr>
              <w:jc w:val="right"/>
              <w:ind w:right="1054"/>
              <w:spacing w:after="0"/>
              <w:rPr>
                <w:sz w:val="20"/>
                <w:szCs w:val="20"/>
                <w:color w:val="auto"/>
              </w:rPr>
            </w:pPr>
            <w:r>
              <w:rPr>
                <w:rFonts w:ascii="Arial" w:cs="Arial" w:eastAsia="Arial" w:hAnsi="Arial"/>
                <w:sz w:val="13"/>
                <w:szCs w:val="13"/>
                <w:b w:val="1"/>
                <w:bCs w:val="1"/>
                <w:color w:val="auto"/>
              </w:rPr>
              <w:t>0-22684</w:t>
            </w:r>
          </w:p>
        </w:tc>
        <w:tc>
          <w:tcPr>
            <w:tcW w:w="2560" w:type="dxa"/>
            <w:vAlign w:val="bottom"/>
          </w:tcPr>
          <w:p>
            <w:pPr>
              <w:jc w:val="right"/>
              <w:ind w:right="534"/>
              <w:spacing w:after="0"/>
              <w:rPr>
                <w:sz w:val="20"/>
                <w:szCs w:val="20"/>
                <w:color w:val="auto"/>
              </w:rPr>
            </w:pPr>
            <w:r>
              <w:rPr>
                <w:rFonts w:ascii="Arial" w:cs="Arial" w:eastAsia="Arial" w:hAnsi="Arial"/>
                <w:sz w:val="13"/>
                <w:szCs w:val="13"/>
                <w:b w:val="1"/>
                <w:bCs w:val="1"/>
                <w:color w:val="auto"/>
              </w:rPr>
              <w:t>38-1465835</w:t>
            </w:r>
          </w:p>
        </w:tc>
      </w:tr>
      <w:tr>
        <w:trPr>
          <w:trHeight w:val="186"/>
        </w:trPr>
        <w:tc>
          <w:tcPr>
            <w:tcW w:w="3360" w:type="dxa"/>
            <w:vAlign w:val="bottom"/>
          </w:tcPr>
          <w:p>
            <w:pPr>
              <w:jc w:val="center"/>
              <w:ind w:right="954"/>
              <w:spacing w:after="0"/>
              <w:rPr>
                <w:sz w:val="20"/>
                <w:szCs w:val="20"/>
                <w:color w:val="auto"/>
              </w:rPr>
            </w:pPr>
            <w:r>
              <w:rPr>
                <w:rFonts w:ascii="Arial" w:cs="Arial" w:eastAsia="Arial" w:hAnsi="Arial"/>
                <w:sz w:val="13"/>
                <w:szCs w:val="13"/>
                <w:color w:val="auto"/>
                <w:w w:val="93"/>
              </w:rPr>
              <w:t>(State or other Jurisdiction of Incorporation)</w:t>
            </w:r>
          </w:p>
        </w:tc>
        <w:tc>
          <w:tcPr>
            <w:tcW w:w="2140" w:type="dxa"/>
            <w:vAlign w:val="bottom"/>
          </w:tcPr>
          <w:p>
            <w:pPr>
              <w:jc w:val="center"/>
              <w:ind w:right="494"/>
              <w:spacing w:after="0"/>
              <w:rPr>
                <w:sz w:val="20"/>
                <w:szCs w:val="20"/>
                <w:color w:val="auto"/>
              </w:rPr>
            </w:pPr>
            <w:r>
              <w:rPr>
                <w:rFonts w:ascii="Arial" w:cs="Arial" w:eastAsia="Arial" w:hAnsi="Arial"/>
                <w:sz w:val="13"/>
                <w:szCs w:val="13"/>
                <w:color w:val="auto"/>
                <w:w w:val="94"/>
              </w:rPr>
              <w:t>(Commission File Number)</w:t>
            </w:r>
          </w:p>
        </w:tc>
        <w:tc>
          <w:tcPr>
            <w:tcW w:w="2560" w:type="dxa"/>
            <w:vAlign w:val="bottom"/>
          </w:tcPr>
          <w:p>
            <w:pPr>
              <w:jc w:val="center"/>
              <w:ind w:left="674"/>
              <w:spacing w:after="0"/>
              <w:rPr>
                <w:sz w:val="20"/>
                <w:szCs w:val="20"/>
                <w:color w:val="auto"/>
              </w:rPr>
            </w:pPr>
            <w:r>
              <w:rPr>
                <w:rFonts w:ascii="Arial" w:cs="Arial" w:eastAsia="Arial" w:hAnsi="Arial"/>
                <w:sz w:val="13"/>
                <w:szCs w:val="13"/>
                <w:color w:val="auto"/>
                <w:w w:val="96"/>
              </w:rPr>
              <w:t>(IRS Employer Identification No.)</w:t>
            </w:r>
          </w:p>
        </w:tc>
      </w:tr>
      <w:tr>
        <w:trPr>
          <w:trHeight w:val="340"/>
        </w:trPr>
        <w:tc>
          <w:tcPr>
            <w:tcW w:w="3360" w:type="dxa"/>
            <w:vAlign w:val="bottom"/>
          </w:tcPr>
          <w:p>
            <w:pPr>
              <w:jc w:val="center"/>
              <w:ind w:left="434"/>
              <w:spacing w:after="0"/>
              <w:rPr>
                <w:sz w:val="20"/>
                <w:szCs w:val="20"/>
                <w:color w:val="auto"/>
              </w:rPr>
            </w:pPr>
            <w:r>
              <w:rPr>
                <w:rFonts w:ascii="Arial" w:cs="Arial" w:eastAsia="Arial" w:hAnsi="Arial"/>
                <w:sz w:val="13"/>
                <w:szCs w:val="13"/>
                <w:b w:val="1"/>
                <w:bCs w:val="1"/>
                <w:color w:val="auto"/>
                <w:w w:val="93"/>
              </w:rPr>
              <w:t>2801 East Beltline, NE, Grand Rapids, Michigan</w:t>
            </w:r>
          </w:p>
        </w:tc>
        <w:tc>
          <w:tcPr>
            <w:tcW w:w="2140" w:type="dxa"/>
            <w:vAlign w:val="bottom"/>
          </w:tcPr>
          <w:p>
            <w:pPr>
              <w:spacing w:after="0"/>
              <w:rPr>
                <w:sz w:val="24"/>
                <w:szCs w:val="24"/>
                <w:color w:val="auto"/>
              </w:rPr>
            </w:pPr>
          </w:p>
        </w:tc>
        <w:tc>
          <w:tcPr>
            <w:tcW w:w="2560" w:type="dxa"/>
            <w:vAlign w:val="bottom"/>
          </w:tcPr>
          <w:p>
            <w:pPr>
              <w:jc w:val="right"/>
              <w:ind w:right="1414"/>
              <w:spacing w:after="0"/>
              <w:rPr>
                <w:sz w:val="20"/>
                <w:szCs w:val="20"/>
                <w:color w:val="auto"/>
              </w:rPr>
            </w:pPr>
            <w:r>
              <w:rPr>
                <w:rFonts w:ascii="Arial" w:cs="Arial" w:eastAsia="Arial" w:hAnsi="Arial"/>
                <w:sz w:val="13"/>
                <w:szCs w:val="13"/>
                <w:b w:val="1"/>
                <w:bCs w:val="1"/>
                <w:color w:val="auto"/>
              </w:rPr>
              <w:t>49525</w:t>
            </w:r>
          </w:p>
        </w:tc>
      </w:tr>
      <w:tr>
        <w:trPr>
          <w:trHeight w:val="166"/>
        </w:trPr>
        <w:tc>
          <w:tcPr>
            <w:tcW w:w="3360" w:type="dxa"/>
            <w:vAlign w:val="bottom"/>
          </w:tcPr>
          <w:p>
            <w:pPr>
              <w:jc w:val="center"/>
              <w:ind w:left="414"/>
              <w:spacing w:after="0"/>
              <w:rPr>
                <w:sz w:val="20"/>
                <w:szCs w:val="20"/>
                <w:color w:val="auto"/>
              </w:rPr>
            </w:pPr>
            <w:r>
              <w:rPr>
                <w:rFonts w:ascii="Arial" w:cs="Arial" w:eastAsia="Arial" w:hAnsi="Arial"/>
                <w:sz w:val="13"/>
                <w:szCs w:val="13"/>
                <w:color w:val="auto"/>
                <w:w w:val="94"/>
              </w:rPr>
              <w:t>(Address of Principal Executive Offices)</w:t>
            </w:r>
          </w:p>
        </w:tc>
        <w:tc>
          <w:tcPr>
            <w:tcW w:w="2140" w:type="dxa"/>
            <w:vAlign w:val="bottom"/>
          </w:tcPr>
          <w:p>
            <w:pPr>
              <w:spacing w:after="0"/>
              <w:rPr>
                <w:sz w:val="14"/>
                <w:szCs w:val="14"/>
                <w:color w:val="auto"/>
              </w:rPr>
            </w:pPr>
          </w:p>
        </w:tc>
        <w:tc>
          <w:tcPr>
            <w:tcW w:w="2560" w:type="dxa"/>
            <w:vAlign w:val="bottom"/>
          </w:tcPr>
          <w:p>
            <w:pPr>
              <w:jc w:val="center"/>
              <w:ind w:right="634"/>
              <w:spacing w:after="0"/>
              <w:rPr>
                <w:sz w:val="20"/>
                <w:szCs w:val="20"/>
                <w:color w:val="auto"/>
              </w:rPr>
            </w:pPr>
            <w:r>
              <w:rPr>
                <w:rFonts w:ascii="Arial" w:cs="Arial" w:eastAsia="Arial" w:hAnsi="Arial"/>
                <w:sz w:val="13"/>
                <w:szCs w:val="13"/>
                <w:color w:val="auto"/>
                <w:w w:val="94"/>
              </w:rPr>
              <w:t>(Zip Code)</w:t>
            </w:r>
          </w:p>
        </w:tc>
      </w:tr>
    </w:tbl>
    <w:p>
      <w:pPr>
        <w:spacing w:after="0" w:line="88" w:lineRule="exact"/>
        <w:rPr>
          <w:sz w:val="24"/>
          <w:szCs w:val="24"/>
          <w:color w:val="auto"/>
        </w:rPr>
      </w:pPr>
    </w:p>
    <w:p>
      <w:pPr>
        <w:ind w:left="2700"/>
        <w:spacing w:after="0"/>
        <w:rPr>
          <w:sz w:val="20"/>
          <w:szCs w:val="20"/>
          <w:color w:val="auto"/>
        </w:rPr>
      </w:pPr>
      <w:r>
        <w:rPr>
          <w:rFonts w:ascii="Arial" w:cs="Arial" w:eastAsia="Arial" w:hAnsi="Arial"/>
          <w:sz w:val="13"/>
          <w:szCs w:val="13"/>
          <w:color w:val="auto"/>
        </w:rPr>
        <w:t xml:space="preserve">Registrant's telephone number, including area code: </w:t>
      </w:r>
      <w:r>
        <w:rPr>
          <w:rFonts w:ascii="Arial" w:cs="Arial" w:eastAsia="Arial" w:hAnsi="Arial"/>
          <w:sz w:val="13"/>
          <w:szCs w:val="13"/>
          <w:b w:val="1"/>
          <w:bCs w:val="1"/>
          <w:color w:val="auto"/>
        </w:rPr>
        <w:t>(616) 364-6161</w:t>
      </w:r>
    </w:p>
    <w:p>
      <w:pPr>
        <w:spacing w:after="0" w:line="78" w:lineRule="exact"/>
        <w:rPr>
          <w:sz w:val="24"/>
          <w:szCs w:val="24"/>
          <w:color w:val="auto"/>
        </w:rPr>
      </w:pPr>
    </w:p>
    <w:p>
      <w:pPr>
        <w:ind w:left="4360"/>
        <w:spacing w:after="0"/>
        <w:rPr>
          <w:sz w:val="20"/>
          <w:szCs w:val="20"/>
          <w:color w:val="auto"/>
        </w:rPr>
      </w:pPr>
      <w:r>
        <w:rPr>
          <w:rFonts w:ascii="Arial" w:cs="Arial" w:eastAsia="Arial" w:hAnsi="Arial"/>
          <w:sz w:val="13"/>
          <w:szCs w:val="13"/>
          <w:b w:val="1"/>
          <w:bCs w:val="1"/>
          <w:color w:val="auto"/>
        </w:rPr>
        <w:t>None</w:t>
      </w:r>
    </w:p>
    <w:p>
      <w:pPr>
        <w:spacing w:after="0" w:line="20" w:lineRule="exact"/>
        <w:rPr>
          <w:sz w:val="24"/>
          <w:szCs w:val="24"/>
          <w:color w:val="auto"/>
        </w:rPr>
      </w:pPr>
    </w:p>
    <w:p>
      <w:pPr>
        <w:jc w:val="center"/>
        <w:ind w:right="600"/>
        <w:spacing w:after="0"/>
        <w:rPr>
          <w:sz w:val="20"/>
          <w:szCs w:val="20"/>
          <w:color w:val="auto"/>
        </w:rPr>
      </w:pPr>
      <w:r>
        <w:rPr>
          <w:rFonts w:ascii="Arial" w:cs="Arial" w:eastAsia="Arial" w:hAnsi="Arial"/>
          <w:sz w:val="13"/>
          <w:szCs w:val="13"/>
          <w:color w:val="auto"/>
        </w:rPr>
        <w:t>(Former name or former address, if changed since last report)</w:t>
      </w:r>
    </w:p>
    <w:p>
      <w:pPr>
        <w:spacing w:after="0" w:line="71" w:lineRule="exact"/>
        <w:rPr>
          <w:sz w:val="24"/>
          <w:szCs w:val="24"/>
          <w:color w:val="auto"/>
        </w:rPr>
      </w:pPr>
    </w:p>
    <w:p>
      <w:pPr>
        <w:jc w:val="center"/>
        <w:ind w:right="640"/>
        <w:spacing w:after="0"/>
        <w:rPr>
          <w:sz w:val="20"/>
          <w:szCs w:val="20"/>
          <w:color w:val="auto"/>
        </w:rPr>
      </w:pPr>
      <w:r>
        <w:rPr>
          <w:rFonts w:ascii="Arial" w:cs="Arial" w:eastAsia="Arial" w:hAnsi="Arial"/>
          <w:sz w:val="12"/>
          <w:szCs w:val="12"/>
          <w:color w:val="auto"/>
        </w:rPr>
        <w:t>Check the appropriate box below if the Form 8-K filing is intended to simultaneously satisfy the filing obligation of the registrant under any of the following provisions:</w:t>
      </w:r>
    </w:p>
    <w:p>
      <w:pPr>
        <w:spacing w:after="0" w:line="90" w:lineRule="exact"/>
        <w:rPr>
          <w:sz w:val="24"/>
          <w:szCs w:val="24"/>
          <w:color w:val="auto"/>
        </w:rPr>
      </w:pPr>
    </w:p>
    <w:p>
      <w:pPr>
        <w:ind w:left="420" w:hanging="392"/>
        <w:spacing w:after="0"/>
        <w:tabs>
          <w:tab w:leader="none" w:pos="420" w:val="left"/>
        </w:tabs>
        <w:numPr>
          <w:ilvl w:val="0"/>
          <w:numId w:val="1"/>
        </w:numPr>
        <w:rPr>
          <w:rFonts w:ascii="MS PGothic" w:cs="MS PGothic" w:eastAsia="MS PGothic" w:hAnsi="MS PGothic"/>
          <w:sz w:val="13"/>
          <w:szCs w:val="13"/>
          <w:color w:val="auto"/>
        </w:rPr>
      </w:pPr>
      <w:r>
        <w:rPr>
          <w:rFonts w:ascii="Arial" w:cs="Arial" w:eastAsia="Arial" w:hAnsi="Arial"/>
          <w:sz w:val="13"/>
          <w:szCs w:val="13"/>
          <w:color w:val="auto"/>
        </w:rPr>
        <w:t>Written communications pursuant to Rule 425 under the Securities Act (17 CFR 230.425).</w:t>
      </w:r>
    </w:p>
    <w:p>
      <w:pPr>
        <w:spacing w:after="0" w:line="78" w:lineRule="exact"/>
        <w:rPr>
          <w:rFonts w:ascii="MS PGothic" w:cs="MS PGothic" w:eastAsia="MS PGothic" w:hAnsi="MS PGothic"/>
          <w:sz w:val="13"/>
          <w:szCs w:val="13"/>
          <w:color w:val="auto"/>
        </w:rPr>
      </w:pPr>
    </w:p>
    <w:p>
      <w:pPr>
        <w:ind w:left="420" w:hanging="392"/>
        <w:spacing w:after="0"/>
        <w:tabs>
          <w:tab w:leader="none" w:pos="420" w:val="left"/>
        </w:tabs>
        <w:numPr>
          <w:ilvl w:val="0"/>
          <w:numId w:val="1"/>
        </w:numPr>
        <w:rPr>
          <w:rFonts w:ascii="MS PGothic" w:cs="MS PGothic" w:eastAsia="MS PGothic" w:hAnsi="MS PGothic"/>
          <w:sz w:val="13"/>
          <w:szCs w:val="13"/>
          <w:color w:val="auto"/>
        </w:rPr>
      </w:pPr>
      <w:r>
        <w:rPr>
          <w:rFonts w:ascii="Arial" w:cs="Arial" w:eastAsia="Arial" w:hAnsi="Arial"/>
          <w:sz w:val="13"/>
          <w:szCs w:val="13"/>
          <w:color w:val="auto"/>
        </w:rPr>
        <w:t>Soliciting material pursuant to Rule 14a-12 under the Exchange Act (17 CFR 240.14a-12).</w:t>
      </w:r>
    </w:p>
    <w:p>
      <w:pPr>
        <w:spacing w:after="0" w:line="78" w:lineRule="exact"/>
        <w:rPr>
          <w:rFonts w:ascii="MS PGothic" w:cs="MS PGothic" w:eastAsia="MS PGothic" w:hAnsi="MS PGothic"/>
          <w:sz w:val="13"/>
          <w:szCs w:val="13"/>
          <w:color w:val="auto"/>
        </w:rPr>
      </w:pPr>
    </w:p>
    <w:p>
      <w:pPr>
        <w:ind w:left="420" w:hanging="392"/>
        <w:spacing w:after="0"/>
        <w:tabs>
          <w:tab w:leader="none" w:pos="420" w:val="left"/>
        </w:tabs>
        <w:numPr>
          <w:ilvl w:val="0"/>
          <w:numId w:val="1"/>
        </w:numPr>
        <w:rPr>
          <w:rFonts w:ascii="MS PGothic" w:cs="MS PGothic" w:eastAsia="MS PGothic" w:hAnsi="MS PGothic"/>
          <w:sz w:val="13"/>
          <w:szCs w:val="13"/>
          <w:color w:val="auto"/>
        </w:rPr>
      </w:pPr>
      <w:r>
        <w:rPr>
          <w:rFonts w:ascii="Arial" w:cs="Arial" w:eastAsia="Arial" w:hAnsi="Arial"/>
          <w:sz w:val="13"/>
          <w:szCs w:val="13"/>
          <w:color w:val="auto"/>
        </w:rPr>
        <w:t>Pre-commencement communications pursuant to Rule 14d-2(b) under the Exchange Act (17 CFR 240.14d-2(b)).</w:t>
      </w:r>
    </w:p>
    <w:p>
      <w:pPr>
        <w:spacing w:after="0" w:line="78" w:lineRule="exact"/>
        <w:rPr>
          <w:rFonts w:ascii="MS PGothic" w:cs="MS PGothic" w:eastAsia="MS PGothic" w:hAnsi="MS PGothic"/>
          <w:sz w:val="13"/>
          <w:szCs w:val="13"/>
          <w:color w:val="auto"/>
        </w:rPr>
      </w:pPr>
    </w:p>
    <w:p>
      <w:pPr>
        <w:ind w:left="20" w:right="3260" w:firstLine="8"/>
        <w:spacing w:after="0" w:line="388" w:lineRule="auto"/>
        <w:tabs>
          <w:tab w:leader="none" w:pos="403" w:val="left"/>
        </w:tabs>
        <w:numPr>
          <w:ilvl w:val="0"/>
          <w:numId w:val="1"/>
        </w:numPr>
        <w:rPr>
          <w:rFonts w:ascii="MS PGothic" w:cs="MS PGothic" w:eastAsia="MS PGothic" w:hAnsi="MS PGothic"/>
          <w:sz w:val="13"/>
          <w:szCs w:val="13"/>
          <w:color w:val="auto"/>
        </w:rPr>
      </w:pPr>
      <w:r>
        <w:rPr>
          <w:rFonts w:ascii="Arial" w:cs="Arial" w:eastAsia="Arial" w:hAnsi="Arial"/>
          <w:sz w:val="13"/>
          <w:szCs w:val="13"/>
          <w:color w:val="auto"/>
        </w:rPr>
        <w:t>Pre-commencement communications pursuant to Rule 13e-4(c) under the Exchange Act (17 CFR 240.13e-4(c)). Securities registered pursuant to Section 12(b) of the Act:</w:t>
      </w:r>
    </w:p>
    <w:tbl>
      <w:tblPr>
        <w:tblLayout w:type="fixed"/>
        <w:tblInd w:w="30" w:type="dxa"/>
        <w:tblCellMar>
          <w:top w:w="0" w:type="dxa"/>
          <w:left w:w="0" w:type="dxa"/>
          <w:bottom w:w="0" w:type="dxa"/>
          <w:right w:w="0" w:type="dxa"/>
        </w:tblCellMar>
      </w:tblPr>
      <w:tr>
        <w:trPr>
          <w:trHeight w:val="159"/>
        </w:trPr>
        <w:tc>
          <w:tcPr>
            <w:tcW w:w="3160" w:type="dxa"/>
            <w:vAlign w:val="bottom"/>
            <w:tcBorders>
              <w:top w:val="single" w:sz="8" w:color="auto"/>
              <w:left w:val="single" w:sz="8" w:color="auto"/>
              <w:bottom w:val="single" w:sz="8" w:color="auto"/>
              <w:right w:val="single" w:sz="8" w:color="auto"/>
            </w:tcBorders>
          </w:tcPr>
          <w:p>
            <w:pPr>
              <w:jc w:val="center"/>
              <w:spacing w:after="0"/>
              <w:rPr>
                <w:sz w:val="20"/>
                <w:szCs w:val="20"/>
                <w:color w:val="auto"/>
              </w:rPr>
            </w:pPr>
            <w:r>
              <w:rPr>
                <w:rFonts w:ascii="Arial" w:cs="Arial" w:eastAsia="Arial" w:hAnsi="Arial"/>
                <w:sz w:val="13"/>
                <w:szCs w:val="13"/>
                <w:color w:val="auto"/>
                <w:w w:val="92"/>
              </w:rPr>
              <w:t>Title of each class</w:t>
            </w:r>
          </w:p>
        </w:tc>
        <w:tc>
          <w:tcPr>
            <w:tcW w:w="2680" w:type="dxa"/>
            <w:vAlign w:val="bottom"/>
            <w:tcBorders>
              <w:top w:val="single" w:sz="8" w:color="auto"/>
              <w:bottom w:val="single" w:sz="8" w:color="auto"/>
              <w:right w:val="single" w:sz="8" w:color="auto"/>
            </w:tcBorders>
          </w:tcPr>
          <w:p>
            <w:pPr>
              <w:jc w:val="center"/>
              <w:spacing w:after="0"/>
              <w:rPr>
                <w:sz w:val="20"/>
                <w:szCs w:val="20"/>
                <w:color w:val="auto"/>
              </w:rPr>
            </w:pPr>
            <w:r>
              <w:rPr>
                <w:rFonts w:ascii="Arial" w:cs="Arial" w:eastAsia="Arial" w:hAnsi="Arial"/>
                <w:sz w:val="13"/>
                <w:szCs w:val="13"/>
                <w:color w:val="auto"/>
                <w:w w:val="94"/>
              </w:rPr>
              <w:t>Trading Symbol(s)</w:t>
            </w:r>
          </w:p>
        </w:tc>
        <w:tc>
          <w:tcPr>
            <w:tcW w:w="3120" w:type="dxa"/>
            <w:vAlign w:val="bottom"/>
            <w:tcBorders>
              <w:top w:val="single" w:sz="8" w:color="auto"/>
              <w:bottom w:val="single" w:sz="8" w:color="auto"/>
              <w:right w:val="single" w:sz="8" w:color="auto"/>
            </w:tcBorders>
          </w:tcPr>
          <w:p>
            <w:pPr>
              <w:jc w:val="center"/>
              <w:spacing w:after="0"/>
              <w:rPr>
                <w:sz w:val="20"/>
                <w:szCs w:val="20"/>
                <w:color w:val="auto"/>
              </w:rPr>
            </w:pPr>
            <w:r>
              <w:rPr>
                <w:rFonts w:ascii="Arial" w:cs="Arial" w:eastAsia="Arial" w:hAnsi="Arial"/>
                <w:sz w:val="13"/>
                <w:szCs w:val="13"/>
                <w:color w:val="auto"/>
                <w:w w:val="90"/>
              </w:rPr>
              <w:t>Name of each exchange on which registered</w:t>
            </w:r>
          </w:p>
        </w:tc>
      </w:tr>
      <w:tr>
        <w:trPr>
          <w:trHeight w:val="158"/>
        </w:trPr>
        <w:tc>
          <w:tcPr>
            <w:tcW w:w="3160" w:type="dxa"/>
            <w:vAlign w:val="bottom"/>
            <w:tcBorders>
              <w:left w:val="single" w:sz="8" w:color="auto"/>
              <w:bottom w:val="single" w:sz="8" w:color="auto"/>
              <w:right w:val="single" w:sz="8" w:color="auto"/>
            </w:tcBorders>
          </w:tcPr>
          <w:p>
            <w:pPr>
              <w:jc w:val="center"/>
              <w:spacing w:after="0"/>
              <w:rPr>
                <w:sz w:val="20"/>
                <w:szCs w:val="20"/>
                <w:color w:val="auto"/>
              </w:rPr>
            </w:pPr>
            <w:r>
              <w:rPr>
                <w:rFonts w:ascii="Arial" w:cs="Arial" w:eastAsia="Arial" w:hAnsi="Arial"/>
                <w:sz w:val="13"/>
                <w:szCs w:val="13"/>
                <w:color w:val="auto"/>
                <w:w w:val="94"/>
              </w:rPr>
              <w:t>Common Stock</w:t>
            </w:r>
          </w:p>
        </w:tc>
        <w:tc>
          <w:tcPr>
            <w:tcW w:w="268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3"/>
                <w:szCs w:val="13"/>
                <w:color w:val="auto"/>
                <w:w w:val="94"/>
              </w:rPr>
              <w:t>UFPI</w:t>
            </w:r>
          </w:p>
        </w:tc>
        <w:tc>
          <w:tcPr>
            <w:tcW w:w="312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3"/>
                <w:szCs w:val="13"/>
                <w:color w:val="auto"/>
                <w:w w:val="97"/>
              </w:rPr>
              <w:t>The NASDAQ Stock Market, LLC</w:t>
            </w:r>
          </w:p>
        </w:tc>
      </w:tr>
    </w:tbl>
    <w:p>
      <w:pPr>
        <w:spacing w:after="0" w:line="150" w:lineRule="exact"/>
        <w:rPr>
          <w:sz w:val="24"/>
          <w:szCs w:val="24"/>
          <w:color w:val="auto"/>
        </w:rPr>
      </w:pPr>
    </w:p>
    <w:p>
      <w:pPr>
        <w:ind w:left="20" w:right="820"/>
        <w:spacing w:after="0" w:line="280" w:lineRule="auto"/>
        <w:rPr>
          <w:sz w:val="20"/>
          <w:szCs w:val="20"/>
          <w:color w:val="auto"/>
        </w:rPr>
      </w:pPr>
      <w:r>
        <w:rPr>
          <w:rFonts w:ascii="Arial" w:cs="Arial" w:eastAsia="Arial" w:hAnsi="Arial"/>
          <w:sz w:val="13"/>
          <w:szCs w:val="13"/>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3" w:lineRule="exact"/>
        <w:rPr>
          <w:sz w:val="24"/>
          <w:szCs w:val="24"/>
          <w:color w:val="auto"/>
        </w:rPr>
      </w:pPr>
    </w:p>
    <w:p>
      <w:pPr>
        <w:ind w:left="20"/>
        <w:spacing w:after="0" w:line="150" w:lineRule="exact"/>
        <w:rPr>
          <w:sz w:val="20"/>
          <w:szCs w:val="20"/>
          <w:color w:val="auto"/>
        </w:rPr>
      </w:pPr>
      <w:r>
        <w:rPr>
          <w:rFonts w:ascii="Arial" w:cs="Arial" w:eastAsia="Arial" w:hAnsi="Arial"/>
          <w:sz w:val="13"/>
          <w:szCs w:val="13"/>
          <w:color w:val="auto"/>
        </w:rPr>
        <w:t xml:space="preserve">Emerging growth company </w:t>
      </w:r>
      <w:r>
        <w:rPr>
          <w:rFonts w:ascii="MS PGothic" w:cs="MS PGothic" w:eastAsia="MS PGothic" w:hAnsi="MS PGothic"/>
          <w:sz w:val="13"/>
          <w:szCs w:val="13"/>
          <w:color w:val="auto"/>
        </w:rPr>
        <w:t>☐</w:t>
      </w:r>
    </w:p>
    <w:p>
      <w:pPr>
        <w:spacing w:after="0" w:line="113" w:lineRule="exact"/>
        <w:rPr>
          <w:sz w:val="24"/>
          <w:szCs w:val="24"/>
          <w:color w:val="auto"/>
        </w:rPr>
      </w:pPr>
    </w:p>
    <w:p>
      <w:pPr>
        <w:ind w:left="20" w:right="880"/>
        <w:spacing w:after="0" w:line="173" w:lineRule="exact"/>
        <w:rPr>
          <w:sz w:val="20"/>
          <w:szCs w:val="20"/>
          <w:color w:val="auto"/>
        </w:rPr>
      </w:pPr>
      <w:r>
        <w:rPr>
          <w:rFonts w:ascii="Arial" w:cs="Arial" w:eastAsia="Arial" w:hAnsi="Arial"/>
          <w:sz w:val="13"/>
          <w:szCs w:val="13"/>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3"/>
          <w:szCs w:val="13"/>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18415</wp:posOffset>
            </wp:positionH>
            <wp:positionV relativeFrom="paragraph">
              <wp:posOffset>434975</wp:posOffset>
            </wp:positionV>
            <wp:extent cx="5683250" cy="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5683250" cy="1905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31750</wp:posOffset>
            </wp:positionV>
            <wp:extent cx="5683250" cy="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5683250" cy="6350"/>
                    </a:xfrm>
                    <a:prstGeom prst="rect">
                      <a:avLst/>
                    </a:prstGeom>
                    <a:noFill/>
                  </pic:spPr>
                </pic:pic>
              </a:graphicData>
            </a:graphic>
          </wp:anchor>
        </w:drawing>
        <w:drawing>
          <wp:anchor simplePos="0" relativeHeight="251657728" behindDoc="1" locked="0" layoutInCell="0" allowOverlap="1">
            <wp:simplePos x="0" y="0"/>
            <wp:positionH relativeFrom="column">
              <wp:posOffset>18415</wp:posOffset>
            </wp:positionH>
            <wp:positionV relativeFrom="paragraph">
              <wp:posOffset>63500</wp:posOffset>
            </wp:positionV>
            <wp:extent cx="5683250" cy="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5683250" cy="19050"/>
                    </a:xfrm>
                    <a:prstGeom prst="rect">
                      <a:avLst/>
                    </a:prstGeom>
                    <a:noFill/>
                  </pic:spPr>
                </pic:pic>
              </a:graphicData>
            </a:graphic>
          </wp:anchor>
        </w:drawing>
      </w:r>
    </w:p>
    <w:p>
      <w:pPr>
        <w:sectPr>
          <w:pgSz w:w="11900" w:h="16838" w:orient="portrait"/>
          <w:cols w:equalWidth="0" w:num="1">
            <w:col w:w="9600"/>
          </w:cols>
          <w:pgMar w:left="1440" w:top="295" w:right="859" w:bottom="1440" w:gutter="0" w:footer="0" w:header="0"/>
        </w:sectPr>
      </w:pPr>
    </w:p>
    <w:bookmarkStart w:id="1" w:name="page2"/>
    <w:bookmarkEnd w:id="1"/>
    <w:p>
      <w:pPr>
        <w:ind w:left="20"/>
        <w:spacing w:after="0"/>
        <w:rPr>
          <w:sz w:val="20"/>
          <w:szCs w:val="20"/>
          <w:color w:val="auto"/>
        </w:rPr>
      </w:pPr>
      <w:r>
        <w:rPr>
          <w:rFonts w:ascii="Arial" w:cs="Arial" w:eastAsia="Arial" w:hAnsi="Arial"/>
          <w:sz w:val="13"/>
          <w:szCs w:val="13"/>
          <w:b w:val="1"/>
          <w:bCs w:val="1"/>
          <w:color w:val="auto"/>
        </w:rPr>
        <w:t>Item 7.01.  Regulation FD Disclosure.</w:t>
      </w:r>
    </w:p>
    <w:p>
      <w:pPr>
        <w:spacing w:after="0" w:line="172" w:lineRule="exact"/>
        <w:rPr>
          <w:sz w:val="20"/>
          <w:szCs w:val="20"/>
          <w:color w:val="auto"/>
        </w:rPr>
      </w:pPr>
    </w:p>
    <w:p>
      <w:pPr>
        <w:ind w:left="20" w:right="39" w:firstLine="476"/>
        <w:spacing w:after="0" w:line="280" w:lineRule="auto"/>
        <w:rPr>
          <w:sz w:val="20"/>
          <w:szCs w:val="20"/>
          <w:color w:val="auto"/>
        </w:rPr>
      </w:pPr>
      <w:r>
        <w:rPr>
          <w:rFonts w:ascii="Arial" w:cs="Arial" w:eastAsia="Arial" w:hAnsi="Arial"/>
          <w:sz w:val="13"/>
          <w:szCs w:val="13"/>
          <w:color w:val="auto"/>
        </w:rPr>
        <w:t>Attached as Exhibit 99.1 is the Company's current version of its first quarter 2023 Investor Relations Presentation provided to investors and posted on the Company's website at www.ufpi.com.</w:t>
      </w:r>
    </w:p>
    <w:p>
      <w:pPr>
        <w:spacing w:after="0" w:line="127" w:lineRule="exact"/>
        <w:rPr>
          <w:sz w:val="20"/>
          <w:szCs w:val="20"/>
          <w:color w:val="auto"/>
        </w:rPr>
      </w:pPr>
    </w:p>
    <w:p>
      <w:pPr>
        <w:ind w:left="20" w:right="39" w:firstLine="476"/>
        <w:spacing w:after="0" w:line="280" w:lineRule="auto"/>
        <w:rPr>
          <w:sz w:val="20"/>
          <w:szCs w:val="20"/>
          <w:color w:val="auto"/>
        </w:rPr>
      </w:pPr>
      <w:r>
        <w:rPr>
          <w:rFonts w:ascii="Arial" w:cs="Arial" w:eastAsia="Arial" w:hAnsi="Arial"/>
          <w:sz w:val="13"/>
          <w:szCs w:val="13"/>
          <w:color w:val="auto"/>
        </w:rPr>
        <w:t>The information in this Form 8-K and the attached Exhibit shall not be deemed filed for purposes of Section 18 of the Securities Exchange Act of 1934, as amended, nor shall they be deemed incorporated by reference in any filing under the Securities Act of 1933, as amended.</w:t>
      </w:r>
    </w:p>
    <w:p>
      <w:pPr>
        <w:spacing w:after="0" w:line="123" w:lineRule="exact"/>
        <w:rPr>
          <w:sz w:val="20"/>
          <w:szCs w:val="20"/>
          <w:color w:val="auto"/>
        </w:rPr>
      </w:pPr>
    </w:p>
    <w:p>
      <w:pPr>
        <w:ind w:left="20"/>
        <w:spacing w:after="0"/>
        <w:rPr>
          <w:sz w:val="20"/>
          <w:szCs w:val="20"/>
          <w:color w:val="auto"/>
        </w:rPr>
      </w:pPr>
      <w:r>
        <w:rPr>
          <w:rFonts w:ascii="Arial" w:cs="Arial" w:eastAsia="Arial" w:hAnsi="Arial"/>
          <w:sz w:val="13"/>
          <w:szCs w:val="13"/>
          <w:b w:val="1"/>
          <w:bCs w:val="1"/>
          <w:color w:val="auto"/>
        </w:rPr>
        <w:t>Item 9.01.  Exhibits.</w:t>
      </w:r>
    </w:p>
    <w:p>
      <w:pPr>
        <w:spacing w:after="0" w:line="168" w:lineRule="exact"/>
        <w:rPr>
          <w:sz w:val="20"/>
          <w:szCs w:val="20"/>
          <w:color w:val="auto"/>
        </w:rPr>
      </w:pPr>
    </w:p>
    <w:p>
      <w:pPr>
        <w:ind w:left="20"/>
        <w:spacing w:after="0"/>
        <w:rPr>
          <w:sz w:val="20"/>
          <w:szCs w:val="20"/>
          <w:color w:val="auto"/>
        </w:rPr>
      </w:pPr>
      <w:r>
        <w:rPr>
          <w:rFonts w:ascii="Arial" w:cs="Arial" w:eastAsia="Arial" w:hAnsi="Arial"/>
          <w:sz w:val="13"/>
          <w:szCs w:val="13"/>
          <w:b w:val="1"/>
          <w:bCs w:val="1"/>
          <w:u w:val="single" w:color="auto"/>
          <w:color w:val="auto"/>
        </w:rPr>
        <w:t>Exhibits</w:t>
      </w:r>
    </w:p>
    <w:p>
      <w:pPr>
        <w:spacing w:after="0" w:line="182" w:lineRule="exact"/>
        <w:rPr>
          <w:sz w:val="20"/>
          <w:szCs w:val="20"/>
          <w:color w:val="auto"/>
        </w:rPr>
      </w:pPr>
    </w:p>
    <w:p>
      <w:pPr>
        <w:ind w:left="20"/>
        <w:spacing w:after="0"/>
        <w:tabs>
          <w:tab w:leader="none" w:pos="840" w:val="left"/>
        </w:tabs>
        <w:rPr>
          <w:sz w:val="20"/>
          <w:szCs w:val="20"/>
          <w:color w:val="auto"/>
        </w:rPr>
      </w:pPr>
      <w:r>
        <w:rPr>
          <w:rFonts w:ascii="Arial" w:cs="Arial" w:eastAsia="Arial" w:hAnsi="Arial"/>
          <w:sz w:val="13"/>
          <w:szCs w:val="13"/>
          <w:color w:val="auto"/>
        </w:rPr>
        <w:t>99.1</w:t>
      </w:r>
      <w:r>
        <w:rPr>
          <w:sz w:val="20"/>
          <w:szCs w:val="20"/>
          <w:color w:val="auto"/>
        </w:rPr>
        <w:tab/>
      </w:r>
      <w:r>
        <w:rPr>
          <w:rFonts w:ascii="Arial" w:cs="Arial" w:eastAsia="Arial" w:hAnsi="Arial"/>
          <w:sz w:val="11"/>
          <w:szCs w:val="11"/>
          <w:u w:val="single" w:color="auto"/>
          <w:color w:val="0000EE"/>
        </w:rPr>
        <w:t>2023 Investor Relations Presentation.</w:t>
      </w:r>
    </w:p>
    <w:p>
      <w:pPr>
        <w:spacing w:after="0" w:line="168" w:lineRule="exact"/>
        <w:rPr>
          <w:sz w:val="20"/>
          <w:szCs w:val="20"/>
          <w:color w:val="auto"/>
        </w:rPr>
      </w:pPr>
    </w:p>
    <w:p>
      <w:pPr>
        <w:ind w:left="860" w:hanging="832"/>
        <w:spacing w:after="0"/>
        <w:tabs>
          <w:tab w:leader="none" w:pos="860" w:val="left"/>
        </w:tabs>
        <w:numPr>
          <w:ilvl w:val="0"/>
          <w:numId w:val="2"/>
        </w:numPr>
        <w:rPr>
          <w:rFonts w:ascii="Arial" w:cs="Arial" w:eastAsia="Arial" w:hAnsi="Arial"/>
          <w:sz w:val="13"/>
          <w:szCs w:val="13"/>
          <w:color w:val="auto"/>
        </w:rPr>
      </w:pPr>
      <w:r>
        <w:rPr>
          <w:rFonts w:ascii="Arial" w:cs="Arial" w:eastAsia="Arial" w:hAnsi="Arial"/>
          <w:sz w:val="13"/>
          <w:szCs w:val="13"/>
          <w:color w:val="auto"/>
        </w:rPr>
        <w:t>Cover Page Interactive File (the cover page XBRL tags are embedded in the Inline XBRL document).</w:t>
      </w:r>
    </w:p>
    <w:p>
      <w:pPr>
        <w:spacing w:after="0" w:line="200" w:lineRule="exact"/>
        <w:rPr>
          <w:rFonts w:ascii="Arial" w:cs="Arial" w:eastAsia="Arial" w:hAnsi="Arial"/>
          <w:sz w:val="13"/>
          <w:szCs w:val="13"/>
          <w:color w:val="auto"/>
        </w:rPr>
      </w:pPr>
    </w:p>
    <w:p>
      <w:pPr>
        <w:spacing w:after="0" w:line="200" w:lineRule="exact"/>
        <w:rPr>
          <w:rFonts w:ascii="Arial" w:cs="Arial" w:eastAsia="Arial" w:hAnsi="Arial"/>
          <w:sz w:val="13"/>
          <w:szCs w:val="13"/>
          <w:color w:val="auto"/>
        </w:rPr>
      </w:pPr>
    </w:p>
    <w:p>
      <w:pPr>
        <w:spacing w:after="0" w:line="200" w:lineRule="exact"/>
        <w:rPr>
          <w:rFonts w:ascii="Arial" w:cs="Arial" w:eastAsia="Arial" w:hAnsi="Arial"/>
          <w:sz w:val="13"/>
          <w:szCs w:val="13"/>
          <w:color w:val="auto"/>
        </w:rPr>
      </w:pPr>
    </w:p>
    <w:p>
      <w:pPr>
        <w:spacing w:after="0" w:line="211" w:lineRule="exact"/>
        <w:rPr>
          <w:rFonts w:ascii="Arial" w:cs="Arial" w:eastAsia="Arial" w:hAnsi="Arial"/>
          <w:sz w:val="13"/>
          <w:szCs w:val="13"/>
          <w:color w:val="auto"/>
        </w:rPr>
      </w:pPr>
    </w:p>
    <w:p>
      <w:pPr>
        <w:ind w:left="4480"/>
        <w:spacing w:after="0"/>
        <w:rPr>
          <w:rFonts w:ascii="Arial" w:cs="Arial" w:eastAsia="Arial" w:hAnsi="Arial"/>
          <w:sz w:val="13"/>
          <w:szCs w:val="13"/>
          <w:color w:val="auto"/>
        </w:rPr>
      </w:pPr>
      <w:r>
        <w:rPr>
          <w:rFonts w:ascii="Arial" w:cs="Arial" w:eastAsia="Arial" w:hAnsi="Arial"/>
          <w:sz w:val="13"/>
          <w:szCs w:val="13"/>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262890</wp:posOffset>
            </wp:positionV>
            <wp:extent cx="5683250" cy="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5683250" cy="19050"/>
                    </a:xfrm>
                    <a:prstGeom prst="rect">
                      <a:avLst/>
                    </a:prstGeom>
                    <a:noFill/>
                  </pic:spPr>
                </pic:pic>
              </a:graphicData>
            </a:graphic>
          </wp:anchor>
        </w:drawing>
      </w:r>
    </w:p>
    <w:p>
      <w:pPr>
        <w:sectPr>
          <w:pgSz w:w="11900" w:h="16838" w:orient="portrait"/>
          <w:cols w:equalWidth="0" w:num="1">
            <w:col w:w="9019"/>
          </w:cols>
          <w:pgMar w:left="1440" w:top="840" w:right="1440" w:bottom="1440" w:gutter="0" w:footer="0" w:header="0"/>
        </w:sectPr>
      </w:pPr>
    </w:p>
    <w:bookmarkStart w:id="2" w:name="page3"/>
    <w:bookmarkEnd w:id="2"/>
    <w:p>
      <w:pPr>
        <w:jc w:val="center"/>
        <w:ind w:right="19"/>
        <w:spacing w:after="0"/>
        <w:rPr>
          <w:sz w:val="20"/>
          <w:szCs w:val="20"/>
          <w:color w:val="auto"/>
        </w:rPr>
      </w:pPr>
      <w:r>
        <w:rPr>
          <w:rFonts w:ascii="Arial" w:cs="Arial" w:eastAsia="Arial" w:hAnsi="Arial"/>
          <w:sz w:val="13"/>
          <w:szCs w:val="13"/>
          <w:b w:val="1"/>
          <w:bCs w:val="1"/>
          <w:color w:val="auto"/>
        </w:rPr>
        <w:t>SIGNATURE</w:t>
      </w:r>
    </w:p>
    <w:p>
      <w:pPr>
        <w:spacing w:after="0" w:line="172" w:lineRule="exact"/>
        <w:rPr>
          <w:sz w:val="20"/>
          <w:szCs w:val="20"/>
          <w:color w:val="auto"/>
        </w:rPr>
      </w:pPr>
    </w:p>
    <w:p>
      <w:pPr>
        <w:ind w:left="20" w:right="39" w:firstLine="476"/>
        <w:spacing w:after="0" w:line="280" w:lineRule="auto"/>
        <w:rPr>
          <w:sz w:val="20"/>
          <w:szCs w:val="20"/>
          <w:color w:val="auto"/>
        </w:rPr>
      </w:pPr>
      <w:r>
        <w:rPr>
          <w:rFonts w:ascii="Arial" w:cs="Arial" w:eastAsia="Arial" w:hAnsi="Arial"/>
          <w:sz w:val="13"/>
          <w:szCs w:val="13"/>
          <w:color w:val="auto"/>
        </w:rPr>
        <w:t>Pursuant to the requirements of the Securities Exchange Act of 1934, the registrant has duly caused this report to be signed on its behalf by the undersigned thereunto duly authorized.</w:t>
      </w:r>
    </w:p>
    <w:p>
      <w:pPr>
        <w:spacing w:after="0" w:line="137" w:lineRule="exact"/>
        <w:rPr>
          <w:sz w:val="20"/>
          <w:szCs w:val="20"/>
          <w:color w:val="auto"/>
        </w:rPr>
      </w:pPr>
    </w:p>
    <w:tbl>
      <w:tblPr>
        <w:tblLayout w:type="fixed"/>
        <w:tblInd w:w="20" w:type="dxa"/>
        <w:tblCellMar>
          <w:top w:w="0" w:type="dxa"/>
          <w:left w:w="0" w:type="dxa"/>
          <w:bottom w:w="0" w:type="dxa"/>
          <w:right w:w="0" w:type="dxa"/>
        </w:tblCellMar>
      </w:tblPr>
      <w:tr>
        <w:trPr>
          <w:trHeight w:val="159"/>
        </w:trPr>
        <w:tc>
          <w:tcPr>
            <w:tcW w:w="2800" w:type="dxa"/>
            <w:vAlign w:val="bottom"/>
          </w:tcPr>
          <w:p>
            <w:pPr>
              <w:spacing w:after="0"/>
              <w:rPr>
                <w:sz w:val="20"/>
                <w:szCs w:val="20"/>
                <w:color w:val="auto"/>
              </w:rPr>
            </w:pPr>
            <w:r>
              <w:rPr>
                <w:rFonts w:ascii="Arial" w:cs="Arial" w:eastAsia="Arial" w:hAnsi="Arial"/>
                <w:sz w:val="13"/>
                <w:szCs w:val="13"/>
                <w:color w:val="auto"/>
              </w:rPr>
              <w:t>Dated: May 15, 2023</w:t>
            </w:r>
          </w:p>
        </w:tc>
        <w:tc>
          <w:tcPr>
            <w:tcW w:w="6160" w:type="dxa"/>
            <w:vAlign w:val="bottom"/>
            <w:gridSpan w:val="2"/>
          </w:tcPr>
          <w:p>
            <w:pPr>
              <w:ind w:left="1660"/>
              <w:spacing w:after="0"/>
              <w:rPr>
                <w:sz w:val="20"/>
                <w:szCs w:val="20"/>
                <w:color w:val="auto"/>
              </w:rPr>
            </w:pPr>
            <w:r>
              <w:rPr>
                <w:rFonts w:ascii="Arial" w:cs="Arial" w:eastAsia="Arial" w:hAnsi="Arial"/>
                <w:sz w:val="13"/>
                <w:szCs w:val="13"/>
                <w:color w:val="auto"/>
              </w:rPr>
              <w:t>UFP INDUSTRIES, INC.</w:t>
            </w:r>
          </w:p>
        </w:tc>
      </w:tr>
      <w:tr>
        <w:trPr>
          <w:trHeight w:val="166"/>
        </w:trPr>
        <w:tc>
          <w:tcPr>
            <w:tcW w:w="2800" w:type="dxa"/>
            <w:vAlign w:val="bottom"/>
          </w:tcPr>
          <w:p>
            <w:pPr>
              <w:spacing w:after="0"/>
              <w:rPr>
                <w:sz w:val="14"/>
                <w:szCs w:val="14"/>
                <w:color w:val="auto"/>
              </w:rPr>
            </w:pPr>
          </w:p>
        </w:tc>
        <w:tc>
          <w:tcPr>
            <w:tcW w:w="6160" w:type="dxa"/>
            <w:vAlign w:val="bottom"/>
            <w:gridSpan w:val="2"/>
          </w:tcPr>
          <w:p>
            <w:pPr>
              <w:ind w:left="1660"/>
              <w:spacing w:after="0"/>
              <w:rPr>
                <w:sz w:val="20"/>
                <w:szCs w:val="20"/>
                <w:color w:val="auto"/>
              </w:rPr>
            </w:pPr>
            <w:r>
              <w:rPr>
                <w:rFonts w:ascii="Arial" w:cs="Arial" w:eastAsia="Arial" w:hAnsi="Arial"/>
                <w:sz w:val="13"/>
                <w:szCs w:val="13"/>
                <w:color w:val="auto"/>
              </w:rPr>
              <w:t>(Registrant)</w:t>
            </w:r>
          </w:p>
        </w:tc>
      </w:tr>
      <w:tr>
        <w:trPr>
          <w:trHeight w:val="318"/>
        </w:trPr>
        <w:tc>
          <w:tcPr>
            <w:tcW w:w="2800" w:type="dxa"/>
            <w:vAlign w:val="bottom"/>
          </w:tcPr>
          <w:p>
            <w:pPr>
              <w:spacing w:after="0"/>
              <w:rPr>
                <w:sz w:val="24"/>
                <w:szCs w:val="24"/>
                <w:color w:val="auto"/>
              </w:rPr>
            </w:pPr>
          </w:p>
        </w:tc>
        <w:tc>
          <w:tcPr>
            <w:tcW w:w="6160" w:type="dxa"/>
            <w:vAlign w:val="bottom"/>
            <w:gridSpan w:val="2"/>
          </w:tcPr>
          <w:p>
            <w:pPr>
              <w:ind w:left="1660"/>
              <w:spacing w:after="0"/>
              <w:rPr>
                <w:sz w:val="20"/>
                <w:szCs w:val="20"/>
                <w:color w:val="auto"/>
              </w:rPr>
            </w:pPr>
            <w:r>
              <w:rPr>
                <w:rFonts w:ascii="Arial" w:cs="Arial" w:eastAsia="Arial" w:hAnsi="Arial"/>
                <w:sz w:val="13"/>
                <w:szCs w:val="13"/>
                <w:color w:val="auto"/>
              </w:rPr>
              <w:t>By:  /s/ Michael R. Cole</w:t>
            </w:r>
          </w:p>
        </w:tc>
      </w:tr>
      <w:tr>
        <w:trPr>
          <w:trHeight w:val="141"/>
        </w:trPr>
        <w:tc>
          <w:tcPr>
            <w:tcW w:w="2800" w:type="dxa"/>
            <w:vAlign w:val="bottom"/>
          </w:tcPr>
          <w:p>
            <w:pPr>
              <w:spacing w:after="0"/>
              <w:rPr>
                <w:sz w:val="12"/>
                <w:szCs w:val="12"/>
                <w:color w:val="auto"/>
              </w:rPr>
            </w:pPr>
          </w:p>
        </w:tc>
        <w:tc>
          <w:tcPr>
            <w:tcW w:w="1980" w:type="dxa"/>
            <w:vAlign w:val="bottom"/>
          </w:tcPr>
          <w:p>
            <w:pPr>
              <w:spacing w:after="0"/>
              <w:rPr>
                <w:sz w:val="12"/>
                <w:szCs w:val="12"/>
                <w:color w:val="auto"/>
              </w:rPr>
            </w:pPr>
          </w:p>
        </w:tc>
        <w:tc>
          <w:tcPr>
            <w:tcW w:w="4180" w:type="dxa"/>
            <w:vAlign w:val="bottom"/>
            <w:tcBorders>
              <w:top w:val="single" w:sz="8" w:color="auto"/>
            </w:tcBorders>
          </w:tcPr>
          <w:p>
            <w:pPr>
              <w:spacing w:after="0" w:line="141" w:lineRule="exact"/>
              <w:rPr>
                <w:sz w:val="20"/>
                <w:szCs w:val="20"/>
                <w:color w:val="auto"/>
              </w:rPr>
            </w:pPr>
            <w:r>
              <w:rPr>
                <w:rFonts w:ascii="Arial" w:cs="Arial" w:eastAsia="Arial" w:hAnsi="Arial"/>
                <w:sz w:val="13"/>
                <w:szCs w:val="13"/>
                <w:color w:val="auto"/>
              </w:rPr>
              <w:t>Michael R. Cole</w:t>
            </w:r>
          </w:p>
        </w:tc>
      </w:tr>
      <w:tr>
        <w:trPr>
          <w:trHeight w:val="166"/>
        </w:trPr>
        <w:tc>
          <w:tcPr>
            <w:tcW w:w="2800" w:type="dxa"/>
            <w:vAlign w:val="bottom"/>
          </w:tcPr>
          <w:p>
            <w:pPr>
              <w:spacing w:after="0"/>
              <w:rPr>
                <w:sz w:val="14"/>
                <w:szCs w:val="14"/>
                <w:color w:val="auto"/>
              </w:rPr>
            </w:pPr>
          </w:p>
        </w:tc>
        <w:tc>
          <w:tcPr>
            <w:tcW w:w="1980" w:type="dxa"/>
            <w:vAlign w:val="bottom"/>
          </w:tcPr>
          <w:p>
            <w:pPr>
              <w:spacing w:after="0"/>
              <w:rPr>
                <w:sz w:val="14"/>
                <w:szCs w:val="14"/>
                <w:color w:val="auto"/>
              </w:rPr>
            </w:pPr>
          </w:p>
        </w:tc>
        <w:tc>
          <w:tcPr>
            <w:tcW w:w="4180" w:type="dxa"/>
            <w:vAlign w:val="bottom"/>
          </w:tcPr>
          <w:p>
            <w:pPr>
              <w:spacing w:after="0"/>
              <w:rPr>
                <w:sz w:val="20"/>
                <w:szCs w:val="20"/>
                <w:color w:val="auto"/>
              </w:rPr>
            </w:pPr>
            <w:r>
              <w:rPr>
                <w:rFonts w:ascii="Arial" w:cs="Arial" w:eastAsia="Arial" w:hAnsi="Arial"/>
                <w:sz w:val="13"/>
                <w:szCs w:val="13"/>
                <w:color w:val="auto"/>
              </w:rPr>
              <w:t>Principal Financial Officer and Treasurer</w:t>
            </w:r>
          </w:p>
        </w:tc>
      </w:tr>
      <w:tr>
        <w:trPr>
          <w:trHeight w:val="803"/>
        </w:trPr>
        <w:tc>
          <w:tcPr>
            <w:tcW w:w="2800" w:type="dxa"/>
            <w:vAlign w:val="bottom"/>
          </w:tcPr>
          <w:p>
            <w:pPr>
              <w:spacing w:after="0"/>
              <w:rPr>
                <w:sz w:val="24"/>
                <w:szCs w:val="24"/>
                <w:color w:val="auto"/>
              </w:rPr>
            </w:pPr>
          </w:p>
        </w:tc>
        <w:tc>
          <w:tcPr>
            <w:tcW w:w="1980" w:type="dxa"/>
            <w:vAlign w:val="bottom"/>
          </w:tcPr>
          <w:p>
            <w:pPr>
              <w:ind w:left="1660"/>
              <w:spacing w:after="0"/>
              <w:rPr>
                <w:sz w:val="20"/>
                <w:szCs w:val="20"/>
                <w:color w:val="auto"/>
              </w:rPr>
            </w:pPr>
            <w:r>
              <w:rPr>
                <w:rFonts w:ascii="Arial" w:cs="Arial" w:eastAsia="Arial" w:hAnsi="Arial"/>
                <w:sz w:val="13"/>
                <w:szCs w:val="13"/>
                <w:color w:val="auto"/>
              </w:rPr>
              <w:t>3</w:t>
            </w:r>
          </w:p>
        </w:tc>
        <w:tc>
          <w:tcPr>
            <w:tcW w:w="4180" w:type="dxa"/>
            <w:vAlign w:val="bottom"/>
          </w:tcPr>
          <w:p>
            <w:pPr>
              <w:spacing w:after="0"/>
              <w:rPr>
                <w:sz w:val="24"/>
                <w:szCs w:val="24"/>
                <w:color w:val="auto"/>
              </w:rPr>
            </w:pPr>
          </w:p>
        </w:tc>
      </w:tr>
      <w:tr>
        <w:trPr>
          <w:trHeight w:val="408"/>
        </w:trPr>
        <w:tc>
          <w:tcPr>
            <w:tcW w:w="2800" w:type="dxa"/>
            <w:vAlign w:val="bottom"/>
            <w:tcBorders>
              <w:bottom w:val="single" w:sz="8" w:color="auto"/>
            </w:tcBorders>
          </w:tcPr>
          <w:p>
            <w:pPr>
              <w:spacing w:after="0"/>
              <w:rPr>
                <w:sz w:val="24"/>
                <w:szCs w:val="24"/>
                <w:color w:val="auto"/>
              </w:rPr>
            </w:pPr>
          </w:p>
        </w:tc>
        <w:tc>
          <w:tcPr>
            <w:tcW w:w="1980" w:type="dxa"/>
            <w:vAlign w:val="bottom"/>
            <w:tcBorders>
              <w:bottom w:val="single" w:sz="8" w:color="auto"/>
            </w:tcBorders>
          </w:tcPr>
          <w:p>
            <w:pPr>
              <w:spacing w:after="0"/>
              <w:rPr>
                <w:sz w:val="24"/>
                <w:szCs w:val="24"/>
                <w:color w:val="auto"/>
              </w:rPr>
            </w:pPr>
          </w:p>
        </w:tc>
        <w:tc>
          <w:tcPr>
            <w:tcW w:w="418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840" w:right="1440" w:bottom="1440" w:gutter="0" w:footer="0" w:header="0"/>
        </w:sectPr>
      </w:pPr>
    </w:p>
    <w:bookmarkStart w:id="3" w:name="page4"/>
    <w:bookmarkEnd w:id="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 w:name="page5"/>
    <w:bookmarkEnd w:id="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0" w:name="page31"/>
    <w:bookmarkEnd w:id="3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1" w:name="page32"/>
    <w:bookmarkEnd w:id="3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2" w:name="page33"/>
    <w:bookmarkEnd w:id="3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3" w:name="page34"/>
    <w:bookmarkEnd w:id="3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4" w:name="page35"/>
    <w:bookmarkEnd w:id="3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5" w:name="page36"/>
    <w:bookmarkEnd w:id="3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6" w:name="page37"/>
    <w:bookmarkEnd w:id="3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7" w:name="page38"/>
    <w:bookmarkEnd w:id="3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234315</wp:posOffset>
            </wp:positionH>
            <wp:positionV relativeFrom="page">
              <wp:posOffset>88900</wp:posOffset>
            </wp:positionV>
            <wp:extent cx="6936105" cy="56140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6936105" cy="561403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43C9869"/>
    <w:multiLevelType w:val="hybridMultilevel"/>
    <w:lvl w:ilvl="0">
      <w:lvlJc w:val="left"/>
      <w:lvlText w:val="☐"/>
      <w:numFmt w:val="bullet"/>
      <w:start w:val="1"/>
    </w:lvl>
  </w:abstractNum>
  <w:abstractNum w:abstractNumId="1">
    <w:nsid w:val="66334873"/>
    <w:multiLevelType w:val="hybridMultilevel"/>
    <w:lvl w:ilvl="0">
      <w:lvlJc w:val="left"/>
      <w:lvlText w:val="%1"/>
      <w:numFmt w:val="decimal"/>
      <w:start w:val="104"/>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2023-05-15T13:04:56Z</dcterms:created>
  <dcterms:modified xsi:type="dcterms:W3CDTF">2023-05-15T13:04:56Z</dcterms:modified>
</cp:coreProperties>
</file>