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257175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8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33" w:lineRule="exact"/>
        <w:rPr>
          <w:sz w:val="24"/>
          <w:szCs w:val="24"/>
          <w:color w:val="auto"/>
        </w:rPr>
      </w:pPr>
    </w:p>
    <w:p>
      <w:pPr>
        <w:ind w:left="650" w:right="360" w:hanging="650"/>
        <w:spacing w:after="0" w:line="269" w:lineRule="auto"/>
        <w:tabs>
          <w:tab w:leader="none" w:pos="65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ANNUAL REPORT PURSUANT TO SECTION 13 OR 15(d) OF THE SECURITIES EXCHANGE ACT OF 1934. For the fiscal year ended </w:t>
      </w:r>
      <w:r>
        <w:rPr>
          <w:rFonts w:ascii="Times New Roman" w:cs="Times New Roman" w:eastAsia="Times New Roman" w:hAnsi="Times New Roman"/>
          <w:sz w:val="16"/>
          <w:szCs w:val="16"/>
          <w:u w:val="single" w:color="auto"/>
          <w:color w:val="auto"/>
        </w:rPr>
        <w:t>December 28, 2024</w:t>
      </w:r>
      <w:r>
        <w:rPr>
          <w:rFonts w:ascii="Times New Roman" w:cs="Times New Roman" w:eastAsia="Times New Roman" w:hAnsi="Times New Roman"/>
          <w:sz w:val="16"/>
          <w:szCs w:val="16"/>
          <w:color w:val="auto"/>
        </w:rPr>
        <w:t>.</w:t>
      </w:r>
    </w:p>
    <w:p>
      <w:pPr>
        <w:jc w:val="center"/>
        <w:ind w:right="-9"/>
        <w:spacing w:after="0"/>
        <w:rPr>
          <w:sz w:val="20"/>
          <w:szCs w:val="20"/>
          <w:color w:val="auto"/>
        </w:rPr>
      </w:pPr>
      <w:r>
        <w:rPr>
          <w:rFonts w:ascii="Times New Roman" w:cs="Times New Roman" w:eastAsia="Times New Roman" w:hAnsi="Times New Roman"/>
          <w:sz w:val="16"/>
          <w:szCs w:val="16"/>
          <w:color w:val="auto"/>
        </w:rPr>
        <w:t>OR</w:t>
      </w:r>
    </w:p>
    <w:p>
      <w:pPr>
        <w:spacing w:after="0" w:line="19" w:lineRule="exact"/>
        <w:rPr>
          <w:sz w:val="24"/>
          <w:szCs w:val="24"/>
          <w:color w:val="auto"/>
        </w:rPr>
      </w:pPr>
    </w:p>
    <w:p>
      <w:pPr>
        <w:ind w:left="650" w:right="100" w:hanging="650"/>
        <w:spacing w:after="0" w:line="288" w:lineRule="auto"/>
        <w:tabs>
          <w:tab w:leader="none" w:pos="65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of ____ to _____.</w:t>
      </w:r>
    </w:p>
    <w:p>
      <w:pPr>
        <w:spacing w:after="0" w:line="6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Commission File No.: 0-22684</w:t>
      </w:r>
    </w:p>
    <w:p>
      <w:pPr>
        <w:spacing w:after="0" w:line="2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5"/>
          <w:szCs w:val="25"/>
          <w:b w:val="1"/>
          <w:bCs w:val="1"/>
          <w:color w:val="auto"/>
        </w:rPr>
        <w:t>UFP INDUSTRIES, INC.</w:t>
      </w:r>
    </w:p>
    <w:p>
      <w:pPr>
        <w:spacing w:after="0" w:line="2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0230"/>
          </w:cols>
          <w:pgMar w:left="830" w:top="661" w:right="839" w:bottom="1440" w:gutter="0" w:footer="0" w:header="0"/>
        </w:sectPr>
      </w:pPr>
    </w:p>
    <w:p>
      <w:pPr>
        <w:spacing w:after="0" w:line="120" w:lineRule="exact"/>
        <w:rPr>
          <w:sz w:val="24"/>
          <w:szCs w:val="24"/>
          <w:color w:val="auto"/>
        </w:rPr>
      </w:pPr>
    </w:p>
    <w:p>
      <w:pPr>
        <w:jc w:val="center"/>
        <w:ind w:right="730"/>
        <w:spacing w:after="0"/>
        <w:rPr>
          <w:sz w:val="20"/>
          <w:szCs w:val="20"/>
          <w:color w:val="auto"/>
        </w:rPr>
      </w:pPr>
      <w:r>
        <w:rPr>
          <w:rFonts w:ascii="Times New Roman" w:cs="Times New Roman" w:eastAsia="Times New Roman" w:hAnsi="Times New Roman"/>
          <w:sz w:val="16"/>
          <w:szCs w:val="16"/>
          <w:b w:val="1"/>
          <w:bCs w:val="1"/>
          <w:color w:val="auto"/>
        </w:rPr>
        <w:t>Michigan</w:t>
      </w:r>
    </w:p>
    <w:p>
      <w:pPr>
        <w:spacing w:after="0" w:line="28" w:lineRule="exact"/>
        <w:rPr>
          <w:sz w:val="24"/>
          <w:szCs w:val="24"/>
          <w:color w:val="auto"/>
        </w:rPr>
      </w:pPr>
    </w:p>
    <w:p>
      <w:pPr>
        <w:jc w:val="center"/>
        <w:ind w:right="73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6"/>
          <w:szCs w:val="16"/>
          <w:b w:val="1"/>
          <w:bCs w:val="1"/>
          <w:color w:val="auto"/>
        </w:rPr>
        <w:t>38-1465835</w:t>
      </w:r>
    </w:p>
    <w:p>
      <w:pPr>
        <w:spacing w:after="0" w:line="28"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03" w:lineRule="exact"/>
        <w:rPr>
          <w:sz w:val="24"/>
          <w:szCs w:val="24"/>
          <w:color w:val="auto"/>
        </w:rPr>
      </w:pPr>
    </w:p>
    <w:p>
      <w:pPr>
        <w:sectPr>
          <w:pgSz w:w="11900" w:h="16838" w:orient="portrait"/>
          <w:cols w:equalWidth="0" w:num="2">
            <w:col w:w="5870" w:space="720"/>
            <w:col w:w="3640"/>
          </w:cols>
          <w:pgMar w:left="830" w:top="661" w:right="839" w:bottom="1440" w:gutter="0" w:footer="0" w:header="0"/>
          <w:type w:val="continuous"/>
        </w:sectPr>
      </w:pPr>
    </w:p>
    <w:p>
      <w:pPr>
        <w:jc w:val="center"/>
        <w:ind w:right="1550"/>
        <w:spacing w:after="0"/>
        <w:rPr>
          <w:sz w:val="20"/>
          <w:szCs w:val="20"/>
          <w:color w:val="auto"/>
        </w:rPr>
      </w:pPr>
      <w:r>
        <w:rPr>
          <w:rFonts w:ascii="Times New Roman" w:cs="Times New Roman" w:eastAsia="Times New Roman" w:hAnsi="Times New Roman"/>
          <w:sz w:val="16"/>
          <w:szCs w:val="16"/>
          <w:b w:val="1"/>
          <w:bCs w:val="1"/>
          <w:color w:val="auto"/>
        </w:rPr>
        <w:t>2801 East Beltline, N.E., Grand Rapids, Michigan</w:t>
      </w:r>
    </w:p>
    <w:p>
      <w:pPr>
        <w:spacing w:after="0" w:line="28" w:lineRule="exact"/>
        <w:rPr>
          <w:sz w:val="24"/>
          <w:szCs w:val="24"/>
          <w:color w:val="auto"/>
        </w:rPr>
      </w:pPr>
    </w:p>
    <w:p>
      <w:pPr>
        <w:jc w:val="center"/>
        <w:ind w:right="155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Times New Roman" w:cs="Times New Roman" w:eastAsia="Times New Roman" w:hAnsi="Times New Roman"/>
          <w:sz w:val="16"/>
          <w:szCs w:val="16"/>
          <w:b w:val="1"/>
          <w:bCs w:val="1"/>
          <w:color w:val="auto"/>
        </w:rPr>
        <w:t>49525</w:t>
      </w:r>
    </w:p>
    <w:p>
      <w:pPr>
        <w:spacing w:after="0" w:line="28"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5"/>
          <w:szCs w:val="15"/>
          <w:color w:val="auto"/>
        </w:rPr>
        <w:t>(Zip Code)</w:t>
      </w:r>
    </w:p>
    <w:p>
      <w:pPr>
        <w:spacing w:after="0" w:line="74" w:lineRule="exact"/>
        <w:rPr>
          <w:sz w:val="24"/>
          <w:szCs w:val="24"/>
          <w:color w:val="auto"/>
        </w:rPr>
      </w:pPr>
    </w:p>
    <w:p>
      <w:pPr>
        <w:sectPr>
          <w:pgSz w:w="11900" w:h="16838" w:orient="portrait"/>
          <w:cols w:equalWidth="0" w:num="2">
            <w:col w:w="6690" w:space="720"/>
            <w:col w:w="2820"/>
          </w:cols>
          <w:pgMar w:left="830" w:top="661" w:right="839" w:bottom="1440" w:gutter="0" w:footer="0" w:header="0"/>
          <w:type w:val="continuous"/>
        </w:sectPr>
      </w:pPr>
    </w:p>
    <w:p>
      <w:pPr>
        <w:ind w:left="1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(616) 364-6161</w:t>
      </w:r>
    </w:p>
    <w:p>
      <w:pPr>
        <w:spacing w:after="0" w:line="88"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0230"/>
          </w:cols>
          <w:pgMar w:left="830" w:top="661" w:right="839" w:bottom="1440" w:gutter="0" w:footer="0" w:header="0"/>
          <w:type w:val="continuous"/>
        </w:sectPr>
      </w:pPr>
    </w:p>
    <w:p>
      <w:pPr>
        <w:spacing w:after="0" w:line="100" w:lineRule="exact"/>
        <w:rPr>
          <w:sz w:val="24"/>
          <w:szCs w:val="24"/>
          <w:color w:val="auto"/>
        </w:rPr>
      </w:pPr>
    </w:p>
    <w:p>
      <w:pPr>
        <w:jc w:val="center"/>
        <w:ind w:right="29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6" w:lineRule="exact"/>
        <w:rPr>
          <w:sz w:val="24"/>
          <w:szCs w:val="24"/>
          <w:color w:val="auto"/>
        </w:rPr>
      </w:pPr>
    </w:p>
    <w:p>
      <w:pPr>
        <w:jc w:val="center"/>
        <w:ind w:right="290"/>
        <w:spacing w:after="0"/>
        <w:rPr>
          <w:sz w:val="20"/>
          <w:szCs w:val="20"/>
          <w:color w:val="auto"/>
        </w:rPr>
      </w:pPr>
      <w:r>
        <w:rPr>
          <w:rFonts w:ascii="Times New Roman" w:cs="Times New Roman" w:eastAsia="Times New Roman" w:hAnsi="Times New Roman"/>
          <w:sz w:val="16"/>
          <w:szCs w:val="16"/>
          <w:b w:val="1"/>
          <w:bCs w:val="1"/>
          <w:color w:val="auto"/>
        </w:rPr>
        <w:t>Common Stock, $1 par value</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6"/>
          <w:szCs w:val="16"/>
          <w:color w:val="auto"/>
        </w:rPr>
        <w:t>Trading Symbol</w:t>
      </w:r>
    </w:p>
    <w:p>
      <w:pPr>
        <w:spacing w:after="0" w:line="26"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UFPI</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2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p>
      <w:pPr>
        <w:spacing w:after="0" w:line="29" w:lineRule="exact"/>
        <w:rPr>
          <w:sz w:val="24"/>
          <w:szCs w:val="24"/>
          <w:color w:val="auto"/>
        </w:rPr>
      </w:pPr>
    </w:p>
    <w:p>
      <w:pPr>
        <w:sectPr>
          <w:pgSz w:w="11900" w:h="16838" w:orient="portrait"/>
          <w:cols w:equalWidth="0" w:num="3">
            <w:col w:w="3710" w:space="720"/>
            <w:col w:w="1720" w:space="720"/>
            <w:col w:w="3360"/>
          </w:cols>
          <w:pgMar w:left="830" w:top="661" w:right="839" w:bottom="1440" w:gutter="0" w:footer="0" w:header="0"/>
          <w:type w:val="continuous"/>
        </w:sectPr>
      </w:pPr>
    </w:p>
    <w:p>
      <w:pPr>
        <w:spacing w:after="0" w:line="3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3">
            <w:col w:w="7610" w:space="120"/>
            <w:col w:w="420" w:space="480"/>
            <w:col w:w="1600"/>
          </w:cols>
          <w:pgMar w:left="830" w:top="661" w:right="839" w:bottom="1440" w:gutter="0" w:footer="0" w:header="0"/>
          <w:type w:val="continuous"/>
        </w:sectPr>
      </w:pPr>
    </w:p>
    <w:p>
      <w:pPr>
        <w:spacing w:after="0" w:line="3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33" w:lineRule="exact"/>
        <w:rPr>
          <w:sz w:val="24"/>
          <w:szCs w:val="24"/>
          <w:color w:val="auto"/>
        </w:rPr>
      </w:pPr>
    </w:p>
    <w:p>
      <w:pPr>
        <w:sectPr>
          <w:pgSz w:w="11900" w:h="16838" w:orient="portrait"/>
          <w:cols w:equalWidth="0" w:num="3">
            <w:col w:w="7750" w:space="120"/>
            <w:col w:w="420" w:space="500"/>
            <w:col w:w="1440"/>
          </w:cols>
          <w:pgMar w:left="830" w:top="661" w:right="839" w:bottom="1440" w:gutter="0" w:footer="0" w:header="0"/>
          <w:type w:val="continuous"/>
        </w:sectPr>
      </w:pPr>
    </w:p>
    <w:p>
      <w:pPr>
        <w:jc w:val="both"/>
        <w:ind w:left="1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left="1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jc w:val="both"/>
        <w:ind w:left="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p>
      <w:pPr>
        <w:ind w:left="410"/>
        <w:spacing w:after="0" w:line="184" w:lineRule="exact"/>
        <w:tabs>
          <w:tab w:leader="none" w:pos="2310" w:val="left"/>
          <w:tab w:leader="none" w:pos="3830" w:val="left"/>
          <w:tab w:leader="none" w:pos="5510" w:val="left"/>
          <w:tab w:leader="none" w:pos="777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109" w:lineRule="exact"/>
        <w:rPr>
          <w:sz w:val="24"/>
          <w:szCs w:val="24"/>
          <w:color w:val="auto"/>
        </w:rPr>
      </w:pPr>
    </w:p>
    <w:p>
      <w:pPr>
        <w:ind w:left="10" w:right="2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left="10" w:righ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6" w:lineRule="exact"/>
        <w:rPr>
          <w:sz w:val="24"/>
          <w:szCs w:val="24"/>
          <w:color w:val="auto"/>
        </w:rPr>
      </w:pPr>
    </w:p>
    <w:p>
      <w:pPr>
        <w:jc w:val="both"/>
        <w:ind w:left="10" w:right="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left="1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ind w:left="10"/>
        <w:spacing w:after="0" w:line="184" w:lineRule="exact"/>
        <w:tabs>
          <w:tab w:leader="none" w:pos="769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20" w:lineRule="exact"/>
        <w:rPr>
          <w:sz w:val="24"/>
          <w:szCs w:val="24"/>
          <w:color w:val="auto"/>
        </w:rPr>
      </w:pPr>
    </w:p>
    <w:p>
      <w:pPr>
        <w:jc w:val="both"/>
        <w:ind w:left="10"/>
        <w:spacing w:after="0" w:line="281"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(i.e. excluding shares held by executive officers, directors, and control persons as defined in Rule 405, 17 CFR 230.405) on June 29, 2024 (which was the last trading day of the registrant’s second quarter in the fiscal year ended December 28, 2024) was $6,374,807,220 computed at the closing price of $111.42 on that date.</w:t>
      </w:r>
    </w:p>
    <w:p>
      <w:pPr>
        <w:spacing w:after="0" w:line="4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As of February 1, 2025, 60,662,743 shares of the registrant’s common stock, $1 par value, were outstanding.</w:t>
      </w:r>
    </w:p>
    <w:p>
      <w:pPr>
        <w:spacing w:after="0" w:line="86" w:lineRule="exact"/>
        <w:rPr>
          <w:sz w:val="24"/>
          <w:szCs w:val="24"/>
          <w:color w:val="auto"/>
        </w:rPr>
      </w:pPr>
    </w:p>
    <w:p>
      <w:pPr>
        <w:jc w:val="center"/>
        <w:ind w:right="230"/>
        <w:spacing w:after="0"/>
        <w:rPr>
          <w:sz w:val="20"/>
          <w:szCs w:val="20"/>
          <w:color w:val="auto"/>
        </w:rPr>
      </w:pPr>
      <w:r>
        <w:rPr>
          <w:rFonts w:ascii="Times New Roman" w:cs="Times New Roman" w:eastAsia="Times New Roman" w:hAnsi="Times New Roman"/>
          <w:sz w:val="16"/>
          <w:szCs w:val="16"/>
          <w:color w:val="auto"/>
        </w:rPr>
        <w:t>Certain portions of the registrant’s Proxy Statement for its 2025 Annual Meeting of Shareholders are incorporated by reference into Part III of this Report.</w:t>
      </w:r>
    </w:p>
    <w:p>
      <w:pPr>
        <w:spacing w:after="0" w:line="8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Exhibit Index located on page E-74.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517525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88900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132080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40" w:type="dxa"/>
            <w:vAlign w:val="bottom"/>
            <w:gridSpan w:val="21"/>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4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40" w:type="dxa"/>
            <w:vAlign w:val="bottom"/>
            <w:gridSpan w:val="21"/>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460" w:type="dxa"/>
            <w:vAlign w:val="bottom"/>
          </w:tcPr>
          <w:p>
            <w:pPr>
              <w:spacing w:after="0"/>
              <w:rPr>
                <w:sz w:val="18"/>
                <w:szCs w:val="18"/>
                <w:color w:val="auto"/>
              </w:rPr>
            </w:pPr>
          </w:p>
        </w:tc>
      </w:t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40" w:type="dxa"/>
            <w:vAlign w:val="bottom"/>
            <w:gridSpan w:val="21"/>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0"/>
                <w:szCs w:val="20"/>
                <w:color w:val="auto"/>
              </w:rPr>
            </w:pPr>
          </w:p>
        </w:tc>
      </w:tr>
      <w:tr>
        <w:trPr>
          <w:trHeight w:val="405"/>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15"/>
          </w:tcPr>
          <w:p>
            <w:pPr>
              <w:jc w:val="center"/>
              <w:ind w:right="366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460" w:type="dxa"/>
            <w:vAlign w:val="bottom"/>
          </w:tcPr>
          <w:p>
            <w:pPr>
              <w:spacing w:after="0"/>
              <w:rPr>
                <w:sz w:val="24"/>
                <w:szCs w:val="24"/>
                <w:color w:val="auto"/>
              </w:rPr>
            </w:pPr>
          </w:p>
        </w:tc>
      </w:tr>
      <w:tr>
        <w:trPr>
          <w:trHeight w:val="412"/>
        </w:trPr>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w:t>
            </w:r>
          </w:p>
        </w:tc>
        <w:tc>
          <w:tcPr>
            <w:tcW w:w="33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tcBorders>
              <w:top w:val="single" w:sz="8" w:color="0000EE"/>
            </w:tcBorders>
            <w:gridSpan w:val="2"/>
          </w:tcPr>
          <w:p>
            <w:pPr>
              <w:spacing w:after="0"/>
              <w:rPr>
                <w:sz w:val="24"/>
                <w:szCs w:val="24"/>
                <w:color w:val="auto"/>
              </w:rPr>
            </w:pPr>
          </w:p>
        </w:tc>
        <w:tc>
          <w:tcPr>
            <w:tcW w:w="370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w:t>
            </w:r>
          </w:p>
        </w:tc>
        <w:tc>
          <w:tcPr>
            <w:tcW w:w="160" w:type="dxa"/>
            <w:vAlign w:val="bottom"/>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1B.</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1C.</w:t>
            </w:r>
          </w:p>
        </w:tc>
        <w:tc>
          <w:tcPr>
            <w:tcW w:w="240" w:type="dxa"/>
            <w:vAlign w:val="bottom"/>
            <w:gridSpan w:val="2"/>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240" w:type="dxa"/>
            <w:vAlign w:val="bottom"/>
            <w:gridSpan w:val="2"/>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844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Additional item: Executive Officers of the Registrant.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660" w:type="dxa"/>
            <w:vAlign w:val="bottom"/>
            <w:gridSpan w:val="11"/>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76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Shareholder Matters and Issuer Purchases of Equity</w:t>
            </w:r>
          </w:p>
        </w:tc>
        <w:tc>
          <w:tcPr>
            <w:tcW w:w="46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Securities.</w:t>
            </w:r>
          </w:p>
        </w:tc>
        <w:tc>
          <w:tcPr>
            <w:tcW w:w="6840" w:type="dxa"/>
            <w:vAlign w:val="bottom"/>
            <w:gridSpan w:val="2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w:t>
            </w:r>
          </w:p>
        </w:tc>
        <w:tc>
          <w:tcPr>
            <w:tcW w:w="160" w:type="dxa"/>
            <w:vAlign w:val="bottom"/>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160" w:type="dxa"/>
            <w:vAlign w:val="bottom"/>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w:t>
            </w:r>
          </w:p>
        </w:tc>
        <w:tc>
          <w:tcPr>
            <w:tcW w:w="160" w:type="dxa"/>
            <w:vAlign w:val="bottom"/>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9B.</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9C.</w:t>
            </w:r>
          </w:p>
        </w:tc>
        <w:tc>
          <w:tcPr>
            <w:tcW w:w="240" w:type="dxa"/>
            <w:vAlign w:val="bottom"/>
            <w:gridSpan w:val="2"/>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940" w:type="dxa"/>
            <w:vAlign w:val="bottom"/>
            <w:tcBorders>
              <w:top w:val="single" w:sz="8" w:color="0000EE"/>
            </w:tcBorders>
            <w:gridSpan w:val="3"/>
          </w:tcPr>
          <w:p>
            <w:pPr>
              <w:spacing w:after="0"/>
              <w:rPr>
                <w:sz w:val="24"/>
                <w:szCs w:val="24"/>
                <w:color w:val="auto"/>
              </w:rPr>
            </w:pPr>
          </w:p>
        </w:tc>
        <w:tc>
          <w:tcPr>
            <w:tcW w:w="268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10.</w:t>
            </w:r>
          </w:p>
        </w:tc>
        <w:tc>
          <w:tcPr>
            <w:tcW w:w="240" w:type="dxa"/>
            <w:vAlign w:val="bottom"/>
            <w:gridSpan w:val="2"/>
          </w:tcPr>
          <w:p>
            <w:pPr>
              <w:spacing w:after="0"/>
              <w:rPr>
                <w:sz w:val="24"/>
                <w:szCs w:val="24"/>
                <w:color w:val="auto"/>
              </w:rPr>
            </w:pPr>
          </w:p>
        </w:tc>
        <w:tc>
          <w:tcPr>
            <w:tcW w:w="76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11.</w:t>
            </w:r>
          </w:p>
        </w:tc>
        <w:tc>
          <w:tcPr>
            <w:tcW w:w="240" w:type="dxa"/>
            <w:vAlign w:val="bottom"/>
            <w:gridSpan w:val="2"/>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12.</w:t>
            </w:r>
          </w:p>
        </w:tc>
        <w:tc>
          <w:tcPr>
            <w:tcW w:w="240" w:type="dxa"/>
            <w:vAlign w:val="bottom"/>
            <w:gridSpan w:val="2"/>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Shareholder Matters.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00" w:type="dxa"/>
            <w:vAlign w:val="bottom"/>
            <w:gridSpan w:val="9"/>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13.</w:t>
            </w:r>
          </w:p>
        </w:tc>
        <w:tc>
          <w:tcPr>
            <w:tcW w:w="240" w:type="dxa"/>
            <w:vAlign w:val="bottom"/>
            <w:gridSpan w:val="2"/>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00" w:type="dxa"/>
            <w:vAlign w:val="bottom"/>
            <w:gridSpan w:val="9"/>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14.</w:t>
            </w:r>
          </w:p>
        </w:tc>
        <w:tc>
          <w:tcPr>
            <w:tcW w:w="240" w:type="dxa"/>
            <w:vAlign w:val="bottom"/>
            <w:gridSpan w:val="2"/>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gridSpan w:val="17"/>
          </w:tcPr>
          <w:p>
            <w:pPr>
              <w:jc w:val="center"/>
              <w:ind w:right="3640"/>
              <w:spacing w:after="0"/>
              <w:rPr>
                <w:sz w:val="20"/>
                <w:szCs w:val="20"/>
                <w:color w:val="auto"/>
              </w:rPr>
            </w:pPr>
            <w:r>
              <w:rPr>
                <w:rFonts w:ascii="Times New Roman" w:cs="Times New Roman" w:eastAsia="Times New Roman" w:hAnsi="Times New Roman"/>
                <w:sz w:val="18"/>
                <w:szCs w:val="18"/>
                <w:b w:val="1"/>
                <w:bCs w:val="1"/>
                <w:color w:val="0000EE"/>
                <w:w w:val="97"/>
              </w:rPr>
              <w:t>PART IV</w:t>
            </w:r>
          </w:p>
        </w:tc>
        <w:tc>
          <w:tcPr>
            <w:tcW w:w="460" w:type="dxa"/>
            <w:vAlign w:val="bottom"/>
          </w:tcPr>
          <w:p>
            <w:pPr>
              <w:spacing w:after="0"/>
              <w:rPr>
                <w:sz w:val="24"/>
                <w:szCs w:val="24"/>
                <w:color w:val="auto"/>
              </w:rPr>
            </w:pPr>
          </w:p>
        </w:tc>
      </w:tr>
      <w:tr>
        <w:trPr>
          <w:trHeight w:val="4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15.</w:t>
            </w:r>
          </w:p>
        </w:tc>
        <w:tc>
          <w:tcPr>
            <w:tcW w:w="240" w:type="dxa"/>
            <w:vAlign w:val="bottom"/>
            <w:gridSpan w:val="2"/>
          </w:tcPr>
          <w:p>
            <w:pPr>
              <w:spacing w:after="0"/>
              <w:rPr>
                <w:sz w:val="24"/>
                <w:szCs w:val="24"/>
                <w:color w:val="auto"/>
              </w:rPr>
            </w:pPr>
          </w:p>
        </w:tc>
        <w:tc>
          <w:tcPr>
            <w:tcW w:w="32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700" w:type="dxa"/>
            <w:vAlign w:val="bottom"/>
            <w:tcBorders>
              <w:top w:val="single" w:sz="8" w:color="0000EE"/>
            </w:tcBorders>
            <w:gridSpan w:val="6"/>
          </w:tcPr>
          <w:p>
            <w:pPr>
              <w:spacing w:after="0"/>
              <w:rPr>
                <w:sz w:val="24"/>
                <w:szCs w:val="24"/>
                <w:color w:val="auto"/>
              </w:rPr>
            </w:pPr>
          </w:p>
        </w:tc>
        <w:tc>
          <w:tcPr>
            <w:tcW w:w="3640" w:type="dxa"/>
            <w:vAlign w:val="bottom"/>
            <w:gridSpan w:val="10"/>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0" w:type="dxa"/>
            <w:vAlign w:val="bottom"/>
            <w:gridSpan w:val="11"/>
            <w:shd w:val="clear" w:color="auto" w:fill="0000EE"/>
          </w:tcPr>
          <w:p>
            <w:pPr>
              <w:spacing w:after="0" w:line="20" w:lineRule="exact"/>
              <w:rPr>
                <w:sz w:val="1"/>
                <w:szCs w:val="1"/>
                <w:color w:val="auto"/>
              </w:rPr>
            </w:pPr>
          </w:p>
        </w:tc>
        <w:tc>
          <w:tcPr>
            <w:tcW w:w="4420" w:type="dxa"/>
            <w:vAlign w:val="bottom"/>
            <w:gridSpan w:val="1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844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Exhibit Index.</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General Development of the Business.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UFP Industries, Inc. (“we,” “our,” “the Company,” or “UFP”) is a holding company with subsidiaries throughout the United States, Mexico, Canada, Spain, India, United Arab Emirates and Australia that design, manufacture and supply products made from wood, wood and non-wood composites, and other materials to three markets: retail, packaging, and construction. We are headquartered in Grand Rapids, Michigan.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Information relating to current developments in our business is incorporated by reference from our Annual Report to Shareholders for the fiscal year ended December 28, 2024 ("2024 Annual Report") under the caption "Management’s Discussion and Analysis of Financial Condition and Results of Operations." Selected portions of the 2024 Annual Report are presented under Item 8 herein with this Form 10-K Report.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 About Segments.</w:t>
      </w:r>
    </w:p>
    <w:p>
      <w:pPr>
        <w:spacing w:after="0" w:line="227"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 xml:space="preserve">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business segments consist of UFP Retail Solutions, UFP Packaging and UFP Construction and align with the end markets we serve. Among other things, this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exception to this market-centered reporting and management structure is our International segment, which comprises our Mexico, Canada, Spain, India, United Arab Emirates and Australia operations, and sales and buying offices in other parts of the world. Our International segment and Ardellis, our insurance captive, are referred to as “All Other” throughout this report.</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Corporate segment includes purchasing, transportation, corporate ventures, and administrative functions that serve our operating segments. Operating results of Corporate primarily consist of net sales to external customers initiated by UFP Purchasing and UFP Transportation and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Narrative Description of Business.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Historically, we owned and operated a number of manufacturing facilities across North America that served our various markets, and we managed those operations primarily on a geographic basis. As part of that structure, the managers of those facilities and geographic business units were responsible for and compensated on the basis of each facility's, unit's, and region's respective financial performance. This structure fostered a strong entrepreneurial and sales culture, as well as significant revenue growth – from 2011 to 2019 our revenues increased from $1.8 billion to $4.4 billion. We believe that the duration and durability of our relationships with many of our customers, which extend over several decades with certain key customers, is a reflection of our strong sales culture and intense focus on providing custom solutions.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growth in our business, and in the size and number of our customers, generated an increased need for a deeper understanding of the markets we serve, as well as the need to offer more complete solutions, services, and products for existing and prospective customers. That need, combined with our growth objectives, required a structure that would reorient the Company’s focus from geography to end markets. Our 2020 restructuring accomplished that objective and now allows us to better serve our customers, recognize and exploit market opportunities, enhance the efficiency of our operations, and improve the deployment of capital. At the same time, we continue to maintain our existing compensation philosophy and practices of rewarding the financial performance of our plants, business units, and segments, based upon pre-bonus operating profits and return on investment, to preserve our strong entrepreneurial and sales culture.</w:t>
      </w:r>
    </w:p>
    <w:p>
      <w:pPr>
        <w:spacing w:after="0" w:line="192"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Our business segments are functionally interdependent and are supported by common corporate services, such as accounting and finance, information technology, human resources, legal and compliance, and others. We regularly invest in automation and create best practices to improve the efficiency of our manufacturing facilities across each of the segments. The results and improvements from these investments are shared among the segments. This exchange of improvements and ideas has also prompted better and faster innovation for new products, processes, and product improvements.</w:t>
      </w:r>
    </w:p>
    <w:p>
      <w:pPr>
        <w:spacing w:after="0" w:line="16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Importantly, the restructuring allows us to better evaluate market conditions and opportunities, while effectively allocating capital and resources to the appropriate segments and business units. Also, we believe that the diversification and manner in which we operate our business provides an inherent hedge against the inevitable business cycles that our markets experience and over which we have little control. Accordingly, our goal is to provide stable earnings and cash flows to our shareholders. Our diversification and operating practices also mitigate the impact of volatile lumber market conditions experienced by traditional lumber companies.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u w:val="single" w:color="auto"/>
          <w:color w:val="auto"/>
        </w:rPr>
        <w:t>Retail Solutions segment</w:t>
      </w:r>
      <w:r>
        <w:rPr>
          <w:rFonts w:ascii="Times New Roman" w:cs="Times New Roman" w:eastAsia="Times New Roman" w:hAnsi="Times New Roman"/>
          <w:sz w:val="18"/>
          <w:szCs w:val="18"/>
          <w:color w:val="auto"/>
        </w:rPr>
        <w:t>. Our Retail Solutions segment is comprised of the following business units: ProWood, Deckorators and UFP-Edge. The segment is focused on distinct product offerings which are grouped by brands and business units. These groupings may change periodically as opportunities to gain efficiencies occur or new products that deliver increased scale and synergy are developed.</w:t>
      </w:r>
    </w:p>
    <w:p>
      <w:pPr>
        <w:spacing w:after="0" w:line="17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ProWood</w:t>
      </w:r>
      <w:r>
        <w:rPr>
          <w:rFonts w:ascii="Times New Roman" w:cs="Times New Roman" w:eastAsia="Times New Roman" w:hAnsi="Times New Roman"/>
          <w:sz w:val="18"/>
          <w:szCs w:val="18"/>
          <w:color w:val="auto"/>
        </w:rPr>
        <w:t>. Our ProWood business unit manufactures and sells pressure-treated lumber products,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decking, fencing, and lattice, as well as decorative and functional lawn and garden products to building products retailers across the U.S. This business unit includes our branded ProWood line of pressure-treated and fire-retardant products used primarily for outdoor decking environments, including associated accessories. It also includes our branded Outdoor Essentials line of lawn and garden products, consisting of wood and vinyl fencing and lattice, garden beds and planters, pergolas, picnic tables, and other landscaping products. Numerous pressure-treaters exist on local and regional scales with none approaching the volume sold by UFP. We estimate we produce approximately 28% of all residential treated wood, 17% of all wood fencing, and 7% of all fire-retardant wood products within the U.S.</w:t>
      </w:r>
    </w:p>
    <w:p>
      <w:pPr>
        <w:spacing w:after="0" w:line="18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Deckorators</w:t>
      </w:r>
      <w:r>
        <w:rPr>
          <w:rFonts w:ascii="Times New Roman" w:cs="Times New Roman" w:eastAsia="Times New Roman" w:hAnsi="Times New Roman"/>
          <w:sz w:val="18"/>
          <w:szCs w:val="18"/>
          <w:color w:val="auto"/>
        </w:rPr>
        <w:t>. This business unit includes the manufacture of wood plastic composite and our patented Surestone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mineral based composite decking and related decking accessories, including aluminum railing systems, balusters, post caps, and similar products, as well as customized, aluminum fencing. Customers include big box home improvement retailers, regional home centers and wholesale distributors. We estimate we manufacture approximately 6-8% of all composite decking and railing in the U.S.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UFP-Edge</w:t>
      </w:r>
      <w:r>
        <w:rPr>
          <w:rFonts w:ascii="Times New Roman" w:cs="Times New Roman" w:eastAsia="Times New Roman" w:hAnsi="Times New Roman"/>
          <w:sz w:val="18"/>
          <w:szCs w:val="18"/>
          <w:color w:val="auto"/>
        </w:rPr>
        <w:t>. This business unit manufactures and sells exterior siding, pattern, trim and facia products.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include traditional wood, engineered wood and modified wood siding with a variety of finish and profile alternatives as well as primed wood trim boards and facia. The products also include interior pattern and trim products, as well as pre-painted and primed shiplap and project boards. UFP-Edge is sold to home improvement retailers and two-step distributors.</w:t>
      </w:r>
    </w:p>
    <w:p>
      <w:pPr>
        <w:spacing w:after="0" w:line="18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UFP Retail Solutions has numerous competitive advantages. We are not aware of any competitor that currently manufactures, treats and distributes a full line of both value-added and commodity-based products, on a national basis, as we do within this segment. We believe the breadth of our product offering, scale and geographic dispersion, proximity of our plants to core customers and key vendors, product innovation initiatives, purchasing and manufacturing expertise, procurement advantages, and service capabilities provide us a competitive edge in this market.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supply customers in this segment from many of our locations. Our facilities supply mixed truckloads of products delivered to customers with rapid turnaround. Freight costs are a factor in the ability to competitively service this market, especially with treated wood products due to their weight. The proximity of our manufacturing facilities to customer locations is factored into annual sales programs. The Retail segment services two of our largest customers, The Home Depot and Lowes, which accounted for approximately 17% and 11%, respectively, of our total net sales in fiscal 2024, 17% and 12%, respectively, in 2023, and 15% and 11%, respectively, in 2022.</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 M "Segment Reporting" to our consolidated financial statements for the fiscal year ended December 28, 2024 in item 8 for our disaggregated net sales by business unit for our Retail Solutions segment.</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u w:val="single" w:color="auto"/>
          <w:color w:val="auto"/>
        </w:rPr>
        <w:t>Packaging segment</w:t>
      </w:r>
      <w:r>
        <w:rPr>
          <w:rFonts w:ascii="Times New Roman" w:cs="Times New Roman" w:eastAsia="Times New Roman" w:hAnsi="Times New Roman"/>
          <w:sz w:val="18"/>
          <w:szCs w:val="18"/>
          <w:color w:val="auto"/>
        </w:rPr>
        <w:t>. Formerly known as our Industrial segment, it is comprised of the following business units: Structural Packaging, PalletOne, and Protective Packaging Solutions.</w:t>
      </w:r>
    </w:p>
    <w:p>
      <w:pPr>
        <w:spacing w:after="0" w:line="16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Structural Packaging</w:t>
      </w:r>
      <w:r>
        <w:rPr>
          <w:rFonts w:ascii="Times New Roman" w:cs="Times New Roman" w:eastAsia="Times New Roman" w:hAnsi="Times New Roman"/>
          <w:sz w:val="18"/>
          <w:szCs w:val="18"/>
          <w:color w:val="auto"/>
        </w:rPr>
        <w:t>. This business unit designs, engineers, manufactures and tests custom packaging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made of wood and metal. These products are custom designed, often including mixed materials, and manufactured based upon specific customer needs and requirements. We serve a wide variety of regional, national, and global customers in several end markets such as building materials, durable goods, agricultural, moving and storage, heavy equipment and automotive. We utilize combinations of various materials through industrial engineering and testing to promote the best value and functionality for our customers. In Structural Packaging there are regional companies that produce similar product lines and small single-location competitors in most of our markets. We estimate our domestic market share in Structural Packaging to be 10-12%.</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PalletOne</w:t>
      </w:r>
      <w:r>
        <w:rPr>
          <w:rFonts w:ascii="Times New Roman" w:cs="Times New Roman" w:eastAsia="Times New Roman" w:hAnsi="Times New Roman"/>
          <w:sz w:val="18"/>
          <w:szCs w:val="18"/>
          <w:color w:val="auto"/>
        </w:rPr>
        <w:t>. This business unit designs and manufactures pallets primarily made of wood and heat-treated wood.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pallets are designed and manufactured in numerous sizes and configurations and are used by our customers for shipping a wide assortment of consumer and industrial products. This business unit also includes a recycling operation of previously used pallets. Keys to our success in this business unit are low-cost production through expanded automation, including robotics and high efficiency pallet machines, and the procurement of competitively priced industrial grade wood fiber. In 2022 we acquired a 50% equity stake in Dempsey Wood Products, LLC, which produces pallet lumber and other industrial wood products in Orangeburg, South Carolina. The lumber Dempsey produces is a crucial product for pallet operations and has been in short supply as larger mills produce less of this type of lumber. PalletOne’s investment in Dempsey helps it secure and grow a critical long-term supply source. There are numerous local and regional pallet manufacturers that compete with PalletOne. We estimate that, as the largest supplier, we manufacture approximately 8-10% of new machine-built pallets nationally.</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Protective Packaging Solutions</w:t>
      </w:r>
      <w:r>
        <w:rPr>
          <w:rFonts w:ascii="Times New Roman" w:cs="Times New Roman" w:eastAsia="Times New Roman" w:hAnsi="Times New Roman"/>
          <w:sz w:val="18"/>
          <w:szCs w:val="18"/>
          <w:color w:val="auto"/>
        </w:rPr>
        <w:t>. This business unit consists of a wide variety of products, such as corrugate, foam,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labels, strapping and films. These products are primarily sold as additional offerings to our structural packaging products and pallets and are generally sold as a means of providing a more complete solution to our customers' packaging needs and requirements. Over the last five years, we have added additional products and services to this business unit to meet the increasing demand of our customers to provide a wider array of innovative solutions to their packaging and shipping needs. Through the acquisitions of Advantage Label in Grand Rapids, Michigan, and Titan Manufacturing, a highly-automated corrugate converter in Flower Mound, Texas, we have become a manufacturer of labels and corrugate boxes, two significant growth categories for UFP Packaging.</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Competitive advantages for UFP Packaging include: being a low cost pallet producer due to our supply agreements, investments in vertical integration, and level of automation in our manufacturing plants; our scale and ability to serve large global, national and regional customers; design and engineering expertise, coupled with our ability to manufacture structural packaging with mixed materials, allowing us to provide creative, value-added solutions to our customers; and serving as a single-source supplier offering a wide breadth of products, allowing customers to buy more efficiently.</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plan to acquire companies across the industrial packaging spectrum with capabilities in product categories that allow us to fill geographical gaps that enhance our ability to offer valuable packaging solutions to our customers.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 M "Segment Reporting" to our consolidated financial statements for the fiscal year ended December 28, 2024 in item 8 for our disaggregated net sales by business unit for our Packaging segment.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u w:val="single" w:color="auto"/>
          <w:color w:val="auto"/>
        </w:rPr>
        <w:t>Construction segment.</w:t>
      </w:r>
      <w:r>
        <w:rPr>
          <w:rFonts w:ascii="Times New Roman" w:cs="Times New Roman" w:eastAsia="Times New Roman" w:hAnsi="Times New Roman"/>
          <w:sz w:val="18"/>
          <w:szCs w:val="18"/>
          <w:color w:val="auto"/>
        </w:rPr>
        <w:t xml:space="preserve"> Our Construction segment is comprised of the following business units – Factory-Built Housing, Site-Built Construction, Commercial Construction, and Concrete Forming.</w:t>
      </w:r>
    </w:p>
    <w:p>
      <w:pPr>
        <w:spacing w:after="0" w:line="16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Factory-Built Housing</w:t>
      </w:r>
      <w:r>
        <w:rPr>
          <w:rFonts w:ascii="Times New Roman" w:cs="Times New Roman" w:eastAsia="Times New Roman" w:hAnsi="Times New Roman"/>
          <w:sz w:val="18"/>
          <w:szCs w:val="18"/>
          <w:color w:val="auto"/>
        </w:rPr>
        <w:t>. This business unit designs and manufactures roof trusses, cut-to-size dimensional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lumber, plywood, and oriented strand board, all intended for use in the construction of manufactured housing. Our customers in this market are producers of mobile, modular and prefabricated homes and, to a lesser extent, recreational vehicles (RV) and cargo trailers. Our principal competitive advantages include our product knowledge, the strength of our engineering support services, the proximity of our regional facilities to our customers, our purchasing and manufacturing expertise and our ability to provide national sales programs to certain customers. As a result of these advantages, we estimate we produce approximately 35% of all roof trusses used in factory-built housing in the United States. We also distribute products such as siding, electrical, plumbing, and many other specialty products to factory-built housing and RV customers. Customer vertical integration strategies have affected us in certain regions, and we’ve taken steps to mitigate this risk by increasing our value as a supplier through innovation and low cost production.</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Site-Built Construction</w:t>
      </w:r>
      <w:r>
        <w:rPr>
          <w:rFonts w:ascii="Times New Roman" w:cs="Times New Roman" w:eastAsia="Times New Roman" w:hAnsi="Times New Roman"/>
          <w:sz w:val="18"/>
          <w:szCs w:val="18"/>
          <w:color w:val="auto"/>
        </w:rPr>
        <w:t>. This business unit designs and manufactures roof and floor trusses, wall panels, I-joists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lumber packages as well as engineered wood components used to frame residential and light commercial projects. Historical acquisitions, including Atlantic Prefab, Inc., Exterior Designs, LLC, Patriot Building Systems, LLC, and Endurable Building Products have given the Company manufacturing capability in alternate material components such as metal trusses, sheathed and pre-finished light gauge metal wall panels and aluminum balconies, decks and rail accessories. We also provide framing services for builders in certain regional markets in which we erect the wood structure. We’ve made a variety of investments in automation, allowing us to enhance efficiency and capacity in numerous UFP Construction operations. Our recently launched proprietary smartphone application, TrussTrax, provides a convenient, simple way for builders to track orders, shipments and engineered documents 24 hours a day, and has enjoyed wide customer adoption. Our customers in this market are primarily large-volume, multi-tract builders and smaller volume custom builders. We also supply builders engaged in multi-family and light commercial construction. We currently estimate that approximately 65% of the unit's business is for single-family homes while 35% is for multi-family structures.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Competition in site-built construction consists of numerous national and regional building products dealers who also manufacture components and/or provide framing services, as well as regional manufacturers of engineered wood components. We believe our primary competitive advantages relate to the engineering and design capabilities of our staff, purchasing and manufacturing expertise, product quality, timeliness of delivery, and financial strength, as well as providing a comprehensive turn-key package, including installation in selected markets. As a result of these strengths, we estimate we produce approximately 12% of all engineered wood components used in housing in the United States. Generally, terms of sale and pricing are determined based on contracts we enter into with our customers. We currently supply customers in these markets from manufacturing facilities in many different states, primarily located in the non-urban Northeast, mid-Atlantic, Southeast, Texas, and Colorado. We have intentionally avoided markets that have experienced more severe demand volatility for housing. Also, the states in which we have a presence are forecasted to continue to benefit from migration trends in the United States. Freight costs are a factor in the ability to competitively service this market due to the space requirements of these products on each truckload.</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Commercial Construction</w:t>
      </w:r>
      <w:r>
        <w:rPr>
          <w:rFonts w:ascii="Times New Roman" w:cs="Times New Roman" w:eastAsia="Times New Roman" w:hAnsi="Times New Roman"/>
          <w:sz w:val="18"/>
          <w:szCs w:val="18"/>
          <w:color w:val="auto"/>
        </w:rPr>
        <w:t>. Our commercial construction business unit primarily includes the operations of idX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Inc. idX is a designer, manufacturer and installer of highly customized interior fixtures, casework and architectural millwork used in a variety of retail and commercial structures. This business unit serves customers throughout North America and to a lesser extent, Asia and Europe, in healthcare, hospitality, quick service restaurants, retail, and financial, offering comprehensive, streamlined solutions and customized products while managing programs from concept through completion, on a global scale. We believe we are one of the top five custom interior environment providers globally and the largest diversified custom solutions provider.</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Concrete Forming</w:t>
      </w:r>
      <w:r>
        <w:rPr>
          <w:rFonts w:ascii="Times New Roman" w:cs="Times New Roman" w:eastAsia="Times New Roman" w:hAnsi="Times New Roman"/>
          <w:sz w:val="18"/>
          <w:szCs w:val="18"/>
          <w:color w:val="auto"/>
        </w:rPr>
        <w:t>. This business unit designs, manufactures and supplies wood forms and related products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used by our customers to set or form concrete for various structures, including large parking garages, stadiums, commercial structures, and infrastructure projects such as bridges. Our customers in this business unit include general contractors as well as distributors. We believe we are unique in our ability to deliver highly engineered, factory-built solutions to job sites.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believe the diversification of the end markets we serve in our Construction segment as well as the breadth of our products and services represent competitive advantages.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 M "Segment Reporting" to our consolidated financial statements for the fiscal year ended December 28, 2024 in item 8 for our disaggregated net sales by business unit for our Construction segment.</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u w:val="single" w:color="auto"/>
          <w:color w:val="auto"/>
        </w:rPr>
        <w:t>UFP Purchasing/Suppliers</w:t>
      </w:r>
      <w:r>
        <w:rPr>
          <w:rFonts w:ascii="Times New Roman" w:cs="Times New Roman" w:eastAsia="Times New Roman" w:hAnsi="Times New Roman"/>
          <w:sz w:val="18"/>
          <w:szCs w:val="18"/>
          <w:color w:val="auto"/>
        </w:rPr>
        <w:t>. Our purchasing team manages and purchases wood fiber for each of our segments. The three main end markets for softwood lumber in North America – retail, construction, and packaging – align with our three business segments We are the largest converter of solid sawn softwood lumber from North American primary producers (lumber mills). For 2024, we estimate we purchased approximately 6.5% of the 54 billion board feet of North America softwood lumber production. The volume and variety of lumber dimensions purchased allows us to consume all grades and dimensions of what many of our mill suppliers produce, effecting and maintaining long-term, beneficial relationships with many of those suppliers. In turn, this has allowed us to better manage our raw materials inventory (including vendor-managed inventory), lower our costs, and mitigate the volatility of lumber prices.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use primarily southern yellow pine in our pressure-treating operations and our site-built housing, structural packaging, and machine-built pallet operations in the Southeastern United States. Southern yellow pine is sourced from mills ranging from Texas to the Carolinas. We also use spruce-pine-fir from both Eastern and Western Canada; hemlock, douglas fir and cedar from the Pacific Northwest; inland species of pine, plantation grown radiata and southern yellow pines from South America; and various European softwoods. During 2024 our annual purchases of lumber totaled approximately $2.0 billion and consisted of the following species and their respective percent of total lumber purchases: southern yellow pine (68%), spruce-pine-fir (13%), and douglas fir (2%), while the remaining 17% of lumber purchases comprise various other species and imports outside of North America. Additionally, we purchased approximately $608.9 million in plywood in 2024. There are numerous primary producers for all varieties we use, and we are not dependent on any particular source of supply.</w:t>
      </w:r>
    </w:p>
    <w:p>
      <w:pPr>
        <w:spacing w:after="0" w:line="19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We own numerous patents and have several patents pending on technologies related to our business. Examples include our Deckorators brand of composite decking and railing and its proprietary, patented Surestone technology used to produce mineral-based composite decking; Trusstrax, a mobile application offered to our Site-Built customers; and the ProWood brand of pressure-treated lumber and outdoor living products. In addition, we own numerous registered trademarks and claim common law trademark rights to several others. As we develop proprietary brands, we may pursue registration or other formal protection. While we believe our patent and trademark rights are valuable, the loss of a patent or any trademark would not be likely to have a material adverse impact on our competitive position.</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u w:val="single" w:color="auto"/>
          <w:color w:val="auto"/>
        </w:rPr>
        <w:t>Backlog</w:t>
      </w:r>
      <w:r>
        <w:rPr>
          <w:rFonts w:ascii="Times New Roman" w:cs="Times New Roman" w:eastAsia="Times New Roman" w:hAnsi="Times New Roman"/>
          <w:sz w:val="18"/>
          <w:szCs w:val="18"/>
          <w:color w:val="auto"/>
        </w:rPr>
        <w:t>. Due to the nature of our retail and industrial businesses, backlog information is not meaningful. The maximum time between receipt of a firm order and shipment does not usually exceed a few days. Therefore, we would not normally have a backlog of unfilled orders in a material amount. The relationships with our major customers are such that we are either the exclusive supplier of certain products and/or certain geographic areas, or the designated source for a specified portion of a customer's requirements. In such cases, either we are able to forecast the customer's requirements, or the customer may provide an estimate of its future needs. In neither case, however, will we receive firm orders until just prior to the anticipated delivery dates for the products ordered.</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December 28, 2024 and December 30, 2023, we estimate that backlog orders associated with our customized interior fixture businesses approximated $41.9 million and $59.2 million, respectively.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December 28, 2024 and December 30, 2023, we estimate that backlog orders associated with our site-built construction businesses approximated $74.4 million and $79.7 million, respectively. We expect that the orders above will be primarily filled within the next fiscal year; however, it is possible that some orders could be canceled.</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Information required for environmental disclosures is incorporated by reference from Note L of the Consolidated Financial Statements presented under Item 8 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u w:val="single" w:color="auto"/>
          <w:color w:val="auto"/>
        </w:rPr>
        <w:t>Seasonality</w:t>
      </w:r>
      <w:r>
        <w:rPr>
          <w:rFonts w:ascii="Times New Roman" w:cs="Times New Roman" w:eastAsia="Times New Roman" w:hAnsi="Times New Roman"/>
          <w:sz w:val="18"/>
          <w:szCs w:val="18"/>
          <w:color w:val="auto"/>
        </w:rPr>
        <w:t>. Information required for seasonality disclosures is incorporated by reference from Item 1A. Risk Factors under the caption “</w:t>
      </w:r>
      <w:r>
        <w:rPr>
          <w:rFonts w:ascii="Times New Roman" w:cs="Times New Roman" w:eastAsia="Times New Roman" w:hAnsi="Times New Roman"/>
          <w:sz w:val="18"/>
          <w:szCs w:val="18"/>
          <w:i w:val="1"/>
          <w:iCs w:val="1"/>
          <w:color w:val="auto"/>
        </w:rPr>
        <w:t>Seasonality and weather conditions, including those arising from climate change, could adversely affect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u w:val="single" w:color="auto"/>
          <w:color w:val="auto"/>
        </w:rPr>
        <w:t>Human Capital Management</w:t>
      </w:r>
      <w:r>
        <w:rPr>
          <w:rFonts w:ascii="Times New Roman" w:cs="Times New Roman" w:eastAsia="Times New Roman" w:hAnsi="Times New Roman"/>
          <w:sz w:val="18"/>
          <w:szCs w:val="18"/>
          <w:color w:val="auto"/>
        </w:rPr>
        <w:t>. On December 28, 2024, we had approximately 15,000 employees. For 70 years, the success of our company has rested on the skill, motivation and performance of our employees. We treat our people honestly and fairly, creating career paths and training opportunities to develop and expand their scope of responsibilities and financial rewards. This approach to human capital, which is embedded in the Company's culture, has fostered an environment where our employees often commit their respective careers to UFP Industries, Inc.</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u w:val="single" w:color="auto"/>
          <w:color w:val="auto"/>
        </w:rPr>
        <w:t>Environmental, Social, and Governance</w:t>
      </w:r>
      <w:r>
        <w:rPr>
          <w:rFonts w:ascii="Times New Roman" w:cs="Times New Roman" w:eastAsia="Times New Roman" w:hAnsi="Times New Roman"/>
          <w:sz w:val="18"/>
          <w:szCs w:val="18"/>
          <w:color w:val="auto"/>
        </w:rPr>
        <w:t>. Matters of sustainability, health and safety, employee welfare, supply chain management, and community engagement are managed by our executive team, with oversight from our Nominating and Corporate Governance and Personnel and Compensation Committees. In October 2024, we published on our website our fiscal year 2023 “Governance Report,” detailing our responsible practices as well as our future outlook. We anticipate publishing on our website our fiscal year 2024 Governance Report during 2025.</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manufacturing operations have a long history of environmental stewardship through efficiency and energy savings, waste management, and responsible product sourcing. We quantified our 2023 Scope 1 and Scope 2 greenhouse gas (GHG) emissions in our fiscal year 2023 Governance Report and plan to disclose our 2024 Scope 1 and Scope 2 GHG emissions in 2025.</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driven by operational excellence throughout the enterprise and by cultivating a unique culture that provides significant opportunity for professional and personal growth. In managing our human capital, we have focused our efforts on employee health and safety, equal opportunity for all, and learning and development.</w:t>
      </w:r>
    </w:p>
    <w:p>
      <w:pPr>
        <w:spacing w:after="0" w:line="176"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At UFP, we welcome all who are willing to work hard. We do not discriminate in hiring, promotion, or opportunity – we believe the best performers should be rewarded commensurately. We prefer hiring people with potential and helping them grow and achieve their goals within our company. To provide opportunity to a broader base of our teammates, we removed the requirement of a 4-year degree for sales and management positions and give credit for work experience. We use our internal training programs and UFP Business School to help employees gain functional knowledge and hone the skills and competencies that allow them advancement to greater roles and responsibilities.</w:t>
      </w:r>
    </w:p>
    <w:p>
      <w:pPr>
        <w:spacing w:after="0" w:line="187"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We have a long history of supporting talented and hard-working employees go from factory floor to management, sales and operations roles. These transformations require diligence and dedication, and they demonstrate that regardless of background, our teammates at UFP have a chance to make a better life for themselves and their families. We also recognize the need to hire talented individuals from outside the company who bring special expertise and innovative skills to UFP.</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Internet address is www.ufpi.com. Through our Internet website under "Financial Information" in the Investor Relations section, we make available free of charge, as soon as reasonably practical after such information has been filed with the SEC, our annual report on Form 10-K, quarterly reports on Form 10-Q, current reports on Form 8-K, and amendments to those reports filed pursuant to Section 13(a) or 15(d) of the Securities Exchange Act. Also available through our Internet website under "Our Company - Governance" is our Code of Ethics for Senior Financial Officers.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Reports to Security Holders.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Enforceability of Civil Liabilities Against Foreign Persons.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Pressures from various global and national macroeconomic events, including heightened inflation, uncertainty regarding future interest rates, foreign currency exchange rate fluctuations, recent adverse weather conditions, geo-political events, and potential governmental responses to these events have created, and continue to create, significant economic uncertainty and could materially and adversely impact our financial performance. </w:t>
      </w:r>
      <w:r>
        <w:rPr>
          <w:rFonts w:ascii="Times New Roman" w:cs="Times New Roman" w:eastAsia="Times New Roman" w:hAnsi="Times New Roman"/>
          <w:sz w:val="18"/>
          <w:szCs w:val="18"/>
          <w:color w:val="auto"/>
        </w:rPr>
        <w:t>The extent to which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macroeconomic pressures may impact our business, results of operations, costs and financial condition will depend on future developments, which continue to be highly uncertain and difficult to predict. While we have planned for and anticipate continued softening of demand within our markets into 2025, any one or more of the above macroeconomic factors could result in a more severe and longer downturn and/or increased costs, which would have an adverse and potentially material impact on our business and financial performance.</w:t>
      </w:r>
    </w:p>
    <w:p>
      <w:pPr>
        <w:spacing w:after="0" w:line="188"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impacted by new tariffs and duties on U.S. imports and foreign export sales and changes in import/export regulations. </w:t>
      </w:r>
      <w:r>
        <w:rPr>
          <w:rFonts w:ascii="Times New Roman" w:cs="Times New Roman" w:eastAsia="Times New Roman" w:hAnsi="Times New Roman"/>
          <w:sz w:val="18"/>
          <w:szCs w:val="18"/>
          <w:color w:val="auto"/>
        </w:rPr>
        <w:t>Instability of established free trade agreements, the potential imposition of new or increased tariffs on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imports or exports, and potential changes to import/export regulations may lead to raw material and finished goods price volatility as well as instability and uncertainty in our supply chain. The new Trump administration has indicated its intent to evaluate key aspects of U.S. trade policy, and there has been ongoing commentary regarding potential significant changes to U.S. trade policies, treaties, and tariffs. These changes could both be material and implemented in a relatively short timeframe, which makes planning and risk mitigation difficult.</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An increase in foreign tariffs on U.S. goods could curtail our export sales to other countries, which were approximately $258.9 million in 2024. Increased tariffs and duties on U.S. imports will increase pricing by adding duty cost, where the duty is sustainable in light of overall unit price, or otherwise constrain supply by eliminating historical production sources by country or commodity type with unsustainable duties. Our purchases that were impacted by tariffs were approximately $390.9 million in 2024, including UFP’s U.S. import of Canadian Softwood Lumber of approximately $211.8 million, which is the largest imported commodity. In addition, there is a risk that U.S. tariffs on imports and countering tariffs on U.S. exports could trigger broader international trade conflicts that could adversely impact our business.</w:t>
      </w:r>
    </w:p>
    <w:p>
      <w:pPr>
        <w:spacing w:after="0" w:line="185"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impacted by a significant change in the value of the U.S. dollar and our results of operations may be harmed by currency fluctuations and inflation. </w:t>
      </w:r>
      <w:r>
        <w:rPr>
          <w:rFonts w:ascii="Times New Roman" w:cs="Times New Roman" w:eastAsia="Times New Roman" w:hAnsi="Times New Roman"/>
          <w:sz w:val="18"/>
          <w:szCs w:val="18"/>
          <w:color w:val="auto"/>
        </w:rPr>
        <w:t>We purchase a variety of raw materials and finished goods from sources around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world and export certain products. The impact of a change in U.S. dollar exchange rates, and inflation, would impact our import purchases and export sales, which totaled $390.9 million and $258.9 million respectively, in 2024. In addition, many of our packaging customers export their products; consequently, any adverse impact on those customers from currency fluctuations and inflation may have an adverse impact on our sales to those customers.</w:t>
      </w:r>
    </w:p>
    <w:p>
      <w:pPr>
        <w:spacing w:after="0" w:line="18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growth may be limited by the customer demand in the markets we serve, including our construction market which is highly cyclical. </w:t>
      </w:r>
      <w:r>
        <w:rPr>
          <w:rFonts w:ascii="Times New Roman" w:cs="Times New Roman" w:eastAsia="Times New Roman" w:hAnsi="Times New Roman"/>
          <w:sz w:val="18"/>
          <w:szCs w:val="18"/>
          <w:color w:val="auto"/>
        </w:rPr>
        <w:t>Our sales growth is dependent, in part, upon the growth of the markets we serve. If our markets do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 anticipated growth, or if we fail to maintain our market share, financial results could be impaired.</w:t>
      </w:r>
    </w:p>
    <w:p>
      <w:pPr>
        <w:spacing w:after="0" w:line="17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fluctuations in the price of lumber</w:t>
      </w:r>
      <w:r>
        <w:rPr>
          <w:rFonts w:ascii="Times New Roman" w:cs="Times New Roman" w:eastAsia="Times New Roman" w:hAnsi="Times New Roman"/>
          <w:sz w:val="18"/>
          <w:szCs w:val="18"/>
          <w:color w:val="auto"/>
        </w:rPr>
        <w:t>. We experience significant fluctuations in the cost of commodity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lumber products from primary producers (the "Lumber Market"). A variety of factors over which we have no control, including government and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cost of materials, and gross profits. Our products are generally priced to the customer based on a quoted, fixed selling price or "indexed" to the Lumber Market with a fixed dollar adder to cover conversion costs and profit. The impact on our profitability from changes in lumber prices is discussed in the “Historical Lumber Prices” and "Impact of the Lumber Market on Our Operating Results" captions of our Management’s Discussion and Analysis of Financial Condition and Results of Operations section under Item 7 of this Form 10-K. Our lumber costs, including plywood, as a percentage of net sales were 40.4% in 2024.</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sales are concentrated with two customers</w:t>
      </w:r>
      <w:r>
        <w:rPr>
          <w:rFonts w:ascii="Times New Roman" w:cs="Times New Roman" w:eastAsia="Times New Roman" w:hAnsi="Times New Roman"/>
          <w:sz w:val="18"/>
          <w:szCs w:val="18"/>
          <w:color w:val="auto"/>
        </w:rPr>
        <w:t>. Our sales to The Home Depot and Lowes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17% and 11%, respectively, of our total net sales in fiscal 2024, 17% and 12%, respectively, in 2023, and 15% and 11%, respectively, in 2022.</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impacted by vertical integration strategies. </w:t>
      </w:r>
      <w:r>
        <w:rPr>
          <w:rFonts w:ascii="Times New Roman" w:cs="Times New Roman" w:eastAsia="Times New Roman" w:hAnsi="Times New Roman"/>
          <w:sz w:val="18"/>
          <w:szCs w:val="18"/>
          <w:color w:val="auto"/>
        </w:rPr>
        <w:t>In certain markets and product lines, our customers or vendors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could pursue vertical integration strategies that could have an adverse effect on our sales. We strive to add value and be a low-cost producer while maintaining competitive pricing in each of our markets to mitigate this risk.</w:t>
      </w:r>
    </w:p>
    <w:p>
      <w:pPr>
        <w:spacing w:after="0" w:line="171" w:lineRule="exact"/>
        <w:rPr>
          <w:sz w:val="20"/>
          <w:szCs w:val="20"/>
          <w:color w:val="auto"/>
        </w:rPr>
      </w:pPr>
    </w:p>
    <w:p>
      <w:pPr>
        <w:jc w:val="both"/>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impacted by industry capacity of products we supply. </w:t>
      </w:r>
      <w:r>
        <w:rPr>
          <w:rFonts w:ascii="Times New Roman" w:cs="Times New Roman" w:eastAsia="Times New Roman" w:hAnsi="Times New Roman"/>
          <w:sz w:val="18"/>
          <w:szCs w:val="18"/>
          <w:color w:val="auto"/>
        </w:rPr>
        <w:t>From time to time, we may experience excess capacity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among suppliers of certain products in some of the markets we serve. Our selling prices and profitability are impacted during periods of shortages or excess industry capacity relative to market demand. We may also experience limited capacity among suppliers of certain products as a result of supply chain challenges, which may impact our profitability and ability to meet sales objectives.</w:t>
      </w:r>
    </w:p>
    <w:p>
      <w:pPr>
        <w:spacing w:after="0" w:line="17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growth may be limited by our ability to make successful acquisitions. </w:t>
      </w:r>
      <w:r>
        <w:rPr>
          <w:rFonts w:ascii="Times New Roman" w:cs="Times New Roman" w:eastAsia="Times New Roman" w:hAnsi="Times New Roman"/>
          <w:sz w:val="18"/>
          <w:szCs w:val="18"/>
          <w:color w:val="auto"/>
        </w:rPr>
        <w:t>A key component of our growth strategy is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complete business combinations. Business combinations involve inherent risks, including assimilation and successfully managing growth. While we conduct extensive due diligence and have taken steps to ensure successful assimilation, factors beyond our control could influence the relative success of these acquisitions.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adversely affected by the impact of environmental and safety regulations. </w:t>
      </w:r>
      <w:r>
        <w:rPr>
          <w:rFonts w:ascii="Times New Roman" w:cs="Times New Roman" w:eastAsia="Times New Roman" w:hAnsi="Times New Roman"/>
          <w:sz w:val="18"/>
          <w:szCs w:val="18"/>
          <w:color w:val="auto"/>
        </w:rPr>
        <w:t>We are subject to the requirements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federal, state, and local environmental and occupational health and safety laws and regulations. There can be no assurance that we are at all times in complete compliance with all of these requirements. We have made and will continue to make capital and other expenditures to comply with environmental regulations. If additional laws and regulations are enacted, which restrict our ability to manufacture and market our products, including our treated lumber products, it could adversely affect our sales and profits. Changes in the interpretation of existing laws could also adversely impact our financial results.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Seasonality and weather conditions, including those arising from climate change, could adversely affect us</w:t>
      </w:r>
      <w:r>
        <w:rPr>
          <w:rFonts w:ascii="Times New Roman" w:cs="Times New Roman" w:eastAsia="Times New Roman" w:hAnsi="Times New Roman"/>
          <w:sz w:val="18"/>
          <w:szCs w:val="18"/>
          <w:color w:val="auto"/>
        </w:rPr>
        <w:t>. Some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aspects of our business are seasonal in nature and results of operations vary from quarter to quarter. In addition, the majority of our products sold to the Retail and Construction markets are used or installed in outdoor construction applications; therefore, short-term sales volume, productivity and gross profits can be negatively affected by adverse weather conditions, particularly in our first and fourth quarters. To the extent changes in the world’s climate have a greater impact on adverse weather conditions, we would expect more variability in our business operations and results. Climate change, which could result in more and more severe and adverse weather events, would likely create greater volatility in our financial results. In addition, it is possible that new legislation or regulation enacted to address the impact of climate change could increase costs for us and our suppliers, including costs associated with raw materials, energy, production, transportation, environmental monitoring and reporting, and capital expenditures.</w:t>
      </w:r>
    </w:p>
    <w:p>
      <w:pPr>
        <w:spacing w:after="0" w:line="185"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Inbound and outbound transportation costs represent a significant part of our cost structure. </w:t>
      </w:r>
      <w:r>
        <w:rPr>
          <w:rFonts w:ascii="Times New Roman" w:cs="Times New Roman" w:eastAsia="Times New Roman" w:hAnsi="Times New Roman"/>
          <w:sz w:val="18"/>
          <w:szCs w:val="18"/>
          <w:color w:val="auto"/>
        </w:rPr>
        <w:t>An increase in fuel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operating expenses will significantly increase our costs. While we attempt to pass these costs along to our customers, there can be no assurance that they would agree to these price increases. Our total inbound and outbound transportation costs were approximately 7.8%, 9.4%, and 7.4% of net sales in 2024, 2023, and 2022, respectively.</w:t>
      </w:r>
    </w:p>
    <w:p>
      <w:pPr>
        <w:spacing w:after="0" w:line="17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alternatives may be developed to replace traditional treated wood products. </w:t>
      </w:r>
      <w:r>
        <w:rPr>
          <w:rFonts w:ascii="Times New Roman" w:cs="Times New Roman" w:eastAsia="Times New Roman" w:hAnsi="Times New Roman"/>
          <w:sz w:val="18"/>
          <w:szCs w:val="18"/>
          <w:color w:val="auto"/>
        </w:rPr>
        <w:t>The manufacturers of wood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preservatives continue to develop new preservatives. While we believe treated products are reasonably priced relative to alternative products such as composites or vinyl, new alternatives may impact the sales of treated wood products. In addition, new preservatives could increase our cost of treating products in the future.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Cybersecurity breaches or other failures in our information technology systems could disrupt our business. </w:t>
      </w:r>
      <w:r>
        <w:rPr>
          <w:rFonts w:ascii="Times New Roman" w:cs="Times New Roman" w:eastAsia="Times New Roman" w:hAnsi="Times New Roman"/>
          <w:sz w:val="18"/>
          <w:szCs w:val="18"/>
          <w:color w:val="auto"/>
        </w:rPr>
        <w:t>We rely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information technology systems and network products and the secure operation of these systems and products. Despite security measures, these systems and products may be vulnerable to physical damage, hackers, computer viruses, or breaches due to errors or malfeasance by employees, vendors, or customers. We have experienced such events in the past and, although past events were immaterial, future events may occur and may be material. Our failure to successfully identify and manage these risks and uncertainties could disrupt our operations and increase our costs, which could negatively impact our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financial results could be negatively impacted by costs associated with product liability, casualty, manufacturing and construction defects, and other claims. </w:t>
      </w:r>
      <w:r>
        <w:rPr>
          <w:rFonts w:ascii="Times New Roman" w:cs="Times New Roman" w:eastAsia="Times New Roman" w:hAnsi="Times New Roman"/>
          <w:sz w:val="18"/>
          <w:szCs w:val="18"/>
          <w:color w:val="auto"/>
        </w:rPr>
        <w:t>From time to time, we are exposed to claims relating to product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casualty events, manufacturing and construction defects, and similar claims, including as the result of the conduct of our employees and subcontractors. These claims could have a negative impact on our results of operation and financial condition, including through increased litigation costs, insurance-related costs, and damage to our reputation and customer relationships.</w:t>
      </w:r>
    </w:p>
    <w:p>
      <w:pPr>
        <w:spacing w:after="0" w:line="18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adversely affected by the impact of pandemics and similar outbreaks. </w:t>
      </w:r>
      <w:r>
        <w:rPr>
          <w:rFonts w:ascii="Times New Roman" w:cs="Times New Roman" w:eastAsia="Times New Roman" w:hAnsi="Times New Roman"/>
          <w:sz w:val="18"/>
          <w:szCs w:val="18"/>
          <w:color w:val="auto"/>
        </w:rPr>
        <w:t>Disease outbreaks could have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adverse impact on the Company's operations and financial results. These outbreaks may adversely impact our business, consolidated results of operations and financial condition. Any such outbreak, as well as measures taken by governmental authorities and businesses to limit the spread of any outbreak, may result in adverse changes in customer demand and our sales, interfere with the ability of our employees and suppliers to perform and function in a manner consistent with targeted objectives and otherwise adversely impact the efficiency of our operations. This may cause us to materially curtail certain segments and could have a material adverse effect on the results of our operations and cash flow.</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Adverse economic conditions and our customers’ ability to operate may impact their ability to pay. </w:t>
      </w:r>
      <w:r>
        <w:rPr>
          <w:rFonts w:ascii="Times New Roman" w:cs="Times New Roman" w:eastAsia="Times New Roman" w:hAnsi="Times New Roman"/>
          <w:sz w:val="18"/>
          <w:szCs w:val="18"/>
          <w:color w:val="auto"/>
        </w:rPr>
        <w:t>This may result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higher write-offs of receivables than we normally experience. We continue to monitor our customers’ business activities, payment patterns, and credit profiles carefully and make changes in our terms when necessary in response to this risk. As a result, our accounts receivable aging as of December 28, 2024 was approximately 90% current. Our bad debt expense as a percentage of sales was 0.05%, 0.03%, and 0.15%, in 2024, 2023, and 2022, respectively. During the most difficult collection period of the Great Recession, from 2008 through 2010, our bad debt expense as a percentage of sales averaged 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1C. Cybersecurity.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Cybersecurity Overview.</w:t>
      </w:r>
    </w:p>
    <w:p>
      <w:pPr>
        <w:spacing w:after="0" w:line="225"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At UFP Industries, we recognize the importance of managing cybersecurity risks to protect our operations, data, and stakeholders. Our program is aligned with industry-recognized frameworks, including the NIST Cybersecurity Framework and CIS Top 18 Security Controls. We employ a structured approach to identify, assess, and manage potential threats, ensuring our defenses are proactive and multi-layered. Regular reviews and third-party assessments help us adapt to evolving risks, while our incident response plan and business continuity strategies are designed to minimize any operational impact from cybersecurity incidents.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Risk Management and Strategy.</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u w:val="single" w:color="auto"/>
          <w:color w:val="auto"/>
        </w:rPr>
        <w:t>Risks from Cybersecurity Threats</w:t>
      </w:r>
      <w:r>
        <w:rPr>
          <w:rFonts w:ascii="Times New Roman" w:cs="Times New Roman" w:eastAsia="Times New Roman" w:hAnsi="Times New Roman"/>
          <w:sz w:val="18"/>
          <w:szCs w:val="18"/>
          <w:color w:val="auto"/>
        </w:rPr>
        <w:t>. Information relating to risks from cybersecurity threats is included in this report in Item 1A under the caption “</w:t>
      </w:r>
      <w:r>
        <w:rPr>
          <w:rFonts w:ascii="Times New Roman" w:cs="Times New Roman" w:eastAsia="Times New Roman" w:hAnsi="Times New Roman"/>
          <w:sz w:val="18"/>
          <w:szCs w:val="18"/>
          <w:i w:val="1"/>
          <w:iCs w:val="1"/>
          <w:color w:val="auto"/>
        </w:rPr>
        <w:t>Cybersecurity breaches or other failures in our information technology systems could disrupt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business</w:t>
      </w:r>
      <w:r>
        <w:rPr>
          <w:rFonts w:ascii="Times New Roman" w:cs="Times New Roman" w:eastAsia="Times New Roman" w:hAnsi="Times New Roman"/>
          <w:sz w:val="18"/>
          <w:szCs w:val="18"/>
          <w:color w:val="auto"/>
        </w:rPr>
        <w:t>.” Our cybersecurity risk management program is designed to evaluate material threats and vulnerabilities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organization and their potential impact on our operations, data, and stakeholders. Our program is reviewed and updated regularly to address emerging risks, following the NIST Cybersecurity Framework, NIST Risk Management Framework, and CIS Top 18 Security Controls.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manage cybersecurity risks through a three-step process:</w:t>
      </w:r>
    </w:p>
    <w:p>
      <w:pPr>
        <w:spacing w:after="0" w:line="223" w:lineRule="exact"/>
        <w:rPr>
          <w:sz w:val="20"/>
          <w:szCs w:val="20"/>
          <w:color w:val="auto"/>
        </w:rPr>
      </w:pPr>
    </w:p>
    <w:p>
      <w:pPr>
        <w:ind w:left="720" w:right="79" w:hanging="319"/>
        <w:spacing w:after="0" w:line="28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 </w:t>
      </w:r>
      <w:r>
        <w:rPr>
          <w:rFonts w:ascii="Times New Roman" w:cs="Times New Roman" w:eastAsia="Times New Roman" w:hAnsi="Times New Roman"/>
          <w:sz w:val="18"/>
          <w:szCs w:val="18"/>
          <w:color w:val="auto"/>
        </w:rPr>
        <w:t>We assess our critical operational assets and those that may attract threat actors, identifying any cyber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that could diminish asset value, hinder operational capabilities, or covertly grant access to threat actors.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720" w:right="79" w:hanging="319"/>
        <w:spacing w:after="0" w:line="267"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Assess </w:t>
      </w:r>
      <w:r>
        <w:rPr>
          <w:rFonts w:ascii="Times New Roman" w:cs="Times New Roman" w:eastAsia="Times New Roman" w:hAnsi="Times New Roman"/>
          <w:sz w:val="18"/>
          <w:szCs w:val="18"/>
          <w:color w:val="auto"/>
        </w:rPr>
        <w:t>We evaluate the exposure of our assets to identified cyber risks and determine the potential operational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reputational impact if access or utilization is compromised. This assessment includes determining the materiality of these risks based on their potential impact.</w:t>
      </w:r>
    </w:p>
    <w:p>
      <w:pPr>
        <w:spacing w:after="0" w:line="173"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Manage </w:t>
      </w:r>
      <w:r>
        <w:rPr>
          <w:rFonts w:ascii="Times New Roman" w:cs="Times New Roman" w:eastAsia="Times New Roman" w:hAnsi="Times New Roman"/>
          <w:sz w:val="18"/>
          <w:szCs w:val="18"/>
          <w:color w:val="auto"/>
        </w:rPr>
        <w:t>We have implemented a multi-layered defense strategy designed to secure asset access and prevent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unauthorized access. We prioritize our defenses based on cost-effectiveness and risk reduction potential, using administrative, procedural, and technical controls.</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 improve our cybersecurity posture, we regularly engage third-party consultants for penetration testing, risk assessments, and control audits. We also monitor third-party service providers, particularly those with access to sensitive data, through contractual and oversight mechanisms designed to mitigate and monitor risks continuously.</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work proactively to prevent, detect, and minimize the impact of cybersecurity incidents through a structured incident response plan. This plan is tested and reviewed regularly with simulated incidents. We maintain business continuity, contingency, and recovery plans designed to maintain resilience during incidents. Lessons learned from past incidents are integrated into our governance, policies, and technology to strengthen our defenses.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this filing, we have not experienced any cybersecurity breach that has materially impacted our business or financial condition, nor have we identified any risks from cybersecurity threats that have materially impacted or are reasonably likely to materially impact us, including our business strategy, results of operations, or financial condition. However, we recognize that our operations involve the collection, transmission, and storage of sensitive data, which may expose us to cybersecurity threats, including unauthorized access and cyberattacks. We remain committed to identifying and managing these risks as part of our business strategy and operations.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Board of Directors and Management Governance.</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u w:val="single" w:color="auto"/>
          <w:color w:val="auto"/>
        </w:rPr>
        <w:t>Management’s Role</w:t>
      </w:r>
      <w:r>
        <w:rPr>
          <w:rFonts w:ascii="Times New Roman" w:cs="Times New Roman" w:eastAsia="Times New Roman" w:hAnsi="Times New Roman"/>
          <w:sz w:val="18"/>
          <w:szCs w:val="18"/>
          <w:color w:val="auto"/>
        </w:rPr>
        <w:t>. Primary responsibility for risk management, including cybersecurity risks, lies with management. Our management team actively assesses and manages material cybersecurity risks through a structured framework. The CIO and Director of Cybersecurity lead our efforts in managing these risks:</w:t>
      </w:r>
    </w:p>
    <w:p>
      <w:pPr>
        <w:spacing w:after="0" w:line="174" w:lineRule="exact"/>
        <w:rPr>
          <w:sz w:val="20"/>
          <w:szCs w:val="20"/>
          <w:color w:val="auto"/>
        </w:rPr>
      </w:pPr>
    </w:p>
    <w:p>
      <w:pPr>
        <w:jc w:val="both"/>
        <w:ind w:left="1040" w:right="79" w:hanging="315"/>
        <w:spacing w:after="0" w:line="267"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CIO</w:t>
      </w:r>
      <w:r>
        <w:rPr>
          <w:rFonts w:ascii="Times New Roman" w:cs="Times New Roman" w:eastAsia="Times New Roman" w:hAnsi="Times New Roman"/>
          <w:sz w:val="18"/>
          <w:szCs w:val="18"/>
          <w:color w:val="auto"/>
        </w:rPr>
        <w:t>. With over 20 years of experience in the information technology space, the CIO brings expertise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insight to cybersecurity, compliance, enterprise architecture, systems resilience, and digital transformation to UFP Industries.</w:t>
      </w:r>
    </w:p>
    <w:p>
      <w:pPr>
        <w:spacing w:after="0" w:line="173" w:lineRule="exact"/>
        <w:rPr>
          <w:rFonts w:ascii="Times New Roman" w:cs="Times New Roman" w:eastAsia="Times New Roman" w:hAnsi="Times New Roman"/>
          <w:sz w:val="18"/>
          <w:szCs w:val="18"/>
          <w:color w:val="auto"/>
        </w:rPr>
      </w:pPr>
    </w:p>
    <w:p>
      <w:pPr>
        <w:jc w:val="both"/>
        <w:ind w:left="1040" w:right="79" w:hanging="315"/>
        <w:spacing w:after="0" w:line="267"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 of Cybersecurity</w:t>
      </w:r>
      <w:r>
        <w:rPr>
          <w:rFonts w:ascii="Times New Roman" w:cs="Times New Roman" w:eastAsia="Times New Roman" w:hAnsi="Times New Roman"/>
          <w:sz w:val="18"/>
          <w:szCs w:val="18"/>
          <w:color w:val="auto"/>
        </w:rPr>
        <w:t>. With over 30 years of experience in the information technology space,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architecture, management, and cybersecurity risk management, the Director reports directly to the CIO and is responsible for day-to-day cybersecurity operations.</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cross-functional cybersecurity team, composed of experts with decades of combined experience, supports the CIO and Director in implementing our cybersecurity program. This team consults with legal, HR, and IT specialists to assess the materiality of cybersecurity risks and incidents, using a well-established Incident Response Plan that includes clear escalation measures.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u w:val="single" w:color="auto"/>
          <w:color w:val="auto"/>
        </w:rPr>
        <w:t>Board of Directors Oversight</w:t>
      </w:r>
      <w:r>
        <w:rPr>
          <w:rFonts w:ascii="Times New Roman" w:cs="Times New Roman" w:eastAsia="Times New Roman" w:hAnsi="Times New Roman"/>
          <w:sz w:val="18"/>
          <w:szCs w:val="18"/>
          <w:color w:val="auto"/>
        </w:rPr>
        <w:t>. The role of the Board of Directors with respect to our cybersecurity program is one of oversight of management, and the Board has delegated primary oversight authority over the program to the Audit Committee. The Audit Committee oversees these risks as outlined in its Charter, which mandates reviewing the company's information technology framework, practices, and implemented controls to monitor and mitigate IT risks.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Audit Committee meets quarterly and receives reports and briefings from the CIO, Director of Cybersecurity, and the cybersecurity team on emerging threats, risk status, and mitigation strategies. The Committee engages with the cybersecurity team to increase their understanding of the specific issues facing the Company and to challenge the team as appropriate. The Committee also may consult external cybersecurity experts as needed to fulfill its oversight role. The Audit Committee regularly reports to the Board on matters addressed during the Committee’s quarterly meetings, including any material cybersecurity risks or developments.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Processes for Monitoring and Mitigating Cybersecurity Risks and Incidents.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employ a structured approach to monitor and mitigate risks through:</w:t>
      </w:r>
    </w:p>
    <w:p>
      <w:pPr>
        <w:spacing w:after="0" w:line="225"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network and system monitoring for potential threats.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vulnerability assessments and penetration testing.</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technical controls such as firewalls, intrusion detection systems, and encryption.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training and awareness programs.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plans designed for swift and effective mitigation.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vendor risk assessments.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management solutions prioritizing patching based on risk.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Privileged account management solutions for administrative access.</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These measures aim to prevent, detect, and respond to cybersecurity incidents effectively. They are regularly reviewed and updated to adapt to evolving threats.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event of an incident, our Incident Response Plan, which takes into account the perceived materiality of the incident with an appropriate escalation matrix, guides our response. Incident reports are compiled, reviewed by management, and shared with the CIO, CFO, the Audit Committee, and other key leaders, as appropriate, for resource allocation and risk mitigation planning.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corporate headquarters building is located in suburban Grand Rapids, Michigan. We currently have approximately 215 facilities located throughout the United States, Mexico, Canada, Spain, India, United Arab Emirates and Australia. Depending upon function and location, these facilities typically utilize office, manufacturing, and indoor and outdoor storage space.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our property locations assigned by the primary segment the plant serves.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4660" w:type="dxa"/>
            <w:vAlign w:val="bottom"/>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RETAIL SEGMENT</w:t>
            </w:r>
          </w:p>
        </w:tc>
        <w:tc>
          <w:tcPr>
            <w:tcW w:w="230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0" w:type="dxa"/>
            <w:vAlign w:val="bottom"/>
          </w:tcPr>
          <w:p>
            <w:pPr>
              <w:spacing w:after="0"/>
              <w:rPr>
                <w:sz w:val="1"/>
                <w:szCs w:val="1"/>
                <w:color w:val="auto"/>
              </w:rPr>
            </w:pPr>
          </w:p>
        </w:tc>
      </w:tr>
      <w:tr>
        <w:trPr>
          <w:trHeight w:val="173"/>
        </w:trPr>
        <w:tc>
          <w:tcPr>
            <w:tcW w:w="1940" w:type="dxa"/>
            <w:vAlign w:val="bottom"/>
            <w:vMerge w:val="continue"/>
          </w:tcPr>
          <w:p>
            <w:pPr>
              <w:spacing w:after="0"/>
              <w:rPr>
                <w:sz w:val="15"/>
                <w:szCs w:val="15"/>
                <w:color w:val="auto"/>
              </w:rPr>
            </w:pPr>
          </w:p>
        </w:tc>
        <w:tc>
          <w:tcPr>
            <w:tcW w:w="242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2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Athens, AL</w:t>
            </w:r>
          </w:p>
        </w:tc>
        <w:tc>
          <w:tcPr>
            <w:tcW w:w="2300" w:type="dxa"/>
            <w:vAlign w:val="bottom"/>
            <w:tcBorders>
              <w:top w:val="single" w:sz="8" w:color="auto"/>
            </w:tcBorders>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Moneta, VA</w:t>
            </w:r>
          </w:p>
        </w:tc>
        <w:tc>
          <w:tcPr>
            <w:tcW w:w="2300" w:type="dxa"/>
            <w:vAlign w:val="bottom"/>
            <w:tcBorders>
              <w:top w:val="single" w:sz="8" w:color="auto"/>
            </w:tcBorders>
            <w:shd w:val="clear" w:color="auto" w:fill="CCEEFF"/>
          </w:tcPr>
          <w:p>
            <w:pPr>
              <w:jc w:val="center"/>
              <w:ind w:left="448"/>
              <w:spacing w:after="0" w:line="142"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Bartow, FL</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Mosheim, TN</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Belchertown, MA</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Moultrie, GA</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Bennett, IA</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Overland Park, KS</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Bonner, MT</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Ponce, PR</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Brunswick, GA</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Prairie du Chien, WI</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Callao, VA</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Rancho Cucamonga, CA*</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Dodgeville, WI</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Ranson, WV*</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Durango, Mexico</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Ringgold, GA</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Elizabeth City, NC*</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Rockledge, FL</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Fairless Hills, PA</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Rockwell, NC</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Fort Worth, TX</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Saginaw, TX*</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Grand Rapids, MI</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Schertz, TX*</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Greeneville, TN</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Selma, AL</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Hamilton, OH</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Silsbee, TX</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Hampton, VA</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Spartanburg, SC</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Hazelhurst, GA</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Stockertown, PA</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Howell, MI</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Tampa, FL</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Idabel, OK</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Thomaston, GA</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Janesville, WI*</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Tipton, IA</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Kearneysville, WV*</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Union City, GA*</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Lansing, MI*</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White Bear Lake, MN*</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Lockhart, FL</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White Pigeon, MI</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Louisville, AL</w:t>
            </w:r>
          </w:p>
        </w:tc>
        <w:tc>
          <w:tcPr>
            <w:tcW w:w="2300" w:type="dxa"/>
            <w:vAlign w:val="bottom"/>
            <w:tcBorders>
              <w:bottom w:val="single" w:sz="8" w:color="CCEEFF"/>
            </w:tcBorders>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tcPr>
          <w:p>
            <w:pPr>
              <w:spacing w:after="0"/>
              <w:rPr>
                <w:sz w:val="12"/>
                <w:szCs w:val="12"/>
                <w:color w:val="auto"/>
              </w:rPr>
            </w:pPr>
          </w:p>
        </w:tc>
        <w:tc>
          <w:tcPr>
            <w:tcW w:w="2240" w:type="dxa"/>
            <w:vAlign w:val="bottom"/>
            <w:tcBorders>
              <w:bottom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Windsor, CO*</w:t>
            </w:r>
          </w:p>
        </w:tc>
        <w:tc>
          <w:tcPr>
            <w:tcW w:w="2300" w:type="dxa"/>
            <w:vAlign w:val="bottom"/>
            <w:tcBorders>
              <w:bottom w:val="single" w:sz="8" w:color="auto"/>
            </w:tcBorders>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2"/>
        </w:trPr>
        <w:tc>
          <w:tcPr>
            <w:tcW w:w="19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300" w:type="dxa"/>
            <w:vAlign w:val="bottom"/>
            <w:shd w:val="clear" w:color="auto" w:fill="CCEEFF"/>
          </w:tcPr>
          <w:p>
            <w:pPr>
              <w:jc w:val="center"/>
              <w:ind w:left="4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54</w:t>
            </w:r>
          </w:p>
        </w:tc>
        <w:tc>
          <w:tcPr>
            <w:tcW w:w="0" w:type="dxa"/>
            <w:vAlign w:val="bottom"/>
          </w:tcPr>
          <w:p>
            <w:pPr>
              <w:spacing w:after="0"/>
              <w:rPr>
                <w:sz w:val="1"/>
                <w:szCs w:val="1"/>
                <w:color w:val="auto"/>
              </w:rPr>
            </w:pPr>
          </w:p>
        </w:tc>
      </w:tr>
      <w:tr>
        <w:trPr>
          <w:trHeight w:val="272"/>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4660" w:type="dxa"/>
            <w:vAlign w:val="bottom"/>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PACKAGING SEGMENT</w:t>
            </w:r>
          </w:p>
        </w:tc>
        <w:tc>
          <w:tcPr>
            <w:tcW w:w="230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0" w:type="dxa"/>
            <w:vAlign w:val="bottom"/>
          </w:tcPr>
          <w:p>
            <w:pPr>
              <w:spacing w:after="0"/>
              <w:rPr>
                <w:sz w:val="1"/>
                <w:szCs w:val="1"/>
                <w:color w:val="auto"/>
              </w:rPr>
            </w:pPr>
          </w:p>
        </w:tc>
      </w:tr>
      <w:tr>
        <w:trPr>
          <w:trHeight w:val="173"/>
        </w:trPr>
        <w:tc>
          <w:tcPr>
            <w:tcW w:w="1940" w:type="dxa"/>
            <w:vAlign w:val="bottom"/>
            <w:vMerge w:val="continue"/>
          </w:tcPr>
          <w:p>
            <w:pPr>
              <w:spacing w:after="0"/>
              <w:rPr>
                <w:sz w:val="15"/>
                <w:szCs w:val="15"/>
                <w:color w:val="auto"/>
              </w:rPr>
            </w:pPr>
          </w:p>
        </w:tc>
        <w:tc>
          <w:tcPr>
            <w:tcW w:w="242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2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Adairsville, GA</w:t>
            </w:r>
          </w:p>
        </w:tc>
        <w:tc>
          <w:tcPr>
            <w:tcW w:w="2300" w:type="dxa"/>
            <w:vAlign w:val="bottom"/>
            <w:tcBorders>
              <w:top w:val="single" w:sz="8" w:color="auto"/>
            </w:tcBorders>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Milwaukee, WI</w:t>
            </w:r>
          </w:p>
        </w:tc>
        <w:tc>
          <w:tcPr>
            <w:tcW w:w="2300" w:type="dxa"/>
            <w:vAlign w:val="bottom"/>
            <w:tcBorders>
              <w:top w:val="single" w:sz="8" w:color="auto"/>
            </w:tcBorders>
            <w:shd w:val="clear" w:color="auto" w:fill="CCEEFF"/>
          </w:tcPr>
          <w:p>
            <w:pPr>
              <w:jc w:val="center"/>
              <w:ind w:left="448"/>
              <w:spacing w:after="0" w:line="142"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Ashburn, GA*</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Minneota, MN*</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Auburndale, FL*</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Mocksville, NC</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Bartow, FL</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Morristown, TN</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Blanchester, OH</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Muscle Shoals, AL</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Blue Island, IL*</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Nappanee, IN</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Burnsville, MN</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New Boston, TX</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Butner, NC</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New London, WI</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Chandler, AZ*</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Newnan, GA</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Chase City, VA</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Newton, NC</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Clarksville, TX</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Orangeburg, SC</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Clearfield, UT*</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Parker, PA</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Dallas, TX</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Peru, IL</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Delano, PA</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Port Arthur, TX</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Eatonton, GA</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Prattville, AL</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Flower Mound, TX</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Riverside, CA*</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Forsyth, GA</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Robertsdale, AL</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Franklinton, NC*</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Rowesville, SC</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Gilmer, TX</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Salina, KS*</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Grand Rapids, MI</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Salisbury, NC*</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Grandview, TX</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Sharon, TN</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Harrisonville, MO*</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Shawnee, OK</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Hartford, WI</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Shipshewana, IN</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Hazelhurst, GA</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Siler City, NC</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Inwood, WV</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Snohomish, WA*</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Kansas City, MO</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Stayton, OR*</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Lawrenceburg, TN</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Thornton, CA*</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Livermore Falls, ME</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Warrens, WI*</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Magna, UT*</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Wenatchee, WA</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Martin, TN</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Woodburn, OR*</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McMinnville, OR*</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40" w:type="dxa"/>
            <w:vAlign w:val="bottom"/>
            <w:tcBorders>
              <w:bottom w:val="single" w:sz="8" w:color="auto"/>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Yakima, WA</w:t>
            </w:r>
          </w:p>
        </w:tc>
        <w:tc>
          <w:tcPr>
            <w:tcW w:w="2300" w:type="dxa"/>
            <w:vAlign w:val="bottom"/>
            <w:tcBorders>
              <w:bottom w:val="single" w:sz="8" w:color="auto"/>
            </w:tcBorders>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84"/>
        </w:trPr>
        <w:tc>
          <w:tcPr>
            <w:tcW w:w="19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30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w w:val="99"/>
              </w:rPr>
              <w:t>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4280" w:type="dxa"/>
            <w:vAlign w:val="bottom"/>
            <w:gridSpan w:val="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CONSTRUCTION SEGMENT</w:t>
            </w:r>
          </w:p>
        </w:tc>
        <w:tc>
          <w:tcPr>
            <w:tcW w:w="240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0" w:type="dxa"/>
            <w:vAlign w:val="bottom"/>
          </w:tcPr>
          <w:p>
            <w:pPr>
              <w:spacing w:after="0"/>
              <w:rPr>
                <w:sz w:val="1"/>
                <w:szCs w:val="1"/>
                <w:color w:val="auto"/>
              </w:rPr>
            </w:pPr>
          </w:p>
        </w:tc>
      </w:tr>
      <w:tr>
        <w:trPr>
          <w:trHeight w:val="173"/>
        </w:trPr>
        <w:tc>
          <w:tcPr>
            <w:tcW w:w="2220" w:type="dxa"/>
            <w:vAlign w:val="bottom"/>
            <w:tcBorders>
              <w:bottom w:val="single" w:sz="8" w:color="auto"/>
            </w:tcBorders>
            <w:vMerge w:val="continue"/>
          </w:tcPr>
          <w:p>
            <w:pPr>
              <w:spacing w:after="0"/>
              <w:rPr>
                <w:sz w:val="15"/>
                <w:szCs w:val="15"/>
                <w:color w:val="auto"/>
              </w:rPr>
            </w:pPr>
          </w:p>
        </w:tc>
        <w:tc>
          <w:tcPr>
            <w:tcW w:w="20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120" w:type="dxa"/>
            <w:vAlign w:val="bottom"/>
            <w:tcBorders>
              <w:bottom w:val="single" w:sz="8" w:color="CCEEFF"/>
            </w:tcBorders>
          </w:tcPr>
          <w:p>
            <w:pPr>
              <w:spacing w:after="0"/>
              <w:rPr>
                <w:sz w:val="15"/>
                <w:szCs w:val="15"/>
                <w:color w:val="auto"/>
              </w:rPr>
            </w:pPr>
          </w:p>
        </w:tc>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2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Athena, OR</w:t>
            </w:r>
          </w:p>
        </w:tc>
        <w:tc>
          <w:tcPr>
            <w:tcW w:w="2020" w:type="dxa"/>
            <w:vAlign w:val="bottom"/>
            <w:shd w:val="clear" w:color="auto" w:fill="CCEEFF"/>
          </w:tcPr>
          <w:p>
            <w:pPr>
              <w:jc w:val="center"/>
              <w:ind w:left="14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Jeffersonville, IN</w:t>
            </w:r>
          </w:p>
        </w:tc>
        <w:tc>
          <w:tcPr>
            <w:tcW w:w="2400" w:type="dxa"/>
            <w:vAlign w:val="bottom"/>
            <w:shd w:val="clear" w:color="auto" w:fill="CCEEFF"/>
          </w:tcPr>
          <w:p>
            <w:pPr>
              <w:jc w:val="center"/>
              <w:ind w:left="548"/>
              <w:spacing w:after="0" w:line="142"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Auburn, NY</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Kyle, TX</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Bangalore, India</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Lafayette, CO</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Belchertown, MA</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Lenoir City, TN</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Berlin, NJ</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Liberty, NC</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Berthoud, CO</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Locust, NC</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Bridgeton, MO</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Londonderry, NH</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Brooklyn Center, MN</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Milton-Freewater, OR</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Burlington, NC</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Nampa, ID*</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Cedar Hill, TX</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Naugatuck, CT</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Chesapeake, VA</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New London, NC*</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Chicago, IL</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New Waverly, TX*</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Chicopee, MA</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New Windsor, MD</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Clinton, NC</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Ontario, CA</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Conway, SC</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Ooltewah, TN</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Cordele, GA</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Pearisburg, VA*</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Dayton, OH</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Plainville, MA</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DuBois, PA</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San Antonio, TX</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Edwardsburg, MI*</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Shippenville, PA</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Elkhart, IN</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Sidney, NY</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Folkston, GA</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Stafford, TX</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Fredericksburg, VA</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Stanfield, NC</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Gordon, PA</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Temple, TX</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Granger, IN*</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Tooele, UT</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Haleyville, AL*</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Washington, NC</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Hillsboro, TX*</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Westbury, NY</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Hudson, NY</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Wilton, NH</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Jefferson, GA</w:t>
            </w:r>
          </w:p>
        </w:tc>
        <w:tc>
          <w:tcPr>
            <w:tcW w:w="2020" w:type="dxa"/>
            <w:vAlign w:val="bottom"/>
            <w:tcBorders>
              <w:bottom w:val="single" w:sz="8" w:color="CCEEFF"/>
            </w:tcBorders>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tcPr>
          <w:p>
            <w:pPr>
              <w:spacing w:after="0"/>
              <w:rPr>
                <w:sz w:val="12"/>
                <w:szCs w:val="12"/>
                <w:color w:val="auto"/>
              </w:rPr>
            </w:pPr>
          </w:p>
        </w:tc>
        <w:tc>
          <w:tcPr>
            <w:tcW w:w="2140" w:type="dxa"/>
            <w:vAlign w:val="bottom"/>
            <w:tcBorders>
              <w:bottom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Wujinang, China</w:t>
            </w:r>
          </w:p>
        </w:tc>
        <w:tc>
          <w:tcPr>
            <w:tcW w:w="2400" w:type="dxa"/>
            <w:vAlign w:val="bottom"/>
            <w:tcBorders>
              <w:bottom w:val="single" w:sz="8" w:color="auto"/>
            </w:tcBorders>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2"/>
        </w:trPr>
        <w:tc>
          <w:tcPr>
            <w:tcW w:w="22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0" w:type="dxa"/>
            <w:vAlign w:val="bottom"/>
            <w:shd w:val="clear" w:color="auto" w:fill="CCEEFF"/>
          </w:tcPr>
          <w:p>
            <w:pPr>
              <w:jc w:val="center"/>
              <w:ind w:left="5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62</w:t>
            </w:r>
          </w:p>
        </w:tc>
        <w:tc>
          <w:tcPr>
            <w:tcW w:w="0" w:type="dxa"/>
            <w:vAlign w:val="bottom"/>
          </w:tcPr>
          <w:p>
            <w:pPr>
              <w:spacing w:after="0"/>
              <w:rPr>
                <w:sz w:val="1"/>
                <w:szCs w:val="1"/>
                <w:color w:val="auto"/>
              </w:rPr>
            </w:pPr>
          </w:p>
        </w:tc>
      </w:tr>
      <w:tr>
        <w:trPr>
          <w:trHeight w:val="272"/>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4280" w:type="dxa"/>
            <w:vAlign w:val="bottom"/>
            <w:gridSpan w:val="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ALL OTHER SEGMENT</w:t>
            </w:r>
          </w:p>
        </w:tc>
        <w:tc>
          <w:tcPr>
            <w:tcW w:w="240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0" w:type="dxa"/>
            <w:vAlign w:val="bottom"/>
          </w:tcPr>
          <w:p>
            <w:pPr>
              <w:spacing w:after="0"/>
              <w:rPr>
                <w:sz w:val="1"/>
                <w:szCs w:val="1"/>
                <w:color w:val="auto"/>
              </w:rPr>
            </w:pPr>
          </w:p>
        </w:tc>
      </w:tr>
      <w:tr>
        <w:trPr>
          <w:trHeight w:val="173"/>
        </w:trPr>
        <w:tc>
          <w:tcPr>
            <w:tcW w:w="2220" w:type="dxa"/>
            <w:vAlign w:val="bottom"/>
            <w:tcBorders>
              <w:bottom w:val="single" w:sz="8" w:color="auto"/>
            </w:tcBorders>
            <w:vMerge w:val="continue"/>
          </w:tcPr>
          <w:p>
            <w:pPr>
              <w:spacing w:after="0"/>
              <w:rPr>
                <w:sz w:val="15"/>
                <w:szCs w:val="15"/>
                <w:color w:val="auto"/>
              </w:rPr>
            </w:pPr>
          </w:p>
        </w:tc>
        <w:tc>
          <w:tcPr>
            <w:tcW w:w="2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120" w:type="dxa"/>
            <w:vAlign w:val="bottom"/>
            <w:tcBorders>
              <w:bottom w:val="single" w:sz="8" w:color="CCEEFF"/>
            </w:tcBorders>
          </w:tcPr>
          <w:p>
            <w:pPr>
              <w:spacing w:after="0"/>
              <w:rPr>
                <w:sz w:val="15"/>
                <w:szCs w:val="15"/>
                <w:color w:val="auto"/>
              </w:rPr>
            </w:pPr>
          </w:p>
        </w:tc>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2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Abu Dhabi, United Arab Emirates</w:t>
            </w:r>
          </w:p>
        </w:tc>
        <w:tc>
          <w:tcPr>
            <w:tcW w:w="2020" w:type="dxa"/>
            <w:vAlign w:val="bottom"/>
            <w:shd w:val="clear" w:color="auto" w:fill="CCEEFF"/>
          </w:tcPr>
          <w:p>
            <w:pPr>
              <w:jc w:val="center"/>
              <w:ind w:left="14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Gladstone, Australia</w:t>
            </w:r>
          </w:p>
        </w:tc>
        <w:tc>
          <w:tcPr>
            <w:tcW w:w="2400" w:type="dxa"/>
            <w:vAlign w:val="bottom"/>
            <w:shd w:val="clear" w:color="auto" w:fill="CCEEFF"/>
          </w:tcPr>
          <w:p>
            <w:pPr>
              <w:jc w:val="center"/>
              <w:ind w:left="548"/>
              <w:spacing w:after="0" w:line="142"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Apaseo el Grande, Mexico</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Guntur, India</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Bangalore, India</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Hyderabad, India</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Carole Park, Australia</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Lacolle, Canada</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Castellón, Spain</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Mordialloc, Australia</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Chennai, India</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Noida, India</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Coimbatore, India</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Nuevo Leon, Mexico</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Deer Park, Australia</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Port Melbourne, Australia</w:t>
            </w:r>
          </w:p>
        </w:tc>
        <w:tc>
          <w:tcPr>
            <w:tcW w:w="2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Durango, Mexico</w:t>
            </w:r>
          </w:p>
        </w:tc>
        <w:tc>
          <w:tcPr>
            <w:tcW w:w="202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Pune, India</w:t>
            </w:r>
          </w:p>
        </w:tc>
        <w:tc>
          <w:tcPr>
            <w:tcW w:w="24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22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Erskine Park, Australia</w:t>
            </w:r>
          </w:p>
        </w:tc>
        <w:tc>
          <w:tcPr>
            <w:tcW w:w="2020" w:type="dxa"/>
            <w:vAlign w:val="bottom"/>
            <w:tcBorders>
              <w:bottom w:val="single" w:sz="8" w:color="CCEEFF"/>
            </w:tcBorders>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tcPr>
          <w:p>
            <w:pPr>
              <w:spacing w:after="0"/>
              <w:rPr>
                <w:sz w:val="12"/>
                <w:szCs w:val="12"/>
                <w:color w:val="auto"/>
              </w:rPr>
            </w:pPr>
          </w:p>
        </w:tc>
        <w:tc>
          <w:tcPr>
            <w:tcW w:w="2140" w:type="dxa"/>
            <w:vAlign w:val="bottom"/>
            <w:tcBorders>
              <w:bottom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Vadodara, India</w:t>
            </w:r>
          </w:p>
        </w:tc>
        <w:tc>
          <w:tcPr>
            <w:tcW w:w="2400" w:type="dxa"/>
            <w:vAlign w:val="bottom"/>
            <w:tcBorders>
              <w:bottom w:val="single" w:sz="8" w:color="auto"/>
            </w:tcBorders>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2"/>
        </w:trPr>
        <w:tc>
          <w:tcPr>
            <w:tcW w:w="22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0" w:type="dxa"/>
            <w:vAlign w:val="bottom"/>
            <w:shd w:val="clear" w:color="auto" w:fill="CCEEFF"/>
          </w:tcPr>
          <w:p>
            <w:pPr>
              <w:jc w:val="center"/>
              <w:ind w:left="5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23</w:t>
            </w:r>
          </w:p>
        </w:tc>
        <w:tc>
          <w:tcPr>
            <w:tcW w:w="0" w:type="dxa"/>
            <w:vAlign w:val="bottom"/>
          </w:tcPr>
          <w:p>
            <w:pPr>
              <w:spacing w:after="0"/>
              <w:rPr>
                <w:sz w:val="1"/>
                <w:szCs w:val="1"/>
                <w:color w:val="auto"/>
              </w:rPr>
            </w:pPr>
          </w:p>
        </w:tc>
      </w:tr>
      <w:tr>
        <w:trPr>
          <w:trHeight w:val="272"/>
        </w:trPr>
        <w:tc>
          <w:tcPr>
            <w:tcW w:w="424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CORPORATE SEGMENT</w:t>
            </w:r>
          </w:p>
        </w:tc>
        <w:tc>
          <w:tcPr>
            <w:tcW w:w="1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20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120" w:type="dxa"/>
            <w:vAlign w:val="bottom"/>
            <w:tcBorders>
              <w:bottom w:val="single" w:sz="8" w:color="CCEEFF"/>
            </w:tcBorders>
          </w:tcPr>
          <w:p>
            <w:pPr>
              <w:spacing w:after="0"/>
              <w:rPr>
                <w:sz w:val="15"/>
                <w:szCs w:val="15"/>
                <w:color w:val="auto"/>
              </w:rPr>
            </w:pPr>
          </w:p>
        </w:tc>
        <w:tc>
          <w:tcPr>
            <w:tcW w:w="214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Grand Rapids, MI</w:t>
            </w:r>
          </w:p>
        </w:tc>
        <w:tc>
          <w:tcPr>
            <w:tcW w:w="2020" w:type="dxa"/>
            <w:vAlign w:val="bottom"/>
            <w:shd w:val="clear" w:color="auto" w:fill="CCEEFF"/>
          </w:tcPr>
          <w:p>
            <w:pPr>
              <w:jc w:val="center"/>
              <w:ind w:left="14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Matthews, NC</w:t>
            </w:r>
          </w:p>
        </w:tc>
        <w:tc>
          <w:tcPr>
            <w:tcW w:w="2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Borders>
              <w:bottom w:val="single" w:sz="8" w:color="auto"/>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Spring Lake, MI</w:t>
            </w:r>
          </w:p>
        </w:tc>
        <w:tc>
          <w:tcPr>
            <w:tcW w:w="2020" w:type="dxa"/>
            <w:vAlign w:val="bottom"/>
            <w:tcBorders>
              <w:bottom w:val="single" w:sz="8" w:color="auto"/>
            </w:tcBorders>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2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Due to the nature of our business and historical operating strategy, many of our locations service more than one segment.</w:t>
      </w:r>
    </w:p>
    <w:p>
      <w:pPr>
        <w:spacing w:after="0" w:line="20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own all of our properties, free from any significant mortgage or other encumbrance, except for approximately 77 facilities which are leased. We believe all of these operating facilities are adequate in capacity and condition to service our existing markets.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regarding our legal proceedings is set forth in Note L of our Consolidated Financial Statements which are presented under Item 8 of this Form 10-K and are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Item: Executive Officers of the Registrant.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executive officers are appointed annually by our Board of Directors. There are no family relationships among these officers and our directors nor any arrangement or understanding between any of these officers and any other person pursuant to which the officer was appointed.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lists the names, ages, and positions of our executive officers as of February 2025.</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5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58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D. Schwartz, Jr.</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80" w:type="dxa"/>
            <w:vAlign w:val="bottom"/>
            <w:tcBorders>
              <w:top w:val="single" w:sz="8" w:color="CCEEFF"/>
            </w:tcBorders>
            <w:shd w:val="clear" w:color="auto" w:fill="CCEEFF"/>
          </w:tcPr>
          <w:p>
            <w:pPr>
              <w:spacing w:after="0"/>
              <w:rPr>
                <w:sz w:val="18"/>
                <w:szCs w:val="18"/>
                <w:color w:val="auto"/>
              </w:rPr>
            </w:pPr>
          </w:p>
        </w:tc>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J. Missad</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R. Cole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8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 Treasurer and President of Corporate Services</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Patrick M. Benton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of UFP Construction, LLC</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A. Worthington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8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of UFP Packaging, LLC</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Landon Tarvin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of UFP Retail Solutions, LLC</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Paul Guerre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8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Secretary and Director of Corporate Compliance</w:t>
            </w:r>
          </w:p>
        </w:tc>
      </w:tr>
    </w:tbl>
    <w:p>
      <w:pPr>
        <w:spacing w:after="0" w:line="19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William D. Schwartz, Jr. </w:t>
      </w:r>
      <w:r>
        <w:rPr>
          <w:rFonts w:ascii="Times New Roman" w:cs="Times New Roman" w:eastAsia="Times New Roman" w:hAnsi="Times New Roman"/>
          <w:sz w:val="18"/>
          <w:szCs w:val="18"/>
          <w:color w:val="auto"/>
        </w:rPr>
        <w:t>joined us in 1998. He became Operations Vice President in 2014 and Executive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Purchasing and Transportation in 2020. On July 1, 2022, he became Executive Vice President of Operations Services and on September 26, 2022, he was promoted to President of UFP Retail Solutions, LLC. On December 29, 2024, Mr. Schwartz became President and Chief Executive Officer of the Company.</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Matthew J. Missad </w:t>
      </w:r>
      <w:r>
        <w:rPr>
          <w:rFonts w:ascii="Times New Roman" w:cs="Times New Roman" w:eastAsia="Times New Roman" w:hAnsi="Times New Roman"/>
          <w:sz w:val="18"/>
          <w:szCs w:val="18"/>
          <w:color w:val="auto"/>
        </w:rPr>
        <w:t>joined us in 1985. In February 1996, Mr. Missad was promoted to Executive Vice President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on July 13, 2011, he was promoted to Chief Executive Officer of the Company. On January 1, 2023, Mr. Missad added the title of President of the Company. On December 29, 2024, Mr. Missad became Executive Chairman of the Board.</w:t>
      </w:r>
    </w:p>
    <w:p>
      <w:pPr>
        <w:spacing w:after="0" w:line="180"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Michael R. Cole </w:t>
      </w:r>
      <w:r>
        <w:rPr>
          <w:rFonts w:ascii="Times New Roman" w:cs="Times New Roman" w:eastAsia="Times New Roman" w:hAnsi="Times New Roman"/>
          <w:sz w:val="18"/>
          <w:szCs w:val="18"/>
          <w:color w:val="auto"/>
        </w:rPr>
        <w:t>joined us in 1993 from the international public accounting firm Deloitte &amp; Touche. In December 1999,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promoted to Vice President of Finance. On July 19, 2000, Mr. Cole became Chief Financial Officer of the Company. On December 29, 2024, Mr. Cole added the title of President of Corporate Services to his current role.</w:t>
      </w:r>
    </w:p>
    <w:p>
      <w:pPr>
        <w:spacing w:after="0" w:line="17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Patrick M. Benton </w:t>
      </w:r>
      <w:r>
        <w:rPr>
          <w:rFonts w:ascii="Times New Roman" w:cs="Times New Roman" w:eastAsia="Times New Roman" w:hAnsi="Times New Roman"/>
          <w:sz w:val="18"/>
          <w:szCs w:val="18"/>
          <w:color w:val="auto"/>
        </w:rPr>
        <w:t>joined us in 1993. In 2008 he became Operations Vice President of the South Texas Region, and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1, 2014, he became Executive Vice President of UFP Eastern Division – North. On February 1, 2017, Mr. Benton became President of the UFP Northern Division, and on January 1, 2020, he became President of UFP Construction, LLC.</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Scott A. Worthington </w:t>
      </w:r>
      <w:r>
        <w:rPr>
          <w:rFonts w:ascii="Times New Roman" w:cs="Times New Roman" w:eastAsia="Times New Roman" w:hAnsi="Times New Roman"/>
          <w:sz w:val="18"/>
          <w:szCs w:val="18"/>
          <w:color w:val="auto"/>
        </w:rPr>
        <w:t>joined us in 1997. In 2014, he was promoted to Regional Vice President of the South Texas Region.</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January 1, 2020, he became President of UFP Packaging, LLC.</w:t>
      </w:r>
    </w:p>
    <w:p>
      <w:pPr>
        <w:spacing w:after="0" w:line="205"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Landon Tarvin </w:t>
      </w:r>
      <w:r>
        <w:rPr>
          <w:rFonts w:ascii="Times New Roman" w:cs="Times New Roman" w:eastAsia="Times New Roman" w:hAnsi="Times New Roman"/>
          <w:sz w:val="18"/>
          <w:szCs w:val="18"/>
          <w:color w:val="auto"/>
        </w:rPr>
        <w:t>joined us in 2002. In 2019, he was promoted to Vice President of Outdoor Essentials and in 2021, he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promoted to Vice Present of Deckorators. On December 29, 2024, he became President of UFP Retail Solutions, LLC.</w:t>
      </w:r>
    </w:p>
    <w:p>
      <w:pPr>
        <w:spacing w:after="0" w:line="15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 Paul Guerre </w:t>
      </w:r>
      <w:r>
        <w:rPr>
          <w:rFonts w:ascii="Times New Roman" w:cs="Times New Roman" w:eastAsia="Times New Roman" w:hAnsi="Times New Roman"/>
          <w:sz w:val="18"/>
          <w:szCs w:val="18"/>
          <w:color w:val="auto"/>
        </w:rPr>
        <w:t>joined us in 2020 as Senior Corporate Counsel. On May 15, 2023, he was promoted to Deputy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 Compliance &amp; Administration. On July 1, 2024, he was promoted to Corporate Secretary and Director of Corporate Compliance. Before joining the Company, Mr. Guerre served as in-house counsel for Haworth, Inc., a leading global furniture manufacturer and designer.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Related Shareholder Matters and Issuer Purchases of Equity Securities.</w:t>
      </w:r>
    </w:p>
    <w:p>
      <w:pPr>
        <w:spacing w:after="0" w:line="159" w:lineRule="exact"/>
        <w:rPr>
          <w:sz w:val="20"/>
          <w:szCs w:val="20"/>
          <w:color w:val="auto"/>
        </w:rPr>
      </w:pPr>
    </w:p>
    <w:p>
      <w:pPr>
        <w:ind w:left="380" w:right="1779" w:hanging="330"/>
        <w:spacing w:after="0" w:line="500"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trades on The Nasdaq Stock Market (“NASDAQ”) under the symbol UFPI. As of January 28, 2025, there were approximately 2,723 record holders of our common stock.</w:t>
      </w:r>
    </w:p>
    <w:p>
      <w:pPr>
        <w:spacing w:after="0" w:line="1" w:lineRule="exact"/>
        <w:rPr>
          <w:rFonts w:ascii="Times New Roman" w:cs="Times New Roman" w:eastAsia="Times New Roman" w:hAnsi="Times New Roman"/>
          <w:sz w:val="18"/>
          <w:szCs w:val="18"/>
          <w:color w:val="auto"/>
        </w:rPr>
      </w:pPr>
    </w:p>
    <w:p>
      <w:pPr>
        <w:jc w:val="both"/>
        <w:ind w:left="380" w:right="5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rates are reviewed and approved at each of our February, April, July, and October board meetings and payments are made in March, June, September, and December of each year. On February 13, 2025, our board approved a quarterly cash dividend of $0.35 per share, which represents a 6% increase from December 2024. This dividend will be payable on March 17, 2025, to shareholders of record on March 3, 2025. Our board considers our dividend yield, payout ratios relative to earnings and operating cash flow, and potential variability of future results, among other factors, as part of its decision-making process.</w:t>
      </w:r>
    </w:p>
    <w:p>
      <w:pPr>
        <w:spacing w:after="0" w:line="187" w:lineRule="exact"/>
        <w:rPr>
          <w:rFonts w:ascii="Times New Roman" w:cs="Times New Roman" w:eastAsia="Times New Roman" w:hAnsi="Times New Roman"/>
          <w:sz w:val="18"/>
          <w:szCs w:val="18"/>
          <w:color w:val="auto"/>
        </w:rPr>
      </w:pPr>
    </w:p>
    <w:p>
      <w:pPr>
        <w:ind w:left="380" w:right="5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Part III - Item 12 below for information about securities authorized for issuance under our equity compensation plans.</w:t>
      </w:r>
    </w:p>
    <w:p>
      <w:pPr>
        <w:spacing w:after="0" w:line="16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Performance Graph:</w:t>
      </w:r>
    </w:p>
    <w:p>
      <w:pPr>
        <w:spacing w:after="0" w:line="225" w:lineRule="exact"/>
        <w:rPr>
          <w:rFonts w:ascii="Times New Roman" w:cs="Times New Roman" w:eastAsia="Times New Roman" w:hAnsi="Times New Roman"/>
          <w:sz w:val="18"/>
          <w:szCs w:val="18"/>
          <w:color w:val="auto"/>
        </w:rPr>
      </w:pPr>
    </w:p>
    <w:p>
      <w:pPr>
        <w:jc w:val="both"/>
        <w:ind w:left="380" w:right="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stock price performance graph compares the annual percentage change in the cumulative total return on our common stock with the cumulative total returns of companies comprising the NASDAQ US Benchmark TR index and an industry peer group we selected. The graph assumes an investment of $100 on December 28, 2019,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125730</wp:posOffset>
            </wp:positionV>
            <wp:extent cx="5554980" cy="2948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5498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companies included in our self-determined industry peer group are as follows:</w:t>
      </w:r>
    </w:p>
    <w:p>
      <w:pPr>
        <w:spacing w:after="0" w:line="239" w:lineRule="exact"/>
        <w:rPr>
          <w:sz w:val="20"/>
          <w:szCs w:val="20"/>
          <w:color w:val="auto"/>
        </w:rPr>
      </w:pPr>
    </w:p>
    <w:p>
      <w:pPr>
        <w:ind w:left="760"/>
        <w:spacing w:after="0"/>
        <w:tabs>
          <w:tab w:leader="none" w:pos="3780" w:val="left"/>
        </w:tabs>
        <w:rPr>
          <w:sz w:val="20"/>
          <w:szCs w:val="20"/>
          <w:color w:val="auto"/>
        </w:rPr>
      </w:pPr>
      <w:r>
        <w:rPr>
          <w:rFonts w:ascii="Times New Roman" w:cs="Times New Roman" w:eastAsia="Times New Roman" w:hAnsi="Times New Roman"/>
          <w:sz w:val="18"/>
          <w:szCs w:val="18"/>
          <w:color w:val="auto"/>
        </w:rPr>
        <w:t>American Woodmark Corporation</w:t>
      </w:r>
      <w:r>
        <w:rPr>
          <w:sz w:val="20"/>
          <w:szCs w:val="20"/>
          <w:color w:val="auto"/>
        </w:rPr>
        <w:tab/>
      </w:r>
      <w:r>
        <w:rPr>
          <w:rFonts w:ascii="Times New Roman" w:cs="Times New Roman" w:eastAsia="Times New Roman" w:hAnsi="Times New Roman"/>
          <w:sz w:val="17"/>
          <w:szCs w:val="17"/>
          <w:color w:val="auto"/>
        </w:rPr>
        <w:t>Masco Corporation</w:t>
      </w:r>
    </w:p>
    <w:p>
      <w:pPr>
        <w:spacing w:after="0" w:line="117" w:lineRule="exact"/>
        <w:rPr>
          <w:sz w:val="20"/>
          <w:szCs w:val="20"/>
          <w:color w:val="auto"/>
        </w:rPr>
      </w:pPr>
    </w:p>
    <w:p>
      <w:pPr>
        <w:ind w:left="760"/>
        <w:spacing w:after="0"/>
        <w:tabs>
          <w:tab w:leader="none" w:pos="3780" w:val="left"/>
        </w:tabs>
        <w:rPr>
          <w:sz w:val="20"/>
          <w:szCs w:val="20"/>
          <w:color w:val="auto"/>
        </w:rPr>
      </w:pPr>
      <w:r>
        <w:rPr>
          <w:rFonts w:ascii="Times New Roman" w:cs="Times New Roman" w:eastAsia="Times New Roman" w:hAnsi="Times New Roman"/>
          <w:sz w:val="18"/>
          <w:szCs w:val="18"/>
          <w:color w:val="auto"/>
        </w:rPr>
        <w:t>Boise Cascade Company</w:t>
      </w:r>
      <w:r>
        <w:rPr>
          <w:sz w:val="20"/>
          <w:szCs w:val="20"/>
          <w:color w:val="auto"/>
        </w:rPr>
        <w:tab/>
      </w:r>
      <w:r>
        <w:rPr>
          <w:rFonts w:ascii="Times New Roman" w:cs="Times New Roman" w:eastAsia="Times New Roman" w:hAnsi="Times New Roman"/>
          <w:sz w:val="17"/>
          <w:szCs w:val="17"/>
          <w:color w:val="auto"/>
        </w:rPr>
        <w:t>Patrick Industries, Inc.</w:t>
      </w:r>
    </w:p>
    <w:p>
      <w:pPr>
        <w:spacing w:after="0" w:line="117" w:lineRule="exact"/>
        <w:rPr>
          <w:sz w:val="20"/>
          <w:szCs w:val="20"/>
          <w:color w:val="auto"/>
        </w:rPr>
      </w:pPr>
    </w:p>
    <w:p>
      <w:pPr>
        <w:ind w:left="760"/>
        <w:spacing w:after="0"/>
        <w:tabs>
          <w:tab w:leader="none" w:pos="3780" w:val="left"/>
        </w:tabs>
        <w:rPr>
          <w:sz w:val="20"/>
          <w:szCs w:val="20"/>
          <w:color w:val="auto"/>
        </w:rPr>
      </w:pPr>
      <w:r>
        <w:rPr>
          <w:rFonts w:ascii="Times New Roman" w:cs="Times New Roman" w:eastAsia="Times New Roman" w:hAnsi="Times New Roman"/>
          <w:sz w:val="18"/>
          <w:szCs w:val="18"/>
          <w:color w:val="auto"/>
        </w:rPr>
        <w:t>Builders FirstSource, Inc.</w:t>
      </w:r>
      <w:r>
        <w:rPr>
          <w:sz w:val="20"/>
          <w:szCs w:val="20"/>
          <w:color w:val="auto"/>
        </w:rPr>
        <w:tab/>
      </w:r>
      <w:r>
        <w:rPr>
          <w:rFonts w:ascii="Times New Roman" w:cs="Times New Roman" w:eastAsia="Times New Roman" w:hAnsi="Times New Roman"/>
          <w:sz w:val="17"/>
          <w:szCs w:val="17"/>
          <w:color w:val="auto"/>
        </w:rPr>
        <w:t>Simpson Manufacturing Company, Inc.</w:t>
      </w:r>
    </w:p>
    <w:p>
      <w:pPr>
        <w:spacing w:after="0" w:line="117" w:lineRule="exact"/>
        <w:rPr>
          <w:sz w:val="20"/>
          <w:szCs w:val="20"/>
          <w:color w:val="auto"/>
        </w:rPr>
      </w:pPr>
    </w:p>
    <w:p>
      <w:pPr>
        <w:ind w:left="760"/>
        <w:spacing w:after="0"/>
        <w:tabs>
          <w:tab w:leader="none" w:pos="3780" w:val="left"/>
        </w:tabs>
        <w:rPr>
          <w:sz w:val="20"/>
          <w:szCs w:val="20"/>
          <w:color w:val="auto"/>
        </w:rPr>
      </w:pPr>
      <w:r>
        <w:rPr>
          <w:rFonts w:ascii="Times New Roman" w:cs="Times New Roman" w:eastAsia="Times New Roman" w:hAnsi="Times New Roman"/>
          <w:sz w:val="18"/>
          <w:szCs w:val="18"/>
          <w:color w:val="auto"/>
        </w:rPr>
        <w:t>Gibraltar Industries, Inc.</w:t>
      </w:r>
      <w:r>
        <w:rPr>
          <w:sz w:val="20"/>
          <w:szCs w:val="20"/>
          <w:color w:val="auto"/>
        </w:rPr>
        <w:tab/>
      </w:r>
      <w:r>
        <w:rPr>
          <w:rFonts w:ascii="Times New Roman" w:cs="Times New Roman" w:eastAsia="Times New Roman" w:hAnsi="Times New Roman"/>
          <w:sz w:val="17"/>
          <w:szCs w:val="17"/>
          <w:color w:val="auto"/>
        </w:rPr>
        <w:t>Smurfit Westrock plc</w:t>
      </w:r>
    </w:p>
    <w:p>
      <w:pPr>
        <w:spacing w:after="0" w:line="117" w:lineRule="exact"/>
        <w:rPr>
          <w:sz w:val="20"/>
          <w:szCs w:val="20"/>
          <w:color w:val="auto"/>
        </w:rPr>
      </w:pPr>
    </w:p>
    <w:p>
      <w:pPr>
        <w:ind w:left="760"/>
        <w:spacing w:after="0"/>
        <w:tabs>
          <w:tab w:leader="none" w:pos="3780" w:val="left"/>
        </w:tabs>
        <w:rPr>
          <w:sz w:val="20"/>
          <w:szCs w:val="20"/>
          <w:color w:val="auto"/>
        </w:rPr>
      </w:pPr>
      <w:r>
        <w:rPr>
          <w:rFonts w:ascii="Times New Roman" w:cs="Times New Roman" w:eastAsia="Times New Roman" w:hAnsi="Times New Roman"/>
          <w:sz w:val="18"/>
          <w:szCs w:val="18"/>
          <w:color w:val="auto"/>
        </w:rPr>
        <w:t>Greif, Inc.</w:t>
      </w:r>
      <w:r>
        <w:rPr>
          <w:sz w:val="20"/>
          <w:szCs w:val="20"/>
          <w:color w:val="auto"/>
        </w:rPr>
        <w:tab/>
      </w:r>
      <w:r>
        <w:rPr>
          <w:rFonts w:ascii="Times New Roman" w:cs="Times New Roman" w:eastAsia="Times New Roman" w:hAnsi="Times New Roman"/>
          <w:sz w:val="17"/>
          <w:szCs w:val="17"/>
          <w:color w:val="auto"/>
        </w:rPr>
        <w:t>Sonoco Products Company</w:t>
      </w:r>
    </w:p>
    <w:p>
      <w:pPr>
        <w:spacing w:after="0" w:line="117" w:lineRule="exact"/>
        <w:rPr>
          <w:sz w:val="20"/>
          <w:szCs w:val="20"/>
          <w:color w:val="auto"/>
        </w:rPr>
      </w:pPr>
    </w:p>
    <w:p>
      <w:pPr>
        <w:ind w:left="760"/>
        <w:spacing w:after="0"/>
        <w:tabs>
          <w:tab w:leader="none" w:pos="3780" w:val="left"/>
        </w:tabs>
        <w:rPr>
          <w:sz w:val="20"/>
          <w:szCs w:val="20"/>
          <w:color w:val="auto"/>
        </w:rPr>
      </w:pPr>
      <w:r>
        <w:rPr>
          <w:rFonts w:ascii="Times New Roman" w:cs="Times New Roman" w:eastAsia="Times New Roman" w:hAnsi="Times New Roman"/>
          <w:sz w:val="18"/>
          <w:szCs w:val="18"/>
          <w:color w:val="auto"/>
        </w:rPr>
        <w:t>Louisiana-Pacific Corporation</w:t>
      </w:r>
      <w:r>
        <w:rPr>
          <w:sz w:val="20"/>
          <w:szCs w:val="20"/>
          <w:color w:val="auto"/>
        </w:rPr>
        <w:tab/>
      </w:r>
      <w:r>
        <w:rPr>
          <w:rFonts w:ascii="Times New Roman" w:cs="Times New Roman" w:eastAsia="Times New Roman" w:hAnsi="Times New Roman"/>
          <w:sz w:val="17"/>
          <w:szCs w:val="17"/>
          <w:color w:val="auto"/>
        </w:rPr>
        <w:t>Trex Company, Inc.</w:t>
      </w:r>
    </w:p>
    <w:p>
      <w:pPr>
        <w:spacing w:after="0" w:line="225" w:lineRule="exact"/>
        <w:rPr>
          <w:sz w:val="20"/>
          <w:szCs w:val="20"/>
          <w:color w:val="auto"/>
        </w:rPr>
      </w:pPr>
    </w:p>
    <w:p>
      <w:pPr>
        <w:jc w:val="both"/>
        <w:ind w:left="380" w:right="59"/>
        <w:spacing w:after="0" w:line="261" w:lineRule="auto"/>
        <w:rPr>
          <w:sz w:val="20"/>
          <w:szCs w:val="20"/>
          <w:color w:val="auto"/>
        </w:rPr>
      </w:pPr>
      <w:r>
        <w:rPr>
          <w:rFonts w:ascii="Times New Roman" w:cs="Times New Roman" w:eastAsia="Times New Roman" w:hAnsi="Times New Roman"/>
          <w:sz w:val="18"/>
          <w:szCs w:val="18"/>
          <w:color w:val="auto"/>
        </w:rPr>
        <w:t>The returns of each company included in the self-determined peer group are weighted according to each respective company’s stock market capitalization at the beginning of each period presented in the graph above. In determining the members of our peer group, we considered companies who selected UFPI as a member of their peer group, and looked for similarly sized companies or companies that are a good fit with the markets we serve.</w:t>
      </w:r>
    </w:p>
    <w:p>
      <w:pPr>
        <w:spacing w:after="0" w:line="180" w:lineRule="exact"/>
        <w:rPr>
          <w:sz w:val="20"/>
          <w:szCs w:val="20"/>
          <w:color w:val="auto"/>
        </w:rPr>
      </w:pPr>
    </w:p>
    <w:p>
      <w:pPr>
        <w:jc w:val="both"/>
        <w:ind w:left="380" w:right="59"/>
        <w:spacing w:after="0" w:line="282" w:lineRule="auto"/>
        <w:rPr>
          <w:sz w:val="20"/>
          <w:szCs w:val="20"/>
          <w:color w:val="auto"/>
        </w:rPr>
      </w:pPr>
      <w:r>
        <w:rPr>
          <w:rFonts w:ascii="Times New Roman" w:cs="Times New Roman" w:eastAsia="Times New Roman" w:hAnsi="Times New Roman"/>
          <w:sz w:val="18"/>
          <w:szCs w:val="18"/>
          <w:color w:val="auto"/>
        </w:rPr>
        <w:t>There were no sales of securities by the Company during fiscal 2024 that were not registered under the Securities Act of 1933.</w:t>
      </w:r>
    </w:p>
    <w:p>
      <w:pPr>
        <w:spacing w:after="0" w:line="162"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 during the fourth quarter:</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6"/>
                <w:szCs w:val="16"/>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(3)</w:t>
            </w:r>
          </w:p>
        </w:tc>
        <w:tc>
          <w:tcPr>
            <w:tcW w:w="160" w:type="dxa"/>
            <w:vAlign w:val="bottom"/>
          </w:tcPr>
          <w:p>
            <w:pPr>
              <w:spacing w:after="0"/>
              <w:rPr>
                <w:sz w:val="16"/>
                <w:szCs w:val="16"/>
                <w:color w:val="auto"/>
              </w:rPr>
            </w:pPr>
          </w:p>
        </w:tc>
        <w:tc>
          <w:tcPr>
            <w:tcW w:w="11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209"/>
        </w:trPr>
        <w:tc>
          <w:tcPr>
            <w:tcW w:w="5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29 - November 2, 2024</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$ 200,000,000</w:t>
            </w:r>
          </w:p>
        </w:tc>
      </w:tr>
      <w:tr>
        <w:trPr>
          <w:trHeight w:val="216"/>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3 - 30, 2024</w:t>
            </w:r>
          </w:p>
        </w:tc>
        <w:tc>
          <w:tcPr>
            <w:tcW w:w="7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200,000,000</w:t>
            </w:r>
          </w:p>
        </w:tc>
      </w:tr>
      <w:tr>
        <w:trPr>
          <w:trHeight w:val="432"/>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1 - 28, 2024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198,957,691</w:t>
            </w:r>
          </w:p>
        </w:tc>
      </w:tr>
      <w:tr>
        <w:trPr>
          <w:trHeight w:val="115"/>
        </w:trPr>
        <w:tc>
          <w:tcPr>
            <w:tcW w:w="2240" w:type="dxa"/>
            <w:vAlign w:val="bottom"/>
            <w:tcBorders>
              <w:bottom w:val="single" w:sz="8" w:color="auto"/>
            </w:tcBorders>
          </w:tcPr>
          <w:p>
            <w:pPr>
              <w:spacing w:after="0"/>
              <w:rPr>
                <w:sz w:val="10"/>
                <w:szCs w:val="10"/>
                <w:color w:val="auto"/>
              </w:rPr>
            </w:pPr>
          </w:p>
        </w:tc>
        <w:tc>
          <w:tcPr>
            <w:tcW w:w="3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58"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number of shares purchased.</w:t>
      </w:r>
    </w:p>
    <w:p>
      <w:pPr>
        <w:spacing w:after="0" w:line="3" w:lineRule="exact"/>
        <w:rPr>
          <w:rFonts w:ascii="Times New Roman" w:cs="Times New Roman" w:eastAsia="Times New Roman" w:hAnsi="Times New Roman"/>
          <w:sz w:val="14"/>
          <w:szCs w:val="14"/>
          <w:color w:val="auto"/>
        </w:rPr>
      </w:pPr>
    </w:p>
    <w:p>
      <w:pPr>
        <w:ind w:left="380" w:hanging="330"/>
        <w:spacing w:after="0" w:line="221" w:lineRule="auto"/>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w:t>
      </w:r>
    </w:p>
    <w:p>
      <w:pPr>
        <w:ind w:left="380" w:hanging="330"/>
        <w:spacing w:after="0" w:line="221" w:lineRule="auto"/>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number of shares purchased as part of publicly announced plans or programs.</w:t>
      </w:r>
    </w:p>
    <w:p>
      <w:pPr>
        <w:ind w:left="380" w:hanging="330"/>
        <w:spacing w:after="0"/>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 dollar value of shares that may yet be purchased under the plans or programs.</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and effective as of July 24, 2024, our board authorized the repurchase of up to $200 million worth of shares of our common stock through the period ending July 31, 2025, which supersedes and replaces prior authorizations.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[RESERVED.]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UFP Industries, Inc. is a holding company with subsidiaries in the United States, Mexico, Canada, Spain, India, United Arab Emirates and Australia that design, manufacture, and supply products made from wood, wood and non-wood composites, and other materials to three segments: retail, packaging, and construction. We are headquartered in Grand Rapids, Michigan.</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Among the factors that could cause actual results to differ materially from forward-looking statements are the following: fluctuations in currency and inflation; fluctuations in the price of lumber; adverse economic conditions in the markets we serve; concentration of sales to customers; vertical integration strategies; excess capacity or supply chain challenges; our ability to make successful business acquisitions; government regulations, particularly involving environmental and safety regulations; adverse or unusual weather conditions; inbound and outbound transportation costs; alternatives to replace treated wood products; cybersecurity breaches; tariffs on import and export sales; and potential pandemics. Certain of these risk factors as well as other risk factors and additional information are included in our reports on Form 10-K and 10-Q on file with the Securities and Exchange Commission.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pleased to present this overview of 2024. Our results for 2024 were impacted by the following:</w:t>
      </w:r>
    </w:p>
    <w:p>
      <w:pPr>
        <w:spacing w:after="0" w:line="225" w:lineRule="exact"/>
        <w:rPr>
          <w:sz w:val="20"/>
          <w:szCs w:val="20"/>
          <w:color w:val="auto"/>
        </w:rPr>
      </w:pPr>
    </w:p>
    <w:p>
      <w:pPr>
        <w:jc w:val="both"/>
        <w:ind w:left="720" w:right="79" w:hanging="319"/>
        <w:spacing w:after="0" w:line="258"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decreased 8% compared to 2023, which was comprised of a 7% decrease in selling prices and a 1% decrease in unit sales. The overall decrease in our selling prices is primarily due to lower lumber prices and a more competitive pricing environment in certain of our business units. The overall unit decline consists of a 7% decrease in our retail segment and a 3% decrease in our packaging segment, partially offset by a 5% increase in our construction segment.</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profits decreased by $192.2 million, or 13.5%, compared to last year, exceeding our 1% decline in unit sales. By segment, gross profits decreased by $85 million in Construction and $114 million in Packaging, while Retail was flat. The overall decrease in our gross profits is primarily due to the decline in unit sales and unfavorable cost variances resulting from fixed manufacturing costs, and more competitive pricing in certain business units.</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profits decreased $154 million, or 24%, compared to last year. The overall decrease is a result of the decline in gross profits mentioned above offset by a $32 million decrease in selling, general, and administrative (“SG&amp;A”) expenses. Our SG&amp;A declined primarily due to our incentive compensation plans, bonus and sales incentives, which are tied to profitability and return on investment. More specifically, our bonus expense declined by $41 million to $134 million for the year and sales incentive expense declined by $10 million to approximately $49 million for the year. Our decremental operating margin was 27.3%, which is calculated by dividing the decrease in our earnings from operations by the decrease in our net sales. In other words, for every dollar decrease in sales from 2023 to 2024, our operating profits decreased 27.3 cents. The decremental operating margin is intended to provide investors additional visibility into expected operating profits during periods of declining sales and pricing. In a declining business cycle, the Company’s management uses this metric to evaluate a change in its profitability resulting from a reduction in sales volume while considering the impact of product pricing changes, changes in product sales mix, its ratio of variable and fixed costs, and anticipated cost saving measures, among other factors. Our decremental operating margin was higher this quarter than we’ve experienced in other recent down cycles primarily due to more competitive pricing and a cautious approach to reducing our cost structure and capacity as a result of uncertainty about the timing of a rebound in demand. We currently have a goal to implement cost and capacity reductions that will generate a favorable impact on operating profits totaling approximately $60 million by 2026. We anticipate benefits of $30 to $35 million in 2025.</w:t>
      </w:r>
    </w:p>
    <w:p>
      <w:pPr>
        <w:spacing w:after="0" w:line="395" w:lineRule="exact"/>
        <w:rPr>
          <w:rFonts w:ascii="Times New Roman" w:cs="Times New Roman" w:eastAsia="Times New Roman" w:hAnsi="Times New Roman"/>
          <w:sz w:val="17"/>
          <w:szCs w:val="17"/>
          <w:color w:val="auto"/>
        </w:rPr>
      </w:pPr>
    </w:p>
    <w:p>
      <w:pPr>
        <w:jc w:val="both"/>
        <w:ind w:left="720" w:right="79" w:hanging="319"/>
        <w:spacing w:after="0" w:line="258"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from operations in 2024 was $643 million compared to $960 million in 2023. The $317 million decline resulted from the change in our investment in net working capital, which was $237 million lower in 2024 than it was in 2023 resulting in a decrease in operating cash flows, as well as an $80 million decrease in net earnings and non-cash expenses compared to the prior year. Our investment in net working capital declined significantly as demand normalized from the peak of the pandemic period.</w:t>
      </w:r>
    </w:p>
    <w:p>
      <w:pPr>
        <w:spacing w:after="0" w:line="18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invested $232 million in capital expenditures to support and grow our existing businesses and invested $30 million to acquire a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8"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returned $81 million to our shareholders through dividends. We repurchased approximately 1,409,266 shares of our common stock for $160 million, at an average price of $113.53 per share. Of this amount, 154,196 shares were repurchased in order to settle tax withholding obligations of long-term stock incentive plan participants’ awards which vested in February. The shares were purchased at an average price of $115.69 per share, totaling $17.8 million.</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cash equivalents at the end of 2024 was $1.2 billion compared to $1.1 billion at the end of 2023. Our unused borrowing capacity under our revolving credit facility and a shelf agreement with certain lenders along with our cash resulted in total liquidity of approximately $2.5 billion at the end of December 2024. We plan to continue to pursue a balanced and return driven approach to capital allocation focused on continuing to increase our dividend at a rate that is aligned with our anticipated long-term earnings growth rate, repurchasing our common stock to offset dilution from issuances under our equity-based compensation programs, making capital investments needed to execute our organic growth and operating improvement strategies, and completing business acquisitions that complement our existing businesses and provide new avenues for growth.</w:t>
      </w:r>
    </w:p>
    <w:p>
      <w:pPr>
        <w:spacing w:after="0" w:line="19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a $40 million debt repayment on our Series 2012 Senior Note Tranche B, which matured on December 17, 2024.</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HISTORICAL LUMBER PRICES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Random Lengths framing lumber composite price.</w:t>
      </w:r>
    </w:p>
    <w:p>
      <w:pPr>
        <w:spacing w:after="0" w:line="232"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Random Lengths Composite</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35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October</w:t>
            </w: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w:t>
            </w: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December</w:t>
            </w: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Year-to-date average</w:t>
            </w:r>
          </w:p>
        </w:tc>
        <w:tc>
          <w:tcPr>
            <w:tcW w:w="37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56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 approximately two-thirds of our total lumber purchases.</w:t>
      </w:r>
    </w:p>
    <w:p>
      <w:pPr>
        <w:spacing w:after="0" w:line="169"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Random Lengths SYP</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October</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December</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Year-to-date average</w:t>
            </w:r>
          </w:p>
        </w:tc>
        <w:tc>
          <w:tcPr>
            <w:tcW w:w="25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Lower overall lumber prices in 2024 compared to 2023 is primarily due to increased capacity to produce SYP lumber in the U.S. while end market demand has remained soft. A change in lumber prices impacts our profitability of products sold with fixed and variable prices, as discussed below.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IMPACT OF THE LUMBER MARKET ON OUR OPERATING RESULTS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generally price our products to pass lumber costs through to our customers so that our profitability is based on the value-added manufacturing, distribution, engineering, and other services we provide. As a result, our dollar sales levels (and working capital requirements) are impacted by the lumber costs of our products. Lumber costs were 40.4% and 43.5% of our net sales in 2024 and 2023, respectively.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Our gross margins are impacted by (1) the relative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xml:space="preserve"> of the Lumber Market (i.e. whether prices are higher or lower from comparative periods), and (2)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the Lumber Market impact our products differently.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25" w:lineRule="exact"/>
        <w:rPr>
          <w:sz w:val="20"/>
          <w:szCs w:val="20"/>
          <w:color w:val="auto"/>
        </w:rPr>
      </w:pPr>
    </w:p>
    <w:p>
      <w:pPr>
        <w:jc w:val="both"/>
        <w:ind w:left="720" w:right="79" w:hanging="319"/>
        <w:spacing w:after="0" w:line="25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5"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profits.</w:t>
      </w:r>
      <w:r>
        <w:rPr>
          <w:rFonts w:ascii="Times New Roman" w:cs="Times New Roman" w:eastAsia="Times New Roman" w:hAnsi="Times New Roman"/>
          <w:sz w:val="18"/>
          <w:szCs w:val="18"/>
          <w:color w:val="auto"/>
        </w:rPr>
        <w:t xml:space="preserve"> These products primarily include treated lumber, panel goods, other commodity-type items, and trusses sold to the manufactured housing industry. For these products, we estimate customers’ needs and carry appropriate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 As a result of the balance in our net sales to each of our end markets, we believe our gross profits are more stable than those of our competitors who are less diversified.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jc w:val="both"/>
        <w:ind w:left="720" w:right="79" w:hanging="319"/>
        <w:spacing w:after="0" w:line="254"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includes treated lumber, which comprised approximately 21% of our total net sales in 2024. This exposure is less significant with remanufactured lumber, panel goods, other commodity-type items, and trusses sold to the manufactured housing market due to the higher rate of inventory turnover. We attempt to mitigate the risk associated with treated lumber through inventory consignment programs with our vendors. We estimate that 15% of our total purchases for 2024 were completed under these programs. (</w:t>
      </w:r>
      <w:r>
        <w:rPr>
          <w:rFonts w:ascii="Times New Roman" w:cs="Times New Roman" w:eastAsia="Times New Roman" w:hAnsi="Times New Roman"/>
          <w:sz w:val="18"/>
          <w:szCs w:val="18"/>
          <w:i w:val="1"/>
          <w:iCs w:val="1"/>
          <w:color w:val="auto"/>
        </w:rPr>
        <w:t>Please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the “Risk Factors” section of our annual report on form 10-K, filed with the United States Securities and Exchange Commission.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8"/>
          <w:szCs w:val="18"/>
          <w:color w:val="auto"/>
        </w:rPr>
        <w:t xml:space="preserve"> We attempt to mitigate this risk through our purchasing practices and longer vendor commitments.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In addition to the impact of the Lumber Market </w:t>
      </w:r>
      <w:r>
        <w:rPr>
          <w:rFonts w:ascii="Times New Roman" w:cs="Times New Roman" w:eastAsia="Times New Roman" w:hAnsi="Times New Roman"/>
          <w:sz w:val="18"/>
          <w:szCs w:val="18"/>
          <w:u w:val="single" w:color="auto"/>
          <w:color w:val="auto"/>
        </w:rPr>
        <w:t>trends</w:t>
      </w:r>
      <w:r>
        <w:rPr>
          <w:rFonts w:ascii="Times New Roman" w:cs="Times New Roman" w:eastAsia="Times New Roman" w:hAnsi="Times New Roman"/>
          <w:sz w:val="18"/>
          <w:szCs w:val="18"/>
          <w:color w:val="auto"/>
        </w:rPr>
        <w:t xml:space="preserve"> on gross margins, changes in the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within each period.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6"/>
        </w:trPr>
        <w:tc>
          <w:tcPr>
            <w:tcW w:w="2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4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4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Product cost</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4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Sell price</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r>
      <w:tr>
        <w:trPr>
          <w:trHeight w:val="63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16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 As a result of this factor, we believe it is useful to compare our change in units sold with our change in gross profits, selling, general, and administrative expenses, and operating profits as presented in the following table.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280" w:type="dxa"/>
            <w:vAlign w:val="bottom"/>
          </w:tcPr>
          <w:p>
            <w:pPr>
              <w:spacing w:after="0"/>
              <w:rPr>
                <w:sz w:val="15"/>
                <w:szCs w:val="15"/>
                <w:color w:val="auto"/>
              </w:rPr>
            </w:pPr>
          </w:p>
        </w:tc>
        <w:tc>
          <w:tcPr>
            <w:tcW w:w="2620" w:type="dxa"/>
            <w:vAlign w:val="bottom"/>
            <w:tcBorders>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Annual Percentage Change from</w:t>
            </w:r>
          </w:p>
        </w:tc>
      </w:tr>
      <w:tr>
        <w:trPr>
          <w:trHeight w:val="155"/>
        </w:trPr>
        <w:tc>
          <w:tcPr>
            <w:tcW w:w="6280" w:type="dxa"/>
            <w:vAlign w:val="bottom"/>
          </w:tcPr>
          <w:p>
            <w:pPr>
              <w:spacing w:after="0"/>
              <w:rPr>
                <w:sz w:val="13"/>
                <w:szCs w:val="13"/>
                <w:color w:val="auto"/>
              </w:rPr>
            </w:pPr>
          </w:p>
        </w:tc>
        <w:tc>
          <w:tcPr>
            <w:tcW w:w="2620" w:type="dxa"/>
            <w:vAlign w:val="bottom"/>
            <w:tcBorders>
              <w:bottom w:val="single" w:sz="8" w:color="auto"/>
            </w:tcBorders>
            <w:gridSpan w:val="3"/>
          </w:tcPr>
          <w:p>
            <w:pPr>
              <w:jc w:val="right"/>
              <w:ind w:right="676"/>
              <w:spacing w:after="0" w:line="149" w:lineRule="exact"/>
              <w:rPr>
                <w:sz w:val="20"/>
                <w:szCs w:val="20"/>
                <w:color w:val="auto"/>
              </w:rPr>
            </w:pPr>
            <w:r>
              <w:rPr>
                <w:rFonts w:ascii="Times New Roman" w:cs="Times New Roman" w:eastAsia="Times New Roman" w:hAnsi="Times New Roman"/>
                <w:sz w:val="14"/>
                <w:szCs w:val="14"/>
                <w:b w:val="1"/>
                <w:bCs w:val="1"/>
                <w:color w:val="auto"/>
              </w:rPr>
              <w:t>Prior Year Ended</w:t>
            </w:r>
          </w:p>
        </w:tc>
      </w:tr>
      <w:tr>
        <w:trPr>
          <w:trHeight w:val="137"/>
        </w:trPr>
        <w:tc>
          <w:tcPr>
            <w:tcW w:w="6280" w:type="dxa"/>
            <w:vAlign w:val="bottom"/>
          </w:tcPr>
          <w:p>
            <w:pPr>
              <w:spacing w:after="0"/>
              <w:rPr>
                <w:sz w:val="11"/>
                <w:szCs w:val="11"/>
                <w:color w:val="auto"/>
              </w:rPr>
            </w:pPr>
          </w:p>
        </w:tc>
        <w:tc>
          <w:tcPr>
            <w:tcW w:w="1380" w:type="dxa"/>
            <w:vAlign w:val="bottom"/>
            <w:gridSpan w:val="2"/>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240" w:type="dxa"/>
            <w:vAlign w:val="bottom"/>
          </w:tcPr>
          <w:p>
            <w:pPr>
              <w:jc w:val="right"/>
              <w:ind w:right="116"/>
              <w:spacing w:after="0" w:line="137"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0"/>
        </w:trPr>
        <w:tc>
          <w:tcPr>
            <w:tcW w:w="62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sold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8"/>
                <w:szCs w:val="18"/>
                <w:color w:val="auto"/>
              </w:rPr>
            </w:pPr>
          </w:p>
        </w:tc>
        <w:tc>
          <w:tcPr>
            <w:tcW w:w="12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20"/>
                <w:szCs w:val="20"/>
                <w:color w:val="auto"/>
              </w:rPr>
            </w:pPr>
          </w:p>
        </w:tc>
        <w:tc>
          <w:tcPr>
            <w:tcW w:w="12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(32.0)</w:t>
            </w:r>
          </w:p>
        </w:tc>
      </w:tr>
    </w:tbl>
    <w:p>
      <w:pPr>
        <w:spacing w:after="0" w:line="7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It is our long-term goal to increase our gross profits and earnings from operations at a rate of growth that exceeds our unit sales growth, or in other words, increase our profit per unit sold. We also have a long-term goal of improving our efficiencies and leveraging the fixed costs in our selling, general, and administrative expenses as we grow, which would result in a rate of growth of these expenses which is less than our unit sales growth resulting in a lower cost per unit.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 AND ASSET PURCHASES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completed one business acquisition during 2024 and one during 2023. The annual historical sales attributable to these acquisitions in 2024 and 2023 was approximately $25 million and $38 million, respectively. These business combination were not significant to our operating results; consequently pro forma results for 2024 and 2023 are not presented.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Notes to Consolidated Financial Statements, Note C, "Business Combinations" for additional information.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Consolidated Statements of Earnings as a percentage of net sales. See “Impact of the Lumber Market on our Operating Results”.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194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Borders>
              <w:bottom w:val="single" w:sz="8" w:color="auto"/>
            </w:tcBorders>
          </w:tcPr>
          <w:p>
            <w:pPr>
              <w:spacing w:after="0"/>
              <w:rPr>
                <w:sz w:val="15"/>
                <w:szCs w:val="15"/>
                <w:color w:val="auto"/>
              </w:rPr>
            </w:pPr>
          </w:p>
        </w:tc>
      </w:tr>
      <w:tr>
        <w:trPr>
          <w:trHeight w:val="124"/>
        </w:trPr>
        <w:tc>
          <w:tcPr>
            <w:tcW w:w="6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w w:val="97"/>
              </w:rPr>
              <w:t>December 28,</w:t>
            </w:r>
          </w:p>
        </w:tc>
        <w:tc>
          <w:tcPr>
            <w:tcW w:w="240" w:type="dxa"/>
            <w:vAlign w:val="bottom"/>
          </w:tcPr>
          <w:p>
            <w:pPr>
              <w:spacing w:after="0"/>
              <w:rPr>
                <w:sz w:val="10"/>
                <w:szCs w:val="10"/>
                <w:color w:val="auto"/>
              </w:rPr>
            </w:pPr>
          </w:p>
        </w:tc>
        <w:tc>
          <w:tcPr>
            <w:tcW w:w="8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40" w:type="dxa"/>
            <w:vAlign w:val="bottom"/>
          </w:tcPr>
          <w:p>
            <w:pPr>
              <w:spacing w:after="0"/>
              <w:rPr>
                <w:sz w:val="10"/>
                <w:szCs w:val="10"/>
                <w:color w:val="auto"/>
              </w:rPr>
            </w:pPr>
          </w:p>
        </w:tc>
      </w:tr>
      <w:tr>
        <w:trPr>
          <w:trHeight w:val="180"/>
        </w:trPr>
        <w:tc>
          <w:tcPr>
            <w:tcW w:w="67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4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(gain) on disposition and impairment of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(gains) losses, net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r>
      <w:tr>
        <w:trPr>
          <w:trHeight w:val="210"/>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selling, general, and administrative (SG&amp;A) costs as a percentage of gross profit. We believe this ratio provides an enhanced view of our effectiveness in managing these costs given our strategies to enhance our capabilities and improve our value-added product offering and recognizing the higher relative level of SG&amp;A these strategies require. This ratio also mitigates the impact of changing lumber prices.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20" w:type="dxa"/>
            <w:vAlign w:val="bottom"/>
            <w:tcBorders>
              <w:bottom w:val="single" w:sz="8" w:color="auto"/>
            </w:tcBorders>
          </w:tcPr>
          <w:p>
            <w:pPr>
              <w:spacing w:after="0"/>
              <w:rPr>
                <w:sz w:val="15"/>
                <w:szCs w:val="15"/>
                <w:color w:val="auto"/>
              </w:rPr>
            </w:pPr>
          </w:p>
        </w:tc>
      </w:tr>
      <w:tr>
        <w:trPr>
          <w:trHeight w:val="124"/>
        </w:trPr>
        <w:tc>
          <w:tcPr>
            <w:tcW w:w="5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420" w:type="dxa"/>
            <w:vAlign w:val="bottom"/>
          </w:tcPr>
          <w:p>
            <w:pPr>
              <w:spacing w:after="0"/>
              <w:rPr>
                <w:sz w:val="10"/>
                <w:szCs w:val="10"/>
                <w:color w:val="auto"/>
              </w:rPr>
            </w:pPr>
          </w:p>
        </w:tc>
        <w:tc>
          <w:tcPr>
            <w:tcW w:w="1320" w:type="dxa"/>
            <w:vAlign w:val="bottom"/>
          </w:tcPr>
          <w:p>
            <w:pPr>
              <w:jc w:val="right"/>
              <w:ind w:right="237"/>
              <w:spacing w:after="0" w:line="124"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0"/>
        </w:trPr>
        <w:tc>
          <w:tcPr>
            <w:tcW w:w="5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1,226,742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1,418,938</w:t>
            </w: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735,046</w:t>
            </w:r>
          </w:p>
        </w:tc>
        <w:tc>
          <w:tcPr>
            <w:tcW w:w="2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766,633</w:t>
            </w: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as percentage of gross profit</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increase in the ratio above is primarily due to a combination of fixed SG&amp;A costs within our Packaging, Construction, and Corporate segments and more competitive pricing in certain business units resulting in a decline in gross profits. For comparison purposes, our SG&amp;A costs as a percentage of gross profits in 2019 (immediately prior to the pandemic) was 64%.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business segments consist of UFP Retail Solutions (“Retail”), UFP Packaging (“Packaging”) and UFP Construction (“Construction”), and align with the end markets we serve. Among other advantages, this structure allows for a more specialized and consistent sales approach,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The exception to this market-centered reporting and management structure is our International segment, which comprises our packaging operations in Mexico, Canada, Spain, India, United Arab Emirates and Australia and sales and buying offices in other parts of the world. Our International segment and Ardellis (our insurance captive) are included in the “All Other” column of the table below. The “Corporate” column includes purchasing, transportation, corporate ventures,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the Corporate column. Inter-company lease and services charges are assessed to our operating segments for the use of these assets and services at fair market value rates.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our operating results by segment for December 28, 2024 and December 30, 2023.</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28, 2024</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1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2,597,994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1,636,563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2,113,844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6,652,309</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2,209,195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1,335,304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(34,796)</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5,425,567</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388,799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301,259</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438,498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1,226,742</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209,592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191,757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735,046</w:t>
            </w:r>
          </w:p>
        </w:tc>
        <w:tc>
          <w:tcPr>
            <w:tcW w:w="20" w:type="dxa"/>
            <w:vAlign w:val="bottom"/>
          </w:tcPr>
          <w:p>
            <w:pPr>
              <w:spacing w:after="0"/>
              <w:rPr>
                <w:sz w:val="20"/>
                <w:szCs w:val="20"/>
                <w:color w:val="auto"/>
              </w:rPr>
            </w:pPr>
          </w:p>
        </w:tc>
      </w:tr>
      <w:tr>
        <w:trPr>
          <w:trHeight w:val="198"/>
        </w:trPr>
        <w:tc>
          <w:tcPr>
            <w:tcW w:w="2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(4,156)</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20" w:type="dxa"/>
            <w:vAlign w:val="bottom"/>
          </w:tcPr>
          <w:p>
            <w:pPr>
              <w:spacing w:after="0"/>
              <w:rPr>
                <w:sz w:val="20"/>
                <w:szCs w:val="20"/>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(2,964)</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20" w:type="dxa"/>
            <w:vAlign w:val="bottom"/>
          </w:tcPr>
          <w:p>
            <w:pPr>
              <w:spacing w:after="0"/>
              <w:rPr>
                <w:sz w:val="19"/>
                <w:szCs w:val="19"/>
                <w:color w:val="auto"/>
              </w:rPr>
            </w:pPr>
          </w:p>
        </w:tc>
      </w:tr>
      <w:tr>
        <w:trPr>
          <w:trHeight w:val="223"/>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179,104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492,242</w:t>
            </w:r>
          </w:p>
        </w:tc>
        <w:tc>
          <w:tcPr>
            <w:tcW w:w="20" w:type="dxa"/>
            <w:vAlign w:val="bottom"/>
          </w:tcPr>
          <w:p>
            <w:pPr>
              <w:spacing w:after="0"/>
              <w:rPr>
                <w:sz w:val="19"/>
                <w:szCs w:val="19"/>
                <w:color w:val="auto"/>
              </w:rPr>
            </w:pPr>
          </w:p>
        </w:tc>
      </w:tr>
      <w:tr>
        <w:trPr>
          <w:trHeight w:val="86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2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30, 2023</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31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2,956,007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1,838,200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2,161,059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259,392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7,218,384</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1,422,940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1,637,329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(9,442)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5,799,446</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415,260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523,730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1,418,938</w:t>
            </w: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213,288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219,323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766,633</w:t>
            </w:r>
          </w:p>
        </w:tc>
      </w:tr>
      <w:tr>
        <w:trPr>
          <w:trHeight w:val="198"/>
        </w:trPr>
        <w:tc>
          <w:tcPr>
            <w:tcW w:w="2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net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r>
      <w:tr>
        <w:trPr>
          <w:trHeight w:val="223"/>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195,929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243,346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646,534</w:t>
            </w:r>
          </w:p>
        </w:tc>
      </w:tr>
    </w:tbl>
    <w:p>
      <w:pPr>
        <w:spacing w:after="0" w:line="85" w:lineRule="exact"/>
        <w:rPr>
          <w:sz w:val="20"/>
          <w:szCs w:val="20"/>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4"/>
          <w:szCs w:val="14"/>
          <w:color w:val="212529"/>
        </w:rPr>
        <w:t>Note: As of December 31, 2023, our Pinelli Universal entity was transferred to our Retail segment from our International segment (grouped in All Other) due to changes in our management structure. Prior year figures have been updated to reflect the change for comparability purposes in every applicable table in this filing.</w:t>
      </w:r>
    </w:p>
    <w:p>
      <w:pPr>
        <w:spacing w:after="0" w:line="1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our operating results as a percentage of net sales by segment for December 28, 2024 and December 30,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28, 2024</w:t>
            </w: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318"/>
        </w:trPr>
        <w:tc>
          <w:tcPr>
            <w:tcW w:w="214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6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00" w:type="dxa"/>
            <w:vAlign w:val="bottom"/>
          </w:tcPr>
          <w:p>
            <w:pPr>
              <w:spacing w:after="0"/>
              <w:rPr>
                <w:sz w:val="19"/>
                <w:szCs w:val="19"/>
                <w:color w:val="auto"/>
              </w:rPr>
            </w:pP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top w:val="single" w:sz="8" w:color="CCEEFF"/>
            </w:tcBorders>
            <w:shd w:val="clear" w:color="auto" w:fill="CCEEFF"/>
          </w:tcPr>
          <w:p>
            <w:pPr>
              <w:spacing w:after="0"/>
              <w:rPr>
                <w:sz w:val="18"/>
                <w:szCs w:val="18"/>
                <w:color w:val="auto"/>
              </w:rPr>
            </w:pPr>
          </w:p>
        </w:tc>
      </w:tr>
      <w:tr>
        <w:trPr>
          <w:trHeight w:val="198"/>
        </w:trPr>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20"/>
                <w:szCs w:val="20"/>
                <w:color w:val="auto"/>
              </w:rPr>
            </w:pPr>
          </w:p>
        </w:tc>
      </w:tr>
      <w:tr>
        <w:trPr>
          <w:trHeight w:val="198"/>
        </w:trPr>
        <w:tc>
          <w:tcPr>
            <w:tcW w:w="2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20"/>
                <w:szCs w:val="20"/>
                <w:color w:val="auto"/>
              </w:rPr>
            </w:pP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9"/>
                <w:szCs w:val="19"/>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30, 2023</w:t>
            </w: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318"/>
        </w:trPr>
        <w:tc>
          <w:tcPr>
            <w:tcW w:w="214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6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0" w:type="dxa"/>
            <w:vAlign w:val="bottom"/>
          </w:tcPr>
          <w:p>
            <w:pPr>
              <w:spacing w:after="0"/>
              <w:rPr>
                <w:sz w:val="19"/>
                <w:szCs w:val="19"/>
                <w:color w:val="auto"/>
              </w:rPr>
            </w:pP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Borders>
              <w:top w:val="single" w:sz="8" w:color="CCEEFF"/>
            </w:tcBorders>
            <w:shd w:val="clear" w:color="auto" w:fill="CCEEFF"/>
          </w:tcPr>
          <w:p>
            <w:pPr>
              <w:spacing w:after="0"/>
              <w:rPr>
                <w:sz w:val="18"/>
                <w:szCs w:val="18"/>
                <w:color w:val="auto"/>
              </w:rPr>
            </w:pPr>
          </w:p>
        </w:tc>
      </w:tr>
      <w:tr>
        <w:trPr>
          <w:trHeight w:val="198"/>
        </w:trPr>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0"/>
                <w:szCs w:val="20"/>
                <w:color w:val="auto"/>
              </w:rPr>
            </w:pPr>
          </w:p>
        </w:tc>
      </w:tr>
      <w:tr>
        <w:trPr>
          <w:trHeight w:val="198"/>
        </w:trPr>
        <w:tc>
          <w:tcPr>
            <w:tcW w:w="2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r>
      <w:tr>
        <w:trPr>
          <w:trHeight w:val="223"/>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design, manufacture and market:</w:t>
      </w:r>
    </w:p>
    <w:p>
      <w:pPr>
        <w:spacing w:after="0" w:line="225" w:lineRule="exact"/>
        <w:rPr>
          <w:sz w:val="20"/>
          <w:szCs w:val="20"/>
          <w:color w:val="auto"/>
        </w:rPr>
      </w:pPr>
    </w:p>
    <w:p>
      <w:pPr>
        <w:ind w:left="760" w:right="79" w:hanging="318"/>
        <w:spacing w:after="0" w:line="282" w:lineRule="auto"/>
        <w:tabs>
          <w:tab w:leader="none" w:pos="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Wood and wood-alternative products, primarily used to enhance outdoor living environments which are sold to national home centers and other retailers;</w:t>
      </w:r>
    </w:p>
    <w:p>
      <w:pPr>
        <w:spacing w:after="0" w:line="161" w:lineRule="exact"/>
        <w:rPr>
          <w:rFonts w:ascii="Times New Roman" w:cs="Times New Roman" w:eastAsia="Times New Roman" w:hAnsi="Times New Roman"/>
          <w:sz w:val="18"/>
          <w:szCs w:val="18"/>
          <w:color w:val="auto"/>
        </w:rPr>
      </w:pPr>
    </w:p>
    <w:p>
      <w:pPr>
        <w:ind w:left="760" w:right="79" w:hanging="332"/>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Engineered wood components, concrete forms, structural lumber and panels, and other building materials used to construct factory-built and site-built homes and concrete structures;</w:t>
      </w:r>
    </w:p>
    <w:p>
      <w:pPr>
        <w:spacing w:after="0" w:line="161"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Customized interior fixtures used in a variety of retail stores, commercial, and other structures; and</w:t>
      </w:r>
    </w:p>
    <w:p>
      <w:pPr>
        <w:spacing w:after="0" w:line="225"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wood packaging, pallets, and packing materials for various industries.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strategic long-term sales objectives include:</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Maximizing unit sales growth while achieving return on investment goals</w:t>
      </w:r>
      <w:r>
        <w:rPr>
          <w:rFonts w:ascii="Times New Roman" w:cs="Times New Roman" w:eastAsia="Times New Roman" w:hAnsi="Times New Roman"/>
          <w:sz w:val="18"/>
          <w:szCs w:val="18"/>
          <w:color w:val="auto"/>
        </w:rPr>
        <w:t>. The following table presents estimates, for the periods indicated, of our percentage change in net sales attributable to changes in overall selling prices versus changes in units shipped by segment.</w:t>
      </w:r>
    </w:p>
    <w:p>
      <w:pPr>
        <w:spacing w:after="0" w:line="236" w:lineRule="exact"/>
        <w:rPr>
          <w:rFonts w:ascii="Times New Roman" w:cs="Times New Roman" w:eastAsia="Times New Roman" w:hAnsi="Times New Roman"/>
          <w:sz w:val="18"/>
          <w:szCs w:val="18"/>
          <w:color w:val="auto"/>
        </w:rPr>
      </w:pPr>
    </w:p>
    <w:p>
      <w:pPr>
        <w:ind w:left="6780" w:hanging="184"/>
        <w:spacing w:after="0"/>
        <w:tabs>
          <w:tab w:leader="none" w:pos="6780" w:val="left"/>
        </w:tabs>
        <w:numPr>
          <w:ilvl w:val="1"/>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7620</wp:posOffset>
            </wp:positionV>
            <wp:extent cx="25717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8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2024 versus 2023</w:t>
            </w: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tcPr>
          <w:p>
            <w:pPr>
              <w:jc w:val="center"/>
              <w:ind w:right="170"/>
              <w:spacing w:after="0" w:line="124"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6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40" w:type="dxa"/>
            <w:vAlign w:val="bottom"/>
            <w:vMerge w:val="restart"/>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in Units</w:t>
            </w:r>
          </w:p>
        </w:tc>
        <w:tc>
          <w:tcPr>
            <w:tcW w:w="240" w:type="dxa"/>
            <w:vAlign w:val="bottom"/>
            <w:vMerge w:val="restart"/>
          </w:tcPr>
          <w:p>
            <w:pPr>
              <w:spacing w:after="0"/>
              <w:rPr>
                <w:sz w:val="12"/>
                <w:szCs w:val="12"/>
                <w:color w:val="auto"/>
              </w:rPr>
            </w:pPr>
          </w:p>
        </w:tc>
        <w:tc>
          <w:tcPr>
            <w:tcW w:w="96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5.0 %</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19.0 %</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6.0 %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53.5 %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53.5 %</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53.5 %</w:t>
            </w: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Expanding geographically in our core businesses</w:t>
      </w:r>
      <w:r>
        <w:rPr>
          <w:rFonts w:ascii="Times New Roman" w:cs="Times New Roman" w:eastAsia="Times New Roman" w:hAnsi="Times New Roman"/>
          <w:sz w:val="18"/>
          <w:szCs w:val="18"/>
          <w:color w:val="auto"/>
        </w:rPr>
        <w:t>, domestically and internationally.</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Increasing our sales of “value-added” products and enhancing our product offering with new or improved products</w:t>
      </w:r>
      <w:r>
        <w:rPr>
          <w:rFonts w:ascii="Times New Roman" w:cs="Times New Roman" w:eastAsia="Times New Roman" w:hAnsi="Times New Roman"/>
          <w:sz w:val="18"/>
          <w:szCs w:val="18"/>
          <w:color w:val="auto"/>
        </w:rPr>
        <w:t>. Value-added products generally consist of fencing, decking, lattice, and other specialty products sold in the Retail segment; structural and protective packaging and machine-built pallets sold in the Packaging segment; engineered wood components, customized interior fixtures, manufactured and assembled concrete forms sold in the Construction segment; and “wood alternative” products. Engineered wood components include roof trusses, wall panels, and floor systems. Wood alternative products consist of products manufactured with wood and non-wood composites, metals and plastics sold in each of our segments.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 We estimate that approximately 80% of our sales consist of products we manufacture at our locations, while 20% of our sales consist of products manufactured by suppliers that we inventory and distribute to customers.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sales by our segments.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120" w:type="dxa"/>
            <w:vAlign w:val="bottom"/>
          </w:tcPr>
          <w:p>
            <w:pPr>
              <w:spacing w:after="0"/>
              <w:rPr>
                <w:sz w:val="15"/>
                <w:szCs w:val="15"/>
                <w:color w:val="auto"/>
              </w:rPr>
            </w:pPr>
          </w:p>
        </w:tc>
        <w:tc>
          <w:tcPr>
            <w:tcW w:w="24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28, 2024</w:t>
            </w:r>
          </w:p>
        </w:tc>
        <w:tc>
          <w:tcPr>
            <w:tcW w:w="23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30, 2023</w:t>
            </w:r>
          </w:p>
        </w:tc>
      </w:tr>
      <w:tr>
        <w:trPr>
          <w:trHeight w:val="169"/>
        </w:trPr>
        <w:tc>
          <w:tcPr>
            <w:tcW w:w="4120" w:type="dxa"/>
            <w:vAlign w:val="bottom"/>
          </w:tcPr>
          <w:p>
            <w:pPr>
              <w:spacing w:after="0"/>
              <w:rPr>
                <w:sz w:val="14"/>
                <w:szCs w:val="14"/>
                <w:color w:val="auto"/>
              </w:rPr>
            </w:pPr>
          </w:p>
        </w:tc>
        <w:tc>
          <w:tcPr>
            <w:tcW w:w="22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Value-Added   Commodity-Based</w:t>
            </w:r>
          </w:p>
        </w:tc>
        <w:tc>
          <w:tcPr>
            <w:tcW w:w="140" w:type="dxa"/>
            <w:vAlign w:val="bottom"/>
          </w:tcPr>
          <w:p>
            <w:pPr>
              <w:spacing w:after="0"/>
              <w:rPr>
                <w:sz w:val="14"/>
                <w:szCs w:val="14"/>
                <w:color w:val="auto"/>
              </w:rPr>
            </w:pPr>
          </w:p>
        </w:tc>
        <w:tc>
          <w:tcPr>
            <w:tcW w:w="22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Value-Added   Commodity-Based</w:t>
            </w:r>
          </w:p>
        </w:tc>
        <w:tc>
          <w:tcPr>
            <w:tcW w:w="120" w:type="dxa"/>
            <w:vAlign w:val="bottom"/>
          </w:tcPr>
          <w:p>
            <w:pPr>
              <w:spacing w:after="0"/>
              <w:rPr>
                <w:sz w:val="14"/>
                <w:szCs w:val="14"/>
                <w:color w:val="auto"/>
              </w:rPr>
            </w:pPr>
          </w:p>
        </w:tc>
      </w:tr>
      <w:tr>
        <w:trPr>
          <w:trHeight w:val="216"/>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76.9 %</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20" w:type="dxa"/>
            <w:vAlign w:val="bottom"/>
          </w:tcPr>
          <w:p>
            <w:pPr>
              <w:spacing w:after="0"/>
              <w:rPr>
                <w:sz w:val="18"/>
                <w:szCs w:val="18"/>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83.2 %</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20" w:type="dxa"/>
            <w:vAlign w:val="bottom"/>
            <w:shd w:val="clear" w:color="auto" w:fill="CCEEFF"/>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20" w:type="dxa"/>
            <w:vAlign w:val="bottom"/>
          </w:tcPr>
          <w:p>
            <w:pPr>
              <w:spacing w:after="0"/>
              <w:rPr>
                <w:sz w:val="18"/>
                <w:szCs w:val="18"/>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120" w:type="dxa"/>
            <w:vAlign w:val="bottom"/>
            <w:shd w:val="clear" w:color="auto" w:fill="CCEEFF"/>
          </w:tcPr>
          <w:p>
            <w:pPr>
              <w:spacing w:after="0"/>
              <w:rPr>
                <w:sz w:val="18"/>
                <w:szCs w:val="18"/>
                <w:color w:val="auto"/>
              </w:rPr>
            </w:pP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20" w:type="dxa"/>
            <w:vAlign w:val="bottom"/>
          </w:tcPr>
          <w:p>
            <w:pPr>
              <w:spacing w:after="0"/>
              <w:rPr>
                <w:sz w:val="20"/>
                <w:szCs w:val="20"/>
                <w:color w:val="auto"/>
              </w:rPr>
            </w:pPr>
          </w:p>
        </w:tc>
      </w:tr>
    </w:tbl>
    <w:p>
      <w:pPr>
        <w:spacing w:after="0" w:line="134" w:lineRule="exact"/>
        <w:rPr>
          <w:sz w:val="20"/>
          <w:szCs w:val="20"/>
          <w:color w:val="auto"/>
        </w:rPr>
      </w:pPr>
    </w:p>
    <w:p>
      <w:pPr>
        <w:jc w:val="both"/>
        <w:ind w:left="60" w:right="239"/>
        <w:spacing w:after="0" w:line="261" w:lineRule="auto"/>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"value-added" resulted in a change in prior year's sales.</w:t>
      </w:r>
    </w:p>
    <w:p>
      <w:pPr>
        <w:spacing w:after="0" w:line="167"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Our overall unit sales of value-added products decreased approximately 7% in 2024 compared to 2023. Our overall unit sales of commodity-based products decreased approximately 6% compared to 2023.</w:t>
      </w:r>
    </w:p>
    <w:p>
      <w:pPr>
        <w:spacing w:after="0" w:line="162" w:lineRule="exact"/>
        <w:rPr>
          <w:sz w:val="20"/>
          <w:szCs w:val="20"/>
          <w:color w:val="auto"/>
        </w:rPr>
      </w:pPr>
    </w:p>
    <w:p>
      <w:pPr>
        <w:jc w:val="both"/>
        <w:ind w:left="720" w:right="79" w:hanging="319"/>
        <w:spacing w:after="0" w:line="254"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Developing new products</w:t>
      </w:r>
      <w:r>
        <w:rPr>
          <w:rFonts w:ascii="Times New Roman" w:cs="Times New Roman" w:eastAsia="Times New Roman" w:hAnsi="Times New Roman"/>
          <w:sz w:val="18"/>
          <w:szCs w:val="18"/>
          <w:color w:val="auto"/>
        </w:rPr>
        <w:t>. We define new products as those that will generate sales of at least $1 million per year within 4 years of launch and are still growing and gaining market penetration and meet our internal definition of value-added products. New product sales in 2024 decreased 11% compared to the prior year, primarily due to a decline in unit sales in our structural packaging business unit. Approximately $155.1 million of new product sales for 2023, while still sold, were sunset in 2024 and excluded from the table below because they no longer meet the definition above. Our goal was to achieve annual new product sales of at least $510 million in 2024. Our short-term goal is to achieve annual new product sales of at least $550 million for 2025. On a long-term basis, our goal is for new product sales to comprise at least 10% of our total net sales.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presents new product sales in thousands:</w:t>
      </w: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7"/>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55"/>
        </w:trPr>
        <w:tc>
          <w:tcPr>
            <w:tcW w:w="2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24"/>
        </w:trPr>
        <w:tc>
          <w:tcPr>
            <w:tcW w:w="2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75"/>
              <w:spacing w:after="0" w:line="12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20" w:type="dxa"/>
            <w:vAlign w:val="bottom"/>
          </w:tcPr>
          <w:p>
            <w:pPr>
              <w:spacing w:after="0"/>
              <w:rPr>
                <w:sz w:val="10"/>
                <w:szCs w:val="10"/>
                <w:color w:val="auto"/>
              </w:rPr>
            </w:pPr>
          </w:p>
        </w:tc>
        <w:tc>
          <w:tcPr>
            <w:tcW w:w="9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75"/>
              <w:spacing w:after="0" w:line="124"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20" w:type="dxa"/>
            <w:vAlign w:val="bottom"/>
          </w:tcPr>
          <w:p>
            <w:pPr>
              <w:spacing w:after="0"/>
              <w:rPr>
                <w:sz w:val="10"/>
                <w:szCs w:val="10"/>
                <w:color w:val="auto"/>
              </w:rPr>
            </w:pPr>
          </w:p>
        </w:tc>
        <w:tc>
          <w:tcPr>
            <w:tcW w:w="1200" w:type="dxa"/>
            <w:vAlign w:val="bottom"/>
            <w:gridSpan w:val="3"/>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000" w:type="dxa"/>
            <w:vAlign w:val="bottom"/>
            <w:gridSpan w:val="2"/>
          </w:tcPr>
          <w:p>
            <w:pPr>
              <w:jc w:val="right"/>
              <w:ind w:right="90"/>
              <w:spacing w:after="0" w:line="124"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0"/>
                <w:szCs w:val="10"/>
                <w:color w:val="auto"/>
              </w:rPr>
            </w:pPr>
          </w:p>
        </w:tc>
      </w:tr>
      <w:tr>
        <w:trPr>
          <w:trHeight w:val="180"/>
        </w:trPr>
        <w:tc>
          <w:tcPr>
            <w:tcW w:w="22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216,081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213,238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Packaging</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197,119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273,192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8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r>
      <w:tr>
        <w:trPr>
          <w:trHeight w:val="223"/>
        </w:trPr>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 and Corporate</w:t>
            </w: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9"/>
                <w:szCs w:val="19"/>
                <w:color w:val="auto"/>
              </w:rPr>
            </w:pPr>
          </w:p>
        </w:tc>
      </w:tr>
      <w:tr>
        <w:trPr>
          <w:trHeight w:val="216"/>
        </w:trPr>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New Product Sales</w:t>
            </w: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504,738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568,296</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Retail Segment: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Net sales from the Retail segment decreased 12% in 2024 compared to 2023 due to a 5% decrease in selling prices, a 2% decrease due to the transfer of certain sales to the Construction and Packaging segments, and a 5% decline in units. Unit changes within this segment consisted of decreases of 3% in Deckorators, 6% in UFP Edge, and 5% in ProWood. Our selling prices of variable-priced products declined due to lower lumber prices. The selling prices of these products are indexed to the lumber market at the time they are shipped. Additionally, our unit sales to big box customers decreased approximately 4%, while unit sales to independent retailers decreased approximately 7%. Within our Deckorators business unit, our sales of wood-plastic composite decking, mineral-based-composite decking and railing systems increased 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Gross profits remained consistent and totaled $388.8 million in 2024 compared to $389.4 million in 2023. Although there was a decline in unit sales and selling prices, the stability in our gross profits was attributable to a variety of factors including the decline in lumber costs, production efficiencies, and operating improvements such as SKU rationalization, all of which contributed to an improved gross margin compared to the prior year.</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decreased by approximately $3.7 million, or 2%, in 2024 compared to 2023. Accrued bonus expense, which varies with the overall profitability and return on investment of the segment, increased approximately $1.5 million and totaled approximately $47.3 million in 2024. The increase was offset by a decrease in professional fees of $1.6 million and many smaller decreases spread over several accounts.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Earnings from operations of the Retail segment increased in 2024 compared to 2023 by $6.9 million, or 4%, as a result of the factors mentioned above, as well as an increase in the net loss on disposition and impairment of assets which comprised of lease impairment charges of $1.4 million and intangible asset impairments of $1.2 million, partially offset by foreign exchange gains totaling $3.0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Packaging Segment: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from the Packaging segment decreased 11% in 2024 compared to 2023 due to an 8% decrease in selling prices and a 5% decrease in unit sales, partially offset by a 2% increase due to the transfer of sales from the Retail segment. Unit changes consist of a decrease of 10% in structural packaging and 6% in protective packaging, primarily due to a decline in demand, partially offset by unit growth of 9% in PalletOne due to market share gains. The decline in prices is due to competitive price pressure as well as lower lumber costs.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decreased by $114.0 million, or 27%, to $301.3 million in 2024 compared to 2023. The decrease in gross profits was attributable to the following:</w:t>
      </w:r>
    </w:p>
    <w:p>
      <w:pPr>
        <w:spacing w:after="0" w:line="162" w:lineRule="exact"/>
        <w:rPr>
          <w:sz w:val="20"/>
          <w:szCs w:val="20"/>
          <w:color w:val="auto"/>
        </w:rPr>
      </w:pPr>
    </w:p>
    <w:p>
      <w:pPr>
        <w:jc w:val="both"/>
        <w:ind w:left="720" w:right="79" w:hanging="319"/>
        <w:spacing w:after="0" w:line="261"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structural packaging business unit decreased by a total of $83.6 million, in spite of the transfer of certain sales from the Retail segment. The decline in gross profit is attributable to competitive price pressure due to lower demand as well as lower unit sales and resulting unfavorable cost variances due to fixed manufacturing costs.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PalletOne business unit decreased by $26.7 million primarily due to competitive price pressure which more than offset the favorable impact from unit sales growth.</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protective packaging business unit decreased by $3.7 million due to a decline in unit sales and fixed manufacturing costs resulting in unfavorable cost variances.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expenses decreased by approximately $27.6 million, or 13%, in 2024 compared to 2023. Accrued bonus expense, which varies with the overall profitability and return on investment of the segment, decreased approximately $22.8 million, and totaled approximately $31.1 million for 2024. Additionally the decline in SG&amp;A was due to sales incentives which decreased by $4.2 million, travel and entertainment expenses which decreased by $1.6 million, and many smaller decreases spread over several accounts.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Earnings from operations of the Packaging segment decreased by $93.0 million in 2024, or 47.5%, compared to 2023 due to the factors discussed above, as well as an increase in the net loss on disposition and impairment of assets which is comprised of intangible asset impairments of $4.2 million and lease impairment charges of $1.7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Construction Segment: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from the Construction segment decreased 2% in 2024 compared to 2023 due to a 7% decrease in selling prices, partially offset by an increase in unit sales of 4% and a 1% increase due to the transfer of sales from the Retail segment. Unit changes within this segment consisted of an increase of 16% in factory-built housing</w:t>
      </w:r>
      <w:r>
        <w:rPr>
          <w:rFonts w:ascii="Times New Roman" w:cs="Times New Roman" w:eastAsia="Times New Roman" w:hAnsi="Times New Roman"/>
          <w:sz w:val="18"/>
          <w:szCs w:val="18"/>
          <w:color w:val="212529"/>
        </w:rPr>
        <w:t>, primarily due to an increase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industry production, </w:t>
      </w:r>
      <w:r>
        <w:rPr>
          <w:rFonts w:ascii="Times New Roman" w:cs="Times New Roman" w:eastAsia="Times New Roman" w:hAnsi="Times New Roman"/>
          <w:sz w:val="18"/>
          <w:szCs w:val="18"/>
          <w:color w:val="000000"/>
        </w:rPr>
        <w:t>partially offset by decreases of 6% in concrete forming and 6% in commercial construction due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lower demand.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profits decreased by $85.2 million, or 16% to $438.5 million in 2024 compared to 2023. The decrease in our gross profit was comprised of the following factors:</w:t>
      </w:r>
    </w:p>
    <w:p>
      <w:pPr>
        <w:spacing w:after="0" w:line="162" w:lineRule="exact"/>
        <w:rPr>
          <w:sz w:val="20"/>
          <w:szCs w:val="20"/>
          <w:color w:val="auto"/>
        </w:rPr>
      </w:pPr>
    </w:p>
    <w:p>
      <w:pPr>
        <w:jc w:val="both"/>
        <w:ind w:left="720" w:right="79" w:hanging="319"/>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site-built construction business unit decreased by $77.2 million, primarily due to reduced margins on multi-family construction projects earlier in the year as these projects were priced and commenced during the peak period of the pandemic and favorably impacted our 2023 results, and more competitive price pressure throughout 2024.</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 forming business unit decreased by $5.4 million in spite of the transfer of sales from the Retail segment due to lower unit sales and more competitive pricing.</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construction business unit decreased by $7.4 million as a result of lower unit sales.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decreases were offset by an increase in the gross profit in factory-built of $4.8 million as a result of increased unit sales and favorable cost variances resulting from fixed manufacturing costs, as well as the transfer of sales from the Retail segment.</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SG&amp;A expenses decreased by approximately $16.6 million, or 6%, in 2024 compared to 2023. Accrued bonus expense, which varies with the overall profitability of the segment and return on investment, decreased approximately $19.6 million compared to last year and totaled approximately $45.4 million for 2024. The decline in SG&amp;A was also due to decreases in sales incentive of $4.0 million and several smaller decreases in many accounts. The overall decrease was partially offset by an increase in salaries, wages, and benefits of approximately $8.7 million as well as an increase in severance charges totaling $1.3 million.</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of the Construction reportable segment decreased by $67.7 million in 2024 compared to 2023, or 27.8%, due to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 Other Segment: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All Other reportable segment consists of our International and Ardellis (our insurance captive) segments that are not significant.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Interest expense in 2024 was similar to 2023 due to consistent amounts of outstanding debt during each period as well as fixed interest rates on these debts. See “Note C of Notes to the Consolidated Financial Statements”.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AND INVESTMENT INCOME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Interest and investment income increased by $20.6 million in 2024 compared to 2023 due to the increase in cash and a higher interest rate on those deposits.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state and local income taxes, and permanent tax differences. Our effective tax rate was 22.5% in 2024 compared to 23.4% in 2023. The decrease in our overall effective tax rate was primarily due to an increase in our estimated tax deduction associated with stock-based compensation accounted for as a permanent difference.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COMMITMENTS AND CONTRACTUAL OBLIGATIONS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have no significant off-balance sheet commitments. The following table summarizes our contractual obligations as of December 28, 2024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24"/>
        </w:trPr>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35"/>
              <w:spacing w:after="0" w:line="124" w:lineRule="exact"/>
              <w:rPr>
                <w:sz w:val="20"/>
                <w:szCs w:val="20"/>
                <w:color w:val="auto"/>
              </w:rPr>
            </w:pPr>
            <w:r>
              <w:rPr>
                <w:rFonts w:ascii="Times New Roman" w:cs="Times New Roman" w:eastAsia="Times New Roman" w:hAnsi="Times New Roman"/>
                <w:sz w:val="14"/>
                <w:szCs w:val="14"/>
                <w:b w:val="1"/>
                <w:bCs w:val="1"/>
                <w:color w:val="auto"/>
                <w:w w:val="97"/>
              </w:rPr>
              <w:t>Less than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137"/>
              <w:spacing w:after="0" w:line="124" w:lineRule="exact"/>
              <w:rPr>
                <w:sz w:val="20"/>
                <w:szCs w:val="20"/>
                <w:color w:val="auto"/>
              </w:rPr>
            </w:pPr>
            <w:r>
              <w:rPr>
                <w:rFonts w:ascii="Times New Roman" w:cs="Times New Roman" w:eastAsia="Times New Roman" w:hAnsi="Times New Roman"/>
                <w:sz w:val="14"/>
                <w:szCs w:val="14"/>
                <w:b w:val="1"/>
                <w:bCs w:val="1"/>
                <w:color w:val="auto"/>
              </w:rPr>
              <w:t>1 – 3</w:t>
            </w:r>
          </w:p>
        </w:tc>
        <w:tc>
          <w:tcPr>
            <w:tcW w:w="140" w:type="dxa"/>
            <w:vAlign w:val="bottom"/>
          </w:tcPr>
          <w:p>
            <w:pPr>
              <w:spacing w:after="0"/>
              <w:rPr>
                <w:sz w:val="10"/>
                <w:szCs w:val="10"/>
                <w:color w:val="auto"/>
              </w:rPr>
            </w:pPr>
          </w:p>
        </w:tc>
        <w:tc>
          <w:tcPr>
            <w:tcW w:w="700" w:type="dxa"/>
            <w:vAlign w:val="bottom"/>
          </w:tcPr>
          <w:p>
            <w:pPr>
              <w:jc w:val="right"/>
              <w:ind w:right="137"/>
              <w:spacing w:after="0" w:line="124" w:lineRule="exact"/>
              <w:rPr>
                <w:sz w:val="20"/>
                <w:szCs w:val="20"/>
                <w:color w:val="auto"/>
              </w:rPr>
            </w:pPr>
            <w:r>
              <w:rPr>
                <w:rFonts w:ascii="Times New Roman" w:cs="Times New Roman" w:eastAsia="Times New Roman" w:hAnsi="Times New Roman"/>
                <w:sz w:val="14"/>
                <w:szCs w:val="14"/>
                <w:b w:val="1"/>
                <w:bCs w:val="1"/>
                <w:color w:val="auto"/>
              </w:rPr>
              <w:t>3 – 5</w:t>
            </w:r>
          </w:p>
        </w:tc>
        <w:tc>
          <w:tcPr>
            <w:tcW w:w="160" w:type="dxa"/>
            <w:vAlign w:val="bottom"/>
          </w:tcPr>
          <w:p>
            <w:pPr>
              <w:spacing w:after="0"/>
              <w:rPr>
                <w:sz w:val="10"/>
                <w:szCs w:val="10"/>
                <w:color w:val="auto"/>
              </w:rPr>
            </w:pPr>
          </w:p>
        </w:tc>
        <w:tc>
          <w:tcPr>
            <w:tcW w:w="780" w:type="dxa"/>
            <w:vAlign w:val="bottom"/>
          </w:tcPr>
          <w:p>
            <w:pPr>
              <w:jc w:val="right"/>
              <w:ind w:right="157"/>
              <w:spacing w:after="0" w:line="124" w:lineRule="exact"/>
              <w:rPr>
                <w:sz w:val="20"/>
                <w:szCs w:val="20"/>
                <w:color w:val="auto"/>
              </w:rPr>
            </w:pPr>
            <w:r>
              <w:rPr>
                <w:rFonts w:ascii="Times New Roman" w:cs="Times New Roman" w:eastAsia="Times New Roman" w:hAnsi="Times New Roman"/>
                <w:sz w:val="14"/>
                <w:szCs w:val="14"/>
                <w:b w:val="1"/>
                <w:bCs w:val="1"/>
                <w:color w:val="auto"/>
              </w:rPr>
              <w:t>After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80"/>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and finance lease obligations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$ 43,820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$ 185,294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233,955</w:t>
            </w: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Estimated interest on long-term debt and finance lease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obligations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57,473</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145,246</w:t>
            </w:r>
          </w:p>
        </w:tc>
      </w:tr>
      <w:tr>
        <w:trPr>
          <w:trHeight w:val="223"/>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 project purchase obligations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142,758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142,758</w:t>
            </w:r>
          </w:p>
        </w:tc>
      </w:tr>
      <w:tr>
        <w:trPr>
          <w:trHeight w:val="216"/>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188,421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68,562</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$ 83,824</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$ 238,625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579,432</w:t>
            </w:r>
          </w:p>
        </w:tc>
      </w:tr>
      <w:tr>
        <w:trPr>
          <w:trHeight w:val="20"/>
        </w:trPr>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28, 2024, we also had $39.7 million in outstanding letters of credit issued during the normal course of business, as required by some vendor contracts.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40" w:type="dxa"/>
            <w:vAlign w:val="bottom"/>
          </w:tcPr>
          <w:p>
            <w:pPr>
              <w:spacing w:after="0"/>
              <w:rPr>
                <w:sz w:val="13"/>
                <w:szCs w:val="13"/>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0"/>
        </w:trPr>
        <w:tc>
          <w:tcPr>
            <w:tcW w:w="55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959,890</w:t>
            </w:r>
          </w:p>
        </w:tc>
        <w:tc>
          <w:tcPr>
            <w:tcW w:w="1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(240,164)</w:t>
            </w:r>
          </w:p>
        </w:tc>
        <w:tc>
          <w:tcPr>
            <w:tcW w:w="1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(162,860)</w:t>
            </w:r>
          </w:p>
        </w:tc>
        <w:tc>
          <w:tcPr>
            <w:tcW w:w="160" w:type="dxa"/>
            <w:vAlign w:val="bottom"/>
            <w:shd w:val="clear" w:color="auto" w:fill="CCEEFF"/>
          </w:tcPr>
          <w:p>
            <w:pPr>
              <w:spacing w:after="0"/>
              <w:rPr>
                <w:sz w:val="18"/>
                <w:szCs w:val="18"/>
                <w:color w:val="auto"/>
              </w:rPr>
            </w:pPr>
          </w:p>
        </w:tc>
      </w:tr>
      <w:tr>
        <w:trPr>
          <w:trHeight w:val="223"/>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60" w:type="dxa"/>
            <w:vAlign w:val="bottom"/>
            <w:tcBorders>
              <w:bottom w:val="single" w:sz="8" w:color="CCEEFF"/>
            </w:tcBorders>
          </w:tcPr>
          <w:p>
            <w:pPr>
              <w:spacing w:after="0"/>
              <w:rPr>
                <w:sz w:val="19"/>
                <w:szCs w:val="19"/>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562,633</w:t>
            </w:r>
          </w:p>
        </w:tc>
        <w:tc>
          <w:tcPr>
            <w:tcW w:w="160" w:type="dxa"/>
            <w:vAlign w:val="bottom"/>
            <w:shd w:val="clear" w:color="auto" w:fill="CCEEFF"/>
          </w:tcPr>
          <w:p>
            <w:pPr>
              <w:spacing w:after="0"/>
              <w:rPr>
                <w:sz w:val="18"/>
                <w:szCs w:val="18"/>
                <w:color w:val="auto"/>
              </w:rPr>
            </w:pPr>
          </w:p>
        </w:tc>
      </w:tr>
      <w:tr>
        <w:trPr>
          <w:trHeight w:val="223"/>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1,122,256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559,623</w:t>
            </w:r>
          </w:p>
        </w:tc>
        <w:tc>
          <w:tcPr>
            <w:tcW w:w="160" w:type="dxa"/>
            <w:vAlign w:val="bottom"/>
            <w:tcBorders>
              <w:bottom w:val="single" w:sz="8" w:color="CCEEFF"/>
            </w:tcBorders>
          </w:tcPr>
          <w:p>
            <w:pPr>
              <w:spacing w:after="0"/>
              <w:rPr>
                <w:sz w:val="19"/>
                <w:szCs w:val="19"/>
                <w:color w:val="auto"/>
              </w:rPr>
            </w:pPr>
          </w:p>
        </w:tc>
      </w:tr>
      <w:tr>
        <w:trPr>
          <w:trHeight w:val="216"/>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1,179,594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1,122,256</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general, we fund our growth through a combination of operating cash flows, our revolving credit facility, and issuance of long-term notes payable at times when interest rates are favorable. We have not issued equity to finance growth except in the case of a large acquisition that occurred many years ago. We manage our capital structure by attempting to maintain a targeted ratio of debt to equity and debt to earnings before interest, taxes, depreciation and amortization. We believe these financial ratios are among many other important factors to maintaining a strong credit profile, which in turn helps ensure timely access to capital when needed.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which occurs during the period from March to September. Consequently, our working capital increases during our first and second quarters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Due to the seasonality of our business and the effects of the Lumber Market, we believe our cash cycle (days of sales outstanding plus days supply of inventory less days payables are outstanding) is a good indicator of our working capital management. As indicated in the table below, our cash cycle decreased to 60 days in 2024 from 63 days in 2023.</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6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24"/>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2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8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300" w:type="dxa"/>
            <w:vAlign w:val="bottom"/>
            <w:gridSpan w:val="2"/>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8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of sales outstanding</w:t>
            </w:r>
          </w:p>
        </w:tc>
        <w:tc>
          <w:tcPr>
            <w:tcW w:w="1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Days supply of inventory</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of payables outstanding</w:t>
            </w:r>
          </w:p>
        </w:tc>
        <w:tc>
          <w:tcPr>
            <w:tcW w:w="1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03"/>
        </w:trPr>
        <w:tc>
          <w:tcPr>
            <w:tcW w:w="360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1460" w:type="dxa"/>
            <w:vAlign w:val="bottom"/>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decrease in our days supply of inventory in 2024 is due to improvements in inventory turns in our Construction and Packaging segments. The increase in our days of sales outstanding is primarily due to our Retail and Packaging segments. We continue to focus on past due account balances with customers, and the percentage of our accounts receivable that are current was 90% in 2024 compared to 91% in 2023.</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cash flows from operating activities in 2024 was $643 million, which was comprised of net earnings of $419 million, $173 million of non-cash expenses, and a $51 million decrease in working capital since the end of December 2023. Our cash flows from operations decreased by $317 million compared to last year primarily due to a $237 million decrease in our investment in net working capital compared to the prior year period and a decrease in our net earnings and non-cash expenses of $80 million. In 2023 our net working capital declined significantly as a result of demand normalizing from the peak of the pandemic period.</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Purchases of property, plant, and equipment of $232 million comprised most of our cash used in investing activities during 2024. Capital spending primarily consists of several projects to expand capacity to manufacture new and value-added products, primarily in our Packaging segment and Site-Built, Deckorators and ProWood business units, achieve efficiencies through automation in all segments, and make improvements to a number of facilities. On December 28, 2024, we had outstanding purchase commitments on capital projects of approximately $142.8 million. We intend to fund capital expenditures and purchase commitments through our operating cash flows. Cash used for acquisitions during the year totaled $30 million compared to $52 million in 2023. In 2024, we made one acquisition, C&amp;L Wood Products. See Notes to Consolidated Financial Statements, Note C, “Business Combinations” for additional information.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flows used in financing activities primarily consisted of:</w:t>
      </w:r>
    </w:p>
    <w:p>
      <w:pPr>
        <w:spacing w:after="0" w:line="225" w:lineRule="exact"/>
        <w:rPr>
          <w:sz w:val="20"/>
          <w:szCs w:val="20"/>
          <w:color w:val="auto"/>
        </w:rPr>
      </w:pPr>
    </w:p>
    <w:p>
      <w:pPr>
        <w:jc w:val="both"/>
        <w:ind w:left="720" w:right="79" w:hanging="319"/>
        <w:spacing w:after="0" w:line="26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repurchases of common stock of $159 million. We repurchased 1,399,944 shares of our common stock for the year at an average share price of $113.55. Of this amount, 154,196 shares were repurchased in order to settle tax withholding obligations of long-term stock incentive plan participants’ awards which vested in February. The shares were purchased at an average price of $115.69 per share, totaling $17.8 million.</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during 2024 totaled $81 million, reflecting a quarterly rate of $0.33 per share, a 10% increase over the prior year.</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senior note debt of $40.0 million.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noncontrolling interests of $11.8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December 6, 2022, we entered into a five-year, $750 million unsecured revolving credit facility with a syndicate of U.S. banks. This facility includes up to $60 million which may be advanced in the form of letters of credit, and up to $100 million (U.S. dollar equivalent) which may be advanced in Canadian dollars, Australian dollars, Sterling, Euros and such other foreign currencies as may subsequently be agreed upon among the parties. Cash borrowings are charged interest based upon an index selected by the Company, plus a margin that is determined based upon the index selected and upon the financial performance of the Company and certain of its subsidiaries. We are charged a facility fee on the entire amount of the lending commitment, at a per annum rate ranging from 15.0 to 30.0 basis points, also determined based upon our performance.</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December 28, 2024, we had no amount outstanding on our $750 million revolving credit facility. The revolving credit facility also supports letters of credit totaling $37.3 million which includes approximately $3.3 million related to industrial development revenue bonds. As a result, we have approximately $712.7 million in remaining availability. We also had approximately $2.3 million of outstanding letters of credit that were issued outside of the revolving credit facility.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December 28,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CONSIDERATIONS AND REGULATIONS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Notes to Consolidated Financial Statements, Note L, “Commitments, Contingencies, and Guarantees”.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Following is a summary of our more significant accounting policies that require the use of estimates and judgments in preparing the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evaluate goodwill for indicators of impairment when events or circumstances indicate that this risk may be present. Our judgments regarding the existence of impairment are based on market conditions, operational performance and estimated future cash flows. Determining whether an impairment has occurred requires the valuation of the respective reporting unit, which we have consistently estimated using primarily a weighted average between income and market valuation approaches. We believe this approach is the most appropriate and accurate method to measure the fair value of our intangible assets. We use discounted cash flow analysis with the following assumption: a business is worth today what it can generate in future cash flows; cash received today is worth more than an equal amount of cash received in the future; and future cash flows can be reasonably estimated. The discounted cash flow analysis is based on the present value of projected cash flows and residual values.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the carrying value of goodwill is considered impaired, an impairment charge is recorded to adjust it to its fair value. Changes in forecasted operations and changes in discount rates can materially affect these estimates. In addition, we test goodwill annually for impairment or more frequently if changes in circumstances or the occurrence of other events suggest impairments exist. The test for impairment requires us to make several estimates about fair value, most of which are based on projected future cash flows and market valuation multiples. Changes in these estimates may result in the recognition of an impairment loss.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our annual testing date of September 28, 2024, the fair values exceeded the carrying values for all reporting units and there were no indicators for impairment. We believe we have sufficient available information, both current and historical, to support our assumptions, judgments and estimates used in the goodwill impairment test.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Revenue for product sales is recognized at the time the performance obligation is satisfied, which is primarily when the goods are delivered to the carrier, Free On Board (FOB) shipping point. Generally, title passes at the time of shipment. In certain circumstances, the customer takes title when the shipment arrives at the destination. However, our shipping process is typically completed the same day.</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Performance on construction contracts is reflected in operations using over time accounting, under either the cost to cost or units of delivery methods, depending on the nature of the business at individual operations.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SHORT-TERM DEMAND OUTLOOK</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believe improvements in demand in the end markets we serve and effectively executing our strategies will allow us to achieve our long-term goals below. However, in the short-term, demand in our markets has contracted, primarily due to higher short and long-term interest rates, which will continue to impact our results and vary depending on the severity and duration of this cycle. As a result of these more challenging conditions, we have developed and are executing plans to reduce or eliminate capacity of locations that are not meeting our profitability targets and reduce our SG&amp;A costs. Our goal through these actions is to lower our cost structure and improve our operating profits by $60 million by 2026. We anticipate benefits of approximately $40 million in 2025, including approximately $26 million from planned SG&amp;A cost reductions and $14 million from planned capacity reductions.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factors should be considered when evaluating our future results:</w:t>
      </w:r>
    </w:p>
    <w:p>
      <w:pPr>
        <w:spacing w:after="0" w:line="225" w:lineRule="exact"/>
        <w:rPr>
          <w:sz w:val="20"/>
          <w:szCs w:val="20"/>
          <w:color w:val="auto"/>
        </w:rPr>
      </w:pPr>
    </w:p>
    <w:p>
      <w:pPr>
        <w:jc w:val="both"/>
        <w:ind w:left="720" w:right="79" w:hanging="319"/>
        <w:spacing w:after="0" w:line="25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Lumber prices, which impact our cost of goods sold and selling prices, have normalized due to additional capacity added by sawmills and demand falling from peak levels. We anticipate lumber prices will remain near current levels, and experience more typical seasonal trends, until there is a substantial change in the balance of supply and demand. In the event higher duties on Canadian softwood lumber and new tariffs are enacted on imports generally, we anticipate lumber prices will increase accordingly. We believe we are currently in a strong position to adapt quickly to duties and tariffs without adverse financial impact after a short adjustment period.</w:t>
      </w:r>
    </w:p>
    <w:p>
      <w:pPr>
        <w:spacing w:after="0" w:line="187"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segment sales accounted for 39% of our net sales in 2024. When evaluating future demand for the segment, we analyze data such as the same-store sales growth of national home improvement retailers and forecasts of home remodeling activity. Based on this data, we currently anticipate market demand to be slightly down in the first half of 2025.</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segment sales accounted for 25% of our net sales in 2024. When evaluating future demand, we consider a number of metrics, including the Purchasing Managers Index (PMI), durable goods manufacturing, and U.S. real GDP. We currently believe overall demand in the markets we serve to be slightly down in the first half of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segment sales accounted for 32% of our net sales in 2024.</w:t>
      </w:r>
    </w:p>
    <w:p>
      <w:pPr>
        <w:spacing w:after="0" w:line="225"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site-built business unit accounted for approximately 13% of our net sales in 2024. Approximately one-third of site-built customers are multifamily builders. The industry consensus estimate of national housing starts for 2025 is 1.36 million, with estimates generally predicting slightly positive to slightly negative growth in the coming year with single-family generally performing better than multi-family. We anticipate demand in the regions we operate to be slightly down in the first half of 2025.</w:t>
      </w:r>
    </w:p>
    <w:p>
      <w:pPr>
        <w:spacing w:after="0" w:line="183"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factory-built business unit accounted for 12% of our net sales in 2024. When evaluating future demand, we analyze data from production and shipments of manufactured housing. The National Association of Home Builders and John Burns Real Estate Consulting forecast the manufactured home shipments in 2025 to be flat to slightly down.</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concrete forming business units accounted for approximately 6% of our net sales in 2024. When evaluating future demand, we analyze data from non-residential construction spending. We anticipate overall demand in this business unit to be slightly down in the first half of 2025.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LONG-TERM OUTLOOK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GOALS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long-term financial goals include:</w:t>
      </w:r>
    </w:p>
    <w:p>
      <w:pPr>
        <w:spacing w:after="0" w:line="225" w:lineRule="exact"/>
        <w:rPr>
          <w:sz w:val="20"/>
          <w:szCs w:val="20"/>
          <w:color w:val="auto"/>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annual unit sales by 7 to 10 percent (including smaller tuck-in acquisitions) with at least 10 percent of all sales coming from new products;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sustaining a 12.5 percent EBITDA margin by continuing to enhance our capabilities and grow our portfolio and sales of value-added products, expanding geographically in our higher margin business units, and achieving operating improvements;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 an incremental return on new investment over our hurdle rate;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conservative capital structure.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RETAIL SEGMENT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Home Improvement Research Institute (“HIRI”) anticipates growth in home improvement spending and has forecasted 3.9% growth in 2025 and 4.1% annual growth through 2028. We continue to compete for market share for certain retail customers and face intense pricing pressure from other suppliers to this market.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long-term goal is to achieve sales growth by:</w:t>
      </w:r>
    </w:p>
    <w:p>
      <w:pPr>
        <w:spacing w:after="0" w:line="225" w:lineRule="exact"/>
        <w:rPr>
          <w:sz w:val="20"/>
          <w:szCs w:val="20"/>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market share of value-added products, including our Deckorators product line. Continued investment in capacity for Deckorators is expected to contribute to this increase.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products and increasing our emphasis on product innovation and product differentiation in order to counter commoditization trends and influences.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businesses in core product categories when those opportunities exist.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products and customers through strategic business acquisitions or alliances.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PACKAGING SEGMENT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goal is to increase our sales of wood, wood alternative, and protective packaging products to a wide variety of packaging customers and manufactured wood components for OEM users. We believe the vast amount of hardwood and softwood lumber consumed for packaging applications, combined with the highly fragmented nature of this market, provides us with market share growth opportunities as a result of our competitive advantages in manufacturing, purchasing, and material utilization.</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purchasers of packaging products with a wide geographic footprint increasingly desire to reduce the number of suppliers they buy from, which provides an opportunity to gain market share due to our international presence. We plan to continue to obtain market share by expanding our manufacturing capacity, enhancing our capabilities and product offerings to enhance the solutions we offer our customers, and improving our ability to serve large regional and international customers in targeted markets.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plan to continue to pursue acquisition opportunities that meet our strategic criteria and help us meet these objectives.</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Market indicators that should be considered when evaluating future demand for our products in the packaging segment include industrial production, durable goods manufacturing, the Purchasing Managers Index, and U.S. GDP growth.</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CONSTRUCTION SEGMENT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industry consensus estimate of national housing starts for 2025 is 1.36 million, with estimates generally predicting slightly positive to slightly negative growth in the coming year with single-family generally performing better than multi-family. Housing starts are projected to increase low single-digits in both 2026 and 2027.</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National Association of Home Builders forecasts a 2% decrease in manufactured home shipments from 2024 to 2025 and a 2% compounded annual growth rate through 2027.</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Non-residential construction spending is a market indicator that should be considered when evaluating future demand for our products in our Commercial and Concrete Forming business units within our Construction segment.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more challenging market conditions, we have developed and are executing plans to reduce or eliminate capacity of locations that are not meeting our profitability targets. We anticipate these actions will improve operating profits by $14 million in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addition, we believe the following factors are likely to impact our gross profits and margins in the future:</w:t>
      </w:r>
    </w:p>
    <w:p>
      <w:pPr>
        <w:spacing w:after="0" w:line="225" w:lineRule="exact"/>
        <w:rPr>
          <w:sz w:val="20"/>
          <w:szCs w:val="20"/>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market demand and our ability to grow and leverage fixed costs and price our products based on the value we offer our customers.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89" w:lineRule="auto"/>
        <w:tabs>
          <w:tab w:leader="none" w:pos="7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market share and gross margins on products sold to our largest customers. We believe our level of service, geographic diversity, and quality of products provides an added value to our customers. However, if our customers are unwilling to pay for these advantages, our sales and gross margins may be reduced.</w:t>
      </w:r>
    </w:p>
    <w:p>
      <w:pPr>
        <w:spacing w:after="0" w:line="157" w:lineRule="exact"/>
        <w:rPr>
          <w:rFonts w:ascii="Times New Roman" w:cs="Times New Roman" w:eastAsia="Times New Roman" w:hAnsi="Times New Roman"/>
          <w:sz w:val="17"/>
          <w:szCs w:val="17"/>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mix of value-added and commodity products and our ability to sell new products. We anticipate significant growth in our Deckorators branded products that use our patented SureStone technology.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relative level of the Lumber Market and trends in the market price of lumber. (See “Impact of the Lumber Market on our Operating Results.”)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and transportation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labor and benefit costs.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achieve productivity improvements as our unit sales increase and planned cost reductions through continuous improvement activities, automation, and other initiatives.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complying with new or increased government regulations.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indicated above, we are taking actions to reduce our cost structure to better align it with current demand. We are also investing in the resources needed to achieve our long-term objectives for growth, product innovation, building brand awareness for certain products, and improving our efficiency through technology. With these considerations in mind, we have targeted selling, general, and administrative expenses (SG&amp;A) totaling approximately $565 million in 2025, excluding highly variable sales incentive and bonus expenses tied to profitability and return on investment. This target amount is comparable to our 2024 expenses and is comprised of approximately $26 million of planned cost reductions offset by $6 million of increases primarily associated with new greenfield operations, technology improvements and product innovation, and a $20 million increase in our Deckorators advertising expenses as we invest in building the SureStone brand. Additionally, we anticipate sales incentives will range from 3% to 4% of gross profits and bonus expense will range from 16% to 18% of pre-bonus operating profits plus approximately $31 million associated with the vesting expense of shares granted in prior years under our bonus plan. See Note H — Common Stock for discussion of future compensation costs related to long-term share-based bonus awards.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a long-term basis, we expect that our SG&amp;A expenses will primarily be impacted by:</w:t>
      </w:r>
    </w:p>
    <w:p>
      <w:pPr>
        <w:spacing w:after="0" w:line="225" w:lineRule="exact"/>
        <w:rPr>
          <w:sz w:val="20"/>
          <w:szCs w:val="20"/>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in sales to the Packaging and the Construction segments. Our sales to these segments require a higher ratio of SG&amp;A costs due, in part, to product design and engineering requirements.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new products and value-added, branded products to the Retail segment, which generally require higher product development, marketing, advertising, and other selling costs.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incentive compensation programs which are tied to gross profits, pre-bonus earnings from operations and threshold levels of return on investment.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and success in achieving continuous improvement objectives designed to improve our productivity and leverage our fixed costs as we grow.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cash cycle will continue to be impacted in the future by our mix of sales by segment. Sales from our Construction and Packaging segments require a greater investment in receivables than sales to our Retail segment, while our Retail segment generally requires a greater investment in inventory. Also, our net investment in trade receivables, inventory, and accounts payable will continue to be impacted by the level of lumber prices.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Additionally, we expect to spend approximately $300 million to $350 million on capital expenditures, incur depreciation of approximately $133 million, and incur amortization and other non-cash expenses of approximately $53 million in 2025.</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December 28, 2024, we had outstanding purchase commitments on capital projects of approximately $142.8 million. We intend to fund capital expenditures and purchase commitments through our operating cash flows and availability under our revolving credit facility which is considered sufficient to meet these commitments and working capital needs.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dividend rates are reviewed and approved at each of our February, April, July, and October board meetings and payments are made in March, June, September, and December of each year. On February 13, 2025, our board approved a quarterly cash dividend of $0.35 per share, which represents a 6% increase from December 2024. This dividend will be payable on March 17, 2025, to shareholders of record on March 3, 2025. Our board considers our dividend yield, payout ratios relative to earnings and operating cash flow, and potential variability of future results, among other factors, as part of its decision-making process.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a share repurchase program approved by our Board of Directors, and on July 24, 2024, our board authorized the repurchase of up to $200 million worth of shares of outstanding stock through July 31, 2025. As of February 19, 2025, we have approximately $191 million of remaining availability under this authorization. In the past, we have repurchased shares in order to offset the effect of issuances resulting from our employee benefit plans and at opportune times when our stock price falls to predetermined levels.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enter into any material interest rate swaps, futures contracts or options on futures, or other types of derivative financial instruments to mitigate this risk.</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December 28, 2024, the estimated fair value of our long-term debt, including the current portion, was $201.2 million. The estimated fair value is based on rates anticipated to be available to us for debt with similar terms and maturities. The estimated fair value of notes payable included in current liabilities and the revolving credit facility approximated the carrying values as these debt instruments have interest rates that fluctuate with current market conditions.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Expected cash flows over the next five years related to debt instruments, excluding debt issuance costs,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equivalents, in thousands)</w:t>
            </w:r>
          </w:p>
        </w:tc>
        <w:tc>
          <w:tcPr>
            <w:tcW w:w="12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2029</w:t>
            </w:r>
          </w:p>
        </w:tc>
        <w:tc>
          <w:tcPr>
            <w:tcW w:w="160" w:type="dxa"/>
            <w:vAlign w:val="bottom"/>
          </w:tcPr>
          <w:p>
            <w:pPr>
              <w:spacing w:after="0"/>
              <w:rPr>
                <w:sz w:val="15"/>
                <w:szCs w:val="15"/>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tcPr>
          <w:p>
            <w:pPr>
              <w:spacing w:after="0"/>
              <w:rPr>
                <w:sz w:val="15"/>
                <w:szCs w:val="15"/>
                <w:color w:val="auto"/>
              </w:rPr>
            </w:pPr>
          </w:p>
        </w:tc>
        <w:tc>
          <w:tcPr>
            <w:tcW w:w="6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($US)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185,307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226,816</w:t>
            </w:r>
          </w:p>
        </w:tc>
      </w:tr>
      <w:tr>
        <w:trPr>
          <w:trHeight w:val="216"/>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interest rate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9.57 %</w:t>
            </w:r>
          </w:p>
        </w:tc>
        <w:tc>
          <w:tcPr>
            <w:tcW w:w="10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9.60 %  9.60 %</w:t>
            </w:r>
          </w:p>
        </w:tc>
        <w:tc>
          <w:tcPr>
            <w:tcW w:w="10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4.14 %   9.60 %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432"/>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Rate ($US)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3,916</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3,300</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r>
      <w:tr>
        <w:trPr>
          <w:trHeight w:val="223"/>
        </w:trPr>
        <w:tc>
          <w:tcPr>
            <w:tcW w:w="3460" w:type="dxa"/>
            <w:vAlign w:val="bottom"/>
            <w:tcBorders>
              <w:bottom w:val="single" w:sz="8" w:color="auto"/>
            </w:tcBorders>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Average interest rate</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9.60 %</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3.32 %</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(1) Average of rates at December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5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00" w:type="dxa"/>
            <w:vAlign w:val="bottom"/>
          </w:tcPr>
          <w:p>
            <w:pPr>
              <w:spacing w:after="0"/>
              <w:rPr>
                <w:sz w:val="17"/>
                <w:szCs w:val="17"/>
                <w:color w:val="auto"/>
              </w:rPr>
            </w:pPr>
          </w:p>
        </w:tc>
      </w:tr>
      <w:tr>
        <w:trPr>
          <w:trHeight w:val="20"/>
        </w:trPr>
        <w:tc>
          <w:tcPr>
            <w:tcW w:w="20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25"/>
        </w:trPr>
        <w:tc>
          <w:tcPr>
            <w:tcW w:w="85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 Opinion on Internal Control Over Financial Reporting</w:t>
            </w:r>
          </w:p>
        </w:tc>
        <w:tc>
          <w:tcPr>
            <w:tcW w:w="400" w:type="dxa"/>
            <w:vAlign w:val="bottom"/>
          </w:tcPr>
          <w:p>
            <w:pPr>
              <w:spacing w:after="0"/>
              <w:rPr>
                <w:sz w:val="24"/>
                <w:szCs w:val="24"/>
                <w:color w:val="auto"/>
              </w:rPr>
            </w:pPr>
          </w:p>
        </w:tc>
      </w:tr>
      <w:tr>
        <w:trPr>
          <w:trHeight w:val="218"/>
        </w:trPr>
        <w:tc>
          <w:tcPr>
            <w:tcW w:w="42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(PCAOB ID 34)</w:t>
            </w:r>
          </w:p>
        </w:tc>
        <w:tc>
          <w:tcPr>
            <w:tcW w:w="4280" w:type="dxa"/>
            <w:vAlign w:val="bottom"/>
            <w:gridSpan w:val="2"/>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94"/>
        </w:trPr>
        <w:tc>
          <w:tcPr>
            <w:tcW w:w="85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 Opinion on Financial Statements (PCAOB ID 34)</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42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2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Earnings and Comprehensive Income</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47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w:t>
            </w:r>
          </w:p>
        </w:tc>
        <w:tc>
          <w:tcPr>
            <w:tcW w:w="37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35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96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the Board of Directors of UFP Industries,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UFP Industries, Inc. and subsidiaries (the "Company") as of December 28,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28, 2024, based on criteria established in Internal Control — Integrated Framework (2013) issued by COSO.</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28, 2024 , of the Company and our report dated February 26, 2025, expressed an unqualified opinion on those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26,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the Board of Directors of UFP Industries,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UFP Industries, Inc. and subsidiaries (the "Company") as of December 28, 2024 and December 30, 2023, the related consolidated statements of earnings and comprehensive income, shareholders' equity, and cash flows, for each of the three years in the period ended December 28, 2024, and the related notes (collectively referred to as the "financial statements"). In our opinion, the financial statements present fairly, in all material respects, the financial position of the Company as of December 28, 2024 and December 30, 2023, and the results of its operations and its cash flows for each of the three years in the period ended December 28, 2024, in conformity with accounting principles generally accepted in the United States of America.</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28, 2024, based on criteria established in Internal Control — Integrated Framework (2013) issued by the Committee of Sponsoring Organizations of the Treadway Commission and our report dated February 26, 2025, expressed an unqualified opinion on the Company's internal control over financial reporting.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Sales – Point in Time Revenue - Refer to Note A to the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point in time revenue for product sales is recognized at the time the performance obligation is satisfied and the majority of the Company’s contracts have a single performance obligation. Generally, title and control passes at the time of shipment. In certain circumstances, the customer takes title when the shipment arrives at the destination. However, the shipping process is typically completed the same day.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Auditing point in time revenue required a significant extent of effort, including the involvement of professionals in our firm with expertise in information technology.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How the Critical Audit Matter Was Addressed in the Audit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audit procedures related to point in time revenue included the following, among others:</w:t>
      </w:r>
    </w:p>
    <w:p>
      <w:pPr>
        <w:spacing w:after="0" w:line="225" w:lineRule="exact"/>
        <w:rPr>
          <w:sz w:val="20"/>
          <w:szCs w:val="20"/>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professionals in our firm with expertise in information technology, we tested the effectiveness of controls over point in time revenue, including automated controls and general IT controls.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substantive analytical procedures by developing independent expectations for point in time revenue and comparing the expectations to the point in time revenue that was recorded by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except share data)</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49"/>
        </w:trPr>
        <w:tc>
          <w:tcPr>
            <w:tcW w:w="61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1,171,828</w:t>
            </w:r>
          </w:p>
        </w:tc>
        <w:tc>
          <w:tcPr>
            <w:tcW w:w="2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1,118,329</w:t>
            </w:r>
          </w:p>
        </w:tc>
        <w:tc>
          <w:tcPr>
            <w:tcW w:w="0" w:type="dxa"/>
            <w:vAlign w:val="bottom"/>
          </w:tcPr>
          <w:p>
            <w:pPr>
              <w:spacing w:after="0"/>
              <w:rPr>
                <w:sz w:val="1"/>
                <w:szCs w:val="1"/>
                <w:color w:val="auto"/>
              </w:rPr>
            </w:pPr>
          </w:p>
        </w:tc>
      </w:tr>
      <w:tr>
        <w:trPr>
          <w:trHeight w:val="148"/>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7,766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w:t>
            </w:r>
          </w:p>
        </w:tc>
        <w:tc>
          <w:tcPr>
            <w:tcW w:w="0" w:type="dxa"/>
            <w:vAlign w:val="bottom"/>
          </w:tcPr>
          <w:p>
            <w:pPr>
              <w:spacing w:after="0"/>
              <w:rPr>
                <w:sz w:val="1"/>
                <w:szCs w:val="1"/>
                <w:color w:val="auto"/>
              </w:rPr>
            </w:pPr>
          </w:p>
        </w:tc>
      </w:tr>
      <w:tr>
        <w:trPr>
          <w:trHeight w:val="149"/>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31,087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34,745</w:t>
            </w:r>
          </w:p>
        </w:tc>
        <w:tc>
          <w:tcPr>
            <w:tcW w:w="0" w:type="dxa"/>
            <w:vAlign w:val="bottom"/>
          </w:tcPr>
          <w:p>
            <w:pPr>
              <w:spacing w:after="0"/>
              <w:rPr>
                <w:sz w:val="1"/>
                <w:szCs w:val="1"/>
                <w:color w:val="auto"/>
              </w:rPr>
            </w:pPr>
          </w:p>
        </w:tc>
      </w:tr>
      <w:tr>
        <w:trPr>
          <w:trHeight w:val="148"/>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500,920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549,499</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388,435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352,785</w:t>
            </w:r>
          </w:p>
        </w:tc>
        <w:tc>
          <w:tcPr>
            <w:tcW w:w="0" w:type="dxa"/>
            <w:vAlign w:val="bottom"/>
          </w:tcPr>
          <w:p>
            <w:pPr>
              <w:spacing w:after="0"/>
              <w:rPr>
                <w:sz w:val="1"/>
                <w:szCs w:val="1"/>
                <w:color w:val="auto"/>
              </w:rPr>
            </w:pPr>
          </w:p>
        </w:tc>
      </w:tr>
      <w:tr>
        <w:trPr>
          <w:trHeight w:val="168"/>
        </w:trPr>
        <w:tc>
          <w:tcPr>
            <w:tcW w:w="618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332,389</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375,003</w:t>
            </w:r>
          </w:p>
        </w:tc>
        <w:tc>
          <w:tcPr>
            <w:tcW w:w="0" w:type="dxa"/>
            <w:vAlign w:val="bottom"/>
          </w:tcPr>
          <w:p>
            <w:pPr>
              <w:spacing w:after="0"/>
              <w:rPr>
                <w:sz w:val="1"/>
                <w:szCs w:val="1"/>
                <w:color w:val="auto"/>
              </w:rPr>
            </w:pPr>
          </w:p>
        </w:tc>
      </w:tr>
      <w:tr>
        <w:trPr>
          <w:trHeight w:val="136"/>
        </w:trPr>
        <w:tc>
          <w:tcPr>
            <w:tcW w:w="618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720,824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727,788</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20,588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29,327</w:t>
            </w:r>
          </w:p>
        </w:tc>
        <w:tc>
          <w:tcPr>
            <w:tcW w:w="0" w:type="dxa"/>
            <w:vAlign w:val="bottom"/>
          </w:tcPr>
          <w:p>
            <w:pPr>
              <w:spacing w:after="0"/>
              <w:rPr>
                <w:sz w:val="1"/>
                <w:szCs w:val="1"/>
                <w:color w:val="auto"/>
              </w:rPr>
            </w:pPr>
          </w:p>
        </w:tc>
      </w:tr>
      <w:tr>
        <w:trPr>
          <w:trHeight w:val="156"/>
        </w:trPr>
        <w:tc>
          <w:tcPr>
            <w:tcW w:w="618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50,012</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38,474</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2,503,025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2,502,089</w:t>
            </w:r>
          </w:p>
        </w:tc>
        <w:tc>
          <w:tcPr>
            <w:tcW w:w="0" w:type="dxa"/>
            <w:vAlign w:val="bottom"/>
          </w:tcPr>
          <w:p>
            <w:pPr>
              <w:spacing w:after="0"/>
              <w:rPr>
                <w:sz w:val="1"/>
                <w:szCs w:val="1"/>
                <w:color w:val="auto"/>
              </w:rPr>
            </w:pPr>
          </w:p>
        </w:tc>
      </w:tr>
      <w:tr>
        <w:trPr>
          <w:trHeight w:val="148"/>
        </w:trPr>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5,263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4,228</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INVESTMENTS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39,140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24,838</w:t>
            </w:r>
          </w:p>
        </w:tc>
        <w:tc>
          <w:tcPr>
            <w:tcW w:w="0" w:type="dxa"/>
            <w:vAlign w:val="bottom"/>
          </w:tcPr>
          <w:p>
            <w:pPr>
              <w:spacing w:after="0"/>
              <w:rPr>
                <w:sz w:val="1"/>
                <w:szCs w:val="1"/>
                <w:color w:val="auto"/>
              </w:rPr>
            </w:pPr>
          </w:p>
        </w:tc>
      </w:tr>
      <w:tr>
        <w:trPr>
          <w:trHeight w:val="149"/>
        </w:trPr>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114,721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103,774</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98,409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87,438</w:t>
            </w:r>
          </w:p>
        </w:tc>
        <w:tc>
          <w:tcPr>
            <w:tcW w:w="0" w:type="dxa"/>
            <w:vAlign w:val="bottom"/>
          </w:tcPr>
          <w:p>
            <w:pPr>
              <w:spacing w:after="0"/>
              <w:rPr>
                <w:sz w:val="1"/>
                <w:szCs w:val="1"/>
                <w:color w:val="auto"/>
              </w:rPr>
            </w:pPr>
          </w:p>
        </w:tc>
      </w:tr>
      <w:tr>
        <w:trPr>
          <w:trHeight w:val="148"/>
        </w:trPr>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339,839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336,313</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INDEFINITE-LIVED INTANGIBLE ASSETS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7,300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7,345</w:t>
            </w:r>
          </w:p>
        </w:tc>
        <w:tc>
          <w:tcPr>
            <w:tcW w:w="0" w:type="dxa"/>
            <w:vAlign w:val="bottom"/>
          </w:tcPr>
          <w:p>
            <w:pPr>
              <w:spacing w:after="0"/>
              <w:rPr>
                <w:sz w:val="1"/>
                <w:szCs w:val="1"/>
                <w:color w:val="auto"/>
              </w:rPr>
            </w:pPr>
          </w:p>
        </w:tc>
      </w:tr>
      <w:tr>
        <w:trPr>
          <w:trHeight w:val="148"/>
        </w:trPr>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152,498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175,195</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1,750,211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1,559,304</w:t>
            </w:r>
          </w:p>
        </w:tc>
        <w:tc>
          <w:tcPr>
            <w:tcW w:w="0" w:type="dxa"/>
            <w:vAlign w:val="bottom"/>
          </w:tcPr>
          <w:p>
            <w:pPr>
              <w:spacing w:after="0"/>
              <w:rPr>
                <w:sz w:val="1"/>
                <w:szCs w:val="1"/>
                <w:color w:val="auto"/>
              </w:rPr>
            </w:pPr>
          </w:p>
        </w:tc>
      </w:tr>
      <w:tr>
        <w:trPr>
          <w:trHeight w:val="168"/>
        </w:trPr>
        <w:tc>
          <w:tcPr>
            <w:tcW w:w="618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(859,468)</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(782,727)</w:t>
            </w:r>
          </w:p>
        </w:tc>
        <w:tc>
          <w:tcPr>
            <w:tcW w:w="0" w:type="dxa"/>
            <w:vAlign w:val="bottom"/>
          </w:tcPr>
          <w:p>
            <w:pPr>
              <w:spacing w:after="0"/>
              <w:rPr>
                <w:sz w:val="1"/>
                <w:szCs w:val="1"/>
                <w:color w:val="auto"/>
              </w:rPr>
            </w:pPr>
          </w:p>
        </w:tc>
      </w:tr>
      <w:tr>
        <w:trPr>
          <w:trHeight w:val="143"/>
        </w:trPr>
        <w:tc>
          <w:tcPr>
            <w:tcW w:w="6180" w:type="dxa"/>
            <w:vAlign w:val="bottom"/>
            <w:tcBorders>
              <w:bottom w:val="single" w:sz="8" w:color="CCEEFF"/>
            </w:tcBorders>
          </w:tcPr>
          <w:p>
            <w:pPr>
              <w:ind w:left="400"/>
              <w:spacing w:after="0" w:line="136"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890,743</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776,577</w:t>
            </w:r>
          </w:p>
        </w:tc>
        <w:tc>
          <w:tcPr>
            <w:tcW w:w="0" w:type="dxa"/>
            <w:vAlign w:val="bottom"/>
          </w:tcPr>
          <w:p>
            <w:pPr>
              <w:spacing w:after="0"/>
              <w:rPr>
                <w:sz w:val="1"/>
                <w:szCs w:val="1"/>
                <w:color w:val="auto"/>
              </w:rPr>
            </w:pPr>
          </w:p>
        </w:tc>
      </w:tr>
      <w:tr>
        <w:trPr>
          <w:trHeight w:val="148"/>
        </w:trPr>
        <w:tc>
          <w:tcPr>
            <w:tcW w:w="61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4,150,938</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4,017,797</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224,659</w:t>
            </w:r>
          </w:p>
        </w:tc>
        <w:tc>
          <w:tcPr>
            <w:tcW w:w="22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203,055</w:t>
            </w:r>
          </w:p>
        </w:tc>
        <w:tc>
          <w:tcPr>
            <w:tcW w:w="0" w:type="dxa"/>
            <w:vAlign w:val="bottom"/>
          </w:tcPr>
          <w:p>
            <w:pPr>
              <w:spacing w:after="0"/>
              <w:rPr>
                <w:sz w:val="1"/>
                <w:szCs w:val="1"/>
                <w:color w:val="auto"/>
              </w:rPr>
            </w:pPr>
          </w:p>
        </w:tc>
      </w:tr>
      <w:tr>
        <w:trPr>
          <w:trHeight w:val="149"/>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Compensation and benefits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193,438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232,331</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62,356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66,713</w:t>
            </w:r>
          </w:p>
        </w:tc>
        <w:tc>
          <w:tcPr>
            <w:tcW w:w="0" w:type="dxa"/>
            <w:vAlign w:val="bottom"/>
          </w:tcPr>
          <w:p>
            <w:pPr>
              <w:spacing w:after="0"/>
              <w:rPr>
                <w:sz w:val="1"/>
                <w:szCs w:val="1"/>
                <w:color w:val="auto"/>
              </w:rPr>
            </w:pPr>
          </w:p>
        </w:tc>
      </w:tr>
      <w:tr>
        <w:trPr>
          <w:trHeight w:val="149"/>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27,870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22,977</w:t>
            </w:r>
          </w:p>
        </w:tc>
        <w:tc>
          <w:tcPr>
            <w:tcW w:w="0" w:type="dxa"/>
            <w:vAlign w:val="bottom"/>
          </w:tcPr>
          <w:p>
            <w:pPr>
              <w:spacing w:after="0"/>
              <w:rPr>
                <w:sz w:val="1"/>
                <w:szCs w:val="1"/>
                <w:color w:val="auto"/>
              </w:rPr>
            </w:pPr>
          </w:p>
        </w:tc>
      </w:tr>
      <w:tr>
        <w:trPr>
          <w:trHeight w:val="168"/>
        </w:trPr>
        <w:tc>
          <w:tcPr>
            <w:tcW w:w="618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4,125</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42,900</w:t>
            </w:r>
          </w:p>
        </w:tc>
        <w:tc>
          <w:tcPr>
            <w:tcW w:w="0" w:type="dxa"/>
            <w:vAlign w:val="bottom"/>
          </w:tcPr>
          <w:p>
            <w:pPr>
              <w:spacing w:after="0"/>
              <w:rPr>
                <w:sz w:val="1"/>
                <w:szCs w:val="1"/>
                <w:color w:val="auto"/>
              </w:rPr>
            </w:pPr>
          </w:p>
        </w:tc>
      </w:tr>
      <w:tr>
        <w:trPr>
          <w:trHeight w:val="135"/>
        </w:trPr>
        <w:tc>
          <w:tcPr>
            <w:tcW w:w="618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512,448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567,976</w:t>
            </w:r>
          </w:p>
        </w:tc>
        <w:tc>
          <w:tcPr>
            <w:tcW w:w="0" w:type="dxa"/>
            <w:vAlign w:val="bottom"/>
          </w:tcPr>
          <w:p>
            <w:pPr>
              <w:spacing w:after="0"/>
              <w:rPr>
                <w:sz w:val="1"/>
                <w:szCs w:val="1"/>
                <w:color w:val="auto"/>
              </w:rPr>
            </w:pPr>
          </w:p>
        </w:tc>
      </w:tr>
      <w:tr>
        <w:trPr>
          <w:trHeight w:val="149"/>
        </w:trPr>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229,830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233,534</w:t>
            </w:r>
          </w:p>
        </w:tc>
        <w:tc>
          <w:tcPr>
            <w:tcW w:w="0" w:type="dxa"/>
            <w:vAlign w:val="bottom"/>
          </w:tcPr>
          <w:p>
            <w:pPr>
              <w:spacing w:after="0"/>
              <w:rPr>
                <w:sz w:val="1"/>
                <w:szCs w:val="1"/>
                <w:color w:val="auto"/>
              </w:rPr>
            </w:pPr>
          </w:p>
        </w:tc>
      </w:tr>
      <w:tr>
        <w:trPr>
          <w:trHeight w:val="148"/>
        </w:trPr>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95,095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84,885</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31,244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45,248</w:t>
            </w:r>
          </w:p>
        </w:tc>
        <w:tc>
          <w:tcPr>
            <w:tcW w:w="0" w:type="dxa"/>
            <w:vAlign w:val="bottom"/>
          </w:tcPr>
          <w:p>
            <w:pPr>
              <w:spacing w:after="0"/>
              <w:rPr>
                <w:sz w:val="1"/>
                <w:szCs w:val="1"/>
                <w:color w:val="auto"/>
              </w:rPr>
            </w:pPr>
          </w:p>
        </w:tc>
      </w:tr>
      <w:tr>
        <w:trPr>
          <w:trHeight w:val="156"/>
        </w:trPr>
        <w:tc>
          <w:tcPr>
            <w:tcW w:w="61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32,330</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35,934</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900,947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967,577</w:t>
            </w:r>
          </w:p>
        </w:tc>
        <w:tc>
          <w:tcPr>
            <w:tcW w:w="0" w:type="dxa"/>
            <w:vAlign w:val="bottom"/>
          </w:tcPr>
          <w:p>
            <w:pPr>
              <w:spacing w:after="0"/>
              <w:rPr>
                <w:sz w:val="1"/>
                <w:szCs w:val="1"/>
                <w:color w:val="auto"/>
              </w:rPr>
            </w:pPr>
          </w:p>
        </w:tc>
      </w:tr>
      <w:tr>
        <w:trPr>
          <w:trHeight w:val="148"/>
        </w:trPr>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TEMPORARY EQUITY: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Redeemable noncontrolling interest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5,366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20,030</w:t>
            </w:r>
          </w:p>
        </w:tc>
        <w:tc>
          <w:tcPr>
            <w:tcW w:w="0" w:type="dxa"/>
            <w:vAlign w:val="bottom"/>
          </w:tcPr>
          <w:p>
            <w:pPr>
              <w:spacing w:after="0"/>
              <w:rPr>
                <w:sz w:val="1"/>
                <w:szCs w:val="1"/>
                <w:color w:val="auto"/>
              </w:rPr>
            </w:pPr>
          </w:p>
        </w:tc>
      </w:tr>
      <w:tr>
        <w:trPr>
          <w:trHeight w:val="148"/>
        </w:trPr>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 outstanding, none</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618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160,000,000; issued and outstanding, 60,724,308</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60,724</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61,621</w:t>
            </w:r>
          </w:p>
        </w:tc>
        <w:tc>
          <w:tcPr>
            <w:tcW w:w="0" w:type="dxa"/>
            <w:vAlign w:val="bottom"/>
          </w:tcPr>
          <w:p>
            <w:pPr>
              <w:spacing w:after="0"/>
              <w:rPr>
                <w:sz w:val="1"/>
                <w:szCs w:val="1"/>
                <w:color w:val="auto"/>
              </w:rPr>
            </w:pPr>
          </w:p>
        </w:tc>
      </w:tr>
      <w:tr>
        <w:trPr>
          <w:trHeight w:val="171"/>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and 61,621,004</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403,379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354,702</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2,775,280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2,582,332</w:t>
            </w:r>
          </w:p>
        </w:tc>
        <w:tc>
          <w:tcPr>
            <w:tcW w:w="0" w:type="dxa"/>
            <w:vAlign w:val="bottom"/>
          </w:tcPr>
          <w:p>
            <w:pPr>
              <w:spacing w:after="0"/>
              <w:rPr>
                <w:sz w:val="1"/>
                <w:szCs w:val="1"/>
                <w:color w:val="auto"/>
              </w:rPr>
            </w:pPr>
          </w:p>
        </w:tc>
      </w:tr>
      <w:tr>
        <w:trPr>
          <w:trHeight w:val="156"/>
        </w:trPr>
        <w:tc>
          <w:tcPr>
            <w:tcW w:w="618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(15,311)</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3,224,072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2,999,761</w:t>
            </w:r>
          </w:p>
        </w:tc>
        <w:tc>
          <w:tcPr>
            <w:tcW w:w="0" w:type="dxa"/>
            <w:vAlign w:val="bottom"/>
          </w:tcPr>
          <w:p>
            <w:pPr>
              <w:spacing w:after="0"/>
              <w:rPr>
                <w:sz w:val="1"/>
                <w:szCs w:val="1"/>
                <w:color w:val="auto"/>
              </w:rPr>
            </w:pPr>
          </w:p>
        </w:tc>
      </w:tr>
      <w:tr>
        <w:trPr>
          <w:trHeight w:val="155"/>
        </w:trPr>
        <w:tc>
          <w:tcPr>
            <w:tcW w:w="618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20,553</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30,429</w:t>
            </w:r>
          </w:p>
        </w:tc>
        <w:tc>
          <w:tcPr>
            <w:tcW w:w="0" w:type="dxa"/>
            <w:vAlign w:val="bottom"/>
          </w:tcPr>
          <w:p>
            <w:pPr>
              <w:spacing w:after="0"/>
              <w:rPr>
                <w:sz w:val="1"/>
                <w:szCs w:val="1"/>
                <w:color w:val="auto"/>
              </w:rPr>
            </w:pPr>
          </w:p>
        </w:tc>
      </w:tr>
      <w:tr>
        <w:trPr>
          <w:trHeight w:val="168"/>
        </w:trPr>
        <w:tc>
          <w:tcPr>
            <w:tcW w:w="6180" w:type="dxa"/>
            <w:vAlign w:val="bottom"/>
            <w:tcBorders>
              <w:bottom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SHAREHOLDERS’ EQUITY</w:t>
            </w: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3,244,625</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3,030,190</w:t>
            </w:r>
          </w:p>
        </w:tc>
        <w:tc>
          <w:tcPr>
            <w:tcW w:w="0" w:type="dxa"/>
            <w:vAlign w:val="bottom"/>
          </w:tcPr>
          <w:p>
            <w:pPr>
              <w:spacing w:after="0"/>
              <w:rPr>
                <w:sz w:val="1"/>
                <w:szCs w:val="1"/>
                <w:color w:val="auto"/>
              </w:rPr>
            </w:pPr>
          </w:p>
        </w:tc>
      </w:tr>
      <w:tr>
        <w:trPr>
          <w:trHeight w:val="136"/>
        </w:trPr>
        <w:tc>
          <w:tcPr>
            <w:tcW w:w="61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LIABILITIES, TEMPORARY EQUITY AND SHAREHOLDERS’ EQUITY</w:t>
            </w:r>
          </w:p>
        </w:tc>
        <w:tc>
          <w:tcPr>
            <w:tcW w:w="2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4,150,938</w:t>
            </w: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4,017,797</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AND COMPREHENSIVE INCOME</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6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except per share data)</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5"/>
                <w:szCs w:val="15"/>
                <w:color w:val="auto"/>
              </w:rPr>
            </w:pPr>
          </w:p>
        </w:tc>
      </w:tr>
      <w:tr>
        <w:trPr>
          <w:trHeight w:val="124"/>
        </w:trPr>
        <w:tc>
          <w:tcPr>
            <w:tcW w:w="562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140" w:type="dxa"/>
            <w:vAlign w:val="bottom"/>
            <w:tcBorders>
              <w:top w:val="single" w:sz="8" w:color="auto"/>
            </w:tcBorders>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0"/>
        </w:trPr>
        <w:tc>
          <w:tcPr>
            <w:tcW w:w="5620" w:type="dxa"/>
            <w:vAlign w:val="bottom"/>
          </w:tcPr>
          <w:p>
            <w:pPr>
              <w:spacing w:after="0"/>
              <w:rPr>
                <w:sz w:val="15"/>
                <w:szCs w:val="15"/>
                <w:color w:val="auto"/>
              </w:rPr>
            </w:pPr>
          </w:p>
        </w:tc>
        <w:tc>
          <w:tcPr>
            <w:tcW w:w="9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5"/>
                <w:szCs w:val="15"/>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564896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SALES</w:t>
            </w:r>
          </w:p>
        </w:tc>
        <w:tc>
          <w:tcPr>
            <w:tcW w:w="4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6,652,309</w:t>
            </w:r>
          </w:p>
        </w:tc>
        <w:tc>
          <w:tcPr>
            <w:tcW w:w="3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7,218,384</w:t>
            </w:r>
          </w:p>
        </w:tc>
        <w:tc>
          <w:tcPr>
            <w:tcW w:w="160" w:type="dxa"/>
            <w:vAlign w:val="bottom"/>
          </w:tcPr>
          <w:p>
            <w:pPr>
              <w:spacing w:after="0"/>
              <w:rPr>
                <w:sz w:val="17"/>
                <w:szCs w:val="17"/>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9,626,739</w:t>
            </w:r>
          </w:p>
        </w:tc>
        <w:tc>
          <w:tcPr>
            <w:tcW w:w="0" w:type="dxa"/>
            <w:vAlign w:val="bottom"/>
          </w:tcPr>
          <w:p>
            <w:pPr>
              <w:spacing w:after="0"/>
              <w:rPr>
                <w:sz w:val="1"/>
                <w:szCs w:val="1"/>
                <w:color w:val="auto"/>
              </w:rPr>
            </w:pPr>
          </w:p>
        </w:tc>
      </w:tr>
      <w:tr>
        <w:trPr>
          <w:trHeight w:val="241"/>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5,425,567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5,799,446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1,226,742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1,418,938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(GAIN) ON DISPOSITION AND IMPAIRMENT OF 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(GAINS) LOSSES, NET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492,242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646,534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IN (EARNINGS) LOSS OF INVESTEE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OTHER</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540,155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671,241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934,816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121,422</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156,784</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229,852</w:t>
            </w: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418,733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514,457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704,964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ATTRIBUTABLE TO NONCONTROLLING INTEREST</w:t>
            </w: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0" w:type="dxa"/>
            <w:vAlign w:val="bottom"/>
          </w:tcPr>
          <w:p>
            <w:pPr>
              <w:spacing w:after="0"/>
              <w:rPr>
                <w:sz w:val="1"/>
                <w:szCs w:val="1"/>
                <w:color w:val="auto"/>
              </w:rPr>
            </w:pPr>
          </w:p>
        </w:tc>
      </w:tr>
      <w:tr>
        <w:trPr>
          <w:trHeight w:val="243"/>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EARNINGS ATTRIBUTABLE TO CONTROLLING INTEREST</w:t>
            </w:r>
          </w:p>
        </w:tc>
        <w:tc>
          <w:tcPr>
            <w:tcW w:w="2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414,560</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514,312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692,651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 – BASIC</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6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704,964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398,753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529,293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702,466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ATTRIBUTABLE TO NONCONTROLLING</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COMPREHENSIVE INCOME ATTRIBUTABLE TO CONTROLLING</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398,143</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524,493</w:t>
            </w:r>
          </w:p>
        </w:tc>
        <w:tc>
          <w:tcPr>
            <w:tcW w:w="160" w:type="dxa"/>
            <w:vAlign w:val="bottom"/>
          </w:tcPr>
          <w:p>
            <w:pPr>
              <w:spacing w:after="0"/>
              <w:rPr>
                <w:sz w:val="14"/>
                <w:szCs w:val="14"/>
                <w:color w:val="auto"/>
              </w:rPr>
            </w:pPr>
          </w:p>
        </w:tc>
        <w:tc>
          <w:tcPr>
            <w:tcW w:w="14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688,981</w:t>
            </w: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w:t>
            </w:r>
          </w:p>
        </w:tc>
        <w:tc>
          <w:tcPr>
            <w:tcW w:w="42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7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except share and per share data)</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3"/>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00" w:type="dxa"/>
            <w:vAlign w:val="bottom"/>
            <w:gridSpan w:val="3"/>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80" w:type="dxa"/>
            <w:vAlign w:val="bottom"/>
          </w:tcPr>
          <w:p>
            <w:pPr>
              <w:spacing w:after="0"/>
              <w:rPr>
                <w:sz w:val="15"/>
                <w:szCs w:val="15"/>
                <w:color w:val="auto"/>
              </w:rPr>
            </w:pPr>
          </w:p>
        </w:tc>
        <w:tc>
          <w:tcPr>
            <w:tcW w:w="7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274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December 25, 2021</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$ 61,902</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$ 243,995</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$ 1,678,121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(5,405)</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37,956</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$ 2,016,569</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692,651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12,210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704,861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1,802</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investments and 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(1,829)</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(12,024)</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Contributions to NCI</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NCI related to business combinations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Redeemable NCI</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(7,641)</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(7,641)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7,641</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$0.95 per share</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(58,860)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(58,860)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44,012 shares under employee</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2,725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2,769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stock purchase plan (ESPP)</w:t>
            </w: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805,562 shares under stock grant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9,919</w:t>
            </w:r>
          </w:p>
        </w:tc>
        <w:tc>
          <w:tcPr>
            <w:tcW w:w="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113,384 shares under deferred</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w:t>
            </w: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1,246,616 shares</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(1,247)</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(94,527)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(95,774)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27,987</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27,987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9,516</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9,516</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74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December 31, 2022</w:t>
            </w:r>
          </w:p>
        </w:tc>
        <w:tc>
          <w:tcPr>
            <w:tcW w:w="80" w:type="dxa"/>
            <w:vAlign w:val="bottom"/>
            <w:tcBorders>
              <w:top w:val="single" w:sz="8" w:color="CCEEFF"/>
            </w:tcBorders>
          </w:tcPr>
          <w:p>
            <w:pPr>
              <w:spacing w:after="0"/>
              <w:rPr>
                <w:sz w:val="11"/>
                <w:szCs w:val="11"/>
                <w:color w:val="auto"/>
              </w:rPr>
            </w:pPr>
          </w:p>
        </w:tc>
        <w:tc>
          <w:tcPr>
            <w:tcW w:w="5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$ 61,618</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9"/>
              </w:rPr>
              <w:t>$ 294,029</w:t>
            </w: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$ 2,217,410</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(9,075)</w:t>
            </w:r>
          </w:p>
        </w:tc>
        <w:tc>
          <w:tcPr>
            <w:tcW w:w="80" w:type="dxa"/>
            <w:vAlign w:val="bottom"/>
            <w:tcBorders>
              <w:top w:val="single" w:sz="8" w:color="CCEEFF"/>
            </w:tcBorders>
          </w:tcPr>
          <w:p>
            <w:pPr>
              <w:spacing w:after="0"/>
              <w:rPr>
                <w:sz w:val="11"/>
                <w:szCs w:val="11"/>
                <w:color w:val="auto"/>
              </w:rPr>
            </w:pPr>
          </w:p>
        </w:tc>
        <w:tc>
          <w:tcPr>
            <w:tcW w:w="42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32,841</w:t>
            </w: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$ 2,596,823</w:t>
            </w: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6,880</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514,312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514,975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9,762</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4,267</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investments and other</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(7,355)</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remaining NCI of subsidiary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(917)</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NCI related to business combinations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13,237</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$1.10 per share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(68,238)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(68,238)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32,944 shares under ESPP</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820,591 shares under stock grant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14,485</w:t>
            </w:r>
          </w:p>
        </w:tc>
        <w:tc>
          <w:tcPr>
            <w:tcW w:w="2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15,328</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programs</w:t>
            </w: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124,145 shares under deferred</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w:t>
            </w: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974,869 shares</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(975)</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(81,174)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(82,149)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34,727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34,727</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10,895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10,895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7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December 30, 2023</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$ 61,621</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$ 354,702</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$ 2,582,332</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1,106</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30,429</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$ 3,030,190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20,030</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414,560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5,413</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419,973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(16,428)</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(3,441)</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investments and 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(11,848)</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remaining NCI of subsidiary</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(13,302)</w:t>
            </w: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$1.32 per share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(80,782)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(80,782)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27,898 shares under ESPP</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380,548 shares under stock grant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5,923</w:t>
            </w:r>
          </w:p>
        </w:tc>
        <w:tc>
          <w:tcPr>
            <w:tcW w:w="2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6,380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programs</w:t>
            </w: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104,124 shares under deferred</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w:t>
            </w: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1,409,266 shares</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(17,686)</w:t>
            </w:r>
          </w:p>
        </w:tc>
        <w:tc>
          <w:tcPr>
            <w:tcW w:w="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(160,002)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11,664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11,664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7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December 28, 2024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$ 60,724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$ 403,379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$ 2,775,280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(15,311)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20,553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$ 3,244,625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5,366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0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060" w:type="dxa"/>
            <w:vAlign w:val="bottom"/>
            <w:gridSpan w:val="3"/>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80"/>
        </w:trPr>
        <w:tc>
          <w:tcPr>
            <w:tcW w:w="58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418,733</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514,457</w:t>
            </w:r>
          </w:p>
        </w:tc>
        <w:tc>
          <w:tcPr>
            <w:tcW w:w="3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704,964</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from operating activities: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124,641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110,563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94,063</w:t>
            </w: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19,499</w:t>
            </w:r>
          </w:p>
        </w:tc>
        <w:tc>
          <w:tcPr>
            <w:tcW w:w="0" w:type="dxa"/>
            <w:vAlign w:val="bottom"/>
          </w:tcPr>
          <w:p>
            <w:pPr>
              <w:spacing w:after="0"/>
              <w:rPr>
                <w:sz w:val="1"/>
                <w:szCs w:val="1"/>
                <w:color w:val="auto"/>
              </w:rPr>
            </w:pPr>
          </w:p>
        </w:tc>
      </w:tr>
      <w:tr>
        <w:trPr>
          <w:trHeight w:val="148"/>
        </w:trPr>
        <w:tc>
          <w:tcPr>
            <w:tcW w:w="5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38,163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34,899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28,156</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(15,382)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(16,289)</w:t>
            </w:r>
          </w:p>
        </w:tc>
        <w:tc>
          <w:tcPr>
            <w:tcW w:w="0" w:type="dxa"/>
            <w:vAlign w:val="bottom"/>
          </w:tcPr>
          <w:p>
            <w:pPr>
              <w:spacing w:after="0"/>
              <w:rPr>
                <w:sz w:val="1"/>
                <w:szCs w:val="1"/>
                <w:color w:val="auto"/>
              </w:rPr>
            </w:pPr>
          </w:p>
        </w:tc>
      </w:tr>
      <w:tr>
        <w:trPr>
          <w:trHeight w:val="148"/>
        </w:trPr>
        <w:tc>
          <w:tcPr>
            <w:tcW w:w="5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(gain) loss on investments and 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5,768</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 in (earnings) loss of investee</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2,183</w:t>
            </w:r>
          </w:p>
        </w:tc>
        <w:tc>
          <w:tcPr>
            <w:tcW w:w="0" w:type="dxa"/>
            <w:vAlign w:val="bottom"/>
          </w:tcPr>
          <w:p>
            <w:pPr>
              <w:spacing w:after="0"/>
              <w:rPr>
                <w:sz w:val="1"/>
                <w:szCs w:val="1"/>
                <w:color w:val="auto"/>
              </w:rPr>
            </w:pPr>
          </w:p>
        </w:tc>
      </w:tr>
      <w:tr>
        <w:trPr>
          <w:trHeight w:val="149"/>
        </w:trPr>
        <w:tc>
          <w:tcPr>
            <w:tcW w:w="5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 (gain) on sale, disposition and impairment of 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1,285</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Impairment of goodwill and other intangibles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4,261</w:t>
            </w:r>
          </w:p>
        </w:tc>
        <w:tc>
          <w:tcPr>
            <w:tcW w:w="0" w:type="dxa"/>
            <w:vAlign w:val="bottom"/>
          </w:tcPr>
          <w:p>
            <w:pPr>
              <w:spacing w:after="0"/>
              <w:rPr>
                <w:sz w:val="1"/>
                <w:szCs w:val="1"/>
                <w:color w:val="auto"/>
              </w:rPr>
            </w:pPr>
          </w:p>
        </w:tc>
      </w:tr>
      <w:tr>
        <w:trPr>
          <w:trHeight w:val="148"/>
        </w:trPr>
        <w:tc>
          <w:tcPr>
            <w:tcW w:w="5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from reduction of estimated earnout liability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47,070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81,659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130,704</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6,356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250,561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0" w:type="dxa"/>
            <w:vAlign w:val="bottom"/>
          </w:tcPr>
          <w:p>
            <w:pPr>
              <w:spacing w:after="0"/>
              <w:rPr>
                <w:sz w:val="1"/>
                <w:szCs w:val="1"/>
                <w:color w:val="auto"/>
              </w:rPr>
            </w:pPr>
          </w:p>
        </w:tc>
      </w:tr>
      <w:tr>
        <w:trPr>
          <w:trHeight w:val="149"/>
        </w:trPr>
        <w:tc>
          <w:tcPr>
            <w:tcW w:w="58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22,394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(137,907)</w:t>
            </w:r>
          </w:p>
        </w:tc>
        <w:tc>
          <w:tcPr>
            <w:tcW w:w="0" w:type="dxa"/>
            <w:vAlign w:val="bottom"/>
          </w:tcPr>
          <w:p>
            <w:pPr>
              <w:spacing w:after="0"/>
              <w:rPr>
                <w:sz w:val="1"/>
                <w:szCs w:val="1"/>
                <w:color w:val="auto"/>
              </w:rPr>
            </w:pPr>
          </w:p>
        </w:tc>
      </w:tr>
      <w:tr>
        <w:trPr>
          <w:trHeight w:val="168"/>
        </w:trPr>
        <w:tc>
          <w:tcPr>
            <w:tcW w:w="580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(25,316)</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(40,920)</w:t>
            </w: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(5,838)</w:t>
            </w:r>
          </w:p>
        </w:tc>
        <w:tc>
          <w:tcPr>
            <w:tcW w:w="0" w:type="dxa"/>
            <w:vAlign w:val="bottom"/>
          </w:tcPr>
          <w:p>
            <w:pPr>
              <w:spacing w:after="0"/>
              <w:rPr>
                <w:sz w:val="1"/>
                <w:szCs w:val="1"/>
                <w:color w:val="auto"/>
              </w:rPr>
            </w:pPr>
          </w:p>
        </w:tc>
      </w:tr>
      <w:tr>
        <w:trPr>
          <w:trHeight w:val="135"/>
        </w:trPr>
        <w:tc>
          <w:tcPr>
            <w:tcW w:w="5800" w:type="dxa"/>
            <w:vAlign w:val="bottom"/>
          </w:tcPr>
          <w:p>
            <w:pPr>
              <w:ind w:left="100"/>
              <w:spacing w:after="0" w:line="136" w:lineRule="exact"/>
              <w:rPr>
                <w:sz w:val="20"/>
                <w:szCs w:val="20"/>
                <w:color w:val="auto"/>
              </w:rPr>
            </w:pPr>
            <w:r>
              <w:rPr>
                <w:rFonts w:ascii="Times New Roman" w:cs="Times New Roman" w:eastAsia="Times New Roman" w:hAnsi="Times New Roman"/>
                <w:sz w:val="14"/>
                <w:szCs w:val="14"/>
                <w:color w:val="auto"/>
              </w:rPr>
              <w:t>NET CASH FROM OPERATING ACTIVITIES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642,571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959,890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831,567</w:t>
            </w: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INVESTING ACTIVITIES: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(232,274)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(180,382)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(174,124)</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3,805</w:t>
            </w: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Acquisitions, net of cash received and purchase of equity method investment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(52,383)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(180,151)</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(55,397)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(29,806)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(19,875)</w:t>
            </w:r>
          </w:p>
        </w:tc>
        <w:tc>
          <w:tcPr>
            <w:tcW w:w="0" w:type="dxa"/>
            <w:vAlign w:val="bottom"/>
          </w:tcPr>
          <w:p>
            <w:pPr>
              <w:spacing w:after="0"/>
              <w:rPr>
                <w:sz w:val="1"/>
                <w:szCs w:val="1"/>
                <w:color w:val="auto"/>
              </w:rPr>
            </w:pPr>
          </w:p>
        </w:tc>
      </w:tr>
      <w:tr>
        <w:trPr>
          <w:trHeight w:val="149"/>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29,935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12,874</w:t>
            </w:r>
          </w:p>
        </w:tc>
        <w:tc>
          <w:tcPr>
            <w:tcW w:w="0" w:type="dxa"/>
            <w:vAlign w:val="bottom"/>
          </w:tcPr>
          <w:p>
            <w:pPr>
              <w:spacing w:after="0"/>
              <w:rPr>
                <w:sz w:val="1"/>
                <w:szCs w:val="1"/>
                <w:color w:val="auto"/>
              </w:rPr>
            </w:pPr>
          </w:p>
        </w:tc>
      </w:tr>
      <w:tr>
        <w:trPr>
          <w:trHeight w:val="168"/>
        </w:trPr>
        <w:tc>
          <w:tcPr>
            <w:tcW w:w="58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4,406</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(10,819)</w:t>
            </w: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3,535</w:t>
            </w:r>
          </w:p>
        </w:tc>
        <w:tc>
          <w:tcPr>
            <w:tcW w:w="0" w:type="dxa"/>
            <w:vAlign w:val="bottom"/>
          </w:tcPr>
          <w:p>
            <w:pPr>
              <w:spacing w:after="0"/>
              <w:rPr>
                <w:sz w:val="1"/>
                <w:szCs w:val="1"/>
                <w:color w:val="auto"/>
              </w:rPr>
            </w:pPr>
          </w:p>
        </w:tc>
      </w:tr>
      <w:tr>
        <w:trPr>
          <w:trHeight w:val="135"/>
        </w:trPr>
        <w:tc>
          <w:tcPr>
            <w:tcW w:w="5800" w:type="dxa"/>
            <w:vAlign w:val="bottom"/>
          </w:tcPr>
          <w:p>
            <w:pPr>
              <w:ind w:left="100"/>
              <w:spacing w:after="0" w:line="136"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(270,750)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(240,164)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(353,936)</w:t>
            </w: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FINANCING ACTIVITIES: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29,913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28,462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605,101</w:t>
            </w: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(32,256)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(30,125)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(607,549)</w:t>
            </w: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of debt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(38,719)</w:t>
            </w: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 of debt on behalf of investee</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 payments and 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(2,856)</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w:t>
            </w:r>
          </w:p>
        </w:tc>
        <w:tc>
          <w:tcPr>
            <w:tcW w:w="0" w:type="dxa"/>
            <w:vAlign w:val="bottom"/>
          </w:tcPr>
          <w:p>
            <w:pPr>
              <w:spacing w:after="0"/>
              <w:rPr>
                <w:sz w:val="1"/>
                <w:szCs w:val="1"/>
                <w:color w:val="auto"/>
              </w:rPr>
            </w:pPr>
          </w:p>
        </w:tc>
      </w:tr>
      <w:tr>
        <w:trPr>
          <w:trHeight w:val="149"/>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(80,782)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(68,238)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(58,860)</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(12,024)</w:t>
            </w: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remaining noncontrolling interest of subsidiary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(4,902)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to taxing authorities in connection with shares directly withheld from employees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(17,838)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(82,149)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(95,774)</w:t>
            </w:r>
          </w:p>
        </w:tc>
        <w:tc>
          <w:tcPr>
            <w:tcW w:w="0" w:type="dxa"/>
            <w:vAlign w:val="bottom"/>
          </w:tcPr>
          <w:p>
            <w:pPr>
              <w:spacing w:after="0"/>
              <w:rPr>
                <w:sz w:val="1"/>
                <w:szCs w:val="1"/>
                <w:color w:val="auto"/>
              </w:rPr>
            </w:pPr>
          </w:p>
        </w:tc>
      </w:tr>
      <w:tr>
        <w:trPr>
          <w:trHeight w:val="168"/>
        </w:trPr>
        <w:tc>
          <w:tcPr>
            <w:tcW w:w="58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w:t>
            </w:r>
          </w:p>
        </w:tc>
        <w:tc>
          <w:tcPr>
            <w:tcW w:w="0" w:type="dxa"/>
            <w:vAlign w:val="bottom"/>
          </w:tcPr>
          <w:p>
            <w:pPr>
              <w:spacing w:after="0"/>
              <w:rPr>
                <w:sz w:val="1"/>
                <w:szCs w:val="1"/>
                <w:color w:val="auto"/>
              </w:rPr>
            </w:pPr>
          </w:p>
        </w:tc>
      </w:tr>
      <w:tr>
        <w:trPr>
          <w:trHeight w:val="136"/>
        </w:trPr>
        <w:tc>
          <w:tcPr>
            <w:tcW w:w="5800" w:type="dxa"/>
            <w:vAlign w:val="bottom"/>
          </w:tcPr>
          <w:p>
            <w:pPr>
              <w:ind w:left="100"/>
              <w:spacing w:after="0" w:line="136"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(307,120)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(162,860)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(210,210)</w:t>
            </w:r>
          </w:p>
        </w:tc>
        <w:tc>
          <w:tcPr>
            <w:tcW w:w="0" w:type="dxa"/>
            <w:vAlign w:val="bottom"/>
          </w:tcPr>
          <w:p>
            <w:pPr>
              <w:spacing w:after="0"/>
              <w:rPr>
                <w:sz w:val="1"/>
                <w:szCs w:val="1"/>
                <w:color w:val="auto"/>
              </w:rPr>
            </w:pPr>
          </w:p>
        </w:tc>
      </w:tr>
      <w:tr>
        <w:trPr>
          <w:trHeight w:val="168"/>
        </w:trPr>
        <w:tc>
          <w:tcPr>
            <w:tcW w:w="58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(7,363)</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5,767</w:t>
            </w: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979</w:t>
            </w:r>
          </w:p>
        </w:tc>
        <w:tc>
          <w:tcPr>
            <w:tcW w:w="0" w:type="dxa"/>
            <w:vAlign w:val="bottom"/>
          </w:tcPr>
          <w:p>
            <w:pPr>
              <w:spacing w:after="0"/>
              <w:rPr>
                <w:sz w:val="1"/>
                <w:szCs w:val="1"/>
                <w:color w:val="auto"/>
              </w:rPr>
            </w:pPr>
          </w:p>
        </w:tc>
      </w:tr>
      <w:tr>
        <w:trPr>
          <w:trHeight w:val="135"/>
        </w:trPr>
        <w:tc>
          <w:tcPr>
            <w:tcW w:w="58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57,338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562,633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268,400</w:t>
            </w:r>
          </w:p>
        </w:tc>
        <w:tc>
          <w:tcPr>
            <w:tcW w:w="0" w:type="dxa"/>
            <w:vAlign w:val="bottom"/>
          </w:tcPr>
          <w:p>
            <w:pPr>
              <w:spacing w:after="0"/>
              <w:rPr>
                <w:sz w:val="1"/>
                <w:szCs w:val="1"/>
                <w:color w:val="auto"/>
              </w:rPr>
            </w:pPr>
          </w:p>
        </w:tc>
      </w:tr>
      <w:tr>
        <w:trPr>
          <w:trHeight w:val="169"/>
        </w:trPr>
        <w:tc>
          <w:tcPr>
            <w:tcW w:w="58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1,122,256</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559,623</w:t>
            </w: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291,223</w:t>
            </w:r>
          </w:p>
        </w:tc>
        <w:tc>
          <w:tcPr>
            <w:tcW w:w="0" w:type="dxa"/>
            <w:vAlign w:val="bottom"/>
          </w:tcPr>
          <w:p>
            <w:pPr>
              <w:spacing w:after="0"/>
              <w:rPr>
                <w:sz w:val="1"/>
                <w:szCs w:val="1"/>
                <w:color w:val="auto"/>
              </w:rPr>
            </w:pPr>
          </w:p>
        </w:tc>
      </w:tr>
      <w:tr>
        <w:trPr>
          <w:trHeight w:val="175"/>
        </w:trPr>
        <w:tc>
          <w:tcPr>
            <w:tcW w:w="580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1,179,594</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1,122,256</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559,623</w:t>
            </w:r>
          </w:p>
        </w:tc>
        <w:tc>
          <w:tcPr>
            <w:tcW w:w="0" w:type="dxa"/>
            <w:vAlign w:val="bottom"/>
          </w:tcPr>
          <w:p>
            <w:pPr>
              <w:spacing w:after="0"/>
              <w:rPr>
                <w:sz w:val="1"/>
                <w:szCs w:val="1"/>
                <w:color w:val="auto"/>
              </w:rPr>
            </w:pPr>
          </w:p>
        </w:tc>
      </w:tr>
      <w:tr>
        <w:trPr>
          <w:trHeight w:val="129"/>
        </w:trPr>
        <w:tc>
          <w:tcPr>
            <w:tcW w:w="5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1,118,329</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559,397</w:t>
            </w:r>
          </w:p>
        </w:tc>
        <w:tc>
          <w:tcPr>
            <w:tcW w:w="3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286,662</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4,561</w:t>
            </w:r>
          </w:p>
        </w:tc>
        <w:tc>
          <w:tcPr>
            <w:tcW w:w="0" w:type="dxa"/>
            <w:vAlign w:val="bottom"/>
          </w:tcPr>
          <w:p>
            <w:pPr>
              <w:spacing w:after="0"/>
              <w:rPr>
                <w:sz w:val="1"/>
                <w:szCs w:val="1"/>
                <w:color w:val="auto"/>
              </w:rPr>
            </w:pPr>
          </w:p>
        </w:tc>
      </w:tr>
      <w:tr>
        <w:trPr>
          <w:trHeight w:val="182"/>
        </w:trPr>
        <w:tc>
          <w:tcPr>
            <w:tcW w:w="5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1,122,256</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559,623</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291,223</w:t>
            </w:r>
          </w:p>
        </w:tc>
        <w:tc>
          <w:tcPr>
            <w:tcW w:w="0" w:type="dxa"/>
            <w:vAlign w:val="bottom"/>
          </w:tcPr>
          <w:p>
            <w:pPr>
              <w:spacing w:after="0"/>
              <w:rPr>
                <w:sz w:val="1"/>
                <w:szCs w:val="1"/>
                <w:color w:val="auto"/>
              </w:rPr>
            </w:pPr>
          </w:p>
        </w:tc>
      </w:tr>
      <w:tr>
        <w:trPr>
          <w:trHeight w:val="129"/>
        </w:trPr>
        <w:tc>
          <w:tcPr>
            <w:tcW w:w="58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1,171,828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1,118,329</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559,397</w:t>
            </w:r>
          </w:p>
        </w:tc>
        <w:tc>
          <w:tcPr>
            <w:tcW w:w="0" w:type="dxa"/>
            <w:vAlign w:val="bottom"/>
          </w:tcPr>
          <w:p>
            <w:pPr>
              <w:spacing w:after="0"/>
              <w:rPr>
                <w:sz w:val="1"/>
                <w:szCs w:val="1"/>
                <w:color w:val="auto"/>
              </w:rPr>
            </w:pPr>
          </w:p>
        </w:tc>
      </w:tr>
      <w:tr>
        <w:trPr>
          <w:trHeight w:val="149"/>
        </w:trPr>
        <w:tc>
          <w:tcPr>
            <w:tcW w:w="580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7,766</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1,179,594</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1,122,256</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559,623</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SUPPLEMENTAL INFORMATION:</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12,762</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12,736</w:t>
            </w:r>
          </w:p>
        </w:tc>
        <w:tc>
          <w:tcPr>
            <w:tcW w:w="3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13,953</w:t>
            </w:r>
          </w:p>
        </w:tc>
        <w:tc>
          <w:tcPr>
            <w:tcW w:w="0" w:type="dxa"/>
            <w:vAlign w:val="bottom"/>
          </w:tcPr>
          <w:p>
            <w:pPr>
              <w:spacing w:after="0"/>
              <w:rPr>
                <w:sz w:val="1"/>
                <w:szCs w:val="1"/>
                <w:color w:val="auto"/>
              </w:rPr>
            </w:pPr>
          </w:p>
        </w:tc>
      </w:tr>
      <w:tr>
        <w:trPr>
          <w:trHeight w:val="149"/>
        </w:trPr>
        <w:tc>
          <w:tcPr>
            <w:tcW w:w="5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158,145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274,616</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ACTIVITIES: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w:t>
            </w:r>
          </w:p>
        </w:tc>
        <w:tc>
          <w:tcPr>
            <w:tcW w:w="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3,485</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3,185</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10,978</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right="3619" w:hanging="10"/>
        <w:spacing w:after="0" w:line="503" w:lineRule="auto"/>
        <w:tabs>
          <w:tab w:leader="none" w:pos="708"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SUMMARY OF SIGNIFICANT ACCOUNTING POLICIES </w:t>
      </w:r>
      <w:r>
        <w:rPr>
          <w:rFonts w:ascii="Times New Roman" w:cs="Times New Roman" w:eastAsia="Times New Roman" w:hAnsi="Times New Roman"/>
          <w:sz w:val="18"/>
          <w:szCs w:val="18"/>
          <w:b w:val="1"/>
          <w:bCs w:val="1"/>
          <w:color w:val="auto"/>
        </w:rPr>
        <w:t>OPERATIONS</w:t>
      </w: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are a holding company whose subsidiaries supply products primarily made from wood, wood and non-wood composites, and other materials to three markets: retail, construction and packaging. Founded in 1955, we are headquartered in Grand Rapids, Michigan, with affiliates throughout the United States, Mexico, Canada, Spain, India, United Arab Emirates and Australia.</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PRESENTATION CURRENCY</w:t>
      </w:r>
    </w:p>
    <w:p>
      <w:pPr>
        <w:spacing w:after="0" w:line="229"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United States dollars (“US dollars” or “USD”), unless otherwise indicated.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which have been prepared in conformity with accounting principles generally accepted in the United States of America (“GAAP”) and with the rules and regulations of the Securities and Exchange Commission (the "SEC"), represent our assets and liabilities and operating results. The consolidated financial statements include our accounts and those of our wholly-owned and majority-owned subsidiaries and partnerships. All significant intercompany balances and transactions have been eliminated in consolidation.</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consolidate entities in which we have a controlling financial interest. In determining whether we have a controlling financial interest in a partially owned entity and the requirement to consolidate the accounts of that entity, we consider factors such as ownership interest, board representation, management representation, authority to make decisions, and contractual and substantive participating rights of the partners/members as well as whether the entity is a variable interest entity (“VIE”) and whether we are the primary beneficiary. The primary beneficiary of a VIE is the entity that has</w:t>
      </w:r>
    </w:p>
    <w:p>
      <w:pPr>
        <w:spacing w:after="0" w:line="3" w:lineRule="exact"/>
        <w:rPr>
          <w:sz w:val="20"/>
          <w:szCs w:val="20"/>
          <w:color w:val="auto"/>
        </w:rPr>
      </w:pPr>
    </w:p>
    <w:p>
      <w:pPr>
        <w:jc w:val="both"/>
        <w:ind w:left="60" w:right="59" w:hanging="10"/>
        <w:spacing w:after="0" w:line="255" w:lineRule="auto"/>
        <w:tabs>
          <w:tab w:leader="none" w:pos="2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activities that most significantly impact the entity's economic performance and (ii) the obligation to absorb losses of the VIE or the right to receive benefits from the VIE that could be significant to the VIE. The primary beneficiary is required to consolidate the VIE. We account for unconsolidated VIEs using the equity method of accounting.</w:t>
      </w:r>
    </w:p>
    <w:p>
      <w:pPr>
        <w:spacing w:after="0" w:line="18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investment in Dempsey on June 27, 2022, we own 50% of the issued equity of that entity,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Per the contracts, the Sellers have a put right to sell their equity interest to us for $50 million and we have a call right to purchase the Seller’s equity interest for $70 million, which are both first exercisable in June 2025 and expire in June 2030. As of December 28, 2024, the carrying value of our investment in Dempsey is $56.4 million and is recorded in Other Assets. Our maximum exposure to loss consists of our investment amount and any contingent loss that may occur in the future as a result of a change in the fair value of Dempsey relative to the strike price of the put option.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NONCONTROLLING INTEREST IN SUBSIDIARIES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Noncontrolling interest in results of operations of consolidated subsidiaries represents the noncontrolling shareholders’ share of the income or loss of various consolidated subsidiaries. The noncontrolling interest reflects the original investment by these noncontrolling shareholders combined with their proportional share of the earnings or losses of these subsidiaries, net of distributions paid.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fiscal year is a 52 or 53 week period, ending on the last Saturday of December. Unless otherwise stated, references to 2024, 2023, and 2022 relate to the fiscal years ended December 28, 2024, December 30, 2023, and December 31, 2022, respectively. Fiscal years 2024 and 2023 were comprised of 52 weeks and fiscal year 2022 was comprised of 53 weeks.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DISCLOSURES OF FINANCIAL INSTRUMENTS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follow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provides a consistent definition of fair value, focuses on exit price, prioritizes the use of market-based inputs over entity-specific inputs for measuring fair value and establishes a three-tier hierarchy for fair value measurements. This topic requires fair value measurements to be classified and disclosed in one of the following three categories:</w:t>
      </w:r>
    </w:p>
    <w:p>
      <w:pPr>
        <w:spacing w:after="0" w:line="182" w:lineRule="exact"/>
        <w:rPr>
          <w:sz w:val="20"/>
          <w:szCs w:val="20"/>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Financial instruments with unadjusted, quoted prices listed on active market exchanges.</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61"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Financial instruments lacking unadjusted, quoted prices from active market exchanges, including over-the-counter traded financial instruments. Financial instrument values are determined using prices for recently traded financial instruments with similar underlying terms and direct or indirect observational inputs, such as interest rates and yield curves at commonly quoted intervals.</w:t>
      </w:r>
    </w:p>
    <w:p>
      <w:pPr>
        <w:spacing w:after="0" w:line="179"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Financial instruments not actively traded on a market exchange and there is little, if any, market activity. Values are determined using significant unobservable inputs or valuation techniques.</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investment portfolio includes restricted investments within our wholly-owned subsidiary, Ardellis Insurance Ltd. There are $39.1 million and $24.8 million of restricted investments recorded as of December 28, 2024 and December 30, 2023,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highly liquid investments purchased with an original maturity of three onths or less.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Investments are deemed to be "available for sale" and are, accordingly, carried at fair value being the quoted market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 AND ALLOWANCES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perform periodic credit evaluations of our customers and generally do not require collateral. Accounts receivable are due under a range of terms we offer to our customers. Discounts are offered, in most instances, as an incentive for early payment.</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base our allowances related to receivables on historical credit and collections experience, reasonable and supportable forecasts, and the specific identification of other potential problems, including the general economic climate. Actual collections can differ, requiring adjustments to the allowances. Individual accounts receivable balances are evaluated on a monthly basis, and those balances considered uncollectible are charged to the allowance.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activity in our accounts receivable allowances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0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28, 2024: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Allowance for possible losses on accounts receivable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30, 2023: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Allowance for possible losses on accounts receivable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Allowance for possible losses on accounts receivable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hanging="330"/>
        <w:spacing w:after="0"/>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accounts charged off, discounts given to customers and actual customer returns and allowances.</w:t>
      </w:r>
    </w:p>
    <w:p>
      <w:pPr>
        <w:spacing w:after="0" w:line="20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record estimated sales returns, discounts, and other applicable adjustments as a reduction of net sales in the same period revenue is recognized.</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retainage amounts related to long term construction contracts totaled $8.6 million and $8.2 million as of December 28, 2024 and December 30, 2023, respectively. All amounts are expected to be collected within 18 months. Concentration of accounts receivable related to our two largest customers totaled $112.1 million and $118.0 million as of December 28, 2024 and December 30, 2023,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GUIDANCE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Expense Disaggregation Disclosures. Additionally, in January 2025, the FASB issued ASU 2025-01 to clarify the effective date of ASU 2024-03. This ASU provides guidance to expand disclosures related to the disaggregation of income statement expenses. Also, this ASU requires, in the notes to the financial statements, disclosure of specified information about certain costs and expenses which includes purchases of inventory, employee compensation, depreciation, and intangible asset amortization included in each relevant expense caption. ASU 2025-01 is effective for fiscal years beginning after December 15, 2026, and interim periods within annual reporting periods beginning after December 15, 2027, on a retrospective or prospective basis, with early adoption permitted. We are currently evaluating the impact of adopting this guidance on the financial statement disclosures.</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is intended to enhance the transparency, decision usefulness and effectiveness of income tax disclosures. The amendments in this ASU require a public entity to disclose a tabular tax rate reconciliation, using both percentages and currency, with specific categories. A public entity is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Although the ASU only modifies our required income tax disclosures, we are currently evaluating the impact of adopting this guidance on the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is intended to improve reportable segment disclosure requirements, primarily through enhanced disclosures about 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The amendments are effective for fiscal years beginning after December 15, 2023, and interim periods within fiscal years beginning after December 15, 2024, and early adoption is permitted. We have adopted this new standard in 2024. Our disclosures required by the new standard have been provided and updated retrospectively for all periods presented. Refer to Note M — Segment Reporting.</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inventories includes raw materials, direct labor, and manufacturing overhead and is determined using the weighted average cost method. Raw materials consist primarily of unfinished wood products and other materials expected to be manufactured or treated prior to sale, while finished goods represent various manufactured and treated wood products ready for sale. We have inventory on consignment at customer locations valued at $21.8 million as of December 28, 2024 and $23.2 million as of December 30, 2023.</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write down the value of inventory, the impact of which is reflected in cost of goods sold in the Consolidated Statement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at cost. Expenditures for renewals and betterments are capitalized, and maintenance and repairs are expensed as incurred. The components of property, plant and equipment as of December 28, 2024 and December 30, 2023 were as follows: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24"/>
        </w:trPr>
        <w:tc>
          <w:tcPr>
            <w:tcW w:w="6880" w:type="dxa"/>
            <w:vAlign w:val="bottom"/>
          </w:tcPr>
          <w:p>
            <w:pPr>
              <w:spacing w:after="0"/>
              <w:rPr>
                <w:sz w:val="10"/>
                <w:szCs w:val="10"/>
                <w:color w:val="auto"/>
              </w:rPr>
            </w:pPr>
          </w:p>
        </w:tc>
        <w:tc>
          <w:tcPr>
            <w:tcW w:w="10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9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0"/>
        </w:trPr>
        <w:tc>
          <w:tcPr>
            <w:tcW w:w="68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185,188</w:t>
            </w: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400,232</w:t>
            </w: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884,880</w:t>
            </w: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26,275</w:t>
            </w:r>
          </w:p>
        </w:tc>
      </w:tr>
      <w:tr>
        <w:trPr>
          <w:trHeight w:val="236"/>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62,729</w:t>
            </w:r>
          </w:p>
        </w:tc>
      </w:tr>
      <w:tr>
        <w:trPr>
          <w:trHeight w:val="203"/>
        </w:trPr>
        <w:tc>
          <w:tcPr>
            <w:tcW w:w="68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Property, Plant and Equipment, Gross</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1,750,211</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1,559,304</w:t>
            </w:r>
          </w:p>
        </w:tc>
      </w:tr>
      <w:tr>
        <w:trPr>
          <w:trHeight w:val="20"/>
        </w:trPr>
        <w:tc>
          <w:tcPr>
            <w:tcW w:w="6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Amortization of assets held under finance leases is included in depreciation and amortized over the shorter of the estimated useful life of the asset or the lease term. Depreciation is computed principally by the straight-line method over the estimated useful lives of the assets as follows: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to 15 years</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to 32 years</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and office furniture</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20 years</w:t>
            </w: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Software costs are included in machinery and equipment on the balance sheet with gross amounts and accumulated amortization totaling $5.0 million and $4.8 million as of December 28, 2024, and $5.8 million and $5.7 million as of December 30, 2023,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(“ASC 360”), when an indicator of potential impairment exists, we evaluate the recoverability of our long-lived assets by determining whether unamortized balances could be recovered through undiscounted future operating cash flows over the remaining lives of the assets. If the sum of the expected future cash flows was less than the carrying value of the assets, an impairment loss would be recognized for the excess of the carrying value over the fair value.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identifiable intangible assets of acquired businesses. Goodwill and intangible assets deemed to have indefinite lives are not amortized and are subject to impairment tests at least annually in accordance with ASC 350, Intangibles-Goodwill and Other. We review the carrying amounts of goodwill and other non-amortizable intangibles by reporting unit to determine if such assets may be impaired. As of the date of the most recent goodwill impairment test, which utilized data and assumptions as of September 28, 2024, it was determined that the fair values exceeded the carrying values and there were no indicators for impairment for all of our reporting units. In the fourth quarter of 2022, we recorded a non-cash goodwill impairment charge of $2.5 million related to the Italian reporting unit within our all other segment. Subsequently, the Italian reporting unit was divested in 2023. We believe we have sufficient available information, both current and historical, to support our assumptions, judgments and estimates used in the goodwill impairment test.</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annual testing date for evaluating goodwill and indefinite-lived intangible asset impairment is the first day of our fourth fiscal quarter for all reporting units. Additionally, we review various triggering events throughout the year to determine whether a mid-year impairment analysis is required.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foreign operations use the local currency as their functional currency. Accordingly, assets and liabilities are translated at exchange rates as of the balance sheet date and revenues and expenses are translated using weighted average rates, with translation adjustments included as a separate component of shareholders’ equity. Gains and losses arising from re-measuring foreign currency transactions are included in earnings.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wholly-owned insurance company, Ardellis Insurance Ltd.(“Ardellis”), was incorporated on April 21, 2001 under the laws of Bermuda and is licensed as a Class 3A insurer under the Insurance Act 1978 of Bermuda. On April 14, 2017 the U.S. Branch of Ardellis Insurance Ltd. was granted its Certificate of Authority to transact property and casualty insurance lines as an admitted carrier in the State of Michigan.</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 through Ardellis; the related assets and liabilities are included in the consolidated financial statements as of December 28, 2024 and December 30, 2023. Our policy is to accrue amounts equal to actuarially determined or internally computed liabilities. The actuarial and internal valuations are based on historical information along with certain assumptions about future events. Changes in assumptions for such matters as legal actions, medical cost trends, and changes in claims experience could cause these estimates to change in the future.</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to providing coverage for the Company, Ardellis provides Excess Loss Insurance (primarily medical and prescription drug) and Excess General Liability and Property Insurance to certain third parties. As of December 28, 2024, Ardellis had 232 such contracts in place. Reserves associated with these contracts were $12.1 million at December 28, 2024, and $7.5 million at December 30, 2023, and are accrued based on third party actuarial valuations of the expected future liabilities.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Valuation allowances are established when necessary to reduce deferred income tax assets to the amounts expected to be realized. Income tax expense is the tax payable or refundable for the period plus or minus the change during the period in deferred income tax assets and liabilities.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Within the three primary segments (Retail, Packaging, and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our net sales disaggregated by revenue source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24"/>
        </w:trPr>
        <w:tc>
          <w:tcPr>
            <w:tcW w:w="2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20" w:type="dxa"/>
            <w:vAlign w:val="bottom"/>
          </w:tcPr>
          <w:p>
            <w:pPr>
              <w:spacing w:after="0"/>
              <w:rPr>
                <w:sz w:val="10"/>
                <w:szCs w:val="10"/>
                <w:color w:val="auto"/>
              </w:rPr>
            </w:pPr>
          </w:p>
        </w:tc>
        <w:tc>
          <w:tcPr>
            <w:tcW w:w="112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20" w:type="dxa"/>
            <w:vAlign w:val="bottom"/>
          </w:tcPr>
          <w:p>
            <w:pPr>
              <w:spacing w:after="0"/>
              <w:rPr>
                <w:sz w:val="10"/>
                <w:szCs w:val="10"/>
                <w:color w:val="auto"/>
              </w:rPr>
            </w:pPr>
          </w:p>
        </w:tc>
        <w:tc>
          <w:tcPr>
            <w:tcW w:w="122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10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2023 vs. 2022</w:t>
            </w:r>
          </w:p>
        </w:tc>
        <w:tc>
          <w:tcPr>
            <w:tcW w:w="20" w:type="dxa"/>
            <w:vAlign w:val="bottom"/>
          </w:tcPr>
          <w:p>
            <w:pPr>
              <w:spacing w:after="0"/>
              <w:rPr>
                <w:sz w:val="10"/>
                <w:szCs w:val="10"/>
                <w:color w:val="auto"/>
              </w:rPr>
            </w:pPr>
          </w:p>
        </w:tc>
      </w:tr>
      <w:tr>
        <w:trPr>
          <w:trHeight w:val="180"/>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6,489,190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7,069,690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9,442,794</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18"/>
                <w:szCs w:val="18"/>
                <w:color w:val="auto"/>
              </w:rPr>
            </w:pPr>
          </w:p>
        </w:tc>
      </w:tr>
      <w:tr>
        <w:trPr>
          <w:trHeight w:val="223"/>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163,119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183,945</w:t>
            </w: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Pr>
          <w:p>
            <w:pPr>
              <w:spacing w:after="0"/>
              <w:rPr>
                <w:sz w:val="19"/>
                <w:szCs w:val="19"/>
                <w:color w:val="auto"/>
              </w:rPr>
            </w:pPr>
          </w:p>
        </w:tc>
      </w:tr>
      <w:tr>
        <w:trPr>
          <w:trHeight w:val="216"/>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6,652,309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7,218,384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9,626,739</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Construction segment comprises the construction contract revenue shown above. Construction contract revenue is primarily made up of site-built and framing customers.</w:t>
      </w:r>
    </w:p>
    <w:p>
      <w:pPr>
        <w:spacing w:after="0" w:line="162" w:lineRule="exact"/>
        <w:rPr>
          <w:sz w:val="20"/>
          <w:szCs w:val="20"/>
          <w:color w:val="auto"/>
        </w:rPr>
      </w:pPr>
    </w:p>
    <w:p>
      <w:pPr>
        <w:jc w:val="both"/>
        <w:ind w:left="60" w:right="59"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balances of over time accounting accounts on December 28, 2024 and December 30, 2023 which are included in “Other current assets” and “Accrued liabilities: Other”, respectively (in thousands):</w:t>
      </w: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0"/>
        </w:trPr>
        <w:tc>
          <w:tcPr>
            <w:tcW w:w="6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SHIPPING AND HANDLING OF PRODUCT</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Shipping and handling costs that are charged to and reimbursed by the customer are recognized as revenue. Costs incurred related to the shipment and handling of products are classified in cost of goods sold.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account for share-based awards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which requires recognition of share-based compensation costs in financial statements based on fair value. Compensation cost is recognized over the period during which an employee is required to provide services in exchange for the award (the requisite service period). Forfeitures are recognized as they occur.</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Earnings per share (“EPS”) is computed using the two-class method. The two-class method determines EPS for each class of common stock and participating securities according to dividends and their respective participation rights in undistributed earnings. Participating securities include non-vested shares of restricted stock in which the participants have non-forfeitable rights to dividends during the performance period. EPS, basic and diluted, is calculated by dividing net earnings attributable to controlling interest, net of applicable taxes, by the weighted average number of shares of common stock outstanding for the period. The computation of EPS is as follows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58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414,560</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514,312</w:t>
            </w:r>
          </w:p>
        </w:tc>
        <w:tc>
          <w:tcPr>
            <w:tcW w:w="16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692,651</w:t>
            </w: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 for earnings allocated to non-vested restricted common stock</w:t>
            </w:r>
          </w:p>
        </w:tc>
        <w:tc>
          <w:tcPr>
            <w:tcW w:w="18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(16,096)</w:t>
            </w:r>
          </w:p>
        </w:tc>
        <w:tc>
          <w:tcPr>
            <w:tcW w:w="18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(25,139)</w:t>
            </w:r>
          </w:p>
        </w:tc>
        <w:tc>
          <w:tcPr>
            <w:tcW w:w="2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(27,488)</w:t>
            </w:r>
          </w:p>
        </w:tc>
        <w:tc>
          <w:tcPr>
            <w:tcW w:w="0" w:type="dxa"/>
            <w:vAlign w:val="bottom"/>
          </w:tcPr>
          <w:p>
            <w:pPr>
              <w:spacing w:after="0"/>
              <w:rPr>
                <w:sz w:val="1"/>
                <w:szCs w:val="1"/>
                <w:color w:val="auto"/>
              </w:rPr>
            </w:pPr>
          </w:p>
        </w:tc>
      </w:tr>
      <w:tr>
        <w:trPr>
          <w:trHeight w:val="241"/>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equivalents</w:t>
            </w:r>
          </w:p>
        </w:tc>
        <w:tc>
          <w:tcPr>
            <w:tcW w:w="18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Borders>
              <w:top w:val="single" w:sz="8" w:color="CCEEFF"/>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Net earnings for calculating EPS</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398,464</w:t>
            </w:r>
          </w:p>
        </w:tc>
        <w:tc>
          <w:tcPr>
            <w:tcW w:w="16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489,173</w:t>
            </w:r>
          </w:p>
        </w:tc>
        <w:tc>
          <w:tcPr>
            <w:tcW w:w="16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665,163</w:t>
            </w: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62,667</w:t>
            </w:r>
          </w:p>
        </w:tc>
        <w:tc>
          <w:tcPr>
            <w:tcW w:w="0" w:type="dxa"/>
            <w:vAlign w:val="bottom"/>
          </w:tcPr>
          <w:p>
            <w:pPr>
              <w:spacing w:after="0"/>
              <w:rPr>
                <w:sz w:val="1"/>
                <w:szCs w:val="1"/>
                <w:color w:val="auto"/>
              </w:rPr>
            </w:pPr>
          </w:p>
        </w:tc>
      </w:tr>
      <w:tr>
        <w:trPr>
          <w:trHeight w:val="23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 for non-vested restricted common stock equivalents</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(2,648)</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(3,064)</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Shares for calculating basic EPS</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58,754</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59,619</w:t>
            </w: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60,180</w:t>
            </w:r>
          </w:p>
        </w:tc>
        <w:tc>
          <w:tcPr>
            <w:tcW w:w="0" w:type="dxa"/>
            <w:vAlign w:val="bottom"/>
          </w:tcPr>
          <w:p>
            <w:pPr>
              <w:spacing w:after="0"/>
              <w:rPr>
                <w:sz w:val="1"/>
                <w:szCs w:val="1"/>
                <w:color w:val="auto"/>
              </w:rPr>
            </w:pPr>
          </w:p>
        </w:tc>
      </w:tr>
      <w:tr>
        <w:trPr>
          <w:trHeight w:val="236"/>
        </w:trPr>
        <w:tc>
          <w:tcPr>
            <w:tcW w:w="5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dilutive restricted common stock equivalents</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Shares for calculating diluted EPS</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58,878</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60,639</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60,653</w:t>
            </w: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6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ACCOUNTING ESTIMATES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 We believe our estimates to be reasonable; however, actual results could differ from these estimates.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w:t>
      </w:r>
    </w:p>
    <w:p>
      <w:pPr>
        <w:spacing w:after="0" w:line="227" w:lineRule="exact"/>
        <w:rPr>
          <w:sz w:val="20"/>
          <w:szCs w:val="20"/>
          <w:color w:val="auto"/>
        </w:rPr>
      </w:pPr>
    </w:p>
    <w:p>
      <w:pPr>
        <w:jc w:val="both"/>
        <w:ind w:left="60" w:right="79"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to assets and liabilities measured at fair value. Assets and liabilities measured at fair value are as follows (in thousands):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3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60" w:type="dxa"/>
            <w:vAlign w:val="bottom"/>
          </w:tcPr>
          <w:p>
            <w:pPr>
              <w:spacing w:after="0"/>
              <w:rPr>
                <w:sz w:val="10"/>
                <w:szCs w:val="10"/>
                <w:color w:val="auto"/>
              </w:rPr>
            </w:pPr>
          </w:p>
        </w:tc>
        <w:tc>
          <w:tcPr>
            <w:tcW w:w="90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88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8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7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20" w:type="dxa"/>
            <w:vAlign w:val="bottom"/>
            <w:gridSpan w:val="2"/>
            <w:vMerge w:val="continue"/>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36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Money market</w:t>
            </w: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$ 356,700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$ 377,850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$ 492,800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$ 498,933</w:t>
            </w:r>
          </w:p>
        </w:tc>
        <w:tc>
          <w:tcPr>
            <w:tcW w:w="0" w:type="dxa"/>
            <w:vAlign w:val="bottom"/>
          </w:tcPr>
          <w:p>
            <w:pPr>
              <w:spacing w:after="0"/>
              <w:rPr>
                <w:sz w:val="1"/>
                <w:szCs w:val="1"/>
                <w:color w:val="auto"/>
              </w:rPr>
            </w:pPr>
          </w:p>
        </w:tc>
      </w:tr>
      <w:tr>
        <w:trPr>
          <w:trHeight w:val="181"/>
        </w:trPr>
        <w:tc>
          <w:tcPr>
            <w:tcW w:w="13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Fixed income</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38,348</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24,088</w:t>
            </w:r>
          </w:p>
        </w:tc>
        <w:tc>
          <w:tcPr>
            <w:tcW w:w="0" w:type="dxa"/>
            <w:vAlign w:val="bottom"/>
          </w:tcPr>
          <w:p>
            <w:pPr>
              <w:spacing w:after="0"/>
              <w:rPr>
                <w:sz w:val="1"/>
                <w:szCs w:val="1"/>
                <w:color w:val="auto"/>
              </w:rPr>
            </w:pPr>
          </w:p>
        </w:tc>
      </w:tr>
      <w:tr>
        <w:trPr>
          <w:trHeight w:val="182"/>
        </w:trPr>
        <w:tc>
          <w:tcPr>
            <w:tcW w:w="13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Treasury</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26,000</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42,431</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10,500</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26,911</w:t>
            </w:r>
          </w:p>
        </w:tc>
        <w:tc>
          <w:tcPr>
            <w:tcW w:w="0" w:type="dxa"/>
            <w:vAlign w:val="bottom"/>
          </w:tcPr>
          <w:p>
            <w:pPr>
              <w:spacing w:after="0"/>
              <w:rPr>
                <w:sz w:val="1"/>
                <w:szCs w:val="1"/>
                <w:color w:val="auto"/>
              </w:rPr>
            </w:pPr>
          </w:p>
        </w:tc>
      </w:tr>
      <w:tr>
        <w:trPr>
          <w:trHeight w:val="181"/>
        </w:trPr>
        <w:tc>
          <w:tcPr>
            <w:tcW w:w="13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4,052</w:t>
            </w:r>
          </w:p>
        </w:tc>
        <w:tc>
          <w:tcPr>
            <w:tcW w:w="0" w:type="dxa"/>
            <w:vAlign w:val="bottom"/>
          </w:tcPr>
          <w:p>
            <w:pPr>
              <w:spacing w:after="0"/>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3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Domestic stock</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13,330</w:t>
            </w:r>
          </w:p>
        </w:tc>
        <w:tc>
          <w:tcPr>
            <w:tcW w:w="0" w:type="dxa"/>
            <w:vAlign w:val="bottom"/>
          </w:tcPr>
          <w:p>
            <w:pPr>
              <w:spacing w:after="0"/>
              <w:rPr>
                <w:sz w:val="1"/>
                <w:szCs w:val="1"/>
                <w:color w:val="auto"/>
              </w:rPr>
            </w:pPr>
          </w:p>
        </w:tc>
      </w:tr>
      <w:tr>
        <w:trPr>
          <w:trHeight w:val="181"/>
        </w:trPr>
        <w:tc>
          <w:tcPr>
            <w:tcW w:w="136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International</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funds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Target 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3"/>
        </w:trPr>
        <w:tc>
          <w:tcPr>
            <w:tcW w:w="1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Bond funds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81"/>
        </w:trPr>
        <w:tc>
          <w:tcPr>
            <w:tcW w:w="13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231"/>
        </w:trPr>
        <w:tc>
          <w:tcPr>
            <w:tcW w:w="1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3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mutual</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10,668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3"/>
                <w:szCs w:val="13"/>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10,668</w:t>
            </w: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14,327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14,327</w:t>
            </w:r>
          </w:p>
        </w:tc>
        <w:tc>
          <w:tcPr>
            <w:tcW w:w="0" w:type="dxa"/>
            <w:vAlign w:val="bottom"/>
          </w:tcPr>
          <w:p>
            <w:pPr>
              <w:spacing w:after="0"/>
              <w:rPr>
                <w:sz w:val="1"/>
                <w:szCs w:val="1"/>
                <w:color w:val="auto"/>
              </w:rPr>
            </w:pPr>
          </w:p>
        </w:tc>
      </w:tr>
      <w:tr>
        <w:trPr>
          <w:trHeight w:val="218"/>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$ 389,415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30,044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$ 473,685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$ 528,994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25,109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$ 568,655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From the assets measured at fair value as of December 28, 2024, listed in the table above, $377.4 million of money market funds are held in Cash and Cash Equivalents, $31.0 million of mutual funds, equity securities, and alternative investments are held in Investments, $26.0 million of equity securities are held in Other Assets, $0.2 million of mutual funds are held in Other Assets for our deferred compensation plan, and $38.7 million of fixed income funds and $0.4 million of money market funds are held in Restricted Investments. As of December 30, 2023, $34.8 million of mutual funds, equity securities, and alternative investments were held in Investments, $498.5 million of money market funds were held in Cash and Cash Equivalents, $10.5 million of equity securities are held in Other Assets, $0.1 million of mutual funds were held in Other Assets for our deferred compensation plan, and $24.4 million of fixed income funds and $0.4 million of money market funds were held in Restricted Investments.</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Financial Instruments, to any of our financial instruments except for those expressly required by U.S. GAAP.</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made $15.5 million and $10.5 million of investments through our Innov8 Fund during 2024 and 2023, respectively, which is designed to invest in emerging projects, services, and technologies. These investments are valued as Level 3 assets and are categorized as “Equity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our investment policy, our wholly-owned company, Ardellis Insurance Ltd. ("Ardellis"), maintains an investment portfolio, totaling $69.8 million and $59.2 million as of December 28, 2024 and December 30, 2023, respectively, which has been included in the aforementioned table of total investments. This portfolio consists of domestic and international equity securities, alternative investments, and fixed income bonds.</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7"/>
          </w:tcPr>
          <w:p>
            <w:pPr>
              <w:jc w:val="center"/>
              <w:ind w:right="576"/>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124"/>
        </w:trPr>
        <w:tc>
          <w:tcPr>
            <w:tcW w:w="2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0"/>
                <w:szCs w:val="10"/>
                <w:color w:val="auto"/>
              </w:rPr>
            </w:pPr>
          </w:p>
        </w:tc>
        <w:tc>
          <w:tcPr>
            <w:tcW w:w="6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3"/>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0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$ 39,645</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$ 38,348</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$ 25,514</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$ 24,088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Treasury securities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16,411</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12,348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0" w:type="dxa"/>
            <w:vAlign w:val="bottom"/>
          </w:tcPr>
          <w:p>
            <w:pPr>
              <w:spacing w:after="0"/>
              <w:rPr>
                <w:sz w:val="1"/>
                <w:szCs w:val="1"/>
                <w:color w:val="auto"/>
              </w:rPr>
            </w:pPr>
          </w:p>
        </w:tc>
      </w:tr>
      <w:tr>
        <w:trPr>
          <w:trHeight w:val="23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Alternative investments</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0" w:type="dxa"/>
            <w:vAlign w:val="bottom"/>
          </w:tcPr>
          <w:p>
            <w:pPr>
              <w:spacing w:after="0"/>
              <w:rPr>
                <w:sz w:val="1"/>
                <w:szCs w:val="1"/>
                <w:color w:val="auto"/>
              </w:rPr>
            </w:pPr>
          </w:p>
        </w:tc>
      </w:tr>
      <w:tr>
        <w:trPr>
          <w:trHeight w:val="203"/>
        </w:trPr>
        <w:tc>
          <w:tcPr>
            <w:tcW w:w="27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$ 65,020</w:t>
            </w: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4,760</w:t>
            </w:r>
          </w:p>
        </w:tc>
        <w:tc>
          <w:tcPr>
            <w:tcW w:w="160" w:type="dxa"/>
            <w:vAlign w:val="bottom"/>
            <w:tcBorders>
              <w:top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$ 69,780</w:t>
            </w: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$ 54,940</w:t>
            </w: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4,237</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$ 59,177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pre-tax unrealized gain was $4.8 million and $4.2 million as of December 28, 2024 and December 30, 2023. Carrying amounts above are recorded in the investments and restricted investments line items within the balance sheet as of December 28, 2024 and December 30, 2023.</w:t>
      </w:r>
    </w:p>
    <w:p>
      <w:pPr>
        <w:spacing w:after="0" w:line="185" w:lineRule="exact"/>
        <w:rPr>
          <w:sz w:val="20"/>
          <w:szCs w:val="20"/>
          <w:color w:val="auto"/>
        </w:rPr>
      </w:pPr>
    </w:p>
    <w:p>
      <w:pPr>
        <w:ind w:left="700" w:hanging="650"/>
        <w:spacing w:after="0"/>
        <w:tabs>
          <w:tab w:leader="none" w:pos="7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completed the following business combinations in fiscal 2024 and 2023, which were accounted for using the purchase method (in thousands).</w:t>
      </w:r>
    </w:p>
    <w:p>
      <w:pPr>
        <w:spacing w:after="0" w:line="173" w:lineRule="exact"/>
        <w:rPr>
          <w:sz w:val="20"/>
          <w:szCs w:val="20"/>
          <w:color w:val="auto"/>
        </w:rPr>
      </w:pPr>
    </w:p>
    <w:tbl>
      <w:tblPr>
        <w:tblLayout w:type="fixed"/>
        <w:tblInd w:w="50" w:type="dxa"/>
        <w:tblCellMar>
          <w:top w:w="0" w:type="dxa"/>
          <w:left w:w="0" w:type="dxa"/>
          <w:bottom w:w="0" w:type="dxa"/>
          <w:right w:w="0" w:type="dxa"/>
        </w:tblCellMar>
      </w:tblPr>
      <w:tr>
        <w:trPr>
          <w:trHeight w:val="200"/>
        </w:trPr>
        <w:tc>
          <w:tcPr>
            <w:tcW w:w="2560" w:type="dxa"/>
            <w:vAlign w:val="bottom"/>
            <w:tcBorders>
              <w:top w:val="single" w:sz="8" w:color="auto"/>
              <w:left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8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17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60" w:type="dxa"/>
            <w:vAlign w:val="bottom"/>
          </w:tcPr>
          <w:p>
            <w:pPr>
              <w:spacing w:after="0"/>
              <w:rPr>
                <w:sz w:val="17"/>
                <w:szCs w:val="17"/>
                <w:color w:val="auto"/>
              </w:rPr>
            </w:pPr>
          </w:p>
        </w:tc>
        <w:tc>
          <w:tcPr>
            <w:tcW w:w="98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Tangible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225"/>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1140" w:type="dxa"/>
            <w:vAlign w:val="bottom"/>
            <w:tcBorders>
              <w:bottom w:val="single" w:sz="8" w:color="auto"/>
              <w:right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$29,830</w:t>
            </w:r>
          </w:p>
        </w:tc>
        <w:tc>
          <w:tcPr>
            <w:tcW w:w="460" w:type="dxa"/>
            <w:vAlign w:val="bottom"/>
            <w:shd w:val="clear" w:color="auto" w:fill="CCEBFF"/>
          </w:tcPr>
          <w:p>
            <w:pPr>
              <w:spacing w:after="0"/>
              <w:rPr>
                <w:sz w:val="16"/>
                <w:szCs w:val="16"/>
                <w:color w:val="auto"/>
              </w:rPr>
            </w:pPr>
          </w:p>
        </w:tc>
        <w:tc>
          <w:tcPr>
            <w:tcW w:w="68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December 23, 2024</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460" w:type="dxa"/>
            <w:vAlign w:val="bottom"/>
            <w:shd w:val="clear" w:color="auto" w:fill="CCEBFF"/>
          </w:tcPr>
          <w:p>
            <w:pPr>
              <w:jc w:val="right"/>
              <w:ind w:right="332"/>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12,650</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17,180</w:t>
            </w:r>
          </w:p>
        </w:tc>
        <w:tc>
          <w:tcPr>
            <w:tcW w:w="8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Packaging</w:t>
            </w: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C&amp;L Wood Products (C&amp;L)</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asset purchase</w:t>
            </w:r>
          </w:p>
        </w:tc>
        <w:tc>
          <w:tcPr>
            <w:tcW w:w="460" w:type="dxa"/>
            <w:vAlign w:val="bottom"/>
            <w:tcBorders>
              <w:bottom w:val="single" w:sz="8" w:color="auto"/>
            </w:tcBorders>
            <w:shd w:val="clear" w:color="auto" w:fill="CCEBFF"/>
          </w:tcPr>
          <w:p>
            <w:pPr>
              <w:spacing w:after="0"/>
              <w:rPr>
                <w:sz w:val="18"/>
                <w:szCs w:val="18"/>
                <w:color w:val="auto"/>
              </w:rPr>
            </w:pPr>
          </w:p>
        </w:tc>
        <w:tc>
          <w:tcPr>
            <w:tcW w:w="68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6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Located in Hartselle, AL and founded in 1975, C&amp;L is a manufacturer of quality pallets, mulch,</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and other wood products. The company had trailing 12-month sales of approximately $25 million</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220" w:type="dxa"/>
            <w:vAlign w:val="bottom"/>
            <w:tcBorders>
              <w:bottom w:val="single" w:sz="8" w:color="auto"/>
              <w:right w:val="single" w:sz="8" w:color="CCEBFF"/>
            </w:tcBorders>
            <w:gridSpan w:val="2"/>
            <w:shd w:val="clear" w:color="auto" w:fill="CCEBFF"/>
          </w:tcPr>
          <w:p>
            <w:pPr>
              <w:spacing w:after="0"/>
              <w:rPr>
                <w:sz w:val="20"/>
                <w:szCs w:val="20"/>
                <w:color w:val="auto"/>
              </w:rPr>
            </w:pPr>
            <w:r>
              <w:rPr>
                <w:rFonts w:ascii="Times New Roman" w:cs="Times New Roman" w:eastAsia="Times New Roman" w:hAnsi="Times New Roman"/>
                <w:sz w:val="16"/>
                <w:szCs w:val="16"/>
                <w:color w:val="auto"/>
              </w:rPr>
              <w:t>through November 2024.</w:t>
            </w:r>
          </w:p>
        </w:tc>
        <w:tc>
          <w:tcPr>
            <w:tcW w:w="460" w:type="dxa"/>
            <w:vAlign w:val="bottom"/>
            <w:tcBorders>
              <w:bottom w:val="single" w:sz="8" w:color="auto"/>
            </w:tcBorders>
            <w:shd w:val="clear" w:color="auto" w:fill="CCEBFF"/>
          </w:tcPr>
          <w:p>
            <w:pPr>
              <w:spacing w:after="0"/>
              <w:rPr>
                <w:sz w:val="19"/>
                <w:szCs w:val="19"/>
                <w:color w:val="auto"/>
              </w:rPr>
            </w:pPr>
          </w:p>
        </w:tc>
        <w:tc>
          <w:tcPr>
            <w:tcW w:w="680" w:type="dxa"/>
            <w:vAlign w:val="bottom"/>
            <w:tcBorders>
              <w:bottom w:val="single" w:sz="8" w:color="auto"/>
              <w:right w:val="single" w:sz="8" w:color="CCEBFF"/>
            </w:tcBorders>
            <w:shd w:val="clear" w:color="auto" w:fill="CCEBFF"/>
          </w:tcPr>
          <w:p>
            <w:pPr>
              <w:spacing w:after="0"/>
              <w:rPr>
                <w:sz w:val="19"/>
                <w:szCs w:val="19"/>
                <w:color w:val="auto"/>
              </w:rPr>
            </w:pPr>
          </w:p>
        </w:tc>
        <w:tc>
          <w:tcPr>
            <w:tcW w:w="16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8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$52,841</w:t>
            </w:r>
          </w:p>
        </w:tc>
        <w:tc>
          <w:tcPr>
            <w:tcW w:w="4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September 20, 2023</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consideration for 80%</w:t>
            </w:r>
          </w:p>
        </w:tc>
        <w:tc>
          <w:tcPr>
            <w:tcW w:w="460" w:type="dxa"/>
            <w:vAlign w:val="bottom"/>
            <w:vMerge w:val="restart"/>
          </w:tcPr>
          <w:p>
            <w:pPr>
              <w:jc w:val="right"/>
              <w:ind w:right="332"/>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43,785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9,056</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International</w:t>
            </w:r>
          </w:p>
        </w:tc>
        <w:tc>
          <w:tcPr>
            <w:tcW w:w="0" w:type="dxa"/>
            <w:vAlign w:val="bottom"/>
          </w:tcPr>
          <w:p>
            <w:pPr>
              <w:spacing w:after="0"/>
              <w:rPr>
                <w:sz w:val="1"/>
                <w:szCs w:val="1"/>
                <w:color w:val="auto"/>
              </w:rPr>
            </w:pPr>
          </w:p>
        </w:tc>
      </w:tr>
      <w:tr>
        <w:trPr>
          <w:trHeight w:val="102"/>
        </w:trPr>
        <w:tc>
          <w:tcPr>
            <w:tcW w:w="2560" w:type="dxa"/>
            <w:vAlign w:val="bottom"/>
            <w:tcBorders>
              <w:left w:val="single" w:sz="8" w:color="auto"/>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stock purchase, net of</w:t>
            </w:r>
          </w:p>
        </w:tc>
        <w:tc>
          <w:tcPr>
            <w:tcW w:w="460" w:type="dxa"/>
            <w:vAlign w:val="bottom"/>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560" w:type="dxa"/>
            <w:vAlign w:val="bottom"/>
            <w:tcBorders>
              <w:left w:val="single" w:sz="8" w:color="auto"/>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UFP Palets y Embalajes SL (UFP</w:t>
            </w:r>
          </w:p>
        </w:tc>
        <w:tc>
          <w:tcPr>
            <w:tcW w:w="14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acquired cash</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60" w:type="dxa"/>
            <w:vAlign w:val="bottom"/>
            <w:tcBorders>
              <w:left w:val="single" w:sz="8" w:color="auto"/>
              <w:right w:val="single" w:sz="8" w:color="auto"/>
            </w:tcBorders>
            <w:vMerge w:val="continue"/>
          </w:tcPr>
          <w:p>
            <w:pPr>
              <w:spacing w:after="0"/>
              <w:rPr>
                <w:sz w:val="15"/>
                <w:szCs w:val="15"/>
                <w:color w:val="auto"/>
              </w:rPr>
            </w:pPr>
          </w:p>
        </w:tc>
        <w:tc>
          <w:tcPr>
            <w:tcW w:w="6360" w:type="dxa"/>
            <w:vAlign w:val="bottom"/>
            <w:tcBorders>
              <w:right w:val="single" w:sz="8" w:color="auto"/>
            </w:tcBorders>
            <w:gridSpan w:val="7"/>
          </w:tcPr>
          <w:p>
            <w:pPr>
              <w:spacing w:after="0" w:line="175" w:lineRule="exact"/>
              <w:rPr>
                <w:sz w:val="20"/>
                <w:szCs w:val="20"/>
                <w:color w:val="auto"/>
              </w:rPr>
            </w:pPr>
            <w:r>
              <w:rPr>
                <w:rFonts w:ascii="Times New Roman" w:cs="Times New Roman" w:eastAsia="Times New Roman" w:hAnsi="Times New Roman"/>
                <w:sz w:val="16"/>
                <w:szCs w:val="16"/>
                <w:color w:val="auto"/>
              </w:rPr>
              <w:t>Headquartered in Castellón, Spain, UFP Palets (formerly known as Palets Suller Group) is the</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Palets)</w:t>
            </w: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market leader in machine-built wood pallets, serving the region's large ceramic tile industry. The</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3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company had trailing 12-month sales of approximately $</w:t>
            </w:r>
          </w:p>
        </w:tc>
        <w:tc>
          <w:tcPr>
            <w:tcW w:w="268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38 million through August 2023.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August 8, 2024 we purchased the remaining 20% equity interest in UFP Palets from Palets Suller, SL.</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intangible assets for each acquisition were finalized and allocated to their respective identifiable intangible asset and goodwill accounts during 2024, , except for the acquisition of C&amp;L. In aggregate, acquisitions made during 2024 and 2023, contributed approximately $17.9 million in net sales and $5.2 million in operating loss during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amounts assigned to major intangible classes for the business combinations mentioned above are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Intangibles -</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Compete</w:t>
            </w: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Patents</w:t>
            </w:r>
          </w:p>
        </w:tc>
        <w:tc>
          <w:tcPr>
            <w:tcW w:w="980" w:type="dxa"/>
            <w:vAlign w:val="bottom"/>
            <w:gridSpan w:val="2"/>
            <w:vMerge w:val="continue"/>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Tradename</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860" w:type="dxa"/>
            <w:vAlign w:val="bottom"/>
            <w:gridSpan w:val="3"/>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88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Deductible</w:t>
            </w:r>
          </w:p>
        </w:tc>
        <w:tc>
          <w:tcPr>
            <w:tcW w:w="0" w:type="dxa"/>
            <w:vAlign w:val="bottom"/>
          </w:tcPr>
          <w:p>
            <w:pPr>
              <w:spacing w:after="0"/>
              <w:rPr>
                <w:sz w:val="1"/>
                <w:szCs w:val="1"/>
                <w:color w:val="auto"/>
              </w:rPr>
            </w:pPr>
          </w:p>
        </w:tc>
      </w:tr>
      <w:tr>
        <w:trPr>
          <w:trHeight w:val="216"/>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UFP Palets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36,708</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$ 7,077</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43,785</w:t>
            </w:r>
          </w:p>
        </w:tc>
        <w:tc>
          <w:tcPr>
            <w:tcW w:w="0" w:type="dxa"/>
            <w:vAlign w:val="bottom"/>
          </w:tcPr>
          <w:p>
            <w:pPr>
              <w:spacing w:after="0"/>
              <w:rPr>
                <w:sz w:val="1"/>
                <w:szCs w:val="1"/>
                <w:color w:val="auto"/>
              </w:rPr>
            </w:pPr>
          </w:p>
        </w:tc>
      </w:t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C&amp;L</w:t>
            </w:r>
          </w:p>
        </w:tc>
        <w:tc>
          <w:tcPr>
            <w:tcW w:w="10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business combinations described above were not significant to our operating results individually or in aggregate, and thus pro forma results for 2024 and 2023 are not presented.</w:t>
      </w:r>
    </w:p>
    <w:p>
      <w:pPr>
        <w:spacing w:after="0" w:line="158" w:lineRule="exact"/>
        <w:rPr>
          <w:sz w:val="20"/>
          <w:szCs w:val="20"/>
          <w:color w:val="auto"/>
        </w:rPr>
      </w:pPr>
    </w:p>
    <w:p>
      <w:pPr>
        <w:ind w:left="700" w:hanging="650"/>
        <w:spacing w:after="0"/>
        <w:tabs>
          <w:tab w:leader="none" w:pos="7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 AND OTHER INTANGIBLE ASSETS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described in Note M — Segment Reporting, our segment structure is based upon the markets we serve and goodwill has been allocated to the segments using a relative fair value approach. The changes in the net carrying amount of goodwill by reporting segment for the years ended December 28, 2024 and December 30, 2023, are as follows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3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Construction</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5"/>
                <w:szCs w:val="15"/>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$ 85,114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$ 148,909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$ 15,627</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$ 337,320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2023 Acquisitions</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7,077</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Purchase Accounting Adjustments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w:t>
            </w: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Net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30, 2023</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$ 84,204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$ 141,042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87,805</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$ 23,262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$ 336,313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2024 Acquisitions</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5,705</w:t>
            </w:r>
          </w:p>
        </w:tc>
      </w:tr>
      <w:tr>
        <w:trPr>
          <w:trHeight w:val="23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Net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03"/>
        </w:trPr>
        <w:tc>
          <w:tcPr>
            <w:tcW w:w="33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as of December 28, 2024</w:t>
            </w:r>
          </w:p>
        </w:tc>
        <w:tc>
          <w:tcPr>
            <w:tcW w:w="420" w:type="dxa"/>
            <w:vAlign w:val="bottom"/>
            <w:tcBorders>
              <w:top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$ 84,116</w:t>
            </w:r>
          </w:p>
        </w:tc>
        <w:tc>
          <w:tcPr>
            <w:tcW w:w="140" w:type="dxa"/>
            <w:vAlign w:val="bottom"/>
            <w:tcBorders>
              <w:top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$ 146,747</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87,401</w:t>
            </w:r>
          </w:p>
        </w:tc>
        <w:tc>
          <w:tcPr>
            <w:tcW w:w="160" w:type="dxa"/>
            <w:vAlign w:val="bottom"/>
            <w:tcBorders>
              <w:top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$ 21,575</w:t>
            </w: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$ 339,839</w:t>
            </w:r>
          </w:p>
        </w:tc>
      </w:tr>
      <w:tr>
        <w:trPr>
          <w:trHeight w:val="20"/>
        </w:trPr>
        <w:tc>
          <w:tcPr>
            <w:tcW w:w="3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the most recent goodwill impairment test, which utilized data and assumptions as of September 28, 2024, all reporting units had fair values that were substantially in excess of their carrying values.</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totaled $7.3 million as of December 28, 2024 and December 30, 2023 related to the commercial unit within the Construction segment, the international unit within the All Other segment, and the Deckorators unit within the Retail segment.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amounts were included in other amortizable intangible assets, net as of December 28, 2024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30, 2023 (in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3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80" w:type="dxa"/>
            <w:vAlign w:val="bottom"/>
            <w:gridSpan w:val="3"/>
          </w:tcPr>
          <w:p>
            <w:pPr>
              <w:ind w:left="14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7"/>
              </w:rPr>
              <w:t>Net Value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7"/>
              </w:rPr>
              <w:t>Net Value</w:t>
            </w:r>
          </w:p>
        </w:tc>
        <w:tc>
          <w:tcPr>
            <w:tcW w:w="0" w:type="dxa"/>
            <w:vAlign w:val="bottom"/>
          </w:tcPr>
          <w:p>
            <w:pPr>
              <w:spacing w:after="0"/>
              <w:rPr>
                <w:sz w:val="1"/>
                <w:szCs w:val="1"/>
                <w:color w:val="auto"/>
              </w:rPr>
            </w:pPr>
          </w:p>
        </w:tc>
      </w:tr>
      <w:tr>
        <w:trPr>
          <w:trHeight w:val="180"/>
        </w:trPr>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other</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127,626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27,511</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242,634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175,195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Amortization is computed principally by the straight-line method over the estimated useful lives of the intangible assets as follows: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Intangible Asset Type</w:t>
            </w: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0"/>
        </w:trPr>
        <w:tc>
          <w:tcPr>
            <w:tcW w:w="4340" w:type="dxa"/>
            <w:vAlign w:val="bottom"/>
            <w:gridSpan w:val="3"/>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15 years</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 and other</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 to 15 years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 years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 to 12 years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 (amortizable)</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 to 25 years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 to 5 years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years</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of intangibles totaled $23.5 million, $21.3 million and $19.5 million in 2024, 2023 and 2022, respectively. The estimated amortization expense for intangibles for each of the five succeeding fiscal years is as follows (in thousands):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8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23,222</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20,825</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17,942</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17,144</w:t>
            </w:r>
          </w:p>
        </w:tc>
      </w:tr>
      <w:tr>
        <w:trPr>
          <w:trHeight w:val="223"/>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54,262</w:t>
            </w:r>
          </w:p>
        </w:tc>
      </w:tr>
      <w:tr>
        <w:trPr>
          <w:trHeight w:val="216"/>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152,498</w:t>
            </w:r>
          </w:p>
        </w:tc>
      </w:tr>
      <w:tr>
        <w:trPr>
          <w:trHeight w:val="20"/>
        </w:trPr>
        <w:tc>
          <w:tcPr>
            <w:tcW w:w="43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00" w:hanging="650"/>
        <w:spacing w:after="0"/>
        <w:tabs>
          <w:tab w:leader="none" w:pos="7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of December 6, 2022, we entered into a five-year, $750 million unsecured revolving credit facility with a syndicate of U.S. banks. This facility includes up to $60 million which may be advanced in the form of letters of credit, and up to $100 million (U.S. dollar equivalent) which may be advanced in Canadian dollars, Australian dollars, Sterling, Euros and such other foreign currencies as may subsequently be agreed upon among the parties. Cash borrowings are charged interest based upon an index selected by the Company, plus a margin that is determined based upon the index selected and upon the financial performance of the Company and certain of its subsidiaries. We are charged a facility fee on the entire amount of the lending commitment, at a per annum rate ranging from 15.0 to 30.0 basis points, also determined based upon our performance. The facility fee is payable quarterly in arrears.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Outstanding letters of credit extended on our behalf on December 28, 2024 and December 30, 2023 aggregated $39.7 million and $47.8 million. These letters of credit are comprised of $37.3 million issued under the revolving credit facility, including approximately $3.3 million related to industrial development revenue bonds, and $2.3 million issued outside of the facility. We had no amount outstanding on the revolver at December 28, 2024, and an outstanding balance on the revolver of $3.7 million, which includes foreign subsidiary borrowings, at December 30, 2023. After considering letters of credit, we had $712.7 million and $709.0 million in remaining availability on the revolver on December 28, 2024, and December 30, 2023, respectively. Letters of credit have one-year terms, include an automatic renewal clause, and are charged an annual interest rate of 112.5 to 122.5 basis points, based upon our financial performance.</w:t>
      </w:r>
    </w:p>
    <w:p>
      <w:pPr>
        <w:spacing w:after="0" w:line="19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Long-term debt obligations are summarized as follows on December 28, 2024 and December 30, 2023 (amounts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70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Series 2020 Senior Notes E, due on August 10, 2032, interest payable semi-annually at 3.04%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50,000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50,000</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Series 2020 Senior Notes F, due on August 10, 2033, interest payable semi-annually at 3.08%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2020 Senior Notes G, due on August 10, 2035, interest payable semi-annually at 3.15%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Series 2018 Senior Notes C, due on June 14, 2028, interest payable semi-annually at 4.20%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2018 Senior Notes D, due on June 14, 2030, interest payable semi-annually at 4.27%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198"/>
        </w:trPr>
        <w:tc>
          <w:tcPr>
            <w:tcW w:w="7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2012 Senior Notes Tranche B, due on December 17, 2024, interest payable semi-</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annually at 3.98%</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198"/>
        </w:trPr>
        <w:tc>
          <w:tcPr>
            <w:tcW w:w="7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subsidiary borrowings under revolving credit facility, due on December 6, 2027,</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4"/>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 monthly at a floating rate (5.44% on December 30, 2023)</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r>
      <w:tr>
        <w:trPr>
          <w:trHeight w:val="198"/>
        </w:trPr>
        <w:tc>
          <w:tcPr>
            <w:tcW w:w="7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1999 Industrial Development Revenue Bonds, due on August 1, 2029, interest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payable monthly at a floating rate (3.32% on December 28, 2024 and 3.33% on December 30,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23"/>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 and foreign affiliate debt</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r>
      <w:tr>
        <w:trPr>
          <w:trHeight w:val="216"/>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276,584</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(42,900)</w:t>
            </w:r>
          </w:p>
        </w:tc>
      </w:tr>
      <w:tr>
        <w:trPr>
          <w:trHeight w:val="223"/>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debt issuance costs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233,534</w:t>
            </w: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Financial covenants on the unsecured revolving credit facility and unsecured notes include minimum interest coverage tests and a maximum leverage ratio. The agreements also restrict the amount of additional indebtedness we may incur and the amount of assets which may be sold among other industry standard covenants. We were within all of our lending requirements on December 28, 2024 and December 30, 2023.</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On December 28, 2024, the principal maturities of long-term debt and finance lease obligations are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6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40" w:type="dxa"/>
            <w:vAlign w:val="bottom"/>
            <w:vMerge w:val="restart"/>
          </w:tcPr>
          <w:p>
            <w:pPr>
              <w:jc w:val="right"/>
              <w:ind w:right="335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December 28, 2024, the estimated fair value of our long-term debt, including the current portion, was $201.2 million, which was $32.8 million less than the carrying value. The estimated fair value is based on rates anticipated to be available to us for debt with similar terms and maturities. We consider the valuations of our long-term debt, including the current portion, to be Level 2 liabilities which rely on quoted prices in markets that are not active or observable inputs over the full term of the liability.</w:t>
      </w:r>
    </w:p>
    <w:p>
      <w:pPr>
        <w:spacing w:after="0" w:line="179" w:lineRule="exact"/>
        <w:rPr>
          <w:sz w:val="20"/>
          <w:szCs w:val="20"/>
          <w:color w:val="auto"/>
        </w:rPr>
      </w:pPr>
    </w:p>
    <w:p>
      <w:pPr>
        <w:ind w:left="700" w:hanging="650"/>
        <w:spacing w:after="0"/>
        <w:tabs>
          <w:tab w:leader="none" w:pos="7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a lease at inception. We lease certain real estate under non-cancelable operating lease agreements with typical original terms ranging from one to ten years. We are required to pay real estate taxes and other occupancy costs under certain leases, which are variable in nature and not included in the right of use asset or lease liability. Certain leases carry renewal options of five to fifteen years. We believe that future leases will likely have similar terms. We also lease motor vehicles, equipment, and an aircraft under operating lease agreements for periods of one to ten years. We do not typically enter into leases with residual value guarantees. There were no restrictions or covenants imposed by any lease agreements.</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believe finance leases have no significant impact to our consolidated balance sheet and statement of earnings as of December 28, 2024.</w:t>
      </w:r>
    </w:p>
    <w:p>
      <w:pPr>
        <w:spacing w:after="0" w:line="16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December 28, 2024, we have no leases that have not yet commenced that would significantly impact our financial position.</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were no lease transactions between related parties as of December 28, 2024.</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rates implicit in our leases are primarily not readily available. To determine the discount rate used to present value the lease payments, we utilize the 7-year treasury note rate plus a blend of rate spreads associated with our 10 to 15 year senior notes along with estimated spreads based on current market conditions. We feel the determined rate is a reasonable representation of our lease population.</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Lease costs under non-cancelable operating leases on December 28, 2024 and December 30, 2023 are as follows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Sublease income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7620</wp:posOffset>
            </wp:positionV>
            <wp:extent cx="564896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9" w:lineRule="exact"/>
        <w:rPr>
          <w:sz w:val="20"/>
          <w:szCs w:val="20"/>
          <w:color w:val="auto"/>
        </w:rPr>
      </w:pPr>
    </w:p>
    <w:p>
      <w:pPr>
        <w:spacing w:after="0"/>
        <w:tabs>
          <w:tab w:leader="none" w:pos="240" w:val="left"/>
          <w:tab w:leader="none" w:pos="900" w:val="left"/>
          <w:tab w:leader="none" w:pos="1160" w:val="left"/>
        </w:tabs>
        <w:rPr>
          <w:sz w:val="20"/>
          <w:szCs w:val="20"/>
          <w:color w:val="auto"/>
        </w:rPr>
      </w:pPr>
      <w:r>
        <w:rPr>
          <w:rFonts w:ascii="Times New Roman" w:cs="Times New Roman" w:eastAsia="Times New Roman" w:hAnsi="Times New Roman"/>
          <w:sz w:val="18"/>
          <w:szCs w:val="18"/>
          <w:color w:val="auto"/>
        </w:rPr>
        <w:t>$</w:t>
        <w:tab/>
        <w:t>39,914</w:t>
        <w:tab/>
        <w:t>$</w:t>
        <w:tab/>
        <w:t>33,829</w:t>
      </w:r>
    </w:p>
    <w:p>
      <w:pPr>
        <w:spacing w:after="0" w:line="19" w:lineRule="exact"/>
        <w:rPr>
          <w:sz w:val="20"/>
          <w:szCs w:val="20"/>
          <w:color w:val="auto"/>
        </w:rPr>
      </w:pPr>
    </w:p>
    <w:p>
      <w:pPr>
        <w:ind w:left="360"/>
        <w:spacing w:after="0"/>
        <w:tabs>
          <w:tab w:leader="none" w:pos="1240" w:val="left"/>
        </w:tabs>
        <w:rPr>
          <w:sz w:val="20"/>
          <w:szCs w:val="20"/>
          <w:color w:val="auto"/>
        </w:rPr>
      </w:pPr>
      <w:r>
        <w:rPr>
          <w:rFonts w:ascii="Times New Roman" w:cs="Times New Roman" w:eastAsia="Times New Roman" w:hAnsi="Times New Roman"/>
          <w:sz w:val="18"/>
          <w:szCs w:val="18"/>
          <w:color w:val="auto"/>
        </w:rPr>
        <w:t>8,461</w:t>
      </w:r>
      <w:r>
        <w:rPr>
          <w:sz w:val="20"/>
          <w:szCs w:val="20"/>
          <w:color w:val="auto"/>
        </w:rPr>
        <w:tab/>
      </w:r>
      <w:r>
        <w:rPr>
          <w:rFonts w:ascii="Times New Roman" w:cs="Times New Roman" w:eastAsia="Times New Roman" w:hAnsi="Times New Roman"/>
          <w:sz w:val="18"/>
          <w:szCs w:val="18"/>
          <w:color w:val="auto"/>
        </w:rPr>
        <w:t>9,525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5715</wp:posOffset>
            </wp:positionV>
            <wp:extent cx="564896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360"/>
        <w:spacing w:after="0"/>
        <w:tabs>
          <w:tab w:leader="none" w:pos="1240" w:val="left"/>
        </w:tabs>
        <w:rPr>
          <w:sz w:val="20"/>
          <w:szCs w:val="20"/>
          <w:color w:val="auto"/>
        </w:rPr>
      </w:pPr>
      <w:r>
        <w:rPr>
          <w:rFonts w:ascii="Times New Roman" w:cs="Times New Roman" w:eastAsia="Times New Roman" w:hAnsi="Times New Roman"/>
          <w:sz w:val="18"/>
          <w:szCs w:val="18"/>
          <w:color w:val="auto"/>
        </w:rPr>
        <w:t>6,373</w:t>
      </w:r>
      <w:r>
        <w:rPr>
          <w:sz w:val="20"/>
          <w:szCs w:val="20"/>
          <w:color w:val="auto"/>
        </w:rPr>
        <w:tab/>
      </w:r>
      <w:r>
        <w:rPr>
          <w:rFonts w:ascii="Times New Roman" w:cs="Times New Roman" w:eastAsia="Times New Roman" w:hAnsi="Times New Roman"/>
          <w:sz w:val="18"/>
          <w:szCs w:val="18"/>
          <w:color w:val="auto"/>
        </w:rPr>
        <w:t>6,332</w:t>
      </w:r>
    </w:p>
    <w:p>
      <w:pPr>
        <w:spacing w:after="0" w:line="9" w:lineRule="exact"/>
        <w:rPr>
          <w:sz w:val="20"/>
          <w:szCs w:val="20"/>
          <w:color w:val="auto"/>
        </w:rPr>
      </w:pPr>
    </w:p>
    <w:p>
      <w:pPr>
        <w:jc w:val="both"/>
        <w:ind w:left="280"/>
        <w:spacing w:after="0"/>
        <w:tabs>
          <w:tab w:leader="none" w:pos="1180" w:val="left"/>
        </w:tabs>
        <w:rPr>
          <w:sz w:val="20"/>
          <w:szCs w:val="20"/>
          <w:color w:val="auto"/>
        </w:rPr>
      </w:pPr>
      <w:r>
        <w:rPr>
          <w:rFonts w:ascii="Times New Roman" w:cs="Times New Roman" w:eastAsia="Times New Roman" w:hAnsi="Times New Roman"/>
          <w:sz w:val="18"/>
          <w:szCs w:val="18"/>
          <w:color w:val="auto"/>
        </w:rPr>
        <w:t>(2,468)</w:t>
      </w:r>
      <w:r>
        <w:rPr>
          <w:sz w:val="20"/>
          <w:szCs w:val="20"/>
          <w:color w:val="auto"/>
        </w:rPr>
        <w:tab/>
      </w:r>
      <w:r>
        <w:rPr>
          <w:rFonts w:ascii="Times New Roman" w:cs="Times New Roman" w:eastAsia="Times New Roman" w:hAnsi="Times New Roman"/>
          <w:sz w:val="18"/>
          <w:szCs w:val="18"/>
          <w:color w:val="auto"/>
        </w:rPr>
        <w:t>(2,267)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5715</wp:posOffset>
            </wp:positionV>
            <wp:extent cx="564896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8960" cy="163195"/>
                    </a:xfrm>
                    <a:prstGeom prst="rect">
                      <a:avLst/>
                    </a:prstGeom>
                    <a:noFill/>
                  </pic:spPr>
                </pic:pic>
              </a:graphicData>
            </a:graphic>
          </wp:anchor>
        </w:drawing>
      </w:r>
    </w:p>
    <w:p>
      <w:pPr>
        <w:spacing w:after="0"/>
        <w:tabs>
          <w:tab w:leader="none" w:pos="240" w:val="left"/>
          <w:tab w:leader="none" w:pos="900" w:val="left"/>
          <w:tab w:leader="none" w:pos="1160" w:val="left"/>
        </w:tabs>
        <w:rPr>
          <w:sz w:val="20"/>
          <w:szCs w:val="20"/>
          <w:color w:val="auto"/>
        </w:rPr>
      </w:pPr>
      <w:r>
        <w:rPr>
          <w:rFonts w:ascii="Times New Roman" w:cs="Times New Roman" w:eastAsia="Times New Roman" w:hAnsi="Times New Roman"/>
          <w:sz w:val="18"/>
          <w:szCs w:val="18"/>
          <w:u w:val="single" w:color="auto"/>
          <w:color w:val="auto"/>
        </w:rPr>
        <w:t>$</w:t>
        <w:tab/>
        <w:t>52,280</w:t>
        <w:tab/>
        <w:t>$</w:t>
        <w:tab/>
        <w:t>47,419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10972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6500" w:space="720"/>
            <w:col w:w="1799"/>
          </w:cols>
          <w:pgMar w:left="1440" w:top="513" w:right="1440" w:bottom="1440" w:gutter="0" w:footer="0" w:header="0"/>
          <w:type w:val="continuous"/>
        </w:sectPr>
      </w:pPr>
    </w:p>
    <w:p>
      <w:pPr>
        <w:spacing w:after="0" w:line="5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Rent expense was approximately $54.7 million, $49.7 million, and $48.2 million in 2024, 2023, and 2022, respectively.</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amounts paid for operating leases, included in the measurement of lease liabilities, were $35.2 million in the year ended December 28, 2024 and $32.4 million in the year ended December 30, 2023. In addition, right-of-use assets obtained in exchange for new operating lease liabilities were approximately $45.6 million and $35.4 million, respectively, for the years ended December 28, 2024 and December 30,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Future minimum payments under non-cancelable operating leases on December 28, 2024 are as follows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0"/>
        </w:trPr>
        <w:tc>
          <w:tcPr>
            <w:tcW w:w="79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33,151</w:t>
            </w: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30,665</w:t>
            </w: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21,085</w:t>
            </w: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16,049</w:t>
            </w: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w:t>
            </w:r>
          </w:p>
        </w:tc>
      </w:tr>
      <w:tr>
        <w:trPr>
          <w:trHeight w:val="223"/>
        </w:trPr>
        <w:tc>
          <w:tcPr>
            <w:tcW w:w="7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33,769</w:t>
            </w: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145,246</w:t>
            </w:r>
          </w:p>
        </w:tc>
      </w:tr>
      <w:tr>
        <w:trPr>
          <w:trHeight w:val="216"/>
        </w:trPr>
        <w:tc>
          <w:tcPr>
            <w:tcW w:w="7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(22,281)</w:t>
            </w:r>
          </w:p>
        </w:tc>
      </w:tr>
      <w:tr>
        <w:trPr>
          <w:trHeight w:val="210"/>
        </w:trPr>
        <w:tc>
          <w:tcPr>
            <w:tcW w:w="7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122,965</w:t>
            </w:r>
          </w:p>
        </w:tc>
      </w:tr>
      <w:tr>
        <w:trPr>
          <w:trHeight w:val="20"/>
        </w:trPr>
        <w:tc>
          <w:tcPr>
            <w:tcW w:w="7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December 28, 2024 and December 30, 2023, the weighted average lease term for operating leases was 6.91 years and 7.21 years, respectively. Similarly, the weighted average discount rate for operating leases was 4.86% and 4.53%, respectively.</w:t>
      </w:r>
    </w:p>
    <w:p>
      <w:pPr>
        <w:spacing w:after="0" w:line="172" w:lineRule="exact"/>
        <w:rPr>
          <w:sz w:val="20"/>
          <w:szCs w:val="20"/>
          <w:color w:val="auto"/>
        </w:rPr>
      </w:pPr>
    </w:p>
    <w:p>
      <w:pPr>
        <w:ind w:left="700" w:hanging="650"/>
        <w:spacing w:after="0"/>
        <w:tabs>
          <w:tab w:leader="none" w:pos="7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DEFERRED COMPENSATION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a program whereby certain executives irrevocably elected to defer receipt of certain compensation in 1985 through 1988. Deferred compensation payments to these executives commenced upon their retirement. We purchased life insurance on these executives, payable to us in amounts which, if assumptions made as to mortality experience, policy dividends, and other factors are realized, will accumulate cash values adequate to reimburse us for all payments for insurance and deferred compensation obligations. The investment in life insurance contracts as of December 28, 2024 and December 30, 2023, was $12.8 million and $12.2 million, respectively, and is recorded in “Other Assets” on the Consolidated Balance Sheet.</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also maintain a non-qualified deferred compensation plan (the "Plan") for the benefit of senior management employees who may elect to defer a portion of their annual bonus payments and salaries. The Plan provides investment options similar to our 401(k) plan, including our stock. The investment in our stock is funded by the issuance of shares to a Rabbi trust, and may only be distributed in kind. Assets held by the Plan totaled approximately $0.1 million on December 28, 2024 and December 30, 2023, respectively, and are included in "Other Assets." Related liabilities totaled $67.0 million and $57.8 million on December 28, 2024 and December 30, 2023, respectively, and are included in "Other Liabilities" and "Shareholders’ Equity." Assets associated with the Plan are recorded at fair market value. The related liabilities are also recorded at fair market value, with the exception of obligations associated with investments in our stock which are recorded at the market value on the date of deferral.</w:t>
      </w:r>
    </w:p>
    <w:p>
      <w:pPr>
        <w:spacing w:after="0" w:line="184" w:lineRule="exact"/>
        <w:rPr>
          <w:sz w:val="20"/>
          <w:szCs w:val="20"/>
          <w:color w:val="auto"/>
        </w:rPr>
      </w:pPr>
    </w:p>
    <w:p>
      <w:pPr>
        <w:ind w:left="700" w:hanging="650"/>
        <w:spacing w:after="0"/>
        <w:tabs>
          <w:tab w:leader="none" w:pos="7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COMMON STOCK</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maintain and administer our shareholder approved Employee Stock Purchase Plan. The Employee Stock Purchase Plan allows eligible employees to purchase shares of our stock at a share price equal to 85% of fair market value on the purchase date. We have expensed the fair value of the compensation associated with these awards, which approximates the discount. The amount of expense is nominal.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maintain and administer our shareholder approved Director Compensation Plan. The Director Compensation Plan allows eligible members of the Board of Directors to defer the cash portion of their retainer and committee fees, credited in the form of stock units, and receive shares of our stock at the time of or following their retirement, disability or death. The number of shares to be received is equal to the amount of the cash portion of their retainer and committee fees deferred multiplied by 110%, divided by the fair market value of a share of our stock at the time of deferral. The number of units is increased by the amount of dividends paid on our common stock. The units are immediately vested as of the grant date, since they are considered payment for services rendered quarterly. We recognized expense for this plan of $2.0 million in 2024, $1.9 million in 2023, and $2.0 million in 2022. This plan also allows directors to defer payment of the annual retainer paid in the form of our common stock. The number of shares to be received for their portion of the retainer that is deferred is equal to the amount of shares plus the number of shares attributable to cash dividends payable on those deferred shares.</w:t>
      </w:r>
    </w:p>
    <w:p>
      <w:pPr>
        <w:spacing w:after="0" w:line="19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Finally, we maintain and administer our shareholder approved Long Term Stock Incentive Plan (the "LTSIP”). The LTSIP provides for the grant of stock options, stock appreciation rights, restricted stock, performance shares, sales incentive awards, and other stock-based awards.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Executive Stock Match awards are granted in the year following the requisite service period, which begins at the beginning of each fiscal year, and fully vest on the fifth anniversary of the grant date. Refer to Notes to Consolidated Financial Statements, Note G, "Deferred Compensation" for additional information on the “Plan”.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Below is a summary of common stock issuances for 2024 and 2023 (in thousands, except per share data):</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7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gridSpan w:val="2"/>
            <w:vMerge w:val="restart"/>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2440" w:type="dxa"/>
            <w:vAlign w:val="bottom"/>
          </w:tcPr>
          <w:p>
            <w:pPr>
              <w:spacing w:after="0"/>
              <w:rPr>
                <w:sz w:val="7"/>
                <w:szCs w:val="7"/>
                <w:color w:val="auto"/>
              </w:rPr>
            </w:pPr>
          </w:p>
        </w:tc>
        <w:tc>
          <w:tcPr>
            <w:tcW w:w="290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24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center"/>
              <w:ind w:right="40"/>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29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3680" w:type="dxa"/>
            <w:vAlign w:val="bottom"/>
            <w:gridSpan w:val="2"/>
            <w:shd w:val="clear" w:color="auto" w:fill="CCEEFF"/>
          </w:tcPr>
          <w:p>
            <w:pPr>
              <w:jc w:val="center"/>
              <w:ind w:left="281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compensation plan</w:t>
            </w:r>
          </w:p>
        </w:tc>
        <w:tc>
          <w:tcPr>
            <w:tcW w:w="368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3680" w:type="dxa"/>
            <w:vAlign w:val="bottom"/>
            <w:gridSpan w:val="2"/>
            <w:shd w:val="clear" w:color="auto" w:fill="CCEEFF"/>
          </w:tcPr>
          <w:p>
            <w:pPr>
              <w:jc w:val="center"/>
              <w:ind w:left="2810"/>
              <w:spacing w:after="0"/>
              <w:rPr>
                <w:sz w:val="20"/>
                <w:szCs w:val="20"/>
                <w:color w:val="auto"/>
              </w:rPr>
            </w:pPr>
            <w:r>
              <w:rPr>
                <w:rFonts w:ascii="Times New Roman" w:cs="Times New Roman" w:eastAsia="Times New Roman" w:hAnsi="Times New Roman"/>
                <w:sz w:val="18"/>
                <w:szCs w:val="18"/>
                <w:color w:val="auto"/>
                <w:w w:val="96"/>
              </w:rPr>
              <w:t>352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match plan</w:t>
            </w:r>
          </w:p>
        </w:tc>
        <w:tc>
          <w:tcPr>
            <w:tcW w:w="368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color w:val="auto"/>
                <w:w w:val="99"/>
              </w:rPr>
              <w:t>64</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3680" w:type="dxa"/>
            <w:vAlign w:val="bottom"/>
            <w:gridSpan w:val="2"/>
            <w:shd w:val="clear" w:color="auto" w:fill="CCEEFF"/>
          </w:tcPr>
          <w:p>
            <w:pPr>
              <w:jc w:val="center"/>
              <w:ind w:left="2810"/>
              <w:spacing w:after="0"/>
              <w:rPr>
                <w:sz w:val="20"/>
                <w:szCs w:val="20"/>
                <w:color w:val="auto"/>
              </w:rPr>
            </w:pPr>
            <w:r>
              <w:rPr>
                <w:rFonts w:ascii="Times New Roman" w:cs="Times New Roman" w:eastAsia="Times New Roman" w:hAnsi="Times New Roman"/>
                <w:sz w:val="18"/>
                <w:szCs w:val="18"/>
                <w:color w:val="auto"/>
                <w:w w:val="99"/>
              </w:rPr>
              <w:t>(41)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2900" w:type="dxa"/>
            <w:vAlign w:val="bottom"/>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368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color w:val="auto"/>
                <w:w w:val="96"/>
              </w:rPr>
              <w:t>104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7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gridSpan w:val="2"/>
            <w:vMerge w:val="restart"/>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2440" w:type="dxa"/>
            <w:vAlign w:val="bottom"/>
          </w:tcPr>
          <w:p>
            <w:pPr>
              <w:spacing w:after="0"/>
              <w:rPr>
                <w:sz w:val="7"/>
                <w:szCs w:val="7"/>
                <w:color w:val="auto"/>
              </w:rPr>
            </w:pPr>
          </w:p>
        </w:tc>
        <w:tc>
          <w:tcPr>
            <w:tcW w:w="290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24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center"/>
              <w:ind w:right="40"/>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29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6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3680" w:type="dxa"/>
            <w:vAlign w:val="bottom"/>
            <w:gridSpan w:val="2"/>
            <w:shd w:val="clear" w:color="auto" w:fill="CCEEFF"/>
          </w:tcPr>
          <w:p>
            <w:pPr>
              <w:jc w:val="center"/>
              <w:ind w:left="281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368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3680" w:type="dxa"/>
            <w:vAlign w:val="bottom"/>
            <w:gridSpan w:val="2"/>
            <w:shd w:val="clear" w:color="auto" w:fill="CCEEFF"/>
          </w:tcPr>
          <w:p>
            <w:pPr>
              <w:jc w:val="center"/>
              <w:ind w:left="2810"/>
              <w:spacing w:after="0"/>
              <w:rPr>
                <w:sz w:val="20"/>
                <w:szCs w:val="20"/>
                <w:color w:val="auto"/>
              </w:rPr>
            </w:pPr>
            <w:r>
              <w:rPr>
                <w:rFonts w:ascii="Times New Roman" w:cs="Times New Roman" w:eastAsia="Times New Roman" w:hAnsi="Times New Roman"/>
                <w:sz w:val="18"/>
                <w:szCs w:val="18"/>
                <w:color w:val="auto"/>
                <w:w w:val="96"/>
              </w:rPr>
              <w:t>756</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grants plan</w:t>
            </w:r>
          </w:p>
        </w:tc>
        <w:tc>
          <w:tcPr>
            <w:tcW w:w="368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color w:val="auto"/>
                <w:w w:val="99"/>
              </w:rPr>
              <w:t>75</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3680" w:type="dxa"/>
            <w:vAlign w:val="bottom"/>
            <w:gridSpan w:val="2"/>
            <w:shd w:val="clear" w:color="auto" w:fill="CCEEFF"/>
          </w:tcPr>
          <w:p>
            <w:pPr>
              <w:jc w:val="center"/>
              <w:ind w:left="2810"/>
              <w:spacing w:after="0"/>
              <w:rPr>
                <w:sz w:val="20"/>
                <w:szCs w:val="20"/>
                <w:color w:val="auto"/>
              </w:rPr>
            </w:pPr>
            <w:r>
              <w:rPr>
                <w:rFonts w:ascii="Times New Roman" w:cs="Times New Roman" w:eastAsia="Times New Roman" w:hAnsi="Times New Roman"/>
                <w:sz w:val="18"/>
                <w:szCs w:val="18"/>
                <w:color w:val="auto"/>
                <w:w w:val="99"/>
              </w:rPr>
              <w:t>(15)</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2900" w:type="dxa"/>
            <w:vAlign w:val="bottom"/>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821</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368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color w:val="auto"/>
                <w:w w:val="96"/>
              </w:rPr>
              <w:t>124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90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60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the nonvested restricted stock awards granted under the LTSIP is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10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9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 to</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80" w:type="dxa"/>
            <w:vAlign w:val="bottom"/>
          </w:tcPr>
          <w:p>
            <w:pPr>
              <w:spacing w:after="0"/>
              <w:rPr>
                <w:sz w:val="12"/>
                <w:szCs w:val="12"/>
                <w:color w:val="auto"/>
              </w:rPr>
            </w:pPr>
          </w:p>
        </w:tc>
        <w:tc>
          <w:tcPr>
            <w:tcW w:w="92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Recognize</w:t>
            </w:r>
          </w:p>
        </w:tc>
        <w:tc>
          <w:tcPr>
            <w:tcW w:w="0" w:type="dxa"/>
            <w:vAlign w:val="bottom"/>
          </w:tcPr>
          <w:p>
            <w:pPr>
              <w:spacing w:after="0"/>
              <w:rPr>
                <w:sz w:val="1"/>
                <w:szCs w:val="1"/>
                <w:color w:val="auto"/>
              </w:rPr>
            </w:pPr>
          </w:p>
        </w:tc>
      </w:tr>
      <w:tr>
        <w:trPr>
          <w:trHeight w:val="180"/>
        </w:trPr>
        <w:tc>
          <w:tcPr>
            <w:tcW w:w="48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25, 2021</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1,627,032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45.23</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6.6</w:t>
            </w:r>
          </w:p>
        </w:tc>
        <w:tc>
          <w:tcPr>
            <w:tcW w:w="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0.43 years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815,874</w:t>
            </w:r>
          </w:p>
        </w:tc>
        <w:tc>
          <w:tcPr>
            <w:tcW w:w="2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79.97</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(286,661)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54.07</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2,138,255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58.70</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51.4</w:t>
            </w:r>
          </w:p>
        </w:tc>
        <w:tc>
          <w:tcPr>
            <w:tcW w:w="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3.74 years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830,346</w:t>
            </w:r>
          </w:p>
        </w:tc>
        <w:tc>
          <w:tcPr>
            <w:tcW w:w="2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86.11</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(233,763)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40.50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63.54</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30, 2023</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2,720,837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68.61</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76.9</w:t>
            </w:r>
          </w:p>
        </w:tc>
        <w:tc>
          <w:tcPr>
            <w:tcW w:w="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3.68 years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370,830</w:t>
            </w:r>
          </w:p>
        </w:tc>
        <w:tc>
          <w:tcPr>
            <w:tcW w:w="2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113.12</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(740,505)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47.33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(39,777)</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88.20</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28, 2024</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2,311,385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82.23</w:t>
            </w:r>
          </w:p>
        </w:tc>
        <w:tc>
          <w:tcPr>
            <w:tcW w:w="1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75.4</w:t>
            </w:r>
          </w:p>
        </w:tc>
        <w:tc>
          <w:tcPr>
            <w:tcW w:w="8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3.26 years</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Under the Employee Stock Purchase Plan and LTSIP, we recognized share-based compensation expense of $38.2 million, $34.9 million, and $28.2 million and the related total income tax benefits of $8.5 million, $8.2 million, and $6.9 million in 2024, 2023 and 2022, respectively.</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For the year-ended December 28, 2024, we have estimated that $16.9 million of share-based bonus awards will be awarded to qualified employees as it relates to the Company’s 2024 performance and granted in 2025 under the LTSIP. Awards granted generally vest after a period of five years from the grant date. In addition to the share-based bonus awards, certain employees are eligible to receive performance units if certain performance metrics are achieved after three years. We have estimated that $0.7 million of performance units will be awarded in 2025. The number of shares and performance units awarded will be determined using the share price as of the grant date on February 24, 2025. As of December 28, 2024 and December 30, 2023, we recognized approximately $2.9 million and $5.0 million, respectively, of compensation expense related to share-based bonus awards and performance units for each of those respective performance years.‬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 Sales Incentive Plan for certain eligible employees. Under this plan, sales incentives are determined and calculated using a formula-based approach and estimated monthly based on specific performance metrics. This Plan places a cap on cash payments with the remaining earned incentive being settled in share-based awards. For the year-ended December 28, 2024, we have estimated that $2.1 million of share-based sales incentive awards will be awarded to qualified employees based on the 2024 performance year and granted in 2025. These awards will vest after a period of five years from the grant date. The number of shares awarded will be determined using the share price as of the grant date on February 24, 2025. As of December 28, 2024 and December 30, 2023, we recognized approximately $0.3 million and $1.0 million of compensation expense related to share-based sales incentive awards for each of those respective performance years.‬</w:t>
      </w:r>
    </w:p>
    <w:p>
      <w:pPr>
        <w:spacing w:after="0" w:line="18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2024, 2023 and 2022, cash received from share issuances under our plans was $2.8 million, $2.7 million and $2.8 million, respectively.</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During 2024, we repurchased 1,409,266 shares of our common stock at an average share price of $113.53. During 2023, we repurchased approximately 974,869 shares of our common stock at an average share price of $84.27. Effective July 24, 2024, our board authorized the repurchase of up to $200 million worth of shares of outstanding stock through July 31, 2025. This share authorization supersedes and replaces our prior share repurchase authorizations. As of December 28, 2024, we had remaining authorization to repurchase up to $199 million worth of shares through July 31,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RETIREMENT PLANS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 profit sharing and 401(k) plan for the benefit of substantially all of our employees, excluding the employees of certain wholly-owned subsidiaries. Amounts contributed to the plan are made at the discretion of the Board of Directors. We matched 25% of employee contributions in 2024, 2023, and 2022, on a discretionary basis, totaling $7.7 million, $8.8 million, and $11.7 million respectively. Included within the total employee matched contribution was an additional matched contribution for hourly employees of $1.8 million and $4.6 million for 2023 and 2022, respectively, based on meeting certain performance goals during those years. There was no additional matched contribution for hourly employees in 2024. The basis for matching contributions may not exceed the lesser of 6% of the employee’s annual compensation or the IRS limitation.</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maintain a retirement plan for certain officers of the Company (who have at least 20 years of service with the Company and at least 10 years of service as an officer) whereby we will pay, upon retirement, certain benefits including health care benefits, for a specified period of time if certain eligibility requirements are met. Approximately $16.9 million and $15.5 million are accrued in “Other Liabilities” for this plan on December 28, 2024 and December 30, 2023, respectively.</w:t>
      </w:r>
    </w:p>
    <w:p>
      <w:pPr>
        <w:spacing w:after="0" w:line="179" w:lineRule="exact"/>
        <w:rPr>
          <w:sz w:val="20"/>
          <w:szCs w:val="20"/>
          <w:color w:val="auto"/>
        </w:rPr>
      </w:pPr>
    </w:p>
    <w:p>
      <w:pPr>
        <w:ind w:left="700" w:hanging="650"/>
        <w:spacing w:after="0"/>
        <w:tabs>
          <w:tab w:leader="none" w:pos="7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Income tax provisions for the years ended December 28, 2024, December 30, 2023, and December 31, 2022 are summarized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Currently Payable:</w:t>
            </w:r>
          </w:p>
        </w:tc>
        <w:tc>
          <w:tcPr>
            <w:tcW w:w="9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$ 101,832</w:t>
            </w: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$ 123,257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$ 181,029</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28,580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44,646</w:t>
            </w:r>
          </w:p>
        </w:tc>
        <w:tc>
          <w:tcPr>
            <w:tcW w:w="0" w:type="dxa"/>
            <w:vAlign w:val="bottom"/>
          </w:tcPr>
          <w:p>
            <w:pPr>
              <w:spacing w:after="0"/>
              <w:rPr>
                <w:sz w:val="1"/>
                <w:szCs w:val="1"/>
                <w:color w:val="auto"/>
              </w:rPr>
            </w:pPr>
          </w:p>
        </w:tc>
      </w:tr>
      <w:tr>
        <w:trPr>
          <w:trHeight w:val="23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10,808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136,460</w:t>
            </w:r>
          </w:p>
        </w:tc>
        <w:tc>
          <w:tcPr>
            <w:tcW w:w="900" w:type="dxa"/>
            <w:vAlign w:val="bottom"/>
            <w:tcBorders>
              <w:top w:val="single" w:sz="8" w:color="auto"/>
            </w:tcBorders>
          </w:tcPr>
          <w:p>
            <w:pPr>
              <w:jc w:val="right"/>
              <w:ind w:right="33"/>
              <w:spacing w:after="0" w:line="203" w:lineRule="exact"/>
              <w:rPr>
                <w:sz w:val="20"/>
                <w:szCs w:val="20"/>
                <w:color w:val="auto"/>
              </w:rPr>
            </w:pPr>
            <w:r>
              <w:rPr>
                <w:rFonts w:ascii="Times New Roman" w:cs="Times New Roman" w:eastAsia="Times New Roman" w:hAnsi="Times New Roman"/>
                <w:sz w:val="18"/>
                <w:szCs w:val="18"/>
                <w:color w:val="auto"/>
              </w:rPr>
              <w:t>162,645</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243,011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0" w:type="dxa"/>
            <w:vAlign w:val="bottom"/>
          </w:tcPr>
          <w:p>
            <w:pPr>
              <w:spacing w:after="0"/>
              <w:rPr>
                <w:sz w:val="1"/>
                <w:szCs w:val="1"/>
                <w:color w:val="auto"/>
              </w:rPr>
            </w:pPr>
          </w:p>
        </w:tc>
      </w:tr>
      <w:tr>
        <w:trPr>
          <w:trHeight w:val="223"/>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36"/>
        </w:trPr>
        <w:tc>
          <w:tcPr>
            <w:tcW w:w="62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0" w:type="dxa"/>
            <w:vAlign w:val="bottom"/>
          </w:tcPr>
          <w:p>
            <w:pPr>
              <w:spacing w:after="0"/>
              <w:rPr>
                <w:sz w:val="1"/>
                <w:szCs w:val="1"/>
                <w:color w:val="auto"/>
              </w:rPr>
            </w:pPr>
          </w:p>
        </w:tc>
      </w:tr>
      <w:tr>
        <w:trPr>
          <w:trHeight w:val="203"/>
        </w:trPr>
        <w:tc>
          <w:tcPr>
            <w:tcW w:w="6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income tax expense</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$ 121,422</w:t>
            </w:r>
          </w:p>
        </w:tc>
        <w:tc>
          <w:tcPr>
            <w:tcW w:w="900" w:type="dxa"/>
            <w:vAlign w:val="bottom"/>
            <w:tcBorders>
              <w:bottom w:val="single" w:sz="8" w:color="auto"/>
            </w:tcBorders>
          </w:tcPr>
          <w:p>
            <w:pPr>
              <w:jc w:val="right"/>
              <w:ind w:right="33"/>
              <w:spacing w:after="0" w:line="203" w:lineRule="exact"/>
              <w:rPr>
                <w:sz w:val="20"/>
                <w:szCs w:val="20"/>
                <w:color w:val="auto"/>
              </w:rPr>
            </w:pPr>
            <w:r>
              <w:rPr>
                <w:rFonts w:ascii="Times New Roman" w:cs="Times New Roman" w:eastAsia="Times New Roman" w:hAnsi="Times New Roman"/>
                <w:sz w:val="18"/>
                <w:szCs w:val="18"/>
                <w:color w:val="auto"/>
              </w:rPr>
              <w:t>$ 156,784</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$ 229,852</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components of earnings before income taxes consist of the following:</w:t>
            </w: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2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$ 496,245</w:t>
            </w: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$ 633,816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$ 876,071</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43,910</w:t>
            </w: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37,425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58,745</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$ 540,155</w:t>
            </w: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$ 671,241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$ 934,816</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effective income tax rates are different from the statutory federal income tax rates for the following reasons: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820" w:type="dxa"/>
            <w:vAlign w:val="bottom"/>
          </w:tcPr>
          <w:p>
            <w:pPr>
              <w:spacing w:after="0"/>
              <w:rPr>
                <w:sz w:val="15"/>
                <w:szCs w:val="15"/>
                <w:color w:val="auto"/>
              </w:rPr>
            </w:pPr>
          </w:p>
        </w:tc>
        <w:tc>
          <w:tcPr>
            <w:tcW w:w="352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26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21.0 %</w:t>
            </w:r>
          </w:p>
        </w:tc>
        <w:tc>
          <w:tcPr>
            <w:tcW w:w="8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21.0 %</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federal benefits)</w:t>
            </w:r>
          </w:p>
        </w:tc>
        <w:tc>
          <w:tcPr>
            <w:tcW w:w="3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3.5</w:t>
            </w: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 including foreign tax credit</w:t>
            </w:r>
          </w:p>
        </w:tc>
        <w:tc>
          <w:tcPr>
            <w:tcW w:w="3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(0.9)</w:t>
            </w:r>
          </w:p>
        </w:tc>
        <w:tc>
          <w:tcPr>
            <w:tcW w:w="7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 reserve</w:t>
            </w:r>
          </w:p>
        </w:tc>
        <w:tc>
          <w:tcPr>
            <w:tcW w:w="3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0.2</w:t>
            </w: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0.2</w:t>
            </w: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(0.6)</w:t>
            </w:r>
          </w:p>
        </w:tc>
        <w:tc>
          <w:tcPr>
            <w:tcW w:w="8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(0.6)</w:t>
            </w: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(0.7)</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22.5 %</w:t>
            </w:r>
          </w:p>
        </w:tc>
        <w:tc>
          <w:tcPr>
            <w:tcW w:w="8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23.4 %</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60" w:type="dxa"/>
            <w:vAlign w:val="bottom"/>
            <w:vMerge w:val="restart"/>
          </w:tcPr>
          <w:p>
            <w:pPr>
              <w:jc w:val="right"/>
              <w:ind w:right="1833"/>
              <w:spacing w:after="0"/>
              <w:rPr>
                <w:sz w:val="20"/>
                <w:szCs w:val="20"/>
                <w:color w:val="auto"/>
              </w:rPr>
            </w:pPr>
            <w:r>
              <w:rPr>
                <w:rFonts w:ascii="Times New Roman" w:cs="Times New Roman" w:eastAsia="Times New Roman" w:hAnsi="Times New Roman"/>
                <w:sz w:val="18"/>
                <w:szCs w:val="18"/>
                <w:color w:val="auto"/>
              </w:rPr>
              <w:t>62</w:t>
            </w: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2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Temporary differences which give rise to deferred income tax assets and (liabilities) on December 28, 2024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30, 2023 are as follows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70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49,666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45,661</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31,100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27,918</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6,550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subsidiary capital loss carryforward</w:t>
            </w:r>
          </w:p>
        </w:tc>
        <w:tc>
          <w:tcPr>
            <w:tcW w:w="12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tax credits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3,047</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on receivables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3,762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r>
      <w:tr>
        <w:trPr>
          <w:trHeight w:val="236"/>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35,548</w:t>
            </w: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28,021</w:t>
            </w:r>
          </w:p>
        </w:tc>
      </w:tr>
      <w:tr>
        <w:trPr>
          <w:trHeight w:val="203"/>
        </w:trPr>
        <w:tc>
          <w:tcPr>
            <w:tcW w:w="70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Gross deferred income tax assets</w:t>
            </w:r>
          </w:p>
        </w:tc>
        <w:tc>
          <w:tcPr>
            <w:tcW w:w="120" w:type="dxa"/>
            <w:vAlign w:val="bottom"/>
          </w:tcPr>
          <w:p>
            <w:pPr>
              <w:spacing w:after="0"/>
              <w:rPr>
                <w:sz w:val="17"/>
                <w:szCs w:val="17"/>
                <w:color w:val="auto"/>
              </w:rPr>
            </w:pPr>
          </w:p>
        </w:tc>
        <w:tc>
          <w:tcPr>
            <w:tcW w:w="820" w:type="dxa"/>
            <w:vAlign w:val="bottom"/>
          </w:tcPr>
          <w:p>
            <w:pPr>
              <w:jc w:val="right"/>
              <w:ind w:right="51"/>
              <w:spacing w:after="0" w:line="203" w:lineRule="exact"/>
              <w:rPr>
                <w:sz w:val="20"/>
                <w:szCs w:val="20"/>
                <w:color w:val="auto"/>
              </w:rPr>
            </w:pPr>
            <w:r>
              <w:rPr>
                <w:rFonts w:ascii="Times New Roman" w:cs="Times New Roman" w:eastAsia="Times New Roman" w:hAnsi="Times New Roman"/>
                <w:sz w:val="18"/>
                <w:szCs w:val="18"/>
                <w:color w:val="auto"/>
              </w:rPr>
              <w:t>132,126</w:t>
            </w:r>
          </w:p>
        </w:tc>
        <w:tc>
          <w:tcPr>
            <w:tcW w:w="2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118,420</w:t>
            </w:r>
          </w:p>
        </w:tc>
      </w:tr>
      <w:tr>
        <w:trPr>
          <w:trHeight w:val="236"/>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r>
      <w:tr>
        <w:trPr>
          <w:trHeight w:val="203"/>
        </w:trPr>
        <w:tc>
          <w:tcPr>
            <w:tcW w:w="70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Deferred income tax assets</w:t>
            </w:r>
          </w:p>
        </w:tc>
        <w:tc>
          <w:tcPr>
            <w:tcW w:w="120" w:type="dxa"/>
            <w:vAlign w:val="bottom"/>
          </w:tcPr>
          <w:p>
            <w:pPr>
              <w:spacing w:after="0"/>
              <w:rPr>
                <w:sz w:val="17"/>
                <w:szCs w:val="17"/>
                <w:color w:val="auto"/>
              </w:rPr>
            </w:pPr>
          </w:p>
        </w:tc>
        <w:tc>
          <w:tcPr>
            <w:tcW w:w="820" w:type="dxa"/>
            <w:vAlign w:val="bottom"/>
          </w:tcPr>
          <w:p>
            <w:pPr>
              <w:jc w:val="right"/>
              <w:ind w:right="51"/>
              <w:spacing w:after="0" w:line="203" w:lineRule="exact"/>
              <w:rPr>
                <w:sz w:val="20"/>
                <w:szCs w:val="20"/>
                <w:color w:val="auto"/>
              </w:rPr>
            </w:pPr>
            <w:r>
              <w:rPr>
                <w:rFonts w:ascii="Times New Roman" w:cs="Times New Roman" w:eastAsia="Times New Roman" w:hAnsi="Times New Roman"/>
                <w:sz w:val="18"/>
                <w:szCs w:val="18"/>
                <w:color w:val="auto"/>
              </w:rPr>
              <w:t>128,698</w:t>
            </w:r>
          </w:p>
        </w:tc>
        <w:tc>
          <w:tcPr>
            <w:tcW w:w="2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112,406</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(82,617)</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(43,455)</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(26,870)</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6"/>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(154,679)</w:t>
            </w: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(153,426)</w:t>
            </w:r>
          </w:p>
        </w:tc>
      </w:tr>
      <w:tr>
        <w:trPr>
          <w:trHeight w:val="203"/>
        </w:trPr>
        <w:tc>
          <w:tcPr>
            <w:tcW w:w="70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deferred income tax liability</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(25,981)</w:t>
            </w: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(41,020)</w:t>
            </w:r>
          </w:p>
        </w:tc>
      </w:tr>
      <w:tr>
        <w:trPr>
          <w:trHeight w:val="20"/>
        </w:trPr>
        <w:tc>
          <w:tcPr>
            <w:tcW w:w="7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December 28, 2024, we had federal, state and foreign net operating loss (NOL) carryforwards of $6.5 million, which will expire at various dates.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NOL carryforwards expire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Net Operating Losses</w:t>
            </w:r>
          </w:p>
        </w:tc>
      </w:tr>
      <w:tr>
        <w:trPr>
          <w:trHeight w:val="155"/>
        </w:trPr>
        <w:tc>
          <w:tcPr>
            <w:tcW w:w="64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State</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Foreign</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2025 - 2029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2030 - 2034</w:t>
            </w:r>
          </w:p>
        </w:tc>
        <w:tc>
          <w:tcPr>
            <w:tcW w:w="160" w:type="dxa"/>
            <w:vAlign w:val="bottom"/>
          </w:tcPr>
          <w:p>
            <w:pPr>
              <w:spacing w:after="0"/>
              <w:rPr>
                <w:sz w:val="18"/>
                <w:szCs w:val="18"/>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2035 - 2039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1,109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2040 - 2044</w:t>
            </w:r>
          </w:p>
        </w:tc>
        <w:tc>
          <w:tcPr>
            <w:tcW w:w="160" w:type="dxa"/>
            <w:vAlign w:val="bottom"/>
          </w:tcPr>
          <w:p>
            <w:pPr>
              <w:spacing w:after="0"/>
              <w:rPr>
                <w:sz w:val="18"/>
                <w:szCs w:val="18"/>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895</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1"/>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r>
    </w:tbl>
    <w:p>
      <w:pPr>
        <w:spacing w:after="0" w:line="17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December 28, 2024, we believe that it is more likely than not that the benefit from certain state and foreign NOL carryforwards will not be realized. In recognition of this risk, we have provided a valuation allowance of $2.9 million against the various NOLs. Furthermore, there is a valuation allowance of $0.5 million against a capital loss carryforward we have for a wholly-owned subsidiary, UFP Canada, Inc. Based upon the business activity and the nature of the assets of this subsidiary, our ability to realize a future benefit from this carryforward is doubtful. The capital loss has an unlimited carryforward and therefore will not expire unless there is a change in control of the subsidiary.</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Organization of Economic Cooperation and Development (“OECD”) reached an agreement among various countries to implement a minimum 15% tax rate on certain multinational enterprises, commonly referred to as Pillar Two. Many countries continue to announce changes in their tax laws, many of them effective for tax years beginning January 1, 2024. We continue to analyze the impacts of these legislative changes to our effective tax rate, consolidated financial statements, and related disclosures. As of December 28, 2024, we do not expect the impact of Pillar Two legislation to have a material impact on our tax expense.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FOR UNCERTAINTY IN INCOME TAXES</w:t>
      </w:r>
    </w:p>
    <w:p>
      <w:pPr>
        <w:spacing w:after="0" w:line="227"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clarifies the accounting for income taxes by prescribing the minimum recognition threshold a tax position is required to meet before being recognized in the financial statements. ASC 740 also provides guidance on derecognition, measurement, classification, interest and penalties, and disclosure requirements.</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Gross unrecognized tax benefits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-120650</wp:posOffset>
            </wp:positionV>
            <wp:extent cx="564896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(decrease) in tax positions for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Increase in tax positions for current year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Lapse in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unrecognized tax benefits end of year</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53"/>
              <w:spacing w:after="0" w:line="198" w:lineRule="exact"/>
              <w:rPr>
                <w:sz w:val="20"/>
                <w:szCs w:val="20"/>
                <w:color w:val="auto"/>
              </w:rPr>
            </w:pPr>
            <w:r>
              <w:rPr>
                <w:rFonts w:ascii="Times New Roman" w:cs="Times New Roman" w:eastAsia="Times New Roman" w:hAnsi="Times New Roman"/>
                <w:sz w:val="18"/>
                <w:szCs w:val="18"/>
                <w:color w:val="auto"/>
              </w:rPr>
              <w:t>4,771</w:t>
            </w:r>
          </w:p>
        </w:tc>
        <w:tc>
          <w:tcPr>
            <w:tcW w:w="2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line="198" w:lineRule="exact"/>
              <w:rPr>
                <w:sz w:val="20"/>
                <w:szCs w:val="20"/>
                <w:color w:val="auto"/>
              </w:rPr>
            </w:pPr>
            <w:r>
              <w:rPr>
                <w:rFonts w:ascii="Times New Roman" w:cs="Times New Roman" w:eastAsia="Times New Roman" w:hAnsi="Times New Roman"/>
                <w:sz w:val="18"/>
                <w:szCs w:val="18"/>
                <w:color w:val="auto"/>
              </w:rPr>
              <w:t>3,217</w:t>
            </w:r>
          </w:p>
        </w:tc>
        <w:tc>
          <w:tcPr>
            <w:tcW w:w="2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3,603</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943</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947</w:t>
            </w:r>
          </w:p>
        </w:tc>
        <w:tc>
          <w:tcPr>
            <w:tcW w:w="24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1,286</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41"/>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16"/>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5,507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4,771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740" w:space="720"/>
            <w:col w:w="2559"/>
          </w:cols>
          <w:pgMar w:left="1440" w:top="513" w:right="1440" w:bottom="1440" w:gutter="0" w:footer="0" w:header="0"/>
          <w:type w:val="continuous"/>
        </w:sect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effective tax rate would have been affected by the unrecognized tax benefits had this amount been recognized as a reduction to income tax expense.</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recognized interest and penalties for unrecognized tax benefits in our provision for income taxes. The liability for unrecognized tax benefits included accrued interest and penalties of $0.6 million for the year December 28, 2024, $0.4 million for the year December 30, 2023, and $0.3 million for the year December 31, 2022.</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file income tax returns in the United States and in various state, local and foreign jurisdictions. The federal and a majority of state and foreign jurisdictions are no longer subject to income tax examinations for years before 2020. A number of routine state and local examinations are currently ongoing. Due to the potential for resolution of state examinations, the expiration of various statutes of limitation, and new positions that may be taken, it is reasonably possible that the amount of unrecognized tax benefits that would reverse through the income statement in the next twelve months is $1.3 million.</w:t>
      </w:r>
    </w:p>
    <w:p>
      <w:pPr>
        <w:spacing w:after="0" w:line="183" w:lineRule="exact"/>
        <w:rPr>
          <w:sz w:val="20"/>
          <w:szCs w:val="20"/>
          <w:color w:val="auto"/>
        </w:rPr>
      </w:pPr>
    </w:p>
    <w:p>
      <w:pPr>
        <w:ind w:left="700" w:hanging="650"/>
        <w:spacing w:after="0"/>
        <w:tabs>
          <w:tab w:leader="none" w:pos="7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CONTINGENCIES, AND GUARANTEES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on December 28, 2024,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On December 28, 2024, we had outstanding purchase commitments on commenced capital projects of approximately $142.8 million.</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also distribute products manufactured by other companies.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December 28, 2024, we had approximately $18.7 million in outstanding payment and performance bonds for open projects. We had approximately $9.2 million in payment and performance bonds outstanding for completed projects which are still under warranty.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On December 28, 2024, we had outstanding letters of credit totaling $39.7 million, primarily related to certain insurance contracts, industrial development revenue bonds, and other debt agreements described further below.</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and other third parties to guarantee our performance under certain insurance contracts and other legal agreements. As of December 28, 2024, we have irrevocable letters of credit outstanding totaling approximately $36.3 million for these types of arrangements. We have reserves recorded on our balance sheet, in accrued liabilities, that reflect our expected future liabilities under those insurance arrangements.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$3.3 million related to our outstanding industrial development revenue bonds. These letters of credit have varying terms but may be renewed at the option of the issuing banks.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UFP Industries, Inc. in certain debt agreements, including the Series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2024 which would require us to recognize a liability on our balance sheet.</w:t>
      </w:r>
    </w:p>
    <w:p>
      <w:pPr>
        <w:spacing w:after="0" w:line="158" w:lineRule="exact"/>
        <w:rPr>
          <w:sz w:val="20"/>
          <w:szCs w:val="20"/>
          <w:color w:val="auto"/>
        </w:rPr>
      </w:pPr>
    </w:p>
    <w:p>
      <w:pPr>
        <w:ind w:left="700" w:hanging="650"/>
        <w:spacing w:after="0"/>
        <w:tabs>
          <w:tab w:leader="none" w:pos="7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ASC 280, Segment Reporting (“ASC 280”), defines operating segments as components of an enterprise about which separate financial information is available that is evaluated regularly by the chief operating decision maker (“CODM”) in deciding how to allocate resources and in assessing performance. Our CODM is the chief executive officer, as he has the ultimate decision-making authority related to assessing the Company’s performance and allocating resources. The CODM assesses performance for our segments and decides how to allocate resources based on net sales, cost of goods sold, earnings from operations and net earnings. These metrics are also reported on the Consolidated Statement of Earnings and Comprehensive Income. The measure of segment assets is reported on the Consolidated Balance Sheet as total consolidated assets. The CODM uses earnings from operations and net earnings to evaluate income generated from segment assets (return on investment) in determining wage increase allocations and bonus pools, and in deciding whether to reinvest profits into the business, such as for acquisitions or to pay dividends.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operate manufacturing, treating and distribution facilities internationally, but primarily in the United States. Our business segments consist of UFP Retail Solutions, UFP Packaging and UFP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 Two customers, The Home Depot and Lowes, accounted for approximately 17% and 11%, respectively, of our total net sales in fiscal 2024, 17% and 12%, respectively, of our total net sales in fiscal 2023 and 15% and 11%, respectively, in 2022.</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exception to this market-centered reporting and management structure is our International segment, which comprises our packaging operations in Mexico, Canada, Spain, India, United Arab Emirates and Australia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“Corporate” includes purchasing, transportation, corporate ventures, and administrative functions that serve our operating segments. Operating results of Corporate primarily consist of net sales to external customers initiated by UFP Purchasing and UFP Transportation and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 Total assets in the Corporate column include unallocated cash and cash equivalents, certain prepaid assets, and certain property, equipment and other assets pertaining to the centralized activities of Corporate, UFP Real Estate, Inc., UFP Transportation, Inc., UFP Purchasing, Inc., and UFP RMS, LLC. Real estate activities are conducted by the real estate company on behalf of the segments, and capital expenditures associated with real estate are allocated to the segments. The tables below are presented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7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0"/>
                <w:szCs w:val="10"/>
                <w:color w:val="auto"/>
              </w:rPr>
            </w:pPr>
          </w:p>
        </w:tc>
        <w:tc>
          <w:tcPr>
            <w:tcW w:w="820" w:type="dxa"/>
            <w:vAlign w:val="bottom"/>
            <w:gridSpan w:val="2"/>
          </w:tcPr>
          <w:p>
            <w:pPr>
              <w:jc w:val="right"/>
              <w:ind w:right="46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2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2,597,994</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1,636,563</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2,113,844</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298,190</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(712,342)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2,209,195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1,675,346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(34,796)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388,799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301,259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438,498</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administrative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209,592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191,757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262,517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(4,156)</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(2,964)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179,104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102,957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175,684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(3,242)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(6,114)</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(53,687)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139,127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1,571,472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7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0"/>
                <w:szCs w:val="10"/>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0"/>
                <w:szCs w:val="10"/>
                <w:color w:val="auto"/>
              </w:rPr>
            </w:pPr>
          </w:p>
        </w:tc>
        <w:tc>
          <w:tcPr>
            <w:tcW w:w="8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0"/>
                <w:szCs w:val="10"/>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2,956,007</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1,838,200</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$ 2,161,059</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259,392</w:t>
            </w: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268,210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(1,013,813)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2,566,572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1,422,940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1,637,329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182,047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(9,442)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389,435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415,260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523,730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77,345</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administrative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213,288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219,323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279,107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172,167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195,929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243,346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(5,747)</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(33,985)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148,269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186,603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316,481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0"/>
                <w:szCs w:val="10"/>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0"/>
                <w:szCs w:val="10"/>
                <w:color w:val="auto"/>
              </w:rPr>
            </w:pPr>
          </w:p>
        </w:tc>
        <w:tc>
          <w:tcPr>
            <w:tcW w:w="8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0"/>
                <w:szCs w:val="10"/>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3,771,231</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2,394,681</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$ 3,143,868</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311,019</w:t>
            </w: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421,406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(1,003,078)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3,381,555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1,808,449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2,417,212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224,864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administrative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200,645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250,858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328,125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(7,032)</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186,722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335,245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397,434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22,235</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249,097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Information regarding principal geographic areas was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820" w:type="dxa"/>
            <w:vAlign w:val="bottom"/>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2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9"/>
              <w:spacing w:after="0" w:line="124" w:lineRule="exact"/>
              <w:rPr>
                <w:sz w:val="20"/>
                <w:szCs w:val="20"/>
                <w:color w:val="auto"/>
              </w:rPr>
            </w:pPr>
            <w:r>
              <w:rPr>
                <w:rFonts w:ascii="Times New Roman" w:cs="Times New Roman" w:eastAsia="Times New Roman" w:hAnsi="Times New Roman"/>
                <w:sz w:val="14"/>
                <w:szCs w:val="14"/>
                <w:b w:val="1"/>
                <w:bCs w:val="1"/>
                <w:color w:val="auto"/>
              </w:rPr>
              <w:t>Long-Lived</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Long-Lived</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Long-Lived</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Tangible</w:t>
            </w: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Tangible</w:t>
            </w: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0" w:type="dxa"/>
            <w:vAlign w:val="bottom"/>
          </w:tcPr>
          <w:p>
            <w:pPr>
              <w:spacing w:after="0"/>
              <w:rPr>
                <w:sz w:val="12"/>
                <w:szCs w:val="12"/>
                <w:color w:val="auto"/>
              </w:rPr>
            </w:pPr>
          </w:p>
        </w:tc>
        <w:tc>
          <w:tcPr>
            <w:tcW w:w="7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Tangible</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80" w:type="dxa"/>
            <w:vAlign w:val="bottom"/>
            <w:gridSpan w:val="2"/>
            <w:vMerge w:val="continue"/>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$ 6,359,540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906,549</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$ 6,935,431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$ 779,748</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$ 9,254,676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770,921</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292,769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197,324</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282,953</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188,042</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372,063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126,840</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$ 6,652,309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1,103,873</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$ 7,218,384</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$ 967,790</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$ 9,626,739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897,761</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disaggregated net sales (in thousands) by business unit for each segment.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8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Deckorators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297,217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309,419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326,011</w:t>
            </w: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ProWood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2,146,247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2,494,362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3,152,950</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UFP Edge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288,782</w:t>
            </w:r>
          </w:p>
        </w:tc>
      </w:tr>
      <w:tr>
        <w:trPr>
          <w:trHeight w:val="236"/>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r>
      <w:tr>
        <w:trPr>
          <w:trHeight w:val="203"/>
        </w:trPr>
        <w:tc>
          <w:tcPr>
            <w:tcW w:w="5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Retail</w:t>
            </w: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2,597,994</w:t>
            </w:r>
          </w:p>
        </w:tc>
        <w:tc>
          <w:tcPr>
            <w:tcW w:w="1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2,956,007</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3,771,231</w:t>
            </w:r>
          </w:p>
        </w:tc>
      </w:tr>
      <w:tr>
        <w:trPr>
          <w:trHeight w:val="216"/>
        </w:trPr>
        <w:tc>
          <w:tcPr>
            <w:tcW w:w="5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8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Packaging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Structural Packaging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1,045,149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1,716,021</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PalletOne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628,969</w:t>
            </w:r>
          </w:p>
        </w:tc>
      </w:tr>
      <w:tr>
        <w:trPr>
          <w:trHeight w:val="236"/>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Protective Packaging</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82,354</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49,691</w:t>
            </w:r>
          </w:p>
        </w:tc>
      </w:tr>
      <w:tr>
        <w:trPr>
          <w:trHeight w:val="203"/>
        </w:trPr>
        <w:tc>
          <w:tcPr>
            <w:tcW w:w="5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Packaging</w:t>
            </w: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1,636,563</w:t>
            </w:r>
          </w:p>
        </w:tc>
        <w:tc>
          <w:tcPr>
            <w:tcW w:w="1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1,838,200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2,394,681</w:t>
            </w:r>
          </w:p>
        </w:tc>
      </w:tr>
      <w:tr>
        <w:trPr>
          <w:trHeight w:val="216"/>
        </w:trPr>
        <w:tc>
          <w:tcPr>
            <w:tcW w:w="5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Factory Built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1,181,837</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Site Built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1,361,607</w:t>
            </w: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336,298</w:t>
            </w:r>
          </w:p>
        </w:tc>
      </w:tr>
      <w:tr>
        <w:trPr>
          <w:trHeight w:val="223"/>
        </w:trPr>
        <w:tc>
          <w:tcPr>
            <w:tcW w:w="5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Concrete Forming</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174,403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200,078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264,126</w:t>
            </w: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Construction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2,113,844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2,161,059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3,143,868</w:t>
            </w:r>
          </w:p>
        </w:tc>
      </w:t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311,019</w:t>
            </w:r>
          </w:p>
        </w:tc>
      </w:t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223"/>
        </w:trPr>
        <w:tc>
          <w:tcPr>
            <w:tcW w:w="58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16"/>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6,652,309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7,218,384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9,626,739</w:t>
            </w: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0" w:right="79" w:hanging="10"/>
        <w:spacing w:after="0" w:line="236" w:lineRule="auto"/>
        <w:tabs>
          <w:tab w:leader="none" w:pos="26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2023, the Packaging segment established new business units as follows: Structural Packaging, PalletOne, and Protective Packaging Solutions. This change resulted in the transfer of net sales from the geographic business units to Structural Packaging, PalletOne and Protective Packaging in 2023. Product codes have been transferred within these three business units during 2023, and prior year figures have been updated to reflect the change for comparability purposes.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122555</wp:posOffset>
            </wp:positionV>
            <wp:extent cx="17830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Value-Added</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9"/>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Packaging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29"/>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3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 Other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29"/>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30"/>
        </w:trPr>
        <w:tc>
          <w:tcPr>
            <w:tcW w:w="6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Commodity-Based</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9"/>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Packaging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 Other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bl>
    <w:p>
      <w:pPr>
        <w:spacing w:after="0" w:line="207" w:lineRule="exact"/>
        <w:rPr>
          <w:sz w:val="20"/>
          <w:szCs w:val="20"/>
          <w:color w:val="auto"/>
        </w:rPr>
      </w:pPr>
    </w:p>
    <w:p>
      <w:pPr>
        <w:ind w:left="700" w:hanging="650"/>
        <w:spacing w:after="0"/>
        <w:tabs>
          <w:tab w:leader="none" w:pos="7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QUARTERLY FINANCIAL INFORMATION (UNAUDITED)</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financial information for all of the quarters, consisting of 52 weeks during the years ended December 28, 2024 and December 30, 2023 (in thousands, except per share data):</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First</w:t>
            </w:r>
          </w:p>
        </w:tc>
        <w:tc>
          <w:tcPr>
            <w:tcW w:w="160" w:type="dxa"/>
            <w:vAlign w:val="bottom"/>
          </w:tcPr>
          <w:p>
            <w:pPr>
              <w:spacing w:after="0"/>
              <w:rPr>
                <w:sz w:val="19"/>
                <w:szCs w:val="19"/>
                <w:color w:val="auto"/>
              </w:rPr>
            </w:pPr>
          </w:p>
        </w:tc>
        <w:tc>
          <w:tcPr>
            <w:tcW w:w="184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160" w:type="dxa"/>
            <w:vAlign w:val="bottom"/>
          </w:tcPr>
          <w:p>
            <w:pPr>
              <w:spacing w:after="0"/>
              <w:rPr>
                <w:sz w:val="19"/>
                <w:szCs w:val="19"/>
                <w:color w:val="auto"/>
              </w:rPr>
            </w:pPr>
          </w:p>
        </w:tc>
        <w:tc>
          <w:tcPr>
            <w:tcW w:w="18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Third</w:t>
            </w:r>
          </w:p>
        </w:tc>
        <w:tc>
          <w:tcPr>
            <w:tcW w:w="160" w:type="dxa"/>
            <w:vAlign w:val="bottom"/>
          </w:tcPr>
          <w:p>
            <w:pPr>
              <w:spacing w:after="0"/>
              <w:rPr>
                <w:sz w:val="19"/>
                <w:szCs w:val="19"/>
                <w:color w:val="auto"/>
              </w:rPr>
            </w:pPr>
          </w:p>
        </w:tc>
        <w:tc>
          <w:tcPr>
            <w:tcW w:w="188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Fourth</w:t>
            </w:r>
          </w:p>
        </w:tc>
      </w:tr>
      <w:tr>
        <w:trPr>
          <w:trHeight w:val="209"/>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3"/>
        </w:trPr>
        <w:tc>
          <w:tcPr>
            <w:tcW w:w="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$ 1,638,966</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$ 1,822,476</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$ 1,901,959</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$ 2,043,918</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$ 1,649,383</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$ 1,827,637</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$ 1,462,001</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$ 1,524,353</w:t>
            </w: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326,078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358,329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362,743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400,067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298,412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364,400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239,509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296,142</w:t>
            </w:r>
          </w:p>
        </w:tc>
      </w:tr>
      <w:tr>
        <w:trPr>
          <w:trHeight w:val="20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121,099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125,578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126,232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150,788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101,619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103,908</w:t>
            </w:r>
          </w:p>
        </w:tc>
      </w:tr>
      <w:tr>
        <w:trPr>
          <w:trHeight w:val="189"/>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attributable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to controlling</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interest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120,791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126,069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125,930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150,761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99,800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134,035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68,039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103,447</w:t>
            </w:r>
          </w:p>
        </w:tc>
      </w:tr>
      <w:tr>
        <w:trPr>
          <w:trHeight w:val="195"/>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2"/>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189"/>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earnings per</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w:t>
            </w:r>
          </w:p>
        </w:tc>
      </w:tr>
    </w:tbl>
    <w:p>
      <w:pPr>
        <w:spacing w:after="0" w:line="200" w:lineRule="exact"/>
        <w:rPr>
          <w:sz w:val="20"/>
          <w:szCs w:val="20"/>
          <w:color w:val="auto"/>
        </w:rPr>
      </w:pPr>
    </w:p>
    <w:p>
      <w:pPr>
        <w:spacing w:after="0" w:line="229" w:lineRule="exact"/>
        <w:rPr>
          <w:sz w:val="20"/>
          <w:szCs w:val="20"/>
          <w:color w:val="auto"/>
        </w:rPr>
      </w:pPr>
    </w:p>
    <w:p>
      <w:pPr>
        <w:ind w:left="700" w:hanging="650"/>
        <w:spacing w:after="0"/>
        <w:tabs>
          <w:tab w:leader="none" w:pos="7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SUBSEQUENT EVENTS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Subsequent to December 28, 2024 and through February 20, 2025, we repurchased 77,709 shares of our common stock for $8.7 million, at an average share price of $111.40.</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9. 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(as defined in Rules 13a-15(e) and 15d-15(e) of the Securities Exchange Act of 1934, as amended, referred to herein as “Disclosure Controls”) as of the end of the period covered by this Annual Report on Form 10-K. The controls evaluation was performed under the supervision and with the participation of management, including our Chief Executive Officer (CEO) and Chief Financial Officer (CFO). Based upon our most recent evaluation, we have concluded that the consolidated financial statements included in this Annual Report on Form 10-K fairly present, in all material respects, our financial position, results of operations and cash flows for the periods presented in conformity with accounting principles generally accepted in the United States of America (“U.S. GAAP”).</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and based upon the criteria established in Internal Control — Integrated Framework (2013) issued by the Committee of Sponsoring Organizations of the Treadway Commission. Our internal control over financial reporting is designed to provide reasonable assurance regarding the reliability of financial reporting and the preparation of financial statements for external purposes in accordance with U.S. GAAP. Our management assessed the effectiveness of our internal control over financial reporting as of December 28, 2024. Based on this assessment, our internal control over financial reporting was effective as of December 28, 2024.</w:t>
      </w:r>
    </w:p>
    <w:p>
      <w:pPr>
        <w:spacing w:after="0" w:line="18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Deloitte &amp; Touche LLP, our independent registered public accounting firm, has audited the effectiveness of our internal control over financial reporting as of December 28, 2024. Deloitte &amp; Touche LLP's opinion, as stated in their report which appears on page 38 of this Form 10-K, is consistent with management's report on internal control over financial reporting as set forth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28, 2024, that materially affected, or are reasonably likely to materially affect, our internal control over financial reporting.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28, 2024, no director or officer adopted or terminated a “Rule 10b5-1 trading arrangement” or a “non-Rule 10b5-1 trading arrangement,” as each term is defined in Item 408(a) of Regulation S-K.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Information relating to our directors, compliance with Section 16(a) of the Securities Exchange Act of 1934 and various corporate governance matters is incorporated by reference from our definitive Proxy Statement for the year ended December 28, 2024 for the 2025 Annual Meeting of Shareholders, to be filed with the SEC (“2025 Proxy Statement”), under the captions “Election of Directors,” “Corporate Governance and Board Matters,” and “Delinquent Section 16(a) Reports.” Information relating to executive officers is included in this report in the last Section of Part I under the caption “Additional Item: Executive Officers of the Registrant.” Information relating to our code of ethics is included in this report in Part I, Item 1 under the caption “Available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200" w:type="dxa"/>
            <w:vAlign w:val="bottom"/>
            <w:gridSpan w:val="4"/>
          </w:tcPr>
          <w:p>
            <w:pPr>
              <w:ind w:left="26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r>
      <w:tr>
        <w:trPr>
          <w:trHeight w:val="20"/>
        </w:trPr>
        <w:tc>
          <w:tcPr>
            <w:tcW w:w="2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6"/>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940" w:type="dxa"/>
            <w:vAlign w:val="bottom"/>
          </w:tcPr>
          <w:p>
            <w:pPr>
              <w:spacing w:after="0"/>
              <w:rPr>
                <w:sz w:val="24"/>
                <w:szCs w:val="24"/>
                <w:color w:val="auto"/>
              </w:rPr>
            </w:pP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SECTION 16 OFFICERS</w:t>
            </w:r>
          </w:p>
        </w:tc>
      </w:tr>
      <w:tr>
        <w:trPr>
          <w:trHeight w:val="41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J. Missad</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William D. Schwartz, Jr.</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UFP Industries, Inc.</w:t>
            </w:r>
          </w:p>
        </w:tc>
        <w:tc>
          <w:tcPr>
            <w:tcW w:w="26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G. Currie</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Matthew J. Missad</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UFP Industries, Inc.</w:t>
            </w:r>
          </w:p>
        </w:tc>
        <w:tc>
          <w:tcPr>
            <w:tcW w:w="26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W. Rhodes</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Michael R. Cole</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w w:val="98"/>
              </w:rPr>
              <w:t>Chief Financial Officer, Treasurer and</w:t>
            </w: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TWR Enterprises, Inc.</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President of Corporate Services</w:t>
            </w:r>
          </w:p>
        </w:tc>
      </w:tr>
      <w:tr>
        <w:trPr>
          <w:trHeight w:val="41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A. Merino</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Patrick Benton</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President</w:t>
            </w: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UFP Industries, Inc.</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UFP Construction, LLC</w:t>
            </w:r>
          </w:p>
        </w:tc>
      </w:tr>
      <w:tr>
        <w:trPr>
          <w:trHeight w:val="41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Tuuk Kuras</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Scott A. Worthington</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President</w:t>
            </w: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UFP Industries, Inc.</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UFP Packaging, LLC</w:t>
            </w:r>
          </w:p>
        </w:tc>
      </w:tr>
      <w:tr>
        <w:trPr>
          <w:trHeight w:val="41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 Walker</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Landon Tarvin</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Partner-Strategic Leadership</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President</w:t>
            </w: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Huron Capital</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UFP Retail Solutions, LLC</w:t>
            </w:r>
          </w:p>
        </w:tc>
      </w:tr>
      <w:tr>
        <w:trPr>
          <w:trHeight w:val="41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G. Wooldridge</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R. Paul Guerre</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Corporate Secretary and Director</w:t>
            </w: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Varnum, LLP</w:t>
            </w:r>
          </w:p>
        </w:tc>
        <w:tc>
          <w:tcPr>
            <w:tcW w:w="3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of Corporate Compliance</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Joan A. Budden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Former President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Priority Health</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Benjamin J. McLean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Ruan Transportation Management Systems,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Information relating to director and executive compensation is incorporated by reference from the 2025 Proxy Statement under the caption “Executive Compensation.” The “Personnel and Compensation Committee Report” included in the 2025 Proxy Statement is incorporated by reference for the purpose of being furnished herein and is not and shall not be deemed to be filed under the Securities Exchange Act of 1934, as amended.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Shareholder Matters.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Information relating to security ownership of certain beneficial owners and management is incorporated by reference from our 2025 Proxy Statement under the captions “Voting Securities and Record Date” and “Securities Ownership of Management and Directors.”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Information relating to securities authorized for issuance under equity compensation plans as of December 28, 2024, is as follows: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9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reflected in</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9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9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9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column (a)] </w:t>
            </w:r>
            <w:r>
              <w:rPr>
                <w:rFonts w:ascii="Times New Roman" w:cs="Times New Roman" w:eastAsia="Times New Roman" w:hAnsi="Times New Roman"/>
                <w:sz w:val="21"/>
                <w:szCs w:val="21"/>
                <w:b w:val="1"/>
                <w:bCs w:val="1"/>
                <w:color w:val="auto"/>
                <w:w w:val="96"/>
                <w:vertAlign w:val="superscript"/>
              </w:rPr>
              <w:t>(2)</w:t>
            </w:r>
          </w:p>
        </w:tc>
        <w:tc>
          <w:tcPr>
            <w:tcW w:w="0" w:type="dxa"/>
            <w:vAlign w:val="bottom"/>
          </w:tcPr>
          <w:p>
            <w:pPr>
              <w:spacing w:after="0"/>
              <w:rPr>
                <w:sz w:val="1"/>
                <w:szCs w:val="1"/>
                <w:color w:val="auto"/>
              </w:rPr>
            </w:pPr>
          </w:p>
        </w:tc>
      </w:tr>
      <w:tr>
        <w:trPr>
          <w:trHeight w:val="176"/>
        </w:trPr>
        <w:tc>
          <w:tcPr>
            <w:tcW w:w="5900" w:type="dxa"/>
            <w:vAlign w:val="bottom"/>
          </w:tcPr>
          <w:p>
            <w:pPr>
              <w:spacing w:after="0"/>
              <w:rPr>
                <w:sz w:val="15"/>
                <w:szCs w:val="15"/>
                <w:color w:val="auto"/>
              </w:rPr>
            </w:pPr>
          </w:p>
        </w:tc>
        <w:tc>
          <w:tcPr>
            <w:tcW w:w="9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4"/>
                <w:szCs w:val="14"/>
                <w:b w:val="1"/>
                <w:bCs w:val="1"/>
                <w:color w:val="auto"/>
                <w:w w:val="90"/>
              </w:rPr>
              <w:t xml:space="preserve">(a) </w:t>
            </w:r>
            <w:r>
              <w:rPr>
                <w:rFonts w:ascii="Times New Roman" w:cs="Times New Roman" w:eastAsia="Times New Roman" w:hAnsi="Times New Roman"/>
                <w:sz w:val="20"/>
                <w:szCs w:val="20"/>
                <w:b w:val="1"/>
                <w:bCs w:val="1"/>
                <w:color w:val="auto"/>
                <w:w w:val="90"/>
                <w:vertAlign w:val="superscript"/>
              </w:rPr>
              <w:t>(1)</w:t>
            </w:r>
          </w:p>
        </w:tc>
        <w:tc>
          <w:tcPr>
            <w:tcW w:w="94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1,728,052</w:t>
            </w:r>
          </w:p>
        </w:tc>
        <w:tc>
          <w:tcPr>
            <w:tcW w:w="0" w:type="dxa"/>
            <w:vAlign w:val="bottom"/>
          </w:tcPr>
          <w:p>
            <w:pPr>
              <w:spacing w:after="0"/>
              <w:rPr>
                <w:sz w:val="1"/>
                <w:szCs w:val="1"/>
                <w:color w:val="auto"/>
              </w:rPr>
            </w:pP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jc w:val="both"/>
        <w:ind w:left="380" w:right="79" w:hanging="330"/>
        <w:spacing w:after="0" w:line="220" w:lineRule="auto"/>
        <w:tabs>
          <w:tab w:leader="none" w:pos="380" w:val="left"/>
        </w:tabs>
        <w:numPr>
          <w:ilvl w:val="0"/>
          <w:numId w:val="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number of shares to be issued upon exercise of outstanding options, warrants, or similar rights, as of December 28, 2024, is as follows: 66,744 performance units under our Long Term Stock Incentive Plan and 197,856 stock units under our Director Compensation Plan.</w:t>
      </w:r>
    </w:p>
    <w:p>
      <w:pPr>
        <w:spacing w:after="0" w:line="91" w:lineRule="exact"/>
        <w:rPr>
          <w:rFonts w:ascii="Times New Roman" w:cs="Times New Roman" w:eastAsia="Times New Roman" w:hAnsi="Times New Roman"/>
          <w:sz w:val="27"/>
          <w:szCs w:val="27"/>
          <w:color w:val="auto"/>
          <w:vertAlign w:val="superscript"/>
        </w:rPr>
      </w:pPr>
    </w:p>
    <w:p>
      <w:pPr>
        <w:jc w:val="both"/>
        <w:ind w:left="380" w:right="79" w:hanging="330"/>
        <w:spacing w:after="0" w:line="227" w:lineRule="auto"/>
        <w:tabs>
          <w:tab w:leader="none" w:pos="380" w:val="left"/>
        </w:tabs>
        <w:numPr>
          <w:ilvl w:val="0"/>
          <w:numId w:val="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number of shares remaining available for future issuance under equity compensation plans, excluding outstanding options, warrants, or similar rights, as of December 28, 2024, is as follows: 100,923 shares for our Employee Stock Purchase Plan, 157,067 shares for our Director Compensation Plan, 1,470,062 shares under our Long-Term Stock Incentive Plan, and 8,210 shares for our Employee Stock Gift Program.</w:t>
      </w:r>
    </w:p>
    <w:p>
      <w:pPr>
        <w:spacing w:after="0" w:line="9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 H “Common Stock” to our consolidated financial statements for the fiscal year ended December 28, 2024 in item 8 for information regarding these plans.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Information relating to certain relationships and related transactions, and director independence is incorporated by reference from the 2025 Proxy Statement under the captions “Election of Directors”, “Affirmative Determination Regarding Director Independence and Other Matters” and “Related Party Transactions.”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Accountant Fees and Services.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Information relating to the types of services rendered by our Independent Registered Public Accounting Firm and the fees paid for these services is incorporated by reference from our 2025 Proxy Statement under the caption “Independent Registered Public Accounting Firm — Disclosure of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Financial Statement Schedules.</w:t>
      </w:r>
    </w:p>
    <w:p>
      <w:pPr>
        <w:spacing w:after="0" w:line="229" w:lineRule="exact"/>
        <w:rPr>
          <w:sz w:val="20"/>
          <w:szCs w:val="20"/>
          <w:color w:val="auto"/>
        </w:rPr>
      </w:pPr>
    </w:p>
    <w:p>
      <w:pPr>
        <w:ind w:left="700" w:right="79" w:hanging="650"/>
        <w:spacing w:after="0" w:line="282" w:lineRule="auto"/>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 Financial Statements</w:t>
      </w:r>
      <w:r>
        <w:rPr>
          <w:rFonts w:ascii="Times New Roman" w:cs="Times New Roman" w:eastAsia="Times New Roman" w:hAnsi="Times New Roman"/>
          <w:sz w:val="18"/>
          <w:szCs w:val="18"/>
          <w:color w:val="auto"/>
        </w:rPr>
        <w:t>. The following are incorporated by reference, under Item 8 of this report, from the 2024 Annual Report:</w:t>
      </w:r>
    </w:p>
    <w:p>
      <w:pPr>
        <w:spacing w:after="0" w:line="161" w:lineRule="exact"/>
        <w:rPr>
          <w:rFonts w:ascii="Times New Roman" w:cs="Times New Roman" w:eastAsia="Times New Roman" w:hAnsi="Times New Roman"/>
          <w:sz w:val="18"/>
          <w:szCs w:val="18"/>
          <w:color w:val="auto"/>
        </w:rPr>
      </w:pPr>
    </w:p>
    <w:p>
      <w:pPr>
        <w:ind w:left="700" w:right="34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 on Internal Control Over Financial Reporting Report of Independent Registered Public Accounting Firm Report of Independent Registered Public Accounting Firm Consolidated Statements of Earnings and Comprehensive Income Consolidated Statements of Shareholders’ Equity</w:t>
      </w:r>
    </w:p>
    <w:p>
      <w:pPr>
        <w:spacing w:after="0" w:line="3" w:lineRule="exact"/>
        <w:rPr>
          <w:rFonts w:ascii="Times New Roman" w:cs="Times New Roman" w:eastAsia="Times New Roman" w:hAnsi="Times New Roman"/>
          <w:sz w:val="18"/>
          <w:szCs w:val="18"/>
          <w:color w:val="auto"/>
        </w:rPr>
      </w:pPr>
    </w:p>
    <w:p>
      <w:pPr>
        <w:ind w:left="700" w:right="5179"/>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Consolidated Statements of Cash Flows Notes to Consolidated Financial Statements</w:t>
      </w:r>
    </w:p>
    <w:p>
      <w:pPr>
        <w:spacing w:after="0" w:line="157" w:lineRule="exact"/>
        <w:rPr>
          <w:rFonts w:ascii="Times New Roman" w:cs="Times New Roman" w:eastAsia="Times New Roman" w:hAnsi="Times New Roman"/>
          <w:sz w:val="18"/>
          <w:szCs w:val="18"/>
          <w:color w:val="auto"/>
        </w:rPr>
      </w:pPr>
    </w:p>
    <w:p>
      <w:pPr>
        <w:ind w:left="700" w:right="199" w:hanging="2"/>
        <w:spacing w:after="0" w:line="266" w:lineRule="auto"/>
        <w:tabs>
          <w:tab w:leader="none" w:pos="1015" w:val="left"/>
        </w:tabs>
        <w:numPr>
          <w:ilvl w:val="1"/>
          <w:numId w:val="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Financial Statement Schedules</w:t>
      </w:r>
      <w:r>
        <w:rPr>
          <w:rFonts w:ascii="Times New Roman" w:cs="Times New Roman" w:eastAsia="Times New Roman" w:hAnsi="Times New Roman"/>
          <w:sz w:val="18"/>
          <w:szCs w:val="18"/>
          <w:color w:val="auto"/>
        </w:rPr>
        <w:t>. All schedules required by this Form 10-K Report have been omitted because they were inapplicable, included in the Consolidated Financial Statements or Notes to Consolidated Financial Statements, or otherwise not required under instructions contained in Regulation S-X.</w:t>
      </w:r>
    </w:p>
    <w:p>
      <w:pPr>
        <w:spacing w:after="0" w:line="175" w:lineRule="exact"/>
        <w:rPr>
          <w:rFonts w:ascii="Times New Roman" w:cs="Times New Roman" w:eastAsia="Times New Roman" w:hAnsi="Times New Roman"/>
          <w:sz w:val="18"/>
          <w:szCs w:val="18"/>
          <w:u w:val="single" w:color="auto"/>
          <w:color w:val="auto"/>
        </w:rPr>
      </w:pPr>
    </w:p>
    <w:p>
      <w:pPr>
        <w:ind w:left="1020" w:hanging="322"/>
        <w:spacing w:after="0"/>
        <w:tabs>
          <w:tab w:leader="none" w:pos="1020" w:val="left"/>
        </w:tabs>
        <w:numPr>
          <w:ilvl w:val="1"/>
          <w:numId w:val="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Reference is made to the Exhibit Index which is included in this Form 10-K Report.</w:t>
      </w:r>
    </w:p>
    <w:p>
      <w:pPr>
        <w:spacing w:after="0" w:line="225" w:lineRule="exact"/>
        <w:rPr>
          <w:rFonts w:ascii="Times New Roman" w:cs="Times New Roman" w:eastAsia="Times New Roman" w:hAnsi="Times New Roman"/>
          <w:sz w:val="18"/>
          <w:szCs w:val="18"/>
          <w:u w:val="single" w:color="auto"/>
          <w:color w:val="auto"/>
        </w:rPr>
      </w:pPr>
    </w:p>
    <w:p>
      <w:pPr>
        <w:ind w:left="700" w:hanging="650"/>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Exhibit Index which is included in this Form 10-K Report.</w:t>
      </w:r>
    </w:p>
    <w:p>
      <w:pPr>
        <w:spacing w:after="0" w:line="225"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3"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u w:val="single" w:color="auto"/>
          <w:color w:val="auto"/>
        </w:rPr>
        <w:t>Exhibit #</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wp:posOffset>
            </wp:positionV>
            <wp:extent cx="50831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spacing w:after="0" w:line="192" w:lineRule="exact"/>
        <w:rPr>
          <w:sz w:val="20"/>
          <w:szCs w:val="20"/>
          <w:color w:val="auto"/>
        </w:rPr>
      </w:pPr>
    </w:p>
    <w:p>
      <w:pPr>
        <w:ind w:left="940" w:hanging="884"/>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Incorporation and Bylaws.</w:t>
      </w:r>
    </w:p>
    <w:p>
      <w:pPr>
        <w:spacing w:after="0" w:line="198" w:lineRule="exact"/>
        <w:rPr>
          <w:rFonts w:ascii="Times New Roman" w:cs="Times New Roman" w:eastAsia="Times New Roman" w:hAnsi="Times New Roman"/>
          <w:sz w:val="18"/>
          <w:szCs w:val="18"/>
          <w:color w:val="auto"/>
        </w:rPr>
      </w:pPr>
    </w:p>
    <w:p>
      <w:pPr>
        <w:ind w:left="1700" w:right="119" w:hanging="753"/>
        <w:spacing w:after="0" w:line="266" w:lineRule="auto"/>
        <w:tabs>
          <w:tab w:leader="none" w:pos="1700" w:val="left"/>
        </w:tabs>
        <w:numPr>
          <w:ilvl w:val="1"/>
          <w:numId w:val="51"/>
        </w:numPr>
        <w:rPr>
          <w:rFonts w:ascii="Times New Roman" w:cs="Times New Roman" w:eastAsia="Times New Roman" w:hAnsi="Times New Roman"/>
          <w:sz w:val="18"/>
          <w:szCs w:val="18"/>
          <w:u w:val="single" w:color="auto"/>
          <w:color w:val="0000EE"/>
        </w:rPr>
      </w:pPr>
      <w:hyperlink r:id="rId91">
        <w:r>
          <w:rPr>
            <w:rFonts w:ascii="Times New Roman" w:cs="Times New Roman" w:eastAsia="Times New Roman" w:hAnsi="Times New Roman"/>
            <w:sz w:val="18"/>
            <w:szCs w:val="18"/>
            <w:u w:val="single" w:color="auto"/>
            <w:color w:val="0000EE"/>
          </w:rPr>
          <w:t>Restated Articles of Incorporation, as amended through April 24, 2024 (incorporated by reference</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to Exhibit 3(a) of the Registrant's Quarterly Report on Form 10-Q filed on May 8, 2024).</w:t>
        </w:r>
      </w:hyperlink>
    </w:p>
    <w:p>
      <w:pPr>
        <w:spacing w:after="0" w:line="135" w:lineRule="exact"/>
        <w:rPr>
          <w:rFonts w:ascii="Times New Roman" w:cs="Times New Roman" w:eastAsia="Times New Roman" w:hAnsi="Times New Roman"/>
          <w:sz w:val="18"/>
          <w:szCs w:val="18"/>
          <w:u w:val="single" w:color="auto"/>
          <w:color w:val="0000EE"/>
        </w:rPr>
      </w:pPr>
    </w:p>
    <w:p>
      <w:pPr>
        <w:ind w:left="1700" w:right="99" w:hanging="753"/>
        <w:spacing w:after="0" w:line="266" w:lineRule="auto"/>
        <w:tabs>
          <w:tab w:leader="none" w:pos="1700" w:val="left"/>
        </w:tabs>
        <w:numPr>
          <w:ilvl w:val="1"/>
          <w:numId w:val="51"/>
        </w:numPr>
        <w:rPr>
          <w:rFonts w:ascii="Times New Roman" w:cs="Times New Roman" w:eastAsia="Times New Roman" w:hAnsi="Times New Roman"/>
          <w:sz w:val="18"/>
          <w:szCs w:val="18"/>
          <w:u w:val="single" w:color="auto"/>
          <w:color w:val="0000EE"/>
        </w:rPr>
      </w:pPr>
      <w:hyperlink r:id="rId92">
        <w:r>
          <w:rPr>
            <w:rFonts w:ascii="Times New Roman" w:cs="Times New Roman" w:eastAsia="Times New Roman" w:hAnsi="Times New Roman"/>
            <w:sz w:val="18"/>
            <w:szCs w:val="18"/>
            <w:u w:val="single" w:color="auto"/>
            <w:color w:val="0000EE"/>
          </w:rPr>
          <w:t>Amended Bylaws (incorporated by reference to Exhibit 3(b) of the Registrant's Annual Report on</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Form 10-K for the year ended December 31, 2016).</w:t>
        </w:r>
      </w:hyperlink>
    </w:p>
    <w:p>
      <w:pPr>
        <w:spacing w:after="0" w:line="135" w:lineRule="exact"/>
        <w:rPr>
          <w:rFonts w:ascii="Times New Roman" w:cs="Times New Roman" w:eastAsia="Times New Roman" w:hAnsi="Times New Roman"/>
          <w:sz w:val="18"/>
          <w:szCs w:val="18"/>
          <w:color w:val="auto"/>
        </w:rPr>
      </w:pPr>
    </w:p>
    <w:p>
      <w:pPr>
        <w:ind w:left="940" w:hanging="884"/>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Defining the Rights of Security Holders.</w:t>
      </w:r>
    </w:p>
    <w:p>
      <w:pPr>
        <w:spacing w:after="0" w:line="198" w:lineRule="exact"/>
        <w:rPr>
          <w:rFonts w:ascii="Times New Roman" w:cs="Times New Roman" w:eastAsia="Times New Roman" w:hAnsi="Times New Roman"/>
          <w:sz w:val="18"/>
          <w:szCs w:val="18"/>
          <w:color w:val="auto"/>
        </w:rPr>
      </w:pPr>
    </w:p>
    <w:p>
      <w:pPr>
        <w:ind w:left="1700" w:hanging="753"/>
        <w:spacing w:after="0"/>
        <w:tabs>
          <w:tab w:leader="none" w:pos="17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Description of Registrant’s Securities.</w:t>
      </w:r>
    </w:p>
    <w:p>
      <w:pPr>
        <w:spacing w:after="0" w:line="198" w:lineRule="exact"/>
        <w:rPr>
          <w:rFonts w:ascii="Times New Roman" w:cs="Times New Roman" w:eastAsia="Times New Roman" w:hAnsi="Times New Roman"/>
          <w:sz w:val="18"/>
          <w:szCs w:val="18"/>
          <w:color w:val="auto"/>
        </w:rPr>
      </w:pPr>
    </w:p>
    <w:p>
      <w:pPr>
        <w:ind w:left="940" w:hanging="884"/>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98" w:lineRule="exact"/>
        <w:rPr>
          <w:rFonts w:ascii="Times New Roman" w:cs="Times New Roman" w:eastAsia="Times New Roman" w:hAnsi="Times New Roman"/>
          <w:sz w:val="18"/>
          <w:szCs w:val="18"/>
          <w:color w:val="auto"/>
        </w:rPr>
      </w:pPr>
    </w:p>
    <w:p>
      <w:pPr>
        <w:ind w:left="1700" w:right="79" w:hanging="753"/>
        <w:spacing w:after="0" w:line="266" w:lineRule="auto"/>
        <w:tabs>
          <w:tab w:leader="none" w:pos="1700" w:val="left"/>
        </w:tabs>
        <w:numPr>
          <w:ilvl w:val="1"/>
          <w:numId w:val="53"/>
        </w:numPr>
        <w:rPr>
          <w:rFonts w:ascii="Times New Roman" w:cs="Times New Roman" w:eastAsia="Times New Roman" w:hAnsi="Times New Roman"/>
          <w:sz w:val="18"/>
          <w:szCs w:val="18"/>
          <w:u w:val="single" w:color="auto"/>
          <w:color w:val="0000EE"/>
        </w:rPr>
      </w:pPr>
      <w:hyperlink r:id="rId93">
        <w:r>
          <w:rPr>
            <w:rFonts w:ascii="Times New Roman" w:cs="Times New Roman" w:eastAsia="Times New Roman" w:hAnsi="Times New Roman"/>
            <w:sz w:val="18"/>
            <w:szCs w:val="18"/>
            <w:u w:val="single" w:color="auto"/>
            <w:color w:val="0000EE"/>
          </w:rPr>
          <w:t>Credit Agreement dated November 1, 2018 incorporated by reference to Exhibit 10(i)(2) of the</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Registrant's Current Report on Form 8-K filed November 2, 2018).</w:t>
        </w:r>
      </w:hyperlink>
    </w:p>
    <w:p>
      <w:pPr>
        <w:spacing w:after="0" w:line="135" w:lineRule="exact"/>
        <w:rPr>
          <w:rFonts w:ascii="Times New Roman" w:cs="Times New Roman" w:eastAsia="Times New Roman" w:hAnsi="Times New Roman"/>
          <w:sz w:val="18"/>
          <w:szCs w:val="18"/>
          <w:u w:val="single" w:color="auto"/>
          <w:color w:val="0000EE"/>
        </w:rPr>
      </w:pPr>
    </w:p>
    <w:p>
      <w:pPr>
        <w:ind w:left="2160" w:right="79" w:hanging="457"/>
        <w:spacing w:after="0" w:line="266" w:lineRule="auto"/>
        <w:tabs>
          <w:tab w:leader="none" w:pos="2160" w:val="left"/>
        </w:tabs>
        <w:numPr>
          <w:ilvl w:val="2"/>
          <w:numId w:val="53"/>
        </w:numPr>
        <w:rPr>
          <w:rFonts w:ascii="Times New Roman" w:cs="Times New Roman" w:eastAsia="Times New Roman" w:hAnsi="Times New Roman"/>
          <w:sz w:val="18"/>
          <w:szCs w:val="18"/>
          <w:u w:val="single" w:color="auto"/>
          <w:color w:val="0000EE"/>
        </w:rPr>
      </w:pPr>
      <w:hyperlink r:id="rId94">
        <w:r>
          <w:rPr>
            <w:rFonts w:ascii="Times New Roman" w:cs="Times New Roman" w:eastAsia="Times New Roman" w:hAnsi="Times New Roman"/>
            <w:sz w:val="18"/>
            <w:szCs w:val="18"/>
            <w:u w:val="single" w:color="auto"/>
            <w:color w:val="0000EE"/>
          </w:rPr>
          <w:t>First Amendment to Credit Agreement dated February 19, 2021 (incorporated by reference to</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Exhibit 10(a) of the Registrant's Quarterly Report on Form 10-Q filed May 5, 2021).</w:t>
        </w:r>
      </w:hyperlink>
    </w:p>
    <w:p>
      <w:pPr>
        <w:spacing w:after="0" w:line="135" w:lineRule="exact"/>
        <w:rPr>
          <w:rFonts w:ascii="Times New Roman" w:cs="Times New Roman" w:eastAsia="Times New Roman" w:hAnsi="Times New Roman"/>
          <w:sz w:val="18"/>
          <w:szCs w:val="18"/>
          <w:u w:val="single" w:color="auto"/>
          <w:color w:val="0000EE"/>
        </w:rPr>
      </w:pPr>
    </w:p>
    <w:p>
      <w:pPr>
        <w:ind w:left="2160" w:right="79" w:hanging="457"/>
        <w:spacing w:after="0" w:line="266" w:lineRule="auto"/>
        <w:tabs>
          <w:tab w:leader="none" w:pos="2160" w:val="left"/>
        </w:tabs>
        <w:numPr>
          <w:ilvl w:val="2"/>
          <w:numId w:val="53"/>
        </w:numPr>
        <w:rPr>
          <w:rFonts w:ascii="Times New Roman" w:cs="Times New Roman" w:eastAsia="Times New Roman" w:hAnsi="Times New Roman"/>
          <w:sz w:val="18"/>
          <w:szCs w:val="18"/>
          <w:u w:val="single" w:color="auto"/>
          <w:color w:val="0000EE"/>
        </w:rPr>
      </w:pPr>
      <w:hyperlink r:id="rId95">
        <w:r>
          <w:rPr>
            <w:rFonts w:ascii="Times New Roman" w:cs="Times New Roman" w:eastAsia="Times New Roman" w:hAnsi="Times New Roman"/>
            <w:sz w:val="18"/>
            <w:szCs w:val="18"/>
            <w:u w:val="single" w:color="auto"/>
            <w:color w:val="0000EE"/>
          </w:rPr>
          <w:t>Second Amendment to Credit Agreement dated December 6, 2022 (incorporated by reference</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to Exhibit 10(l) of the Registrant's Current Report on Form 8-K filed December 12, 2022).</w:t>
        </w:r>
      </w:hyperlink>
    </w:p>
    <w:p>
      <w:pPr>
        <w:spacing w:after="0" w:line="135" w:lineRule="exact"/>
        <w:rPr>
          <w:rFonts w:ascii="Times New Roman" w:cs="Times New Roman" w:eastAsia="Times New Roman" w:hAnsi="Times New Roman"/>
          <w:sz w:val="18"/>
          <w:szCs w:val="18"/>
          <w:u w:val="single" w:color="auto"/>
          <w:color w:val="0000EE"/>
        </w:rPr>
      </w:pPr>
    </w:p>
    <w:p>
      <w:pPr>
        <w:ind w:left="2160" w:right="79" w:hanging="457"/>
        <w:spacing w:after="0" w:line="266" w:lineRule="auto"/>
        <w:tabs>
          <w:tab w:leader="none" w:pos="2160" w:val="left"/>
        </w:tabs>
        <w:numPr>
          <w:ilvl w:val="2"/>
          <w:numId w:val="53"/>
        </w:numPr>
        <w:rPr>
          <w:rFonts w:ascii="Times New Roman" w:cs="Times New Roman" w:eastAsia="Times New Roman" w:hAnsi="Times New Roman"/>
          <w:sz w:val="18"/>
          <w:szCs w:val="18"/>
          <w:u w:val="single" w:color="auto"/>
          <w:color w:val="0000EE"/>
        </w:rPr>
      </w:pPr>
      <w:hyperlink r:id="rId96">
        <w:r>
          <w:rPr>
            <w:rFonts w:ascii="Times New Roman" w:cs="Times New Roman" w:eastAsia="Times New Roman" w:hAnsi="Times New Roman"/>
            <w:sz w:val="18"/>
            <w:szCs w:val="18"/>
            <w:u w:val="single" w:color="auto"/>
            <w:color w:val="0000EE"/>
          </w:rPr>
          <w:t>Third Amendment to Credit Agreement dated August 11, 2023 (incorporated by reference to</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Exhibit 10(a)(iii) of the Registrant’s Annual Report on Form 10-K filed February 28, 2024).</w:t>
        </w:r>
      </w:hyperlink>
    </w:p>
    <w:p>
      <w:pPr>
        <w:spacing w:after="0" w:line="135" w:lineRule="exact"/>
        <w:rPr>
          <w:rFonts w:ascii="Times New Roman" w:cs="Times New Roman" w:eastAsia="Times New Roman" w:hAnsi="Times New Roman"/>
          <w:sz w:val="18"/>
          <w:szCs w:val="18"/>
          <w:u w:val="single" w:color="auto"/>
          <w:color w:val="0000EE"/>
        </w:rPr>
      </w:pPr>
    </w:p>
    <w:p>
      <w:pPr>
        <w:jc w:val="both"/>
        <w:ind w:left="1700" w:right="119" w:hanging="753"/>
        <w:spacing w:after="0" w:line="250" w:lineRule="auto"/>
        <w:tabs>
          <w:tab w:leader="none" w:pos="17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Indemnity Agreement entered into between the Registrant and each of its directors (incorporated by reference to Exhibit 10(b) of a Registration Statement on Form S-1 filed by the Registrant on September 28, 1993).</w:t>
      </w:r>
    </w:p>
    <w:p>
      <w:pPr>
        <w:spacing w:after="0" w:line="150" w:lineRule="exact"/>
        <w:rPr>
          <w:rFonts w:ascii="Times New Roman" w:cs="Times New Roman" w:eastAsia="Times New Roman" w:hAnsi="Times New Roman"/>
          <w:sz w:val="18"/>
          <w:szCs w:val="18"/>
          <w:color w:val="auto"/>
        </w:rPr>
      </w:pPr>
    </w:p>
    <w:tbl>
      <w:tblPr>
        <w:tblLayout w:type="fixed"/>
        <w:tblInd w:w="40" w:type="dxa"/>
        <w:tblCellMar>
          <w:top w:w="0" w:type="dxa"/>
          <w:left w:w="0" w:type="dxa"/>
          <w:bottom w:w="0" w:type="dxa"/>
          <w:right w:w="0" w:type="dxa"/>
        </w:tblCellMar>
      </w:tblPr>
      <w:tr>
        <w:trPr>
          <w:trHeight w:val="207"/>
        </w:trPr>
        <w:tc>
          <w:tcPr>
            <w:tcW w:w="16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w:t>
            </w:r>
          </w:p>
        </w:tc>
        <w:tc>
          <w:tcPr>
            <w:tcW w:w="73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UFP Industries, Inc. Deferred Compensation Plan, as amended and restated effective January 1,</w:t>
            </w:r>
          </w:p>
        </w:tc>
        <w:tc>
          <w:tcPr>
            <w:tcW w:w="0" w:type="dxa"/>
            <w:vAlign w:val="bottom"/>
          </w:tcPr>
          <w:p>
            <w:pPr>
              <w:spacing w:after="0"/>
              <w:rPr>
                <w:sz w:val="1"/>
                <w:szCs w:val="1"/>
                <w:color w:val="auto"/>
              </w:rPr>
            </w:pPr>
          </w:p>
        </w:tc>
      </w:tr>
      <w:tr>
        <w:trPr>
          <w:trHeight w:val="196"/>
        </w:trPr>
        <w:tc>
          <w:tcPr>
            <w:tcW w:w="16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2025.</w:t>
            </w:r>
          </w:p>
        </w:tc>
        <w:tc>
          <w:tcPr>
            <w:tcW w:w="10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6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w:t>
            </w:r>
          </w:p>
        </w:tc>
        <w:tc>
          <w:tcPr>
            <w:tcW w:w="73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UFP Industries, Inc. Executive Stock Grant Program – Second Amended and Restated, Effective</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7280" w:type="dxa"/>
            <w:vAlign w:val="bottom"/>
            <w:tcBorders>
              <w:top w:val="single" w:sz="8" w:color="0000EE"/>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EE"/>
              </w:rPr>
              <w:t>January 1, 2023 (as amended as of December 6, 2024, and as of January 1, 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*(e)</w:t>
            </w:r>
          </w:p>
        </w:tc>
        <w:tc>
          <w:tcPr>
            <w:tcW w:w="1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60" w:type="dxa"/>
            <w:vAlign w:val="bottom"/>
            <w:vMerge w:val="continue"/>
          </w:tcPr>
          <w:p>
            <w:pPr>
              <w:spacing w:after="0"/>
              <w:rPr>
                <w:sz w:val="24"/>
                <w:szCs w:val="24"/>
                <w:color w:val="auto"/>
              </w:rPr>
            </w:pPr>
          </w:p>
        </w:tc>
        <w:tc>
          <w:tcPr>
            <w:tcW w:w="70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Second Restatement of the UFP Industries, Inc. Director Compensation Plan, effective January 1,</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60" w:type="dxa"/>
            <w:vAlign w:val="bottom"/>
          </w:tcPr>
          <w:p>
            <w:pPr>
              <w:spacing w:after="0"/>
              <w:rPr>
                <w:sz w:val="17"/>
                <w:szCs w:val="17"/>
                <w:color w:val="auto"/>
              </w:rPr>
            </w:pPr>
          </w:p>
        </w:tc>
        <w:tc>
          <w:tcPr>
            <w:tcW w:w="7300" w:type="dxa"/>
            <w:vAlign w:val="bottom"/>
            <w:gridSpan w:val="16"/>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2022 (incorporated by reference to Exhibit 10(e) of the Registrant’s Annual Report on Form 10-K</w:t>
              </w:r>
            </w:hyperlink>
          </w:p>
        </w:tc>
        <w:tc>
          <w:tcPr>
            <w:tcW w:w="0" w:type="dxa"/>
            <w:vAlign w:val="bottom"/>
          </w:tcPr>
          <w:p>
            <w:pPr>
              <w:spacing w:after="0"/>
              <w:rPr>
                <w:sz w:val="1"/>
                <w:szCs w:val="1"/>
                <w:color w:val="auto"/>
              </w:rPr>
            </w:pPr>
          </w:p>
        </w:tc>
      </w:tr>
      <w:tr>
        <w:trPr>
          <w:trHeight w:val="196"/>
        </w:trPr>
        <w:tc>
          <w:tcPr>
            <w:tcW w:w="1660" w:type="dxa"/>
            <w:vAlign w:val="bottom"/>
          </w:tcPr>
          <w:p>
            <w:pPr>
              <w:spacing w:after="0"/>
              <w:rPr>
                <w:sz w:val="17"/>
                <w:szCs w:val="17"/>
                <w:color w:val="auto"/>
              </w:rPr>
            </w:pPr>
          </w:p>
        </w:tc>
        <w:tc>
          <w:tcPr>
            <w:tcW w:w="70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filed February 28, 2024).</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w:t>
            </w:r>
          </w:p>
        </w:tc>
        <w:tc>
          <w:tcPr>
            <w:tcW w:w="7300" w:type="dxa"/>
            <w:vAlign w:val="bottom"/>
            <w:gridSpan w:val="16"/>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UFP Industries, Inc. Long-Term Stock Incentive Plan, as conformed through the 2023 Amendment</w:t>
              </w:r>
            </w:hyperlink>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7260" w:type="dxa"/>
            <w:vAlign w:val="bottom"/>
            <w:tcBorders>
              <w:top w:val="single" w:sz="8" w:color="0000EE"/>
            </w:tcBorders>
            <w:gridSpan w:val="14"/>
          </w:tcPr>
          <w:p>
            <w:pPr>
              <w:spacing w:after="0" w:line="182"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effective October 24, 2023 (incorporated by reference to Exhibit 10(f) of the Registrant’s Annual</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3420" w:type="dxa"/>
            <w:vAlign w:val="bottom"/>
            <w:tcBorders>
              <w:top w:val="single" w:sz="8" w:color="0000EE"/>
              <w:bottom w:val="single" w:sz="8" w:color="0000EE"/>
            </w:tcBorders>
            <w:gridSpan w:val="5"/>
          </w:tcPr>
          <w:p>
            <w:pPr>
              <w:spacing w:after="0" w:line="182"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Report on Form 10-K filed February 28, 2024).</w:t>
              </w:r>
            </w:hyperlink>
          </w:p>
        </w:tc>
        <w:tc>
          <w:tcPr>
            <w:tcW w:w="3820" w:type="dxa"/>
            <w:vAlign w:val="bottom"/>
            <w:tcBorders>
              <w:top w:val="single" w:sz="8" w:color="0000EE"/>
            </w:tcBorders>
            <w:gridSpan w:val="8"/>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16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w:t>
            </w:r>
          </w:p>
        </w:tc>
        <w:tc>
          <w:tcPr>
            <w:tcW w:w="7300" w:type="dxa"/>
            <w:vAlign w:val="bottom"/>
            <w:gridSpan w:val="16"/>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Restricted Stock Grant Agreement issued pursuant to the Long-Term Incentive Plan</w:t>
              </w:r>
            </w:hyperlink>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7220" w:type="dxa"/>
            <w:vAlign w:val="bottom"/>
            <w:tcBorders>
              <w:top w:val="single" w:sz="8" w:color="0000EE"/>
            </w:tcBorders>
            <w:gridSpan w:val="12"/>
          </w:tcPr>
          <w:p>
            <w:pPr>
              <w:spacing w:after="0" w:line="182"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(incorporated by reference to Exhibit 10(g) of the Registrant’s Annual Report on Form 10-K filed</w:t>
              </w:r>
            </w:hyperlink>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February 28, 2024).</w:t>
              </w:r>
            </w:hyperlink>
          </w:p>
        </w:tc>
        <w:tc>
          <w:tcPr>
            <w:tcW w:w="5740" w:type="dxa"/>
            <w:vAlign w:val="bottom"/>
            <w:tcBorders>
              <w:top w:val="single" w:sz="8" w:color="0000EE"/>
            </w:tcBorders>
            <w:gridSpan w:val="8"/>
          </w:tcPr>
          <w:p>
            <w:pPr>
              <w:spacing w:after="0"/>
              <w:rPr>
                <w:sz w:val="15"/>
                <w:szCs w:val="15"/>
                <w:color w:val="auto"/>
              </w:rPr>
            </w:pP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6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*(h)</w:t>
            </w:r>
          </w:p>
        </w:tc>
        <w:tc>
          <w:tcPr>
            <w:tcW w:w="69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Form of Performance Share Award Agreement issued pursuant to the Long-Term Incentive Plan</w:t>
              </w:r>
            </w:hyperlink>
          </w:p>
        </w:tc>
        <w:tc>
          <w:tcPr>
            <w:tcW w:w="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60" w:type="dxa"/>
            <w:vAlign w:val="bottom"/>
          </w:tcPr>
          <w:p>
            <w:pPr>
              <w:spacing w:after="0"/>
              <w:rPr>
                <w:sz w:val="17"/>
                <w:szCs w:val="17"/>
                <w:color w:val="auto"/>
              </w:rPr>
            </w:pPr>
          </w:p>
        </w:tc>
        <w:tc>
          <w:tcPr>
            <w:tcW w:w="7300" w:type="dxa"/>
            <w:vAlign w:val="bottom"/>
            <w:gridSpan w:val="16"/>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(incorporated by reference to Exhibit 10(h) of the Registrant’s Annual Report on Form 10-K filed</w:t>
              </w:r>
            </w:hyperlink>
          </w:p>
        </w:tc>
        <w:tc>
          <w:tcPr>
            <w:tcW w:w="0" w:type="dxa"/>
            <w:vAlign w:val="bottom"/>
          </w:tcPr>
          <w:p>
            <w:pPr>
              <w:spacing w:after="0"/>
              <w:rPr>
                <w:sz w:val="1"/>
                <w:szCs w:val="1"/>
                <w:color w:val="auto"/>
              </w:rPr>
            </w:pPr>
          </w:p>
        </w:tc>
      </w:tr>
      <w:tr>
        <w:trPr>
          <w:trHeight w:val="196"/>
        </w:trPr>
        <w:tc>
          <w:tcPr>
            <w:tcW w:w="166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February 28, 2024).</w:t>
              </w:r>
            </w:hyperlink>
          </w:p>
        </w:tc>
        <w:tc>
          <w:tcPr>
            <w:tcW w:w="5580" w:type="dxa"/>
            <w:vAlign w:val="bottom"/>
            <w:tcBorders>
              <w:top w:val="single" w:sz="8" w:color="0000EE"/>
            </w:tcBorders>
            <w:gridSpan w:val="7"/>
          </w:tcPr>
          <w:p>
            <w:pPr>
              <w:spacing w:after="0"/>
              <w:rPr>
                <w:sz w:val="17"/>
                <w:szCs w:val="17"/>
                <w:color w:val="auto"/>
              </w:rPr>
            </w:pPr>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1660" w:type="dxa"/>
            <w:vAlign w:val="bottom"/>
          </w:tcPr>
          <w:p>
            <w:pPr>
              <w:spacing w:after="0"/>
              <w:rPr>
                <w:sz w:val="24"/>
                <w:szCs w:val="24"/>
                <w:color w:val="auto"/>
              </w:rPr>
            </w:pPr>
          </w:p>
        </w:tc>
        <w:tc>
          <w:tcPr>
            <w:tcW w:w="3420" w:type="dxa"/>
            <w:vAlign w:val="bottom"/>
            <w:gridSpan w:val="5"/>
          </w:tcPr>
          <w:p>
            <w:pPr>
              <w:ind w:left="2720"/>
              <w:spacing w:after="0"/>
              <w:rPr>
                <w:sz w:val="20"/>
                <w:szCs w:val="20"/>
                <w:color w:val="auto"/>
              </w:rPr>
            </w:pPr>
            <w:r>
              <w:rPr>
                <w:rFonts w:ascii="Times New Roman" w:cs="Times New Roman" w:eastAsia="Times New Roman" w:hAnsi="Times New Roman"/>
                <w:sz w:val="18"/>
                <w:szCs w:val="18"/>
                <w:color w:val="auto"/>
              </w:rPr>
              <w:t>74</w:t>
            </w:r>
          </w:p>
        </w:tc>
        <w:tc>
          <w:tcPr>
            <w:tcW w:w="2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40"/>
        <w:spacing w:after="0"/>
        <w:tabs>
          <w:tab w:leader="none" w:pos="168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u w:val="single" w:color="auto"/>
          <w:color w:val="0000EE"/>
        </w:rPr>
        <w:t>UFP Industries, Inc. Executive Retirement Plan - 2024 Restatement.</w:t>
      </w:r>
    </w:p>
    <w:p>
      <w:pPr>
        <w:spacing w:after="0" w:line="198" w:lineRule="exact"/>
        <w:rPr>
          <w:sz w:val="20"/>
          <w:szCs w:val="20"/>
          <w:color w:val="auto"/>
        </w:rPr>
      </w:pPr>
    </w:p>
    <w:p>
      <w:pPr>
        <w:ind w:left="940" w:hanging="884"/>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UFP Industries, Inc. Stock Trading Policy</w:t>
      </w:r>
    </w:p>
    <w:p>
      <w:pPr>
        <w:spacing w:after="0" w:line="198" w:lineRule="exact"/>
        <w:rPr>
          <w:sz w:val="20"/>
          <w:szCs w:val="20"/>
          <w:color w:val="auto"/>
        </w:rPr>
      </w:pPr>
    </w:p>
    <w:p>
      <w:pPr>
        <w:ind w:left="940" w:hanging="884"/>
        <w:spacing w:after="0"/>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Registrant.</w:t>
      </w:r>
    </w:p>
    <w:p>
      <w:pPr>
        <w:spacing w:after="0" w:line="198" w:lineRule="exact"/>
        <w:rPr>
          <w:sz w:val="20"/>
          <w:szCs w:val="20"/>
          <w:color w:val="auto"/>
        </w:rPr>
      </w:pPr>
    </w:p>
    <w:p>
      <w:pPr>
        <w:ind w:left="940" w:hanging="884"/>
        <w:spacing w:after="0"/>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Consent of Deloitte &amp; Touche LLP.</w:t>
      </w:r>
    </w:p>
    <w:p>
      <w:pPr>
        <w:spacing w:after="0" w:line="198" w:lineRule="exact"/>
        <w:rPr>
          <w:rFonts w:ascii="Times New Roman" w:cs="Times New Roman" w:eastAsia="Times New Roman" w:hAnsi="Times New Roman"/>
          <w:sz w:val="18"/>
          <w:szCs w:val="18"/>
          <w:color w:val="auto"/>
        </w:rPr>
      </w:pPr>
    </w:p>
    <w:p>
      <w:pPr>
        <w:ind w:left="940" w:hanging="884"/>
        <w:spacing w:after="0"/>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Power of Attorney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(included on page 76).</w:t>
      </w:r>
    </w:p>
    <w:p>
      <w:pPr>
        <w:spacing w:after="0" w:line="198" w:lineRule="exact"/>
        <w:rPr>
          <w:sz w:val="20"/>
          <w:szCs w:val="20"/>
          <w:color w:val="auto"/>
        </w:rPr>
      </w:pPr>
    </w:p>
    <w:p>
      <w:pPr>
        <w:ind w:left="940" w:hanging="884"/>
        <w:spacing w:after="0"/>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198" w:lineRule="exact"/>
        <w:rPr>
          <w:rFonts w:ascii="Times New Roman" w:cs="Times New Roman" w:eastAsia="Times New Roman" w:hAnsi="Times New Roman"/>
          <w:sz w:val="18"/>
          <w:szCs w:val="18"/>
          <w:color w:val="auto"/>
        </w:rPr>
      </w:pPr>
    </w:p>
    <w:p>
      <w:pPr>
        <w:ind w:left="1700" w:right="119" w:hanging="753"/>
        <w:spacing w:after="0" w:line="266" w:lineRule="auto"/>
        <w:tabs>
          <w:tab w:leader="none" w:pos="17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302 of the Sarbanes-Oxley Act of 2002 (18 U.S.C. 1350).</w:t>
      </w:r>
    </w:p>
    <w:p>
      <w:pPr>
        <w:spacing w:after="0" w:line="135" w:lineRule="exact"/>
        <w:rPr>
          <w:rFonts w:ascii="Times New Roman" w:cs="Times New Roman" w:eastAsia="Times New Roman" w:hAnsi="Times New Roman"/>
          <w:sz w:val="18"/>
          <w:szCs w:val="18"/>
          <w:color w:val="auto"/>
        </w:rPr>
      </w:pPr>
    </w:p>
    <w:p>
      <w:pPr>
        <w:ind w:left="1700" w:right="119" w:hanging="753"/>
        <w:spacing w:after="0" w:line="266" w:lineRule="auto"/>
        <w:tabs>
          <w:tab w:leader="none" w:pos="17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302 of the Sarbanes-Oxley Act of 2002 (18 U.S.C. 1350).</w:t>
      </w:r>
    </w:p>
    <w:p>
      <w:pPr>
        <w:spacing w:after="0" w:line="135" w:lineRule="exact"/>
        <w:rPr>
          <w:rFonts w:ascii="Times New Roman" w:cs="Times New Roman" w:eastAsia="Times New Roman" w:hAnsi="Times New Roman"/>
          <w:sz w:val="18"/>
          <w:szCs w:val="18"/>
          <w:color w:val="auto"/>
        </w:rPr>
      </w:pPr>
    </w:p>
    <w:p>
      <w:pPr>
        <w:ind w:left="940" w:hanging="884"/>
        <w:spacing w:after="0"/>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198" w:lineRule="exact"/>
        <w:rPr>
          <w:rFonts w:ascii="Times New Roman" w:cs="Times New Roman" w:eastAsia="Times New Roman" w:hAnsi="Times New Roman"/>
          <w:sz w:val="18"/>
          <w:szCs w:val="18"/>
          <w:color w:val="auto"/>
        </w:rPr>
      </w:pPr>
    </w:p>
    <w:p>
      <w:pPr>
        <w:ind w:left="1700" w:right="119" w:hanging="753"/>
        <w:spacing w:after="0" w:line="266" w:lineRule="auto"/>
        <w:tabs>
          <w:tab w:leader="none" w:pos="17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906 of the Sarbanes-Oxley Act of 2002 (18 U.S.C. 1350).</w:t>
      </w:r>
    </w:p>
    <w:p>
      <w:pPr>
        <w:spacing w:after="0" w:line="135" w:lineRule="exact"/>
        <w:rPr>
          <w:rFonts w:ascii="Times New Roman" w:cs="Times New Roman" w:eastAsia="Times New Roman" w:hAnsi="Times New Roman"/>
          <w:sz w:val="18"/>
          <w:szCs w:val="18"/>
          <w:color w:val="auto"/>
        </w:rPr>
      </w:pPr>
    </w:p>
    <w:p>
      <w:pPr>
        <w:ind w:left="1700" w:right="119" w:hanging="753"/>
        <w:spacing w:after="0" w:line="266" w:lineRule="auto"/>
        <w:tabs>
          <w:tab w:leader="none" w:pos="17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906 of the Sarbanes-Oxley Act of 2002 (18 U.S.C. 1350).</w:t>
      </w:r>
    </w:p>
    <w:p>
      <w:pPr>
        <w:spacing w:after="0" w:line="135" w:lineRule="exact"/>
        <w:rPr>
          <w:sz w:val="20"/>
          <w:szCs w:val="20"/>
          <w:color w:val="auto"/>
        </w:rPr>
      </w:pPr>
    </w:p>
    <w:p>
      <w:pPr>
        <w:ind w:left="940" w:right="79" w:hanging="884"/>
        <w:spacing w:after="0" w:line="266" w:lineRule="auto"/>
        <w:tabs>
          <w:tab w:leader="none" w:pos="940" w:val="left"/>
        </w:tabs>
        <w:numPr>
          <w:ilvl w:val="0"/>
          <w:numId w:val="58"/>
        </w:numPr>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UFP Industries, Inc. Clawback Policy (incorporated by reference to Exhibit 97 of the Registrant’s Annual</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Report on Form 10-K filed February 28, 2024).</w:t>
        </w:r>
      </w:hyperlink>
    </w:p>
    <w:p>
      <w:pPr>
        <w:spacing w:after="0" w:line="135" w:lineRule="exact"/>
        <w:rPr>
          <w:rFonts w:ascii="Times New Roman" w:cs="Times New Roman" w:eastAsia="Times New Roman" w:hAnsi="Times New Roman"/>
          <w:sz w:val="18"/>
          <w:szCs w:val="18"/>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Interactive Data File in iXBRL (Inline eXtensible Business Reporting Language).</w:t>
      </w:r>
    </w:p>
    <w:p>
      <w:pPr>
        <w:spacing w:after="0" w:line="198" w:lineRule="exact"/>
        <w:rPr>
          <w:rFonts w:ascii="Times New Roman" w:cs="Times New Roman" w:eastAsia="Times New Roman" w:hAnsi="Times New Roman"/>
          <w:sz w:val="18"/>
          <w:szCs w:val="18"/>
          <w:color w:val="auto"/>
        </w:rPr>
      </w:pPr>
    </w:p>
    <w:p>
      <w:pPr>
        <w:ind w:left="940"/>
        <w:spacing w:after="0"/>
        <w:rPr>
          <w:sz w:val="20"/>
          <w:szCs w:val="20"/>
          <w:color w:val="auto"/>
        </w:rPr>
      </w:pPr>
      <w:r>
        <w:rPr>
          <w:rFonts w:ascii="Times New Roman" w:cs="Times New Roman" w:eastAsia="Times New Roman" w:hAnsi="Times New Roman"/>
          <w:sz w:val="18"/>
          <w:szCs w:val="18"/>
          <w:color w:val="auto"/>
        </w:rPr>
        <w:t>(INS) XBRL Instance Document.</w:t>
      </w:r>
    </w:p>
    <w:p>
      <w:pPr>
        <w:spacing w:after="0" w:line="198" w:lineRule="exact"/>
        <w:rPr>
          <w:rFonts w:ascii="Times New Roman" w:cs="Times New Roman" w:eastAsia="Times New Roman" w:hAnsi="Times New Roman"/>
          <w:sz w:val="18"/>
          <w:szCs w:val="18"/>
          <w:color w:val="auto"/>
        </w:rPr>
      </w:pPr>
    </w:p>
    <w:p>
      <w:pPr>
        <w:ind w:left="940"/>
        <w:spacing w:after="0"/>
        <w:rPr>
          <w:sz w:val="20"/>
          <w:szCs w:val="20"/>
          <w:color w:val="auto"/>
        </w:rPr>
      </w:pPr>
      <w:r>
        <w:rPr>
          <w:rFonts w:ascii="Times New Roman" w:cs="Times New Roman" w:eastAsia="Times New Roman" w:hAnsi="Times New Roman"/>
          <w:sz w:val="18"/>
          <w:szCs w:val="18"/>
          <w:color w:val="auto"/>
        </w:rPr>
        <w:t>(SCH) XBRL Schema Document.</w:t>
      </w:r>
    </w:p>
    <w:p>
      <w:pPr>
        <w:spacing w:after="0" w:line="198" w:lineRule="exact"/>
        <w:rPr>
          <w:rFonts w:ascii="Times New Roman" w:cs="Times New Roman" w:eastAsia="Times New Roman" w:hAnsi="Times New Roman"/>
          <w:sz w:val="18"/>
          <w:szCs w:val="18"/>
          <w:color w:val="auto"/>
        </w:rPr>
      </w:pPr>
    </w:p>
    <w:p>
      <w:pPr>
        <w:ind w:left="940"/>
        <w:spacing w:after="0"/>
        <w:rPr>
          <w:sz w:val="20"/>
          <w:szCs w:val="20"/>
          <w:color w:val="auto"/>
        </w:rPr>
      </w:pPr>
      <w:r>
        <w:rPr>
          <w:rFonts w:ascii="Times New Roman" w:cs="Times New Roman" w:eastAsia="Times New Roman" w:hAnsi="Times New Roman"/>
          <w:sz w:val="18"/>
          <w:szCs w:val="18"/>
          <w:color w:val="auto"/>
        </w:rPr>
        <w:t>(CAL) XBRL Taxonomy Extension Calculation Linkbase Document.</w:t>
      </w:r>
    </w:p>
    <w:p>
      <w:pPr>
        <w:spacing w:after="0" w:line="198" w:lineRule="exact"/>
        <w:rPr>
          <w:rFonts w:ascii="Times New Roman" w:cs="Times New Roman" w:eastAsia="Times New Roman" w:hAnsi="Times New Roman"/>
          <w:sz w:val="18"/>
          <w:szCs w:val="18"/>
          <w:color w:val="auto"/>
        </w:rPr>
      </w:pPr>
    </w:p>
    <w:p>
      <w:pPr>
        <w:ind w:left="940"/>
        <w:spacing w:after="0"/>
        <w:rPr>
          <w:sz w:val="20"/>
          <w:szCs w:val="20"/>
          <w:color w:val="auto"/>
        </w:rPr>
      </w:pPr>
      <w:r>
        <w:rPr>
          <w:rFonts w:ascii="Times New Roman" w:cs="Times New Roman" w:eastAsia="Times New Roman" w:hAnsi="Times New Roman"/>
          <w:sz w:val="18"/>
          <w:szCs w:val="18"/>
          <w:color w:val="auto"/>
        </w:rPr>
        <w:t>(LAB) XBRL Taxonomy Extension Label Linkbase Document.</w:t>
      </w:r>
    </w:p>
    <w:p>
      <w:pPr>
        <w:spacing w:after="0" w:line="198" w:lineRule="exact"/>
        <w:rPr>
          <w:rFonts w:ascii="Times New Roman" w:cs="Times New Roman" w:eastAsia="Times New Roman" w:hAnsi="Times New Roman"/>
          <w:sz w:val="18"/>
          <w:szCs w:val="18"/>
          <w:color w:val="auto"/>
        </w:rPr>
      </w:pPr>
    </w:p>
    <w:p>
      <w:pPr>
        <w:ind w:left="940"/>
        <w:spacing w:after="0"/>
        <w:rPr>
          <w:sz w:val="20"/>
          <w:szCs w:val="20"/>
          <w:color w:val="auto"/>
        </w:rPr>
      </w:pPr>
      <w:r>
        <w:rPr>
          <w:rFonts w:ascii="Times New Roman" w:cs="Times New Roman" w:eastAsia="Times New Roman" w:hAnsi="Times New Roman"/>
          <w:sz w:val="18"/>
          <w:szCs w:val="18"/>
          <w:color w:val="auto"/>
        </w:rPr>
        <w:t>(PRE) XBRL Taxonomy Extension Presentation Linkbase Document.</w:t>
      </w:r>
    </w:p>
    <w:p>
      <w:pPr>
        <w:spacing w:after="0" w:line="198" w:lineRule="exact"/>
        <w:rPr>
          <w:rFonts w:ascii="Times New Roman" w:cs="Times New Roman" w:eastAsia="Times New Roman" w:hAnsi="Times New Roman"/>
          <w:sz w:val="18"/>
          <w:szCs w:val="18"/>
          <w:color w:val="auto"/>
        </w:rPr>
      </w:pPr>
    </w:p>
    <w:p>
      <w:pPr>
        <w:ind w:left="940"/>
        <w:spacing w:after="0"/>
        <w:rPr>
          <w:sz w:val="20"/>
          <w:szCs w:val="20"/>
          <w:color w:val="auto"/>
        </w:rPr>
      </w:pPr>
      <w:r>
        <w:rPr>
          <w:rFonts w:ascii="Times New Roman" w:cs="Times New Roman" w:eastAsia="Times New Roman" w:hAnsi="Times New Roman"/>
          <w:sz w:val="18"/>
          <w:szCs w:val="18"/>
          <w:color w:val="auto"/>
        </w:rPr>
        <w:t>(DEF) XBRL Taxonomy Extension Definition Linkbase Document.</w:t>
      </w:r>
    </w:p>
    <w:p>
      <w:pPr>
        <w:spacing w:after="0" w:line="198" w:lineRule="exact"/>
        <w:rPr>
          <w:rFonts w:ascii="Times New Roman" w:cs="Times New Roman" w:eastAsia="Times New Roman" w:hAnsi="Times New Roman"/>
          <w:sz w:val="18"/>
          <w:szCs w:val="18"/>
          <w:color w:val="auto"/>
        </w:rPr>
      </w:pPr>
    </w:p>
    <w:p>
      <w:pPr>
        <w:ind w:left="60" w:right="359" w:hanging="4"/>
        <w:spacing w:after="0" w:line="532" w:lineRule="auto"/>
        <w:tabs>
          <w:tab w:leader="none" w:pos="9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 * Indicates a compensatory arrangement.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-364490</wp:posOffset>
            </wp:positionV>
            <wp:extent cx="14141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37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71" w:lineRule="exact"/>
        <w:rPr>
          <w:sz w:val="20"/>
          <w:szCs w:val="20"/>
          <w:color w:val="auto"/>
        </w:rPr>
      </w:pPr>
    </w:p>
    <w:p>
      <w:pPr>
        <w:ind w:left="60"/>
        <w:spacing w:after="0"/>
        <w:tabs>
          <w:tab w:leader="none" w:pos="4400" w:val="left"/>
        </w:tabs>
        <w:rPr>
          <w:sz w:val="20"/>
          <w:szCs w:val="20"/>
          <w:color w:val="auto"/>
        </w:rPr>
      </w:pPr>
      <w:r>
        <w:rPr>
          <w:rFonts w:ascii="Times New Roman" w:cs="Times New Roman" w:eastAsia="Times New Roman" w:hAnsi="Times New Roman"/>
          <w:sz w:val="18"/>
          <w:szCs w:val="18"/>
          <w:color w:val="auto"/>
        </w:rPr>
        <w:t>Dated: February 26, 2025</w:t>
      </w:r>
      <w:r>
        <w:rPr>
          <w:sz w:val="20"/>
          <w:szCs w:val="20"/>
          <w:color w:val="auto"/>
        </w:rPr>
        <w:tab/>
      </w:r>
      <w:r>
        <w:rPr>
          <w:rFonts w:ascii="Times New Roman" w:cs="Times New Roman" w:eastAsia="Times New Roman" w:hAnsi="Times New Roman"/>
          <w:sz w:val="17"/>
          <w:szCs w:val="17"/>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By: /s/ William D. Schwartz,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17145</wp:posOffset>
            </wp:positionV>
            <wp:extent cx="26574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William D. Schwartz, Jr.,</w:t>
      </w:r>
    </w:p>
    <w:p>
      <w:pPr>
        <w:spacing w:after="0" w:line="2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jc w:val="both"/>
        <w:ind w:left="60" w:right="59" w:firstLine="648"/>
        <w:spacing w:after="0" w:line="28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this 26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February, 2025, by the following persons on behalf of us and in the capacities indicated.</w:t>
      </w:r>
    </w:p>
    <w:p>
      <w:pPr>
        <w:spacing w:after="0" w:line="3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By: /s/ William D. Schwartz,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17145</wp:posOffset>
            </wp:positionV>
            <wp:extent cx="26574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William D. Schwartz, Jr.,</w:t>
      </w:r>
    </w:p>
    <w:p>
      <w:pPr>
        <w:spacing w:after="0" w:line="2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17145</wp:posOffset>
            </wp:positionV>
            <wp:extent cx="26574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Michael R. Cole,</w:t>
      </w:r>
    </w:p>
    <w:p>
      <w:pPr>
        <w:spacing w:after="0" w:line="2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Each Director whose signature appears below hereby appoints William D. Schwartz, Jr. and Michael R. Cole, and each of them individually, as his or her attorney-in-fact to sign in his or her name and on his or her behalf as a Director, and to file with the Commission any and all amendments to this report on Form 10-K to the same extent and with the same effect as if done personally.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Joan A. Budden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7171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Joan A. Budden, Director</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Benjamin J.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7171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Benjamin J. McLean, Director</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7171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Matthew J. Missad, Executive Chairman and Director</w:t>
      </w: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Mary Tuuk Kuras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7171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Mary Tuuk Kuras, Director</w:t>
      </w:r>
    </w:p>
    <w:p>
      <w:pPr>
        <w:spacing w:after="0" w:line="200" w:lineRule="exact"/>
        <w:rPr>
          <w:sz w:val="20"/>
          <w:szCs w:val="20"/>
          <w:color w:val="auto"/>
        </w:rPr>
      </w:pPr>
    </w:p>
    <w:p>
      <w:pPr>
        <w:spacing w:after="0" w:line="236" w:lineRule="exact"/>
        <w:rPr>
          <w:sz w:val="20"/>
          <w:szCs w:val="20"/>
          <w:color w:val="auto"/>
        </w:rPr>
      </w:pPr>
    </w:p>
    <w:p>
      <w:pPr>
        <w:ind w:left="60" w:right="1640"/>
        <w:spacing w:after="0" w:line="329" w:lineRule="auto"/>
        <w:rPr>
          <w:sz w:val="20"/>
          <w:szCs w:val="20"/>
          <w:color w:val="auto"/>
        </w:rPr>
      </w:pPr>
      <w:r>
        <w:rPr>
          <w:rFonts w:ascii="Times New Roman" w:cs="Times New Roman" w:eastAsia="Times New Roman" w:hAnsi="Times New Roman"/>
          <w:sz w:val="17"/>
          <w:szCs w:val="17"/>
          <w:color w:val="auto"/>
        </w:rPr>
        <w:t xml:space="preserve">/s/ Michael G. Wooldridge </w:t>
      </w:r>
      <w:r>
        <w:rPr>
          <w:rFonts w:ascii="Times New Roman" w:cs="Times New Roman" w:eastAsia="Times New Roman" w:hAnsi="Times New Roman"/>
          <w:sz w:val="17"/>
          <w:szCs w:val="17"/>
          <w:b w:val="1"/>
          <w:bCs w:val="1"/>
          <w:color w:val="auto"/>
        </w:rPr>
        <w:t>Michael G. Wooldridge,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-191135</wp:posOffset>
            </wp:positionV>
            <wp:extent cx="27171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G.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6657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G. Currie, Director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Bruce A. Merino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6657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Bruce A. Merino, Director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W.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6657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Thomas W. Rhodes, 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C.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6657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C. Walker, Director</w:t>
      </w:r>
    </w:p>
    <w:p>
      <w:pPr>
        <w:spacing w:after="0" w:line="1172" w:lineRule="exact"/>
        <w:rPr>
          <w:sz w:val="20"/>
          <w:szCs w:val="20"/>
          <w:color w:val="auto"/>
        </w:rPr>
      </w:pPr>
    </w:p>
    <w:p>
      <w:pPr>
        <w:sectPr>
          <w:pgSz w:w="11900" w:h="16838" w:orient="portrait"/>
          <w:cols w:equalWidth="0" w:num="2">
            <w:col w:w="4220" w:space="540"/>
            <w:col w:w="4259"/>
          </w:cols>
          <w:pgMar w:left="1440" w:top="513" w:right="1440" w:bottom="1440" w:gutter="0" w:footer="0" w:header="0"/>
          <w:type w:val="continuous"/>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ANNUAL MEETING</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2025 Annual Shareholder’s Meeting of UFP Industries, Inc. will be held at 8:30 a.m. on April 23, 2025, at 3310 Eagle Park Drive NE, Grand Rapids, MI 49525.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SHAREHOLDER INFORMATION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Shares of our stock are traded under the symbol UFPI on the NASDAQ Stock Market. Our 10-K report, filed with the Securities and Exchange Commission, will be provided free of charge to any shareholder upon written request. For more information contact: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2801 East Beltline NE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 49525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Telephone: (616) 364-6161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Web: www.ufpi.com</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COUNSEL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Varnum,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TRANSFER AGENT/SHAREHOLDER INQUIRIES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Equiniti Trust Company, LLC serves as the transfer agent for the Company. Inquiries relating to stock transfers, changes of ownership, lost or stolen stock certificates, changes of address, and dividend payments should be addressed to:</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48 Wall Street, 23rd Floor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Telephone: (800) 468-9716</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UFP INDUSTRIES®, INC., CORPORATE HEADQUARTERS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2801 East Beltline NE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 49525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Telephone: (616) 364-6161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Facsimile: (616) 364-5558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brief description of the common stock of UFP Industries,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This summary does not purport to be complete in all respects and is subject to and qualified in its entirety by reference to the Company’s Restated and Amended Articles of Incorporation (the "Articles of Incorporation") and Amended Bylaws (the "Bylaws"), each of which are filed as exhibits to the Annual Report on Form 10-K of which this </w:t>
      </w:r>
      <w:r>
        <w:rPr>
          <w:rFonts w:ascii="Times New Roman" w:cs="Times New Roman" w:eastAsia="Times New Roman" w:hAnsi="Times New Roman"/>
          <w:sz w:val="18"/>
          <w:szCs w:val="18"/>
          <w:u w:val="single" w:color="auto"/>
          <w:color w:val="auto"/>
        </w:rPr>
        <w:t>Exhibit 4(a)</w:t>
      </w:r>
      <w:r>
        <w:rPr>
          <w:rFonts w:ascii="Times New Roman" w:cs="Times New Roman" w:eastAsia="Times New Roman" w:hAnsi="Times New Roman"/>
          <w:sz w:val="18"/>
          <w:szCs w:val="18"/>
          <w:color w:val="auto"/>
        </w:rPr>
        <w:t xml:space="preserve"> is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authorized capital stock consists of 160,000,000 shares of common stock and 1,000,000 shares of preferred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and Liquidation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prior rights of the holders of shares of preferred stock that may be issued and outstanding, if any, the holders of common stock are entitled to receive:</w:t>
      </w:r>
    </w:p>
    <w:p>
      <w:pPr>
        <w:spacing w:after="0" w:line="162" w:lineRule="exact"/>
        <w:rPr>
          <w:sz w:val="20"/>
          <w:szCs w:val="20"/>
          <w:color w:val="auto"/>
        </w:rPr>
      </w:pPr>
    </w:p>
    <w:p>
      <w:pPr>
        <w:ind w:left="1000" w:right="20" w:hanging="31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when, as, and if declared by the Company’s Board of Directors out of funds legally available for the payment of dividends;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dissolution of the Company, to share ratably in all assets remaining after payment of liabilities and satisfaction of the liquidation preferences, if any, of then outstanding shares of preferred stock, as provided in the Articles of Incorporation.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held of record on all matters presented to a vote at a shareholders meeting, including the election of directors. Holders of common stock have no cumulative voting rights.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Articles of Incorporation provide that the Company’s Board of Directors be divided into three classes of nearly equal size, with the classes to hold office for staggered terms of three years each.</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vote required for the election of a director shall, except in a contested election, be the affirmative vote of a majority of the votes cast in the election of a nominee. For this purpose, a “majority of the votes cast” means that the number of votes cast “for” a director’s election exceeds the number of votes cast “against” that director’s election. Abstentions and broker non-votes are not counted as votes cast either “for” or “against” a director’s election. In a contested election, directors are elected by a plurality of the votes cast at the meeting of shareholders.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election is considered contested if there are more nominees for election than positions on the Board of Directors to be filled by election at that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common stock is currently traded on the Nasdaq Global Select Market under the symbol “ufpi.”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Anti-Takeover Provisions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Articles of Incorporation and Bylaws contain provisions that could also have an anti-takeover effect. Some of the provisions also may make it difficult for shareholders to replace incumbent directors with new directors who may be willing to entertain changes that shareholders may believe will lead to improvements in the combined company’s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of the outstanding shares of the Company’s common stock are fully paid and non-assessable. Holders of common stock have no preemptive rights to purchase or subscribe for any additional shares of common stock or other securities, and there are no conversion rights or redemption or sinking fund provisions with respect to the Company’s common stock. The transfer agent for the Company’s common stock is Equiniti Trust Company, LLC, 48 Wall Street, 23rd Floor, New York, NY 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5"/>
          <w:szCs w:val="25"/>
          <w:b w:val="1"/>
          <w:bCs w:val="1"/>
          <w:color w:val="auto"/>
        </w:rPr>
        <w:t>UFP INDUSTRIES, INC.</w:t>
      </w:r>
    </w:p>
    <w:p>
      <w:pPr>
        <w:spacing w:after="0" w:line="6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5"/>
          <w:szCs w:val="25"/>
          <w:b w:val="1"/>
          <w:bCs w:val="1"/>
          <w:color w:val="auto"/>
        </w:rPr>
        <w:t>DEFERRED COMPENSATION PLAN</w:t>
      </w:r>
    </w:p>
    <w:p>
      <w:pPr>
        <w:spacing w:after="0" w:line="30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Amended and Restated effective as of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585470</wp:posOffset>
            </wp:positionV>
            <wp:extent cx="54603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5460365" cy="26035"/>
                    </a:xfrm>
                    <a:prstGeom prst="rect">
                      <a:avLst/>
                    </a:prstGeom>
                    <a:noFill/>
                  </pic:spPr>
                </pic:pic>
              </a:graphicData>
            </a:graphic>
          </wp:anchor>
        </w:drawing>
      </w:r>
    </w:p>
    <w:p>
      <w:pPr>
        <w:sectPr>
          <w:pgSz w:w="11900" w:h="16838" w:orient="portrait"/>
          <w:cols w:equalWidth="0" w:num="1">
            <w:col w:w="9120"/>
          </w:cols>
          <w:pgMar w:left="1440" w:top="117" w:right="1339" w:bottom="1440" w:gutter="0" w:footer="0" w:header="0"/>
        </w:sectPr>
      </w:pPr>
    </w:p>
    <w:bookmarkStart w:id="80" w:name="page81"/>
    <w:bookmarkEnd w:id="80"/>
    <w:tbl>
      <w:tblPr>
        <w:tblLayout w:type="fixed"/>
        <w:tblInd w:w="540" w:type="dxa"/>
        <w:tblCellMar>
          <w:top w:w="0" w:type="dxa"/>
          <w:left w:w="0" w:type="dxa"/>
          <w:bottom w:w="0" w:type="dxa"/>
          <w:right w:w="0" w:type="dxa"/>
        </w:tblCellMar>
      </w:tblPr>
      <w:tr>
        <w:trPr>
          <w:trHeight w:val="331"/>
        </w:trPr>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gridSpan w:val="6"/>
          </w:tcPr>
          <w:p>
            <w:pPr>
              <w:spacing w:after="0"/>
              <w:rPr>
                <w:sz w:val="20"/>
                <w:szCs w:val="20"/>
                <w:color w:val="auto"/>
              </w:rPr>
            </w:pPr>
            <w:r>
              <w:rPr>
                <w:rFonts w:ascii="Times New Roman" w:cs="Times New Roman" w:eastAsia="Times New Roman" w:hAnsi="Times New Roman"/>
                <w:sz w:val="25"/>
                <w:szCs w:val="25"/>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20" w:type="dxa"/>
            <w:vAlign w:val="bottom"/>
            <w:gridSpan w:val="2"/>
            <w:vMerge w:val="continue"/>
          </w:tcPr>
          <w:p>
            <w:pPr>
              <w:spacing w:after="0"/>
              <w:rPr>
                <w:sz w:val="14"/>
                <w:szCs w:val="14"/>
                <w:color w:val="auto"/>
              </w:rPr>
            </w:pPr>
          </w:p>
        </w:tc>
        <w:tc>
          <w:tcPr>
            <w:tcW w:w="2180" w:type="dxa"/>
            <w:vAlign w:val="bottom"/>
            <w:gridSpan w:val="12"/>
            <w:vMerge w:val="restart"/>
          </w:tcPr>
          <w:p>
            <w:pPr>
              <w:ind w:left="20"/>
              <w:spacing w:after="0" w:line="211" w:lineRule="exact"/>
              <w:rPr>
                <w:sz w:val="20"/>
                <w:szCs w:val="20"/>
                <w:color w:val="auto"/>
              </w:rPr>
            </w:pPr>
            <w:r>
              <w:rPr>
                <w:rFonts w:ascii="Times New Roman" w:cs="Times New Roman" w:eastAsia="Times New Roman" w:hAnsi="Times New Roman"/>
                <w:sz w:val="20"/>
                <w:szCs w:val="20"/>
                <w:color w:val="0000EE"/>
                <w:w w:val="98"/>
              </w:rPr>
              <w:t>Establishment and Purpose</w:t>
            </w:r>
          </w:p>
        </w:tc>
        <w:tc>
          <w:tcPr>
            <w:tcW w:w="5500" w:type="dxa"/>
            <w:vAlign w:val="bottom"/>
            <w:gridSpan w:val="9"/>
            <w:vMerge w:val="restart"/>
          </w:tcPr>
          <w:p>
            <w:pPr>
              <w:spacing w:after="0"/>
              <w:rPr>
                <w:sz w:val="14"/>
                <w:szCs w:val="14"/>
                <w:color w:val="auto"/>
              </w:rPr>
            </w:pPr>
          </w:p>
        </w:tc>
        <w:tc>
          <w:tcPr>
            <w:tcW w:w="180" w:type="dxa"/>
            <w:vAlign w:val="bottom"/>
            <w:gridSpan w:val="2"/>
            <w:vMerge w:val="restart"/>
          </w:tcPr>
          <w:p>
            <w:pPr>
              <w:jc w:val="right"/>
              <w:spacing w:after="0" w:line="211" w:lineRule="exact"/>
              <w:rPr>
                <w:sz w:val="20"/>
                <w:szCs w:val="20"/>
                <w:color w:val="auto"/>
              </w:rPr>
            </w:pPr>
            <w:r>
              <w:rPr>
                <w:rFonts w:ascii="Times New Roman" w:cs="Times New Roman" w:eastAsia="Times New Roman" w:hAnsi="Times New Roman"/>
                <w:sz w:val="20"/>
                <w:szCs w:val="20"/>
                <w:color w:val="0000EE"/>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72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Article 1</w:t>
            </w:r>
          </w:p>
        </w:tc>
        <w:tc>
          <w:tcPr>
            <w:tcW w:w="2180" w:type="dxa"/>
            <w:vAlign w:val="bottom"/>
            <w:gridSpan w:val="12"/>
            <w:vMerge w:val="continue"/>
          </w:tcPr>
          <w:p>
            <w:pPr>
              <w:spacing w:after="0"/>
              <w:rPr>
                <w:sz w:val="3"/>
                <w:szCs w:val="3"/>
                <w:color w:val="auto"/>
              </w:rPr>
            </w:pPr>
          </w:p>
        </w:tc>
        <w:tc>
          <w:tcPr>
            <w:tcW w:w="5500" w:type="dxa"/>
            <w:vAlign w:val="bottom"/>
            <w:gridSpan w:val="9"/>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7740" w:type="dxa"/>
            <w:vAlign w:val="bottom"/>
            <w:gridSpan w:val="22"/>
          </w:tcPr>
          <w:p>
            <w:pPr>
              <w:spacing w:after="0" w:line="41" w:lineRule="exact"/>
              <w:rPr>
                <w:sz w:val="20"/>
                <w:szCs w:val="20"/>
                <w:color w:val="auto"/>
              </w:rPr>
            </w:pPr>
            <w:r>
              <w:rPr>
                <w:rFonts w:ascii="Times New Roman" w:cs="Times New Roman" w:eastAsia="Times New Roman" w:hAnsi="Times New Roman"/>
                <w:sz w:val="4"/>
                <w:szCs w:val="4"/>
                <w:color w:val="0000EE"/>
              </w:rPr>
              <w:t>1</w:t>
            </w:r>
            <w:r>
              <w:rPr>
                <w:rFonts w:ascii="Times New Roman" w:cs="Times New Roman" w:eastAsia="Times New Roman" w:hAnsi="Times New Roman"/>
                <w:sz w:val="4"/>
                <w:szCs w:val="4"/>
                <w:color w:val="0000EE"/>
                <w:highlight w:val="white"/>
              </w:rPr>
              <w:t>.1   History of the Plan</w:t>
            </w: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144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This Document</w:t>
            </w:r>
          </w:p>
        </w:tc>
        <w:tc>
          <w:tcPr>
            <w:tcW w:w="5800" w:type="dxa"/>
            <w:vAlign w:val="bottom"/>
            <w:gridSpan w:val="12"/>
            <w:vMerge w:val="restart"/>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1</w:t>
            </w:r>
            <w:r>
              <w:rPr>
                <w:rFonts w:ascii="Times New Roman" w:cs="Times New Roman" w:eastAsia="Times New Roman" w:hAnsi="Times New Roman"/>
                <w:sz w:val="4"/>
                <w:szCs w:val="4"/>
                <w:color w:val="0000EE"/>
                <w:highlight w:val="white"/>
              </w:rPr>
              <w:t>.2</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440" w:type="dxa"/>
            <w:vAlign w:val="bottom"/>
            <w:gridSpan w:val="6"/>
            <w:vMerge w:val="continue"/>
          </w:tcPr>
          <w:p>
            <w:pPr>
              <w:spacing w:after="0"/>
              <w:rPr>
                <w:sz w:val="3"/>
                <w:szCs w:val="3"/>
                <w:color w:val="auto"/>
              </w:rPr>
            </w:pPr>
          </w:p>
        </w:tc>
        <w:tc>
          <w:tcPr>
            <w:tcW w:w="5800" w:type="dxa"/>
            <w:vAlign w:val="bottom"/>
            <w:gridSpan w:val="12"/>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EE"/>
                <w:highlight w:val="white"/>
                <w:w w:val="86"/>
              </w:rPr>
              <w:t>Purpose</w:t>
            </w:r>
          </w:p>
        </w:tc>
        <w:tc>
          <w:tcPr>
            <w:tcW w:w="620" w:type="dxa"/>
            <w:vAlign w:val="bottom"/>
            <w:gridSpan w:val="2"/>
            <w:vMerge w:val="restart"/>
          </w:tcPr>
          <w:p>
            <w:pPr>
              <w:spacing w:after="0"/>
              <w:rPr>
                <w:sz w:val="24"/>
                <w:szCs w:val="24"/>
                <w:color w:val="auto"/>
              </w:rPr>
            </w:pPr>
          </w:p>
        </w:tc>
        <w:tc>
          <w:tcPr>
            <w:tcW w:w="6020" w:type="dxa"/>
            <w:vAlign w:val="bottom"/>
            <w:gridSpan w:val="14"/>
            <w:vMerge w:val="restart"/>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1</w:t>
            </w:r>
            <w:r>
              <w:rPr>
                <w:rFonts w:ascii="Times New Roman" w:cs="Times New Roman" w:eastAsia="Times New Roman" w:hAnsi="Times New Roman"/>
                <w:sz w:val="4"/>
                <w:szCs w:val="4"/>
                <w:color w:val="0000EE"/>
                <w:highlight w:val="white"/>
              </w:rPr>
              <w:t>.3</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020" w:type="dxa"/>
            <w:vAlign w:val="bottom"/>
            <w:gridSpan w:val="14"/>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7740" w:type="dxa"/>
            <w:vAlign w:val="bottom"/>
            <w:gridSpan w:val="22"/>
          </w:tcPr>
          <w:p>
            <w:pPr>
              <w:spacing w:after="0" w:line="41" w:lineRule="exact"/>
              <w:rPr>
                <w:sz w:val="20"/>
                <w:szCs w:val="20"/>
                <w:color w:val="auto"/>
              </w:rPr>
            </w:pPr>
            <w:r>
              <w:rPr>
                <w:rFonts w:ascii="Times New Roman" w:cs="Times New Roman" w:eastAsia="Times New Roman" w:hAnsi="Times New Roman"/>
                <w:sz w:val="4"/>
                <w:szCs w:val="4"/>
                <w:color w:val="0000EE"/>
              </w:rPr>
              <w:t>1</w:t>
            </w:r>
            <w:r>
              <w:rPr>
                <w:rFonts w:ascii="Times New Roman" w:cs="Times New Roman" w:eastAsia="Times New Roman" w:hAnsi="Times New Roman"/>
                <w:sz w:val="4"/>
                <w:szCs w:val="4"/>
                <w:color w:val="0000EE"/>
                <w:highlight w:val="white"/>
              </w:rPr>
              <w:t>.4   Status of Plan Under ERISA</w:t>
            </w: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7740" w:type="dxa"/>
            <w:vAlign w:val="bottom"/>
            <w:gridSpan w:val="22"/>
          </w:tcPr>
          <w:p>
            <w:pPr>
              <w:spacing w:after="0" w:line="41" w:lineRule="exact"/>
              <w:rPr>
                <w:sz w:val="20"/>
                <w:szCs w:val="20"/>
                <w:color w:val="auto"/>
              </w:rPr>
            </w:pPr>
            <w:r>
              <w:rPr>
                <w:rFonts w:ascii="Times New Roman" w:cs="Times New Roman" w:eastAsia="Times New Roman" w:hAnsi="Times New Roman"/>
                <w:sz w:val="4"/>
                <w:szCs w:val="4"/>
                <w:color w:val="0000EE"/>
              </w:rPr>
              <w:t>1</w:t>
            </w:r>
            <w:r>
              <w:rPr>
                <w:rFonts w:ascii="Times New Roman" w:cs="Times New Roman" w:eastAsia="Times New Roman" w:hAnsi="Times New Roman"/>
                <w:sz w:val="4"/>
                <w:szCs w:val="4"/>
                <w:color w:val="0000EE"/>
                <w:highlight w:val="white"/>
              </w:rPr>
              <w:t>.5   Compliance with Section 409A</w:t>
            </w: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20"/>
                <w:szCs w:val="20"/>
                <w:color w:val="0000EE"/>
                <w:w w:val="97"/>
              </w:rPr>
              <w:t>Definitions</w:t>
            </w:r>
          </w:p>
        </w:tc>
        <w:tc>
          <w:tcPr>
            <w:tcW w:w="6760" w:type="dxa"/>
            <w:vAlign w:val="bottom"/>
            <w:gridSpan w:val="17"/>
            <w:vMerge w:val="restart"/>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72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Article 2</w:t>
            </w:r>
          </w:p>
        </w:tc>
        <w:tc>
          <w:tcPr>
            <w:tcW w:w="920" w:type="dxa"/>
            <w:vAlign w:val="bottom"/>
            <w:gridSpan w:val="4"/>
            <w:vMerge w:val="continue"/>
          </w:tcPr>
          <w:p>
            <w:pPr>
              <w:spacing w:after="0"/>
              <w:rPr>
                <w:sz w:val="3"/>
                <w:szCs w:val="3"/>
                <w:color w:val="auto"/>
              </w:rPr>
            </w:pPr>
          </w:p>
        </w:tc>
        <w:tc>
          <w:tcPr>
            <w:tcW w:w="6760" w:type="dxa"/>
            <w:vAlign w:val="bottom"/>
            <w:gridSpan w:val="17"/>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5"/>
            <w:vMerge w:val="restart"/>
          </w:tcPr>
          <w:p>
            <w:pPr>
              <w:ind w:left="20"/>
              <w:spacing w:after="0"/>
              <w:rPr>
                <w:sz w:val="20"/>
                <w:szCs w:val="20"/>
                <w:color w:val="auto"/>
              </w:rPr>
            </w:pPr>
            <w:r>
              <w:rPr>
                <w:rFonts w:ascii="Times New Roman" w:cs="Times New Roman" w:eastAsia="Times New Roman" w:hAnsi="Times New Roman"/>
                <w:sz w:val="20"/>
                <w:szCs w:val="20"/>
                <w:color w:val="0000EE"/>
                <w:w w:val="95"/>
              </w:rPr>
              <w:t>Participation</w:t>
            </w:r>
          </w:p>
        </w:tc>
        <w:tc>
          <w:tcPr>
            <w:tcW w:w="6640" w:type="dxa"/>
            <w:vAlign w:val="bottom"/>
            <w:gridSpan w:val="16"/>
            <w:vMerge w:val="restart"/>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2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Article 3</w:t>
            </w:r>
          </w:p>
        </w:tc>
        <w:tc>
          <w:tcPr>
            <w:tcW w:w="1040" w:type="dxa"/>
            <w:vAlign w:val="bottom"/>
            <w:gridSpan w:val="5"/>
            <w:vMerge w:val="continue"/>
          </w:tcPr>
          <w:p>
            <w:pPr>
              <w:spacing w:after="0"/>
              <w:rPr>
                <w:sz w:val="3"/>
                <w:szCs w:val="3"/>
                <w:color w:val="auto"/>
              </w:rPr>
            </w:pPr>
          </w:p>
        </w:tc>
        <w:tc>
          <w:tcPr>
            <w:tcW w:w="6640" w:type="dxa"/>
            <w:vAlign w:val="bottom"/>
            <w:gridSpan w:val="16"/>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Eligibility for Participation</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3</w:t>
            </w:r>
            <w:r>
              <w:rPr>
                <w:rFonts w:ascii="Times New Roman" w:cs="Times New Roman" w:eastAsia="Times New Roman" w:hAnsi="Times New Roman"/>
                <w:sz w:val="4"/>
                <w:szCs w:val="4"/>
                <w:color w:val="0000EE"/>
                <w:highlight w:val="white"/>
              </w:rPr>
              <w:t>.1</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8"/>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7740" w:type="dxa"/>
            <w:vAlign w:val="bottom"/>
            <w:gridSpan w:val="22"/>
          </w:tcPr>
          <w:p>
            <w:pPr>
              <w:spacing w:after="0" w:line="41" w:lineRule="exact"/>
              <w:rPr>
                <w:sz w:val="20"/>
                <w:szCs w:val="20"/>
                <w:color w:val="auto"/>
              </w:rPr>
            </w:pPr>
            <w:r>
              <w:rPr>
                <w:rFonts w:ascii="Times New Roman" w:cs="Times New Roman" w:eastAsia="Times New Roman" w:hAnsi="Times New Roman"/>
                <w:sz w:val="4"/>
                <w:szCs w:val="4"/>
                <w:color w:val="0000EE"/>
              </w:rPr>
              <w:t>3</w:t>
            </w:r>
            <w:r>
              <w:rPr>
                <w:rFonts w:ascii="Times New Roman" w:cs="Times New Roman" w:eastAsia="Times New Roman" w:hAnsi="Times New Roman"/>
                <w:sz w:val="4"/>
                <w:szCs w:val="4"/>
                <w:color w:val="0000EE"/>
                <w:highlight w:val="white"/>
              </w:rPr>
              <w:t>.2   Termination of Active Participation</w:t>
            </w: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7680" w:type="dxa"/>
            <w:vAlign w:val="bottom"/>
            <w:gridSpan w:val="21"/>
            <w:vMerge w:val="restart"/>
          </w:tcPr>
          <w:p>
            <w:pPr>
              <w:ind w:left="20"/>
              <w:spacing w:after="0"/>
              <w:rPr>
                <w:sz w:val="20"/>
                <w:szCs w:val="20"/>
                <w:color w:val="auto"/>
              </w:rPr>
            </w:pPr>
            <w:r>
              <w:rPr>
                <w:rFonts w:ascii="Times New Roman" w:cs="Times New Roman" w:eastAsia="Times New Roman" w:hAnsi="Times New Roman"/>
                <w:sz w:val="20"/>
                <w:szCs w:val="20"/>
                <w:color w:val="0000EE"/>
              </w:rPr>
              <w:t>Amounts Credited to Accounts</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2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Article 4</w:t>
            </w:r>
          </w:p>
        </w:tc>
        <w:tc>
          <w:tcPr>
            <w:tcW w:w="7680" w:type="dxa"/>
            <w:vAlign w:val="bottom"/>
            <w:gridSpan w:val="21"/>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166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0000EE"/>
                <w:highlight w:val="white"/>
                <w:w w:val="96"/>
              </w:rPr>
              <w:t>Participant Accounts</w:t>
            </w:r>
          </w:p>
        </w:tc>
        <w:tc>
          <w:tcPr>
            <w:tcW w:w="380" w:type="dxa"/>
            <w:vAlign w:val="bottom"/>
            <w:gridSpan w:val="3"/>
            <w:vMerge w:val="restart"/>
          </w:tcPr>
          <w:p>
            <w:pPr>
              <w:spacing w:after="0"/>
              <w:rPr>
                <w:sz w:val="24"/>
                <w:szCs w:val="24"/>
                <w:color w:val="auto"/>
              </w:rPr>
            </w:pPr>
          </w:p>
        </w:tc>
        <w:tc>
          <w:tcPr>
            <w:tcW w:w="5200" w:type="dxa"/>
            <w:vAlign w:val="bottom"/>
            <w:gridSpan w:val="7"/>
            <w:vMerge w:val="restart"/>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4</w:t>
            </w:r>
            <w:r>
              <w:rPr>
                <w:rFonts w:ascii="Times New Roman" w:cs="Times New Roman" w:eastAsia="Times New Roman" w:hAnsi="Times New Roman"/>
                <w:sz w:val="4"/>
                <w:szCs w:val="4"/>
                <w:color w:val="0000EE"/>
                <w:highlight w:val="white"/>
              </w:rPr>
              <w:t>.1</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660" w:type="dxa"/>
            <w:vAlign w:val="bottom"/>
            <w:gridSpan w:val="8"/>
            <w:vMerge w:val="continue"/>
          </w:tcPr>
          <w:p>
            <w:pPr>
              <w:spacing w:after="0"/>
              <w:rPr>
                <w:sz w:val="3"/>
                <w:szCs w:val="3"/>
                <w:color w:val="auto"/>
              </w:rPr>
            </w:pPr>
          </w:p>
        </w:tc>
        <w:tc>
          <w:tcPr>
            <w:tcW w:w="380" w:type="dxa"/>
            <w:vAlign w:val="bottom"/>
            <w:gridSpan w:val="3"/>
            <w:vMerge w:val="continue"/>
          </w:tcPr>
          <w:p>
            <w:pPr>
              <w:spacing w:after="0"/>
              <w:rPr>
                <w:sz w:val="3"/>
                <w:szCs w:val="3"/>
                <w:color w:val="auto"/>
              </w:rPr>
            </w:pPr>
          </w:p>
        </w:tc>
        <w:tc>
          <w:tcPr>
            <w:tcW w:w="5200" w:type="dxa"/>
            <w:vAlign w:val="bottom"/>
            <w:gridSpan w:val="7"/>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144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0000EE"/>
                <w:highlight w:val="white"/>
                <w:w w:val="96"/>
              </w:rPr>
              <w:t>Elective Deferrals</w:t>
            </w:r>
          </w:p>
        </w:tc>
        <w:tc>
          <w:tcPr>
            <w:tcW w:w="220" w:type="dxa"/>
            <w:vAlign w:val="bottom"/>
            <w:gridSpan w:val="2"/>
            <w:vMerge w:val="restart"/>
          </w:tcPr>
          <w:p>
            <w:pPr>
              <w:spacing w:after="0"/>
              <w:rPr>
                <w:sz w:val="24"/>
                <w:szCs w:val="24"/>
                <w:color w:val="auto"/>
              </w:rPr>
            </w:pPr>
          </w:p>
        </w:tc>
        <w:tc>
          <w:tcPr>
            <w:tcW w:w="5580" w:type="dxa"/>
            <w:vAlign w:val="bottom"/>
            <w:gridSpan w:val="10"/>
            <w:vMerge w:val="restart"/>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4</w:t>
            </w:r>
            <w:r>
              <w:rPr>
                <w:rFonts w:ascii="Times New Roman" w:cs="Times New Roman" w:eastAsia="Times New Roman" w:hAnsi="Times New Roman"/>
                <w:sz w:val="4"/>
                <w:szCs w:val="4"/>
                <w:color w:val="0000EE"/>
                <w:highlight w:val="white"/>
              </w:rPr>
              <w:t>.2</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440" w:type="dxa"/>
            <w:vAlign w:val="bottom"/>
            <w:gridSpan w:val="6"/>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5580" w:type="dxa"/>
            <w:vAlign w:val="bottom"/>
            <w:gridSpan w:val="10"/>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Hypothetical Investments</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020" w:type="dxa"/>
            <w:vAlign w:val="bottom"/>
            <w:gridSpan w:val="4"/>
          </w:tcPr>
          <w:p>
            <w:pPr>
              <w:ind w:left="640"/>
              <w:spacing w:after="0" w:line="41" w:lineRule="exact"/>
              <w:rPr>
                <w:sz w:val="20"/>
                <w:szCs w:val="20"/>
                <w:color w:val="auto"/>
              </w:rPr>
            </w:pPr>
            <w:r>
              <w:rPr>
                <w:rFonts w:ascii="Times New Roman" w:cs="Times New Roman" w:eastAsia="Times New Roman" w:hAnsi="Times New Roman"/>
                <w:sz w:val="4"/>
                <w:szCs w:val="4"/>
                <w:color w:val="0000EE"/>
              </w:rPr>
              <w:t>4</w:t>
            </w:r>
            <w:r>
              <w:rPr>
                <w:rFonts w:ascii="Times New Roman" w:cs="Times New Roman" w:eastAsia="Times New Roman" w:hAnsi="Times New Roman"/>
                <w:sz w:val="4"/>
                <w:szCs w:val="4"/>
                <w:color w:val="0000EE"/>
                <w:highlight w:val="white"/>
              </w:rPr>
              <w:t>.3</w:t>
            </w:r>
          </w:p>
        </w:tc>
        <w:tc>
          <w:tcPr>
            <w:tcW w:w="140" w:type="dxa"/>
            <w:vAlign w:val="bottom"/>
            <w:vMerge w:val="continue"/>
          </w:tcPr>
          <w:p>
            <w:pPr>
              <w:spacing w:after="0"/>
              <w:rPr>
                <w:sz w:val="3"/>
                <w:szCs w:val="3"/>
                <w:color w:val="auto"/>
              </w:rPr>
            </w:pPr>
          </w:p>
        </w:tc>
        <w:tc>
          <w:tcPr>
            <w:tcW w:w="7240" w:type="dxa"/>
            <w:vAlign w:val="bottom"/>
            <w:gridSpan w:val="18"/>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660" w:type="dxa"/>
            <w:vAlign w:val="bottom"/>
          </w:tcPr>
          <w:p>
            <w:pPr>
              <w:spacing w:after="0"/>
              <w:rPr>
                <w:sz w:val="24"/>
                <w:szCs w:val="24"/>
                <w:color w:val="auto"/>
              </w:rPr>
            </w:pPr>
          </w:p>
        </w:tc>
        <w:tc>
          <w:tcPr>
            <w:tcW w:w="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Borders>
              <w:top w:val="single" w:sz="8" w:color="0000EE"/>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7740" w:type="dxa"/>
            <w:vAlign w:val="bottom"/>
            <w:gridSpan w:val="22"/>
          </w:tcPr>
          <w:p>
            <w:pPr>
              <w:spacing w:after="0" w:line="41" w:lineRule="exact"/>
              <w:rPr>
                <w:sz w:val="20"/>
                <w:szCs w:val="20"/>
                <w:color w:val="auto"/>
              </w:rPr>
            </w:pPr>
            <w:r>
              <w:rPr>
                <w:rFonts w:ascii="Times New Roman" w:cs="Times New Roman" w:eastAsia="Times New Roman" w:hAnsi="Times New Roman"/>
                <w:sz w:val="4"/>
                <w:szCs w:val="4"/>
                <w:color w:val="0000EE"/>
              </w:rPr>
              <w:t>4</w:t>
            </w:r>
            <w:r>
              <w:rPr>
                <w:rFonts w:ascii="Times New Roman" w:cs="Times New Roman" w:eastAsia="Times New Roman" w:hAnsi="Times New Roman"/>
                <w:sz w:val="4"/>
                <w:szCs w:val="4"/>
                <w:color w:val="0000EE"/>
                <w:highlight w:val="white"/>
              </w:rPr>
              <w:t>.4   Required Investments in UFP Stock</w:t>
            </w: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60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20"/>
                <w:szCs w:val="20"/>
                <w:color w:val="0000EE"/>
                <w:highlight w:val="white"/>
                <w:w w:val="89"/>
              </w:rPr>
              <w:t>Vesting</w:t>
            </w:r>
          </w:p>
        </w:tc>
        <w:tc>
          <w:tcPr>
            <w:tcW w:w="2240" w:type="dxa"/>
            <w:vAlign w:val="bottom"/>
            <w:tcBorders>
              <w:top w:val="single" w:sz="8" w:color="0000EE"/>
            </w:tcBorders>
            <w:gridSpan w:val="14"/>
            <w:vMerge w:val="restart"/>
          </w:tcPr>
          <w:p>
            <w:pPr>
              <w:spacing w:after="0"/>
              <w:rPr>
                <w:sz w:val="24"/>
                <w:szCs w:val="24"/>
                <w:color w:val="auto"/>
              </w:rPr>
            </w:pPr>
          </w:p>
        </w:tc>
        <w:tc>
          <w:tcPr>
            <w:tcW w:w="4400" w:type="dxa"/>
            <w:vAlign w:val="bottom"/>
            <w:gridSpan w:val="2"/>
            <w:vMerge w:val="restart"/>
          </w:tcPr>
          <w:p>
            <w:pPr>
              <w:spacing w:after="0"/>
              <w:rPr>
                <w:sz w:val="24"/>
                <w:szCs w:val="24"/>
                <w:color w:val="auto"/>
              </w:rPr>
            </w:pPr>
          </w:p>
        </w:tc>
        <w:tc>
          <w:tcPr>
            <w:tcW w:w="180" w:type="dxa"/>
            <w:vAlign w:val="bottom"/>
            <w:tcBorders>
              <w:top w:val="single" w:sz="8" w:color="0000EE"/>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240" w:type="dxa"/>
            <w:vAlign w:val="bottom"/>
            <w:tcBorders>
              <w:bottom w:val="single" w:sz="8" w:color="0000EE"/>
            </w:tcBorders>
            <w:gridSpan w:val="2"/>
          </w:tcPr>
          <w:p>
            <w:pPr>
              <w:spacing w:after="0" w:line="41" w:lineRule="exact"/>
              <w:rPr>
                <w:sz w:val="20"/>
                <w:szCs w:val="20"/>
                <w:color w:val="auto"/>
              </w:rPr>
            </w:pPr>
            <w:r>
              <w:rPr>
                <w:rFonts w:ascii="Times New Roman" w:cs="Times New Roman" w:eastAsia="Times New Roman" w:hAnsi="Times New Roman"/>
                <w:sz w:val="4"/>
                <w:szCs w:val="4"/>
                <w:color w:val="0000EE"/>
              </w:rPr>
              <w:t>4</w:t>
            </w:r>
            <w:r>
              <w:rPr>
                <w:rFonts w:ascii="Times New Roman" w:cs="Times New Roman" w:eastAsia="Times New Roman" w:hAnsi="Times New Roman"/>
                <w:sz w:val="4"/>
                <w:szCs w:val="4"/>
                <w:color w:val="0000EE"/>
                <w:highlight w:val="white"/>
              </w:rPr>
              <w:t>.5</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600" w:type="dxa"/>
            <w:vAlign w:val="bottom"/>
            <w:tcBorders>
              <w:bottom w:val="single" w:sz="8" w:color="0000EE"/>
            </w:tcBorders>
            <w:gridSpan w:val="2"/>
            <w:vMerge w:val="continue"/>
          </w:tcPr>
          <w:p>
            <w:pPr>
              <w:spacing w:after="0"/>
              <w:rPr>
                <w:sz w:val="3"/>
                <w:szCs w:val="3"/>
                <w:color w:val="auto"/>
              </w:rPr>
            </w:pPr>
          </w:p>
        </w:tc>
        <w:tc>
          <w:tcPr>
            <w:tcW w:w="2240" w:type="dxa"/>
            <w:vAlign w:val="bottom"/>
            <w:gridSpan w:val="14"/>
            <w:vMerge w:val="continue"/>
          </w:tcPr>
          <w:p>
            <w:pPr>
              <w:spacing w:after="0"/>
              <w:rPr>
                <w:sz w:val="3"/>
                <w:szCs w:val="3"/>
                <w:color w:val="auto"/>
              </w:rPr>
            </w:pPr>
          </w:p>
        </w:tc>
        <w:tc>
          <w:tcPr>
            <w:tcW w:w="4400" w:type="dxa"/>
            <w:vAlign w:val="bottom"/>
            <w:gridSpan w:val="2"/>
            <w:vMerge w:val="continue"/>
          </w:tcPr>
          <w:p>
            <w:pPr>
              <w:spacing w:after="0"/>
              <w:rPr>
                <w:sz w:val="3"/>
                <w:szCs w:val="3"/>
                <w:color w:val="auto"/>
              </w:rPr>
            </w:pPr>
          </w:p>
        </w:tc>
        <w:tc>
          <w:tcPr>
            <w:tcW w:w="180" w:type="dxa"/>
            <w:vAlign w:val="bottom"/>
            <w:tcBorders>
              <w:bottom w:val="single" w:sz="8" w:color="0000EE"/>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gridSpan w:val="19"/>
            <w:vMerge w:val="restart"/>
          </w:tcPr>
          <w:p>
            <w:pPr>
              <w:ind w:left="140"/>
              <w:spacing w:after="0"/>
              <w:rPr>
                <w:sz w:val="20"/>
                <w:szCs w:val="20"/>
                <w:color w:val="auto"/>
              </w:rPr>
            </w:pPr>
            <w:r>
              <w:rPr>
                <w:rFonts w:ascii="Times New Roman" w:cs="Times New Roman" w:eastAsia="Times New Roman" w:hAnsi="Times New Roman"/>
                <w:sz w:val="20"/>
                <w:szCs w:val="20"/>
                <w:color w:val="0000EE"/>
                <w:highlight w:val="white"/>
              </w:rPr>
              <w:t>Forfeiture</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020" w:type="dxa"/>
            <w:vAlign w:val="bottom"/>
            <w:gridSpan w:val="4"/>
          </w:tcPr>
          <w:p>
            <w:pPr>
              <w:ind w:left="640"/>
              <w:spacing w:after="0" w:line="41" w:lineRule="exact"/>
              <w:rPr>
                <w:sz w:val="20"/>
                <w:szCs w:val="20"/>
                <w:color w:val="auto"/>
              </w:rPr>
            </w:pPr>
            <w:r>
              <w:rPr>
                <w:rFonts w:ascii="Times New Roman" w:cs="Times New Roman" w:eastAsia="Times New Roman" w:hAnsi="Times New Roman"/>
                <w:sz w:val="4"/>
                <w:szCs w:val="4"/>
                <w:color w:val="0000EE"/>
              </w:rPr>
              <w:t>4</w:t>
            </w:r>
            <w:r>
              <w:rPr>
                <w:rFonts w:ascii="Times New Roman" w:cs="Times New Roman" w:eastAsia="Times New Roman" w:hAnsi="Times New Roman"/>
                <w:sz w:val="4"/>
                <w:szCs w:val="4"/>
                <w:color w:val="0000EE"/>
                <w:highlight w:val="white"/>
              </w:rPr>
              <w:t>.6</w:t>
            </w:r>
          </w:p>
        </w:tc>
        <w:tc>
          <w:tcPr>
            <w:tcW w:w="7380" w:type="dxa"/>
            <w:vAlign w:val="bottom"/>
            <w:gridSpan w:val="19"/>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7680" w:type="dxa"/>
            <w:vAlign w:val="bottom"/>
            <w:gridSpan w:val="21"/>
            <w:vMerge w:val="restart"/>
          </w:tcPr>
          <w:p>
            <w:pPr>
              <w:ind w:left="20"/>
              <w:spacing w:after="0"/>
              <w:rPr>
                <w:sz w:val="20"/>
                <w:szCs w:val="20"/>
                <w:color w:val="auto"/>
              </w:rPr>
            </w:pPr>
            <w:r>
              <w:rPr>
                <w:rFonts w:ascii="Times New Roman" w:cs="Times New Roman" w:eastAsia="Times New Roman" w:hAnsi="Times New Roman"/>
                <w:sz w:val="20"/>
                <w:szCs w:val="20"/>
                <w:color w:val="0000EE"/>
              </w:rPr>
              <w:t>Distribution of Benefits</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72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Article 5</w:t>
            </w:r>
          </w:p>
        </w:tc>
        <w:tc>
          <w:tcPr>
            <w:tcW w:w="7680" w:type="dxa"/>
            <w:vAlign w:val="bottom"/>
            <w:gridSpan w:val="21"/>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Distributable Events</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5</w:t>
            </w:r>
            <w:r>
              <w:rPr>
                <w:rFonts w:ascii="Times New Roman" w:cs="Times New Roman" w:eastAsia="Times New Roman" w:hAnsi="Times New Roman"/>
                <w:sz w:val="4"/>
                <w:szCs w:val="4"/>
                <w:color w:val="0000EE"/>
                <w:highlight w:val="white"/>
              </w:rPr>
              <w:t>.1</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8"/>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660" w:type="dxa"/>
            <w:vAlign w:val="bottom"/>
          </w:tcPr>
          <w:p>
            <w:pPr>
              <w:spacing w:after="0"/>
              <w:rPr>
                <w:sz w:val="24"/>
                <w:szCs w:val="24"/>
                <w:color w:val="auto"/>
              </w:rPr>
            </w:pPr>
          </w:p>
        </w:tc>
        <w:tc>
          <w:tcPr>
            <w:tcW w:w="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1580" w:type="dxa"/>
            <w:vAlign w:val="bottom"/>
            <w:tcBorders>
              <w:top w:val="single" w:sz="8" w:color="0000EE"/>
            </w:tcBorders>
            <w:gridSpan w:val="7"/>
            <w:vMerge w:val="restart"/>
          </w:tcPr>
          <w:p>
            <w:pPr>
              <w:spacing w:after="0"/>
              <w:rPr>
                <w:sz w:val="20"/>
                <w:szCs w:val="20"/>
                <w:color w:val="auto"/>
              </w:rPr>
            </w:pPr>
            <w:r>
              <w:rPr>
                <w:rFonts w:ascii="Times New Roman" w:cs="Times New Roman" w:eastAsia="Times New Roman" w:hAnsi="Times New Roman"/>
                <w:sz w:val="20"/>
                <w:szCs w:val="20"/>
                <w:color w:val="0000EE"/>
                <w:highlight w:val="white"/>
                <w:w w:val="98"/>
              </w:rPr>
              <w:t>Amount of Benefits</w:t>
            </w:r>
          </w:p>
        </w:tc>
        <w:tc>
          <w:tcPr>
            <w:tcW w:w="80" w:type="dxa"/>
            <w:vAlign w:val="bottom"/>
            <w:tcBorders>
              <w:top w:val="single" w:sz="8" w:color="0000EE"/>
            </w:tcBorders>
            <w:vMerge w:val="restart"/>
          </w:tcPr>
          <w:p>
            <w:pPr>
              <w:spacing w:after="0"/>
              <w:rPr>
                <w:sz w:val="24"/>
                <w:szCs w:val="24"/>
                <w:color w:val="auto"/>
              </w:rPr>
            </w:pPr>
          </w:p>
        </w:tc>
        <w:tc>
          <w:tcPr>
            <w:tcW w:w="5580" w:type="dxa"/>
            <w:vAlign w:val="bottom"/>
            <w:gridSpan w:val="10"/>
            <w:vMerge w:val="restart"/>
          </w:tcPr>
          <w:p>
            <w:pPr>
              <w:spacing w:after="0"/>
              <w:rPr>
                <w:sz w:val="24"/>
                <w:szCs w:val="24"/>
                <w:color w:val="auto"/>
              </w:rPr>
            </w:pPr>
          </w:p>
        </w:tc>
        <w:tc>
          <w:tcPr>
            <w:tcW w:w="180" w:type="dxa"/>
            <w:vAlign w:val="bottom"/>
            <w:tcBorders>
              <w:top w:val="single" w:sz="8" w:color="0000EE"/>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240" w:type="dxa"/>
            <w:vAlign w:val="bottom"/>
            <w:tcBorders>
              <w:bottom w:val="single" w:sz="8" w:color="0000EE"/>
            </w:tcBorders>
            <w:gridSpan w:val="2"/>
          </w:tcPr>
          <w:p>
            <w:pPr>
              <w:spacing w:after="0" w:line="41" w:lineRule="exact"/>
              <w:rPr>
                <w:sz w:val="20"/>
                <w:szCs w:val="20"/>
                <w:color w:val="auto"/>
              </w:rPr>
            </w:pPr>
            <w:r>
              <w:rPr>
                <w:rFonts w:ascii="Times New Roman" w:cs="Times New Roman" w:eastAsia="Times New Roman" w:hAnsi="Times New Roman"/>
                <w:sz w:val="4"/>
                <w:szCs w:val="4"/>
                <w:color w:val="0000EE"/>
              </w:rPr>
              <w:t>5</w:t>
            </w:r>
            <w:r>
              <w:rPr>
                <w:rFonts w:ascii="Times New Roman" w:cs="Times New Roman" w:eastAsia="Times New Roman" w:hAnsi="Times New Roman"/>
                <w:sz w:val="4"/>
                <w:szCs w:val="4"/>
                <w:color w:val="0000EE"/>
                <w:highlight w:val="white"/>
              </w:rPr>
              <w:t>.2</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580" w:type="dxa"/>
            <w:vAlign w:val="bottom"/>
            <w:tcBorders>
              <w:bottom w:val="single" w:sz="8" w:color="0000EE"/>
            </w:tcBorders>
            <w:gridSpan w:val="7"/>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5580" w:type="dxa"/>
            <w:vAlign w:val="bottom"/>
            <w:gridSpan w:val="10"/>
            <w:vMerge w:val="continue"/>
          </w:tcPr>
          <w:p>
            <w:pPr>
              <w:spacing w:after="0"/>
              <w:rPr>
                <w:sz w:val="3"/>
                <w:szCs w:val="3"/>
                <w:color w:val="auto"/>
              </w:rPr>
            </w:pPr>
          </w:p>
        </w:tc>
        <w:tc>
          <w:tcPr>
            <w:tcW w:w="180" w:type="dxa"/>
            <w:vAlign w:val="bottom"/>
            <w:tcBorders>
              <w:bottom w:val="single" w:sz="8" w:color="0000EE"/>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Time of Payment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5</w:t>
            </w:r>
            <w:r>
              <w:rPr>
                <w:rFonts w:ascii="Times New Roman" w:cs="Times New Roman" w:eastAsia="Times New Roman" w:hAnsi="Times New Roman"/>
                <w:sz w:val="4"/>
                <w:szCs w:val="4"/>
                <w:color w:val="0000EE"/>
                <w:highlight w:val="white"/>
              </w:rPr>
              <w:t>.3</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8"/>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Form of Payment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5</w:t>
            </w:r>
            <w:r>
              <w:rPr>
                <w:rFonts w:ascii="Times New Roman" w:cs="Times New Roman" w:eastAsia="Times New Roman" w:hAnsi="Times New Roman"/>
                <w:sz w:val="4"/>
                <w:szCs w:val="4"/>
                <w:color w:val="0000EE"/>
                <w:highlight w:val="white"/>
              </w:rPr>
              <w:t>.4</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8"/>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Beneficiary Designations</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5</w:t>
            </w:r>
            <w:r>
              <w:rPr>
                <w:rFonts w:ascii="Times New Roman" w:cs="Times New Roman" w:eastAsia="Times New Roman" w:hAnsi="Times New Roman"/>
                <w:sz w:val="4"/>
                <w:szCs w:val="4"/>
                <w:color w:val="0000EE"/>
                <w:highlight w:val="white"/>
              </w:rPr>
              <w:t>.5</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8"/>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Unforeseeable Emergency</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5</w:t>
            </w:r>
            <w:r>
              <w:rPr>
                <w:rFonts w:ascii="Times New Roman" w:cs="Times New Roman" w:eastAsia="Times New Roman" w:hAnsi="Times New Roman"/>
                <w:sz w:val="4"/>
                <w:szCs w:val="4"/>
                <w:color w:val="0000EE"/>
                <w:highlight w:val="white"/>
              </w:rPr>
              <w:t>.6</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8"/>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140" w:type="dxa"/>
            <w:vAlign w:val="bottom"/>
            <w:tcBorders>
              <w:top w:val="single" w:sz="8" w:color="0000EE"/>
            </w:tcBorders>
            <w:gridSpan w:val="12"/>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Tax Withholding</w:t>
            </w:r>
          </w:p>
        </w:tc>
        <w:tc>
          <w:tcPr>
            <w:tcW w:w="5100" w:type="dxa"/>
            <w:vAlign w:val="bottom"/>
            <w:gridSpan w:val="6"/>
            <w:vMerge w:val="restart"/>
          </w:tcPr>
          <w:p>
            <w:pPr>
              <w:spacing w:after="0"/>
              <w:rPr>
                <w:sz w:val="24"/>
                <w:szCs w:val="24"/>
                <w:color w:val="auto"/>
              </w:rPr>
            </w:pPr>
          </w:p>
        </w:tc>
        <w:tc>
          <w:tcPr>
            <w:tcW w:w="180" w:type="dxa"/>
            <w:vAlign w:val="bottom"/>
            <w:tcBorders>
              <w:top w:val="single" w:sz="8" w:color="0000EE"/>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020" w:type="dxa"/>
            <w:vAlign w:val="bottom"/>
            <w:gridSpan w:val="4"/>
          </w:tcPr>
          <w:p>
            <w:pPr>
              <w:ind w:left="640"/>
              <w:spacing w:after="0" w:line="41" w:lineRule="exact"/>
              <w:rPr>
                <w:sz w:val="20"/>
                <w:szCs w:val="20"/>
                <w:color w:val="auto"/>
              </w:rPr>
            </w:pPr>
            <w:r>
              <w:rPr>
                <w:rFonts w:ascii="Times New Roman" w:cs="Times New Roman" w:eastAsia="Times New Roman" w:hAnsi="Times New Roman"/>
                <w:sz w:val="4"/>
                <w:szCs w:val="4"/>
                <w:color w:val="0000EE"/>
              </w:rPr>
              <w:t>5</w:t>
            </w:r>
            <w:r>
              <w:rPr>
                <w:rFonts w:ascii="Times New Roman" w:cs="Times New Roman" w:eastAsia="Times New Roman" w:hAnsi="Times New Roman"/>
                <w:sz w:val="4"/>
                <w:szCs w:val="4"/>
                <w:color w:val="0000EE"/>
                <w:highlight w:val="white"/>
              </w:rPr>
              <w:t>.7</w:t>
            </w:r>
          </w:p>
        </w:tc>
        <w:tc>
          <w:tcPr>
            <w:tcW w:w="140" w:type="dxa"/>
            <w:vAlign w:val="bottom"/>
            <w:vMerge w:val="continue"/>
          </w:tcPr>
          <w:p>
            <w:pPr>
              <w:spacing w:after="0"/>
              <w:rPr>
                <w:sz w:val="3"/>
                <w:szCs w:val="3"/>
                <w:color w:val="auto"/>
              </w:rPr>
            </w:pPr>
          </w:p>
        </w:tc>
        <w:tc>
          <w:tcPr>
            <w:tcW w:w="2140" w:type="dxa"/>
            <w:vAlign w:val="bottom"/>
            <w:gridSpan w:val="12"/>
            <w:vMerge w:val="continue"/>
          </w:tcPr>
          <w:p>
            <w:pPr>
              <w:spacing w:after="0"/>
              <w:rPr>
                <w:sz w:val="3"/>
                <w:szCs w:val="3"/>
                <w:color w:val="auto"/>
              </w:rPr>
            </w:pPr>
          </w:p>
        </w:tc>
        <w:tc>
          <w:tcPr>
            <w:tcW w:w="5100" w:type="dxa"/>
            <w:vAlign w:val="bottom"/>
            <w:gridSpan w:val="6"/>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Borders>
              <w:top w:val="single" w:sz="8" w:color="0000EE"/>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7740" w:type="dxa"/>
            <w:vAlign w:val="bottom"/>
            <w:gridSpan w:val="22"/>
          </w:tcPr>
          <w:p>
            <w:pPr>
              <w:spacing w:after="0" w:line="41" w:lineRule="exact"/>
              <w:rPr>
                <w:sz w:val="20"/>
                <w:szCs w:val="20"/>
                <w:color w:val="auto"/>
              </w:rPr>
            </w:pPr>
            <w:r>
              <w:rPr>
                <w:rFonts w:ascii="Times New Roman" w:cs="Times New Roman" w:eastAsia="Times New Roman" w:hAnsi="Times New Roman"/>
                <w:sz w:val="4"/>
                <w:szCs w:val="4"/>
                <w:color w:val="0000EE"/>
              </w:rPr>
              <w:t>5</w:t>
            </w:r>
            <w:r>
              <w:rPr>
                <w:rFonts w:ascii="Times New Roman" w:cs="Times New Roman" w:eastAsia="Times New Roman" w:hAnsi="Times New Roman"/>
                <w:sz w:val="4"/>
                <w:szCs w:val="4"/>
                <w:color w:val="0000EE"/>
                <w:highlight w:val="white"/>
              </w:rPr>
              <w:t>.8   Prohibition on Assignment and Alienation</w:t>
            </w: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900" w:type="dxa"/>
            <w:vAlign w:val="bottom"/>
            <w:gridSpan w:val="3"/>
          </w:tcPr>
          <w:p>
            <w:pPr>
              <w:spacing w:after="0"/>
              <w:rPr>
                <w:sz w:val="20"/>
                <w:szCs w:val="20"/>
                <w:color w:val="auto"/>
              </w:rPr>
            </w:pPr>
            <w:r>
              <w:rPr>
                <w:rFonts w:ascii="Calibri" w:cs="Calibri" w:eastAsia="Calibri" w:hAnsi="Calibri"/>
                <w:sz w:val="18"/>
                <w:szCs w:val="18"/>
                <w:color w:val="auto"/>
              </w:rPr>
              <w:t>26824804.4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-7945755</wp:posOffset>
            </wp:positionV>
            <wp:extent cx="6714490" cy="103803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6714490" cy="10380345"/>
                    </a:xfrm>
                    <a:prstGeom prst="rect">
                      <a:avLst/>
                    </a:prstGeom>
                    <a:noFill/>
                  </pic:spPr>
                </pic:pic>
              </a:graphicData>
            </a:graphic>
          </wp:anchor>
        </w:drawing>
      </w:r>
    </w:p>
    <w:p>
      <w:pPr>
        <w:sectPr>
          <w:pgSz w:w="11900" w:h="16838" w:orient="portrait"/>
          <w:cols w:equalWidth="0" w:num="1">
            <w:col w:w="9140"/>
          </w:cols>
          <w:pgMar w:left="1440" w:top="138" w:right="1319" w:bottom="1440" w:gutter="0" w:footer="0" w:header="0"/>
        </w:sectPr>
      </w:pPr>
    </w:p>
    <w:bookmarkStart w:id="81" w:name="page82"/>
    <w:bookmarkEnd w:id="81"/>
    <w:tbl>
      <w:tblPr>
        <w:tblLayout w:type="fixed"/>
        <w:tblInd w:w="5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0000EE"/>
              </w:rPr>
              <w:t>Article</w:t>
            </w:r>
            <w:r>
              <w:rPr>
                <w:rFonts w:ascii="Times New Roman" w:cs="Times New Roman" w:eastAsia="Times New Roman" w:hAnsi="Times New Roman"/>
                <w:sz w:val="20"/>
                <w:szCs w:val="20"/>
                <w:color w:val="000000"/>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w w:val="99"/>
              </w:rPr>
              <w:t>6</w:t>
            </w:r>
          </w:p>
        </w:tc>
        <w:tc>
          <w:tcPr>
            <w:tcW w:w="7680" w:type="dxa"/>
            <w:vAlign w:val="bottom"/>
            <w:gridSpan w:val="18"/>
          </w:tcPr>
          <w:p>
            <w:pPr>
              <w:ind w:left="20"/>
              <w:spacing w:after="0"/>
              <w:rPr>
                <w:sz w:val="20"/>
                <w:szCs w:val="20"/>
                <w:color w:val="auto"/>
              </w:rPr>
            </w:pPr>
            <w:r>
              <w:rPr>
                <w:rFonts w:ascii="Times New Roman" w:cs="Times New Roman" w:eastAsia="Times New Roman" w:hAnsi="Times New Roman"/>
                <w:sz w:val="20"/>
                <w:szCs w:val="20"/>
                <w:color w:val="0000EE"/>
              </w:rPr>
              <w:t>Funding</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0000EE"/>
                <w:w w:val="79"/>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Borders>
              <w:top w:val="single" w:sz="8" w:color="0000EE"/>
            </w:tcBorders>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7760" w:type="dxa"/>
            <w:vAlign w:val="bottom"/>
            <w:gridSpan w:val="19"/>
          </w:tcPr>
          <w:p>
            <w:pPr>
              <w:spacing w:after="0" w:line="41" w:lineRule="exact"/>
              <w:rPr>
                <w:sz w:val="20"/>
                <w:szCs w:val="20"/>
                <w:color w:val="auto"/>
              </w:rPr>
            </w:pPr>
            <w:r>
              <w:rPr>
                <w:rFonts w:ascii="Times New Roman" w:cs="Times New Roman" w:eastAsia="Times New Roman" w:hAnsi="Times New Roman"/>
                <w:sz w:val="4"/>
                <w:szCs w:val="4"/>
                <w:color w:val="0000EE"/>
              </w:rPr>
              <w:t>6</w:t>
            </w:r>
            <w:r>
              <w:rPr>
                <w:rFonts w:ascii="Times New Roman" w:cs="Times New Roman" w:eastAsia="Times New Roman" w:hAnsi="Times New Roman"/>
                <w:sz w:val="4"/>
                <w:szCs w:val="4"/>
                <w:color w:val="0000EE"/>
                <w:highlight w:val="white"/>
              </w:rPr>
              <w:t>.1   No Trust or Other Fiduciary Relationship</w:t>
            </w: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Borders>
              <w:top w:val="single" w:sz="8" w:color="0000EE"/>
            </w:tcBorders>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7760" w:type="dxa"/>
            <w:vAlign w:val="bottom"/>
            <w:gridSpan w:val="19"/>
          </w:tcPr>
          <w:p>
            <w:pPr>
              <w:spacing w:after="0" w:line="41" w:lineRule="exact"/>
              <w:rPr>
                <w:sz w:val="20"/>
                <w:szCs w:val="20"/>
                <w:color w:val="auto"/>
              </w:rPr>
            </w:pPr>
            <w:r>
              <w:rPr>
                <w:rFonts w:ascii="Times New Roman" w:cs="Times New Roman" w:eastAsia="Times New Roman" w:hAnsi="Times New Roman"/>
                <w:sz w:val="4"/>
                <w:szCs w:val="4"/>
                <w:color w:val="0000EE"/>
              </w:rPr>
              <w:t>6</w:t>
            </w:r>
            <w:r>
              <w:rPr>
                <w:rFonts w:ascii="Times New Roman" w:cs="Times New Roman" w:eastAsia="Times New Roman" w:hAnsi="Times New Roman"/>
                <w:sz w:val="4"/>
                <w:szCs w:val="4"/>
                <w:color w:val="0000EE"/>
                <w:highlight w:val="white"/>
              </w:rPr>
              <w:t>.2   Establishment of Trust Fund</w:t>
            </w: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80" w:type="dxa"/>
            <w:vAlign w:val="bottom"/>
            <w:gridSpan w:val="18"/>
            <w:vMerge w:val="restart"/>
          </w:tcPr>
          <w:p>
            <w:pPr>
              <w:ind w:left="20"/>
              <w:spacing w:after="0"/>
              <w:rPr>
                <w:sz w:val="20"/>
                <w:szCs w:val="20"/>
                <w:color w:val="auto"/>
              </w:rPr>
            </w:pPr>
            <w:r>
              <w:rPr>
                <w:rFonts w:ascii="Times New Roman" w:cs="Times New Roman" w:eastAsia="Times New Roman" w:hAnsi="Times New Roman"/>
                <w:sz w:val="20"/>
                <w:szCs w:val="20"/>
                <w:color w:val="0000EE"/>
              </w:rPr>
              <w:t>Administration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720" w:type="dxa"/>
            <w:vAlign w:val="bottom"/>
            <w:gridSpan w:val="3"/>
          </w:tcPr>
          <w:p>
            <w:pPr>
              <w:spacing w:after="0" w:line="41" w:lineRule="exact"/>
              <w:rPr>
                <w:sz w:val="20"/>
                <w:szCs w:val="20"/>
                <w:color w:val="auto"/>
              </w:rPr>
            </w:pPr>
            <w:r>
              <w:rPr>
                <w:rFonts w:ascii="Times New Roman" w:cs="Times New Roman" w:eastAsia="Times New Roman" w:hAnsi="Times New Roman"/>
                <w:sz w:val="4"/>
                <w:szCs w:val="4"/>
                <w:color w:val="0000EE"/>
              </w:rPr>
              <w:t>Article 7</w:t>
            </w:r>
          </w:p>
        </w:tc>
        <w:tc>
          <w:tcPr>
            <w:tcW w:w="7680" w:type="dxa"/>
            <w:vAlign w:val="bottom"/>
            <w:gridSpan w:val="18"/>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gridSpan w:val="15"/>
            <w:vMerge w:val="restart"/>
          </w:tcPr>
          <w:p>
            <w:pPr>
              <w:ind w:left="140"/>
              <w:spacing w:after="0"/>
              <w:rPr>
                <w:sz w:val="20"/>
                <w:szCs w:val="20"/>
                <w:color w:val="auto"/>
              </w:rPr>
            </w:pPr>
            <w:r>
              <w:rPr>
                <w:rFonts w:ascii="Times New Roman" w:cs="Times New Roman" w:eastAsia="Times New Roman" w:hAnsi="Times New Roman"/>
                <w:sz w:val="20"/>
                <w:szCs w:val="20"/>
                <w:color w:val="0000EE"/>
                <w:highlight w:val="white"/>
              </w:rPr>
              <w:t>Plan Administrator</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80" w:type="dxa"/>
            <w:vAlign w:val="bottom"/>
          </w:tcPr>
          <w:p>
            <w:pPr>
              <w:spacing w:after="0"/>
              <w:rPr>
                <w:sz w:val="3"/>
                <w:szCs w:val="3"/>
                <w:color w:val="auto"/>
              </w:rPr>
            </w:pPr>
          </w:p>
        </w:tc>
        <w:tc>
          <w:tcPr>
            <w:tcW w:w="440" w:type="dxa"/>
            <w:vAlign w:val="bottom"/>
            <w:gridSpan w:val="5"/>
          </w:tcPr>
          <w:p>
            <w:pPr>
              <w:ind w:left="60"/>
              <w:spacing w:after="0" w:line="41" w:lineRule="exact"/>
              <w:rPr>
                <w:sz w:val="20"/>
                <w:szCs w:val="20"/>
                <w:color w:val="auto"/>
              </w:rPr>
            </w:pPr>
            <w:r>
              <w:rPr>
                <w:rFonts w:ascii="Times New Roman" w:cs="Times New Roman" w:eastAsia="Times New Roman" w:hAnsi="Times New Roman"/>
                <w:sz w:val="4"/>
                <w:szCs w:val="4"/>
                <w:color w:val="0000EE"/>
              </w:rPr>
              <w:t>7</w:t>
            </w:r>
            <w:r>
              <w:rPr>
                <w:rFonts w:ascii="Times New Roman" w:cs="Times New Roman" w:eastAsia="Times New Roman" w:hAnsi="Times New Roman"/>
                <w:sz w:val="4"/>
                <w:szCs w:val="4"/>
                <w:color w:val="0000EE"/>
                <w:highlight w:val="white"/>
              </w:rPr>
              <w:t>.1</w:t>
            </w:r>
          </w:p>
        </w:tc>
        <w:tc>
          <w:tcPr>
            <w:tcW w:w="7380" w:type="dxa"/>
            <w:vAlign w:val="bottom"/>
            <w:gridSpan w:val="15"/>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Borders>
              <w:top w:val="single" w:sz="8" w:color="0000EE"/>
            </w:tcBorders>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7760" w:type="dxa"/>
            <w:vAlign w:val="bottom"/>
            <w:gridSpan w:val="19"/>
          </w:tcPr>
          <w:p>
            <w:pPr>
              <w:spacing w:after="0" w:line="41" w:lineRule="exact"/>
              <w:rPr>
                <w:sz w:val="20"/>
                <w:szCs w:val="20"/>
                <w:color w:val="auto"/>
              </w:rPr>
            </w:pPr>
            <w:r>
              <w:rPr>
                <w:rFonts w:ascii="Times New Roman" w:cs="Times New Roman" w:eastAsia="Times New Roman" w:hAnsi="Times New Roman"/>
                <w:sz w:val="4"/>
                <w:szCs w:val="4"/>
                <w:color w:val="0000EE"/>
              </w:rPr>
              <w:t>7</w:t>
            </w:r>
            <w:r>
              <w:rPr>
                <w:rFonts w:ascii="Times New Roman" w:cs="Times New Roman" w:eastAsia="Times New Roman" w:hAnsi="Times New Roman"/>
                <w:sz w:val="4"/>
                <w:szCs w:val="4"/>
                <w:color w:val="0000EE"/>
                <w:highlight w:val="white"/>
              </w:rPr>
              <w:t>.2   Powers of Plan Administrator</w:t>
            </w: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1940" w:type="dxa"/>
            <w:vAlign w:val="bottom"/>
            <w:tcBorders>
              <w:top w:val="single" w:sz="8" w:color="0000EE"/>
            </w:tcBorders>
            <w:gridSpan w:val="9"/>
            <w:vMerge w:val="restart"/>
          </w:tcPr>
          <w:p>
            <w:pPr>
              <w:spacing w:after="0"/>
              <w:rPr>
                <w:sz w:val="20"/>
                <w:szCs w:val="20"/>
                <w:color w:val="auto"/>
              </w:rPr>
            </w:pPr>
            <w:r>
              <w:rPr>
                <w:rFonts w:ascii="Times New Roman" w:cs="Times New Roman" w:eastAsia="Times New Roman" w:hAnsi="Times New Roman"/>
                <w:sz w:val="20"/>
                <w:szCs w:val="20"/>
                <w:color w:val="0000EE"/>
                <w:highlight w:val="white"/>
                <w:w w:val="98"/>
              </w:rPr>
              <w:t>Maintenance of Records</w:t>
            </w:r>
          </w:p>
        </w:tc>
        <w:tc>
          <w:tcPr>
            <w:tcW w:w="420" w:type="dxa"/>
            <w:vAlign w:val="bottom"/>
            <w:tcBorders>
              <w:top w:val="single" w:sz="8" w:color="0000EE"/>
            </w:tcBorders>
            <w:gridSpan w:val="2"/>
            <w:vMerge w:val="restart"/>
          </w:tcPr>
          <w:p>
            <w:pPr>
              <w:spacing w:after="0"/>
              <w:rPr>
                <w:sz w:val="24"/>
                <w:szCs w:val="24"/>
                <w:color w:val="auto"/>
              </w:rPr>
            </w:pPr>
          </w:p>
        </w:tc>
        <w:tc>
          <w:tcPr>
            <w:tcW w:w="4880" w:type="dxa"/>
            <w:vAlign w:val="bottom"/>
            <w:gridSpan w:val="3"/>
            <w:vMerge w:val="restart"/>
          </w:tcPr>
          <w:p>
            <w:pPr>
              <w:spacing w:after="0"/>
              <w:rPr>
                <w:sz w:val="24"/>
                <w:szCs w:val="24"/>
                <w:color w:val="auto"/>
              </w:rPr>
            </w:pPr>
          </w:p>
        </w:tc>
        <w:tc>
          <w:tcPr>
            <w:tcW w:w="180" w:type="dxa"/>
            <w:vAlign w:val="bottom"/>
            <w:tcBorders>
              <w:top w:val="single" w:sz="8" w:color="0000EE"/>
            </w:tcBorders>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0000EE"/>
            </w:tcBorders>
            <w:gridSpan w:val="3"/>
          </w:tcPr>
          <w:p>
            <w:pPr>
              <w:spacing w:after="0" w:line="41" w:lineRule="exact"/>
              <w:rPr>
                <w:sz w:val="20"/>
                <w:szCs w:val="20"/>
                <w:color w:val="auto"/>
              </w:rPr>
            </w:pPr>
            <w:r>
              <w:rPr>
                <w:rFonts w:ascii="Times New Roman" w:cs="Times New Roman" w:eastAsia="Times New Roman" w:hAnsi="Times New Roman"/>
                <w:sz w:val="4"/>
                <w:szCs w:val="4"/>
                <w:color w:val="0000EE"/>
              </w:rPr>
              <w:t>7</w:t>
            </w:r>
            <w:r>
              <w:rPr>
                <w:rFonts w:ascii="Times New Roman" w:cs="Times New Roman" w:eastAsia="Times New Roman" w:hAnsi="Times New Roman"/>
                <w:sz w:val="4"/>
                <w:szCs w:val="4"/>
                <w:color w:val="0000EE"/>
                <w:highlight w:val="white"/>
              </w:rPr>
              <w:t>.3</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940" w:type="dxa"/>
            <w:vAlign w:val="bottom"/>
            <w:tcBorders>
              <w:bottom w:val="single" w:sz="8" w:color="0000EE"/>
            </w:tcBorders>
            <w:gridSpan w:val="9"/>
            <w:vMerge w:val="continue"/>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4880" w:type="dxa"/>
            <w:vAlign w:val="bottom"/>
            <w:gridSpan w:val="3"/>
            <w:vMerge w:val="continue"/>
          </w:tcPr>
          <w:p>
            <w:pPr>
              <w:spacing w:after="0"/>
              <w:rPr>
                <w:sz w:val="3"/>
                <w:szCs w:val="3"/>
                <w:color w:val="auto"/>
              </w:rPr>
            </w:pPr>
          </w:p>
        </w:tc>
        <w:tc>
          <w:tcPr>
            <w:tcW w:w="180" w:type="dxa"/>
            <w:vAlign w:val="bottom"/>
            <w:tcBorders>
              <w:bottom w:val="single" w:sz="8" w:color="0000EE"/>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gridSpan w:val="15"/>
            <w:vMerge w:val="restart"/>
          </w:tcPr>
          <w:p>
            <w:pPr>
              <w:ind w:left="140"/>
              <w:spacing w:after="0"/>
              <w:rPr>
                <w:sz w:val="20"/>
                <w:szCs w:val="20"/>
                <w:color w:val="auto"/>
              </w:rPr>
            </w:pPr>
            <w:r>
              <w:rPr>
                <w:rFonts w:ascii="Times New Roman" w:cs="Times New Roman" w:eastAsia="Times New Roman" w:hAnsi="Times New Roman"/>
                <w:sz w:val="20"/>
                <w:szCs w:val="20"/>
                <w:color w:val="0000EE"/>
                <w:highlight w:val="white"/>
              </w:rPr>
              <w:t>Appeal Procedure</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80" w:type="dxa"/>
            <w:vAlign w:val="bottom"/>
          </w:tcPr>
          <w:p>
            <w:pPr>
              <w:spacing w:after="0"/>
              <w:rPr>
                <w:sz w:val="3"/>
                <w:szCs w:val="3"/>
                <w:color w:val="auto"/>
              </w:rPr>
            </w:pPr>
          </w:p>
        </w:tc>
        <w:tc>
          <w:tcPr>
            <w:tcW w:w="440" w:type="dxa"/>
            <w:vAlign w:val="bottom"/>
            <w:gridSpan w:val="5"/>
          </w:tcPr>
          <w:p>
            <w:pPr>
              <w:ind w:left="60"/>
              <w:spacing w:after="0" w:line="41" w:lineRule="exact"/>
              <w:rPr>
                <w:sz w:val="20"/>
                <w:szCs w:val="20"/>
                <w:color w:val="auto"/>
              </w:rPr>
            </w:pPr>
            <w:r>
              <w:rPr>
                <w:rFonts w:ascii="Times New Roman" w:cs="Times New Roman" w:eastAsia="Times New Roman" w:hAnsi="Times New Roman"/>
                <w:sz w:val="4"/>
                <w:szCs w:val="4"/>
                <w:color w:val="0000EE"/>
              </w:rPr>
              <w:t>7</w:t>
            </w:r>
            <w:r>
              <w:rPr>
                <w:rFonts w:ascii="Times New Roman" w:cs="Times New Roman" w:eastAsia="Times New Roman" w:hAnsi="Times New Roman"/>
                <w:sz w:val="4"/>
                <w:szCs w:val="4"/>
                <w:color w:val="0000EE"/>
                <w:highlight w:val="white"/>
              </w:rPr>
              <w:t>.4</w:t>
            </w:r>
          </w:p>
        </w:tc>
        <w:tc>
          <w:tcPr>
            <w:tcW w:w="7380" w:type="dxa"/>
            <w:vAlign w:val="bottom"/>
            <w:gridSpan w:val="15"/>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Borders>
              <w:top w:val="single" w:sz="8" w:color="0000EE"/>
            </w:tcBorders>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7760" w:type="dxa"/>
            <w:vAlign w:val="bottom"/>
            <w:gridSpan w:val="19"/>
          </w:tcPr>
          <w:p>
            <w:pPr>
              <w:spacing w:after="0" w:line="54" w:lineRule="exact"/>
              <w:rPr>
                <w:sz w:val="20"/>
                <w:szCs w:val="20"/>
                <w:color w:val="auto"/>
              </w:rPr>
            </w:pPr>
            <w:r>
              <w:rPr>
                <w:rFonts w:ascii="Times New Roman" w:cs="Times New Roman" w:eastAsia="Times New Roman" w:hAnsi="Times New Roman"/>
                <w:sz w:val="5"/>
                <w:szCs w:val="5"/>
                <w:color w:val="0000EE"/>
              </w:rPr>
              <w:t>7</w:t>
            </w:r>
            <w:r>
              <w:rPr>
                <w:rFonts w:ascii="Times New Roman" w:cs="Times New Roman" w:eastAsia="Times New Roman" w:hAnsi="Times New Roman"/>
                <w:sz w:val="5"/>
                <w:szCs w:val="5"/>
                <w:color w:val="0000EE"/>
                <w:highlight w:val="white"/>
              </w:rPr>
              <w:t>.5   Indemnification of Administrative Committee</w:t>
            </w:r>
          </w:p>
        </w:tc>
        <w:tc>
          <w:tcPr>
            <w:tcW w:w="1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80" w:type="dxa"/>
            <w:vAlign w:val="bottom"/>
            <w:gridSpan w:val="18"/>
            <w:vMerge w:val="restart"/>
          </w:tcPr>
          <w:p>
            <w:pPr>
              <w:ind w:left="20"/>
              <w:spacing w:after="0"/>
              <w:rPr>
                <w:sz w:val="20"/>
                <w:szCs w:val="20"/>
                <w:color w:val="auto"/>
              </w:rPr>
            </w:pPr>
            <w:r>
              <w:rPr>
                <w:rFonts w:ascii="Times New Roman" w:cs="Times New Roman" w:eastAsia="Times New Roman" w:hAnsi="Times New Roman"/>
                <w:sz w:val="20"/>
                <w:szCs w:val="20"/>
                <w:color w:val="0000EE"/>
              </w:rPr>
              <w:t>Miscellaneous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720" w:type="dxa"/>
            <w:vAlign w:val="bottom"/>
            <w:gridSpan w:val="3"/>
          </w:tcPr>
          <w:p>
            <w:pPr>
              <w:spacing w:after="0" w:line="41" w:lineRule="exact"/>
              <w:rPr>
                <w:sz w:val="20"/>
                <w:szCs w:val="20"/>
                <w:color w:val="auto"/>
              </w:rPr>
            </w:pPr>
            <w:r>
              <w:rPr>
                <w:rFonts w:ascii="Times New Roman" w:cs="Times New Roman" w:eastAsia="Times New Roman" w:hAnsi="Times New Roman"/>
                <w:sz w:val="4"/>
                <w:szCs w:val="4"/>
                <w:color w:val="0000EE"/>
              </w:rPr>
              <w:t>Article 8</w:t>
            </w:r>
          </w:p>
        </w:tc>
        <w:tc>
          <w:tcPr>
            <w:tcW w:w="7680" w:type="dxa"/>
            <w:vAlign w:val="bottom"/>
            <w:gridSpan w:val="18"/>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4"/>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No Employment Rights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gridSpan w:val="3"/>
          </w:tcPr>
          <w:p>
            <w:pPr>
              <w:spacing w:after="0" w:line="41" w:lineRule="exact"/>
              <w:rPr>
                <w:sz w:val="20"/>
                <w:szCs w:val="20"/>
                <w:color w:val="auto"/>
              </w:rPr>
            </w:pPr>
            <w:r>
              <w:rPr>
                <w:rFonts w:ascii="Times New Roman" w:cs="Times New Roman" w:eastAsia="Times New Roman" w:hAnsi="Times New Roman"/>
                <w:sz w:val="4"/>
                <w:szCs w:val="4"/>
                <w:color w:val="0000EE"/>
              </w:rPr>
              <w:t>8</w:t>
            </w:r>
            <w:r>
              <w:rPr>
                <w:rFonts w:ascii="Times New Roman" w:cs="Times New Roman" w:eastAsia="Times New Roman" w:hAnsi="Times New Roman"/>
                <w:sz w:val="4"/>
                <w:szCs w:val="4"/>
                <w:color w:val="0000EE"/>
                <w:highlight w:val="white"/>
              </w:rPr>
              <w:t>.1</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4"/>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1020" w:type="dxa"/>
            <w:vAlign w:val="bottom"/>
            <w:tcBorders>
              <w:top w:val="single" w:sz="8" w:color="0000EE"/>
            </w:tcBorders>
            <w:gridSpan w:val="4"/>
            <w:vMerge w:val="restart"/>
          </w:tcPr>
          <w:p>
            <w:pPr>
              <w:spacing w:after="0"/>
              <w:rPr>
                <w:sz w:val="20"/>
                <w:szCs w:val="20"/>
                <w:color w:val="auto"/>
              </w:rPr>
            </w:pPr>
            <w:r>
              <w:rPr>
                <w:rFonts w:ascii="Times New Roman" w:cs="Times New Roman" w:eastAsia="Times New Roman" w:hAnsi="Times New Roman"/>
                <w:sz w:val="20"/>
                <w:szCs w:val="20"/>
                <w:color w:val="0000EE"/>
                <w:highlight w:val="white"/>
                <w:w w:val="99"/>
              </w:rPr>
              <w:t>Amendment</w:t>
            </w:r>
          </w:p>
        </w:tc>
        <w:tc>
          <w:tcPr>
            <w:tcW w:w="860" w:type="dxa"/>
            <w:vAlign w:val="bottom"/>
            <w:tcBorders>
              <w:top w:val="single" w:sz="8" w:color="0000EE"/>
            </w:tcBorders>
            <w:gridSpan w:val="4"/>
            <w:vMerge w:val="restart"/>
          </w:tcPr>
          <w:p>
            <w:pPr>
              <w:spacing w:after="0"/>
              <w:rPr>
                <w:sz w:val="24"/>
                <w:szCs w:val="24"/>
                <w:color w:val="auto"/>
              </w:rPr>
            </w:pPr>
          </w:p>
        </w:tc>
        <w:tc>
          <w:tcPr>
            <w:tcW w:w="5360" w:type="dxa"/>
            <w:vAlign w:val="bottom"/>
            <w:gridSpan w:val="6"/>
            <w:vMerge w:val="restart"/>
          </w:tcPr>
          <w:p>
            <w:pPr>
              <w:spacing w:after="0"/>
              <w:rPr>
                <w:sz w:val="24"/>
                <w:szCs w:val="24"/>
                <w:color w:val="auto"/>
              </w:rPr>
            </w:pPr>
          </w:p>
        </w:tc>
        <w:tc>
          <w:tcPr>
            <w:tcW w:w="180" w:type="dxa"/>
            <w:vAlign w:val="bottom"/>
            <w:tcBorders>
              <w:top w:val="single" w:sz="8" w:color="0000EE"/>
            </w:tcBorders>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0000EE"/>
            </w:tcBorders>
            <w:gridSpan w:val="3"/>
          </w:tcPr>
          <w:p>
            <w:pPr>
              <w:spacing w:after="0" w:line="41" w:lineRule="exact"/>
              <w:rPr>
                <w:sz w:val="20"/>
                <w:szCs w:val="20"/>
                <w:color w:val="auto"/>
              </w:rPr>
            </w:pPr>
            <w:r>
              <w:rPr>
                <w:rFonts w:ascii="Times New Roman" w:cs="Times New Roman" w:eastAsia="Times New Roman" w:hAnsi="Times New Roman"/>
                <w:sz w:val="4"/>
                <w:szCs w:val="4"/>
                <w:color w:val="0000EE"/>
              </w:rPr>
              <w:t>8</w:t>
            </w:r>
            <w:r>
              <w:rPr>
                <w:rFonts w:ascii="Times New Roman" w:cs="Times New Roman" w:eastAsia="Times New Roman" w:hAnsi="Times New Roman"/>
                <w:sz w:val="4"/>
                <w:szCs w:val="4"/>
                <w:color w:val="0000EE"/>
                <w:highlight w:val="white"/>
              </w:rPr>
              <w:t>.2</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020" w:type="dxa"/>
            <w:vAlign w:val="bottom"/>
            <w:tcBorders>
              <w:bottom w:val="single" w:sz="8" w:color="0000EE"/>
            </w:tcBorders>
            <w:gridSpan w:val="4"/>
            <w:vMerge w:val="continue"/>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5360" w:type="dxa"/>
            <w:vAlign w:val="bottom"/>
            <w:gridSpan w:val="6"/>
            <w:vMerge w:val="continue"/>
          </w:tcPr>
          <w:p>
            <w:pPr>
              <w:spacing w:after="0"/>
              <w:rPr>
                <w:sz w:val="3"/>
                <w:szCs w:val="3"/>
                <w:color w:val="auto"/>
              </w:rPr>
            </w:pPr>
          </w:p>
        </w:tc>
        <w:tc>
          <w:tcPr>
            <w:tcW w:w="180" w:type="dxa"/>
            <w:vAlign w:val="bottom"/>
            <w:tcBorders>
              <w:bottom w:val="single" w:sz="8" w:color="0000EE"/>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4"/>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Termination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gridSpan w:val="3"/>
          </w:tcPr>
          <w:p>
            <w:pPr>
              <w:spacing w:after="0" w:line="41" w:lineRule="exact"/>
              <w:rPr>
                <w:sz w:val="20"/>
                <w:szCs w:val="20"/>
                <w:color w:val="auto"/>
              </w:rPr>
            </w:pPr>
            <w:r>
              <w:rPr>
                <w:rFonts w:ascii="Times New Roman" w:cs="Times New Roman" w:eastAsia="Times New Roman" w:hAnsi="Times New Roman"/>
                <w:sz w:val="4"/>
                <w:szCs w:val="4"/>
                <w:color w:val="0000EE"/>
              </w:rPr>
              <w:t>8</w:t>
            </w:r>
            <w:r>
              <w:rPr>
                <w:rFonts w:ascii="Times New Roman" w:cs="Times New Roman" w:eastAsia="Times New Roman" w:hAnsi="Times New Roman"/>
                <w:sz w:val="4"/>
                <w:szCs w:val="4"/>
                <w:color w:val="0000EE"/>
                <w:highlight w:val="white"/>
              </w:rPr>
              <w:t>.3</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4"/>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960" w:type="dxa"/>
            <w:vAlign w:val="bottom"/>
            <w:tcBorders>
              <w:top w:val="single" w:sz="8" w:color="0000EE"/>
            </w:tcBorders>
            <w:gridSpan w:val="3"/>
            <w:vMerge w:val="restart"/>
          </w:tcPr>
          <w:p>
            <w:pPr>
              <w:spacing w:after="0"/>
              <w:rPr>
                <w:sz w:val="20"/>
                <w:szCs w:val="20"/>
                <w:color w:val="auto"/>
              </w:rPr>
            </w:pPr>
            <w:r>
              <w:rPr>
                <w:rFonts w:ascii="Times New Roman" w:cs="Times New Roman" w:eastAsia="Times New Roman" w:hAnsi="Times New Roman"/>
                <w:sz w:val="20"/>
                <w:szCs w:val="20"/>
                <w:color w:val="0000EE"/>
                <w:highlight w:val="white"/>
                <w:w w:val="97"/>
              </w:rPr>
              <w:t>Severability</w:t>
            </w:r>
          </w:p>
        </w:tc>
        <w:tc>
          <w:tcPr>
            <w:tcW w:w="6280" w:type="dxa"/>
            <w:vAlign w:val="bottom"/>
            <w:gridSpan w:val="11"/>
            <w:vMerge w:val="restart"/>
          </w:tcPr>
          <w:p>
            <w:pPr>
              <w:spacing w:after="0"/>
              <w:rPr>
                <w:sz w:val="24"/>
                <w:szCs w:val="24"/>
                <w:color w:val="auto"/>
              </w:rPr>
            </w:pPr>
          </w:p>
        </w:tc>
        <w:tc>
          <w:tcPr>
            <w:tcW w:w="180" w:type="dxa"/>
            <w:vAlign w:val="bottom"/>
            <w:tcBorders>
              <w:top w:val="single" w:sz="8" w:color="0000EE"/>
            </w:tcBorders>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0000EE"/>
            </w:tcBorders>
            <w:gridSpan w:val="3"/>
          </w:tcPr>
          <w:p>
            <w:pPr>
              <w:spacing w:after="0" w:line="41" w:lineRule="exact"/>
              <w:rPr>
                <w:sz w:val="20"/>
                <w:szCs w:val="20"/>
                <w:color w:val="auto"/>
              </w:rPr>
            </w:pPr>
            <w:r>
              <w:rPr>
                <w:rFonts w:ascii="Times New Roman" w:cs="Times New Roman" w:eastAsia="Times New Roman" w:hAnsi="Times New Roman"/>
                <w:sz w:val="4"/>
                <w:szCs w:val="4"/>
                <w:color w:val="0000EE"/>
              </w:rPr>
              <w:t>8</w:t>
            </w:r>
            <w:r>
              <w:rPr>
                <w:rFonts w:ascii="Times New Roman" w:cs="Times New Roman" w:eastAsia="Times New Roman" w:hAnsi="Times New Roman"/>
                <w:sz w:val="4"/>
                <w:szCs w:val="4"/>
                <w:color w:val="0000EE"/>
                <w:highlight w:val="white"/>
              </w:rPr>
              <w:t>.4</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960" w:type="dxa"/>
            <w:vAlign w:val="bottom"/>
            <w:tcBorders>
              <w:bottom w:val="single" w:sz="8" w:color="0000EE"/>
            </w:tcBorders>
            <w:gridSpan w:val="3"/>
            <w:vMerge w:val="continue"/>
          </w:tcPr>
          <w:p>
            <w:pPr>
              <w:spacing w:after="0"/>
              <w:rPr>
                <w:sz w:val="3"/>
                <w:szCs w:val="3"/>
                <w:color w:val="auto"/>
              </w:rPr>
            </w:pPr>
          </w:p>
        </w:tc>
        <w:tc>
          <w:tcPr>
            <w:tcW w:w="6280" w:type="dxa"/>
            <w:vAlign w:val="bottom"/>
            <w:gridSpan w:val="11"/>
            <w:vMerge w:val="continue"/>
          </w:tcPr>
          <w:p>
            <w:pPr>
              <w:spacing w:after="0"/>
              <w:rPr>
                <w:sz w:val="3"/>
                <w:szCs w:val="3"/>
                <w:color w:val="auto"/>
              </w:rPr>
            </w:pPr>
          </w:p>
        </w:tc>
        <w:tc>
          <w:tcPr>
            <w:tcW w:w="180" w:type="dxa"/>
            <w:vAlign w:val="bottom"/>
            <w:tcBorders>
              <w:bottom w:val="single" w:sz="8" w:color="0000EE"/>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4"/>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Construction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gridSpan w:val="3"/>
          </w:tcPr>
          <w:p>
            <w:pPr>
              <w:spacing w:after="0" w:line="41" w:lineRule="exact"/>
              <w:rPr>
                <w:sz w:val="20"/>
                <w:szCs w:val="20"/>
                <w:color w:val="auto"/>
              </w:rPr>
            </w:pPr>
            <w:r>
              <w:rPr>
                <w:rFonts w:ascii="Times New Roman" w:cs="Times New Roman" w:eastAsia="Times New Roman" w:hAnsi="Times New Roman"/>
                <w:sz w:val="4"/>
                <w:szCs w:val="4"/>
                <w:color w:val="0000EE"/>
              </w:rPr>
              <w:t>8</w:t>
            </w:r>
            <w:r>
              <w:rPr>
                <w:rFonts w:ascii="Times New Roman" w:cs="Times New Roman" w:eastAsia="Times New Roman" w:hAnsi="Times New Roman"/>
                <w:sz w:val="4"/>
                <w:szCs w:val="4"/>
                <w:color w:val="0000EE"/>
                <w:highlight w:val="white"/>
              </w:rPr>
              <w:t>.5</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4"/>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4"/>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Governing Law</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80" w:type="dxa"/>
            <w:vAlign w:val="bottom"/>
          </w:tcPr>
          <w:p>
            <w:pPr>
              <w:spacing w:after="0"/>
              <w:rPr>
                <w:sz w:val="3"/>
                <w:szCs w:val="3"/>
                <w:color w:val="auto"/>
              </w:rPr>
            </w:pPr>
          </w:p>
        </w:tc>
        <w:tc>
          <w:tcPr>
            <w:tcW w:w="440" w:type="dxa"/>
            <w:vAlign w:val="bottom"/>
            <w:gridSpan w:val="5"/>
          </w:tcPr>
          <w:p>
            <w:pPr>
              <w:ind w:left="60"/>
              <w:spacing w:after="0" w:line="41" w:lineRule="exact"/>
              <w:rPr>
                <w:sz w:val="20"/>
                <w:szCs w:val="20"/>
                <w:color w:val="auto"/>
              </w:rPr>
            </w:pPr>
            <w:r>
              <w:rPr>
                <w:rFonts w:ascii="Times New Roman" w:cs="Times New Roman" w:eastAsia="Times New Roman" w:hAnsi="Times New Roman"/>
                <w:sz w:val="4"/>
                <w:szCs w:val="4"/>
                <w:color w:val="0000EE"/>
              </w:rPr>
              <w:t>8</w:t>
            </w:r>
            <w:r>
              <w:rPr>
                <w:rFonts w:ascii="Times New Roman" w:cs="Times New Roman" w:eastAsia="Times New Roman" w:hAnsi="Times New Roman"/>
                <w:sz w:val="4"/>
                <w:szCs w:val="4"/>
                <w:color w:val="0000EE"/>
                <w:highlight w:val="white"/>
              </w:rPr>
              <w:t>.6</w:t>
            </w:r>
          </w:p>
        </w:tc>
        <w:tc>
          <w:tcPr>
            <w:tcW w:w="140" w:type="dxa"/>
            <w:vAlign w:val="bottom"/>
            <w:vMerge w:val="continue"/>
          </w:tcPr>
          <w:p>
            <w:pPr>
              <w:spacing w:after="0"/>
              <w:rPr>
                <w:sz w:val="3"/>
                <w:szCs w:val="3"/>
                <w:color w:val="auto"/>
              </w:rPr>
            </w:pPr>
          </w:p>
        </w:tc>
        <w:tc>
          <w:tcPr>
            <w:tcW w:w="7240" w:type="dxa"/>
            <w:vAlign w:val="bottom"/>
            <w:gridSpan w:val="14"/>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Borders>
              <w:top w:val="single" w:sz="8" w:color="0000EE"/>
            </w:tcBorders>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020" w:type="dxa"/>
            <w:vAlign w:val="bottom"/>
            <w:gridSpan w:val="6"/>
          </w:tcPr>
          <w:p>
            <w:pPr>
              <w:spacing w:after="0" w:line="41" w:lineRule="exact"/>
              <w:rPr>
                <w:sz w:val="20"/>
                <w:szCs w:val="20"/>
                <w:color w:val="auto"/>
              </w:rPr>
            </w:pPr>
            <w:r>
              <w:rPr>
                <w:rFonts w:ascii="Times New Roman" w:cs="Times New Roman" w:eastAsia="Times New Roman" w:hAnsi="Times New Roman"/>
                <w:sz w:val="4"/>
                <w:szCs w:val="4"/>
                <w:b w:val="1"/>
                <w:bCs w:val="1"/>
                <w:color w:val="0000EE"/>
                <w:highlight w:val="white"/>
              </w:rPr>
              <w:t>Signature</w:t>
            </w: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900" w:type="dxa"/>
            <w:vAlign w:val="bottom"/>
            <w:gridSpan w:val="5"/>
          </w:tcPr>
          <w:p>
            <w:pPr>
              <w:spacing w:after="0"/>
              <w:rPr>
                <w:sz w:val="20"/>
                <w:szCs w:val="20"/>
                <w:color w:val="auto"/>
              </w:rPr>
            </w:pPr>
            <w:r>
              <w:rPr>
                <w:rFonts w:ascii="Calibri" w:cs="Calibri" w:eastAsia="Calibri" w:hAnsi="Calibri"/>
                <w:sz w:val="18"/>
                <w:szCs w:val="18"/>
                <w:color w:val="auto"/>
              </w:rPr>
              <w:t>26824804.4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-5562600</wp:posOffset>
            </wp:positionV>
            <wp:extent cx="6714490" cy="106032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6714490" cy="10603230"/>
                    </a:xfrm>
                    <a:prstGeom prst="rect">
                      <a:avLst/>
                    </a:prstGeom>
                    <a:noFill/>
                  </pic:spPr>
                </pic:pic>
              </a:graphicData>
            </a:graphic>
          </wp:anchor>
        </w:drawing>
      </w:r>
    </w:p>
    <w:p>
      <w:pPr>
        <w:sectPr>
          <w:pgSz w:w="11900" w:h="16838" w:orient="portrait"/>
          <w:cols w:equalWidth="0" w:num="1">
            <w:col w:w="9140"/>
          </w:cols>
          <w:pgMar w:left="1440" w:top="99" w:right="131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UFP INDUSTRIES, INC.</w:t>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341630</wp:posOffset>
            </wp:positionV>
            <wp:extent cx="37020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1</w:t>
      </w:r>
    </w:p>
    <w:p>
      <w:pPr>
        <w:spacing w:after="0" w:line="6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Establishment and Purpose</w:t>
      </w:r>
    </w:p>
    <w:p>
      <w:pPr>
        <w:spacing w:after="0" w:line="2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u w:val="single" w:color="auto"/>
          <w:color w:val="auto"/>
        </w:rPr>
        <w:t>History of the Plan</w:t>
      </w:r>
    </w:p>
    <w:p>
      <w:pPr>
        <w:spacing w:after="0" w:line="152" w:lineRule="exact"/>
        <w:rPr>
          <w:sz w:val="20"/>
          <w:szCs w:val="20"/>
          <w:color w:val="auto"/>
        </w:rPr>
      </w:pPr>
    </w:p>
    <w:p>
      <w:pPr>
        <w:jc w:val="both"/>
        <w:ind w:left="200" w:right="219" w:firstLine="648"/>
        <w:spacing w:after="0" w:line="285" w:lineRule="auto"/>
        <w:rPr>
          <w:sz w:val="20"/>
          <w:szCs w:val="20"/>
          <w:color w:val="auto"/>
        </w:rPr>
      </w:pPr>
      <w:r>
        <w:rPr>
          <w:rFonts w:ascii="Times New Roman" w:cs="Times New Roman" w:eastAsia="Times New Roman" w:hAnsi="Times New Roman"/>
          <w:sz w:val="22"/>
          <w:szCs w:val="22"/>
          <w:color w:val="auto"/>
        </w:rPr>
        <w:t>UFP Industries, Inc.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established the UFP Industries, Inc. Deferred Compensation Plan (the “</w:t>
      </w:r>
      <w:r>
        <w:rPr>
          <w:rFonts w:ascii="Times New Roman" w:cs="Times New Roman" w:eastAsia="Times New Roman" w:hAnsi="Times New Roman"/>
          <w:sz w:val="22"/>
          <w:szCs w:val="22"/>
          <w:i w:val="1"/>
          <w:iCs w:val="1"/>
          <w:color w:val="auto"/>
        </w:rPr>
        <w:t>Plan</w:t>
      </w:r>
      <w:r>
        <w:rPr>
          <w:rFonts w:ascii="Times New Roman" w:cs="Times New Roman" w:eastAsia="Times New Roman" w:hAnsi="Times New Roman"/>
          <w:sz w:val="22"/>
          <w:szCs w:val="22"/>
          <w:color w:val="auto"/>
        </w:rPr>
        <w:t>”) as of December 27, 1995. Prior to April 22, 2020, the Company was known as Universal Forest Products, Inc., and the Plan was named the Universal Forest Products, Inc. Deferred Compensation Plan. The Plan has periodically been amended, and was most recently amended and restated effective January 1, 2020, and was periodically amended thereafter.</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This Document</w:t>
      </w:r>
    </w:p>
    <w:p>
      <w:pPr>
        <w:spacing w:after="0" w:line="156" w:lineRule="exact"/>
        <w:rPr>
          <w:sz w:val="20"/>
          <w:szCs w:val="20"/>
          <w:color w:val="auto"/>
        </w:rPr>
      </w:pPr>
    </w:p>
    <w:p>
      <w:pPr>
        <w:jc w:val="both"/>
        <w:ind w:left="200" w:right="219" w:firstLine="648"/>
        <w:spacing w:after="0" w:line="309" w:lineRule="auto"/>
        <w:rPr>
          <w:sz w:val="20"/>
          <w:szCs w:val="20"/>
          <w:color w:val="auto"/>
        </w:rPr>
      </w:pPr>
      <w:r>
        <w:rPr>
          <w:rFonts w:ascii="Times New Roman" w:cs="Times New Roman" w:eastAsia="Times New Roman" w:hAnsi="Times New Roman"/>
          <w:sz w:val="22"/>
          <w:szCs w:val="22"/>
          <w:color w:val="auto"/>
        </w:rPr>
        <w:t>By this document, the Company is amending and restating the Plan effective as of January 1, 2025.</w:t>
      </w:r>
    </w:p>
    <w:p>
      <w:pPr>
        <w:spacing w:after="0" w:line="15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u w:val="single" w:color="auto"/>
          <w:color w:val="auto"/>
        </w:rPr>
        <w:t>Purpose</w:t>
      </w:r>
    </w:p>
    <w:p>
      <w:pPr>
        <w:spacing w:after="0" w:line="156"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22"/>
          <w:szCs w:val="22"/>
          <w:color w:val="auto"/>
        </w:rPr>
        <w:t>The Company desires to retain the services of a select group of executives who contribute to the profitability and success of the Company. The Company maintains the Plan to provide the executives who participate in the Plan with the opportunity to defer a portion of their Compensation and have additional retirement income.</w:t>
      </w:r>
    </w:p>
    <w:p>
      <w:pPr>
        <w:spacing w:after="0" w:line="18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u w:val="single" w:color="auto"/>
          <w:color w:val="auto"/>
        </w:rPr>
        <w:t>Status of Plan Under ERISA</w:t>
      </w:r>
    </w:p>
    <w:p>
      <w:pPr>
        <w:spacing w:after="0" w:line="156" w:lineRule="exact"/>
        <w:rPr>
          <w:sz w:val="20"/>
          <w:szCs w:val="20"/>
          <w:color w:val="auto"/>
        </w:rPr>
      </w:pPr>
    </w:p>
    <w:p>
      <w:pPr>
        <w:jc w:val="both"/>
        <w:ind w:left="200" w:right="219" w:firstLine="648"/>
        <w:spacing w:after="0" w:line="288" w:lineRule="auto"/>
        <w:rPr>
          <w:sz w:val="20"/>
          <w:szCs w:val="20"/>
          <w:color w:val="auto"/>
        </w:rPr>
      </w:pPr>
      <w:r>
        <w:rPr>
          <w:rFonts w:ascii="Times New Roman" w:cs="Times New Roman" w:eastAsia="Times New Roman" w:hAnsi="Times New Roman"/>
          <w:sz w:val="22"/>
          <w:szCs w:val="22"/>
          <w:color w:val="auto"/>
        </w:rPr>
        <w:t>The Plan is intended to be unfunded and maintained primarily for the purpose of providing deferred compensation for a select group of management or highly compensated employees for purposes of ERISA. Accordingly, the Plan is not intended to be covered by Parts 2 through 4 of Subtitle B of Title I of ERISA. The existence of any Trust Fund is not intended to change this characterization of the Plan.</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u w:val="single" w:color="auto"/>
          <w:color w:val="auto"/>
        </w:rPr>
        <w:t>Compliance with Section 409A</w:t>
      </w:r>
    </w:p>
    <w:p>
      <w:pPr>
        <w:spacing w:after="0" w:line="156" w:lineRule="exact"/>
        <w:rPr>
          <w:sz w:val="20"/>
          <w:szCs w:val="20"/>
          <w:color w:val="auto"/>
        </w:rPr>
      </w:pPr>
    </w:p>
    <w:p>
      <w:pPr>
        <w:jc w:val="both"/>
        <w:ind w:left="200" w:right="219" w:firstLine="648"/>
        <w:spacing w:after="0" w:line="289" w:lineRule="auto"/>
        <w:rPr>
          <w:sz w:val="20"/>
          <w:szCs w:val="20"/>
          <w:color w:val="auto"/>
        </w:rPr>
      </w:pPr>
      <w:r>
        <w:rPr>
          <w:rFonts w:ascii="Times New Roman" w:cs="Times New Roman" w:eastAsia="Times New Roman" w:hAnsi="Times New Roman"/>
          <w:sz w:val="22"/>
          <w:szCs w:val="22"/>
          <w:color w:val="auto"/>
        </w:rPr>
        <w:t>To the extent the Plan provides deferred compensation under Section 409A of the Code, the Plan is intended to comply with Section 409A. The Plan is intended to be interpreted consistent with the requirements of Section 409A of the Code.</w:t>
      </w:r>
    </w:p>
    <w:p>
      <w:pPr>
        <w:spacing w:after="0" w:line="1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color w:val="auto"/>
        </w:rPr>
        <w:t>Page 1 of 21</w:t>
      </w:r>
    </w:p>
    <w:p>
      <w:pPr>
        <w:spacing w:after="0" w:line="117"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26824804.4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31"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2</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156"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22"/>
          <w:szCs w:val="22"/>
          <w:color w:val="auto"/>
        </w:rPr>
        <w:t>The following terms shall have the meanings described in this Article unless the context clearly indicates another meaning is intended. All references in the Plan to specific articles or sections shall refer to Articles or Sections of the Plan unless otherwise stated.</w:t>
      </w:r>
    </w:p>
    <w:p>
      <w:pPr>
        <w:spacing w:after="0" w:line="62" w:lineRule="exact"/>
        <w:rPr>
          <w:sz w:val="20"/>
          <w:szCs w:val="20"/>
          <w:color w:val="auto"/>
        </w:rPr>
      </w:pPr>
    </w:p>
    <w:p>
      <w:pPr>
        <w:ind w:left="860" w:right="239" w:firstLine="645"/>
        <w:spacing w:after="0" w:line="313" w:lineRule="auto"/>
        <w:tabs>
          <w:tab w:leader="none" w:pos="21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w:t>
      </w:r>
      <w:r>
        <w:rPr>
          <w:rFonts w:ascii="Times New Roman" w:cs="Times New Roman" w:eastAsia="Times New Roman" w:hAnsi="Times New Roman"/>
          <w:sz w:val="22"/>
          <w:szCs w:val="22"/>
          <w:color w:val="auto"/>
        </w:rPr>
        <w:t>” means the bookkeeping record of the Participant’s benefits under the terms of the Plan.</w:t>
      </w:r>
    </w:p>
    <w:p>
      <w:pPr>
        <w:spacing w:after="0" w:line="136" w:lineRule="exact"/>
        <w:rPr>
          <w:rFonts w:ascii="Times New Roman" w:cs="Times New Roman" w:eastAsia="Times New Roman" w:hAnsi="Times New Roman"/>
          <w:sz w:val="22"/>
          <w:szCs w:val="22"/>
          <w:color w:val="auto"/>
        </w:rPr>
      </w:pPr>
    </w:p>
    <w:p>
      <w:pPr>
        <w:jc w:val="both"/>
        <w:ind w:left="860" w:right="219" w:firstLine="645"/>
        <w:spacing w:after="0" w:line="297" w:lineRule="auto"/>
        <w:tabs>
          <w:tab w:leader="none" w:pos="21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Administrative Committee</w:t>
      </w:r>
      <w:r>
        <w:rPr>
          <w:rFonts w:ascii="Times New Roman" w:cs="Times New Roman" w:eastAsia="Times New Roman" w:hAnsi="Times New Roman"/>
          <w:sz w:val="22"/>
          <w:szCs w:val="22"/>
          <w:color w:val="auto"/>
        </w:rPr>
        <w:t>” means the administrative committee periodically appointed by the Board of Directors to assist the Plan Administrator with the day-to-day operation of the Plan as provided in Article 7.</w:t>
      </w:r>
    </w:p>
    <w:p>
      <w:pPr>
        <w:spacing w:after="0" w:line="167" w:lineRule="exact"/>
        <w:rPr>
          <w:rFonts w:ascii="Times New Roman" w:cs="Times New Roman" w:eastAsia="Times New Roman" w:hAnsi="Times New Roman"/>
          <w:sz w:val="22"/>
          <w:szCs w:val="22"/>
          <w:color w:val="auto"/>
        </w:rPr>
      </w:pPr>
    </w:p>
    <w:p>
      <w:pPr>
        <w:jc w:val="both"/>
        <w:ind w:left="860" w:right="219" w:firstLine="645"/>
        <w:spacing w:after="0" w:line="292" w:lineRule="auto"/>
        <w:tabs>
          <w:tab w:leader="none" w:pos="21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 means a Participant’s regular wage or salary and commissions from the Company, not including Bonuses or other types of irregular compensation. Base Salary excludes any amounts earned before a Participant’s election to make Elective Deferrals from such wage or salary.</w:t>
      </w:r>
    </w:p>
    <w:p>
      <w:pPr>
        <w:spacing w:after="0" w:line="172"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Beneficiary</w:t>
      </w:r>
      <w:r>
        <w:rPr>
          <w:rFonts w:ascii="Times New Roman" w:cs="Times New Roman" w:eastAsia="Times New Roman" w:hAnsi="Times New Roman"/>
          <w:sz w:val="22"/>
          <w:szCs w:val="22"/>
          <w:color w:val="auto"/>
        </w:rPr>
        <w:t>” has the meaning set forth in Section 5.5.</w:t>
      </w:r>
    </w:p>
    <w:p>
      <w:pPr>
        <w:spacing w:after="0" w:line="26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means the governing body of UFP Industries, Inc.</w:t>
      </w:r>
    </w:p>
    <w:p>
      <w:pPr>
        <w:spacing w:after="0" w:line="260" w:lineRule="exact"/>
        <w:rPr>
          <w:rFonts w:ascii="Times New Roman" w:cs="Times New Roman" w:eastAsia="Times New Roman" w:hAnsi="Times New Roman"/>
          <w:sz w:val="22"/>
          <w:szCs w:val="22"/>
          <w:color w:val="auto"/>
        </w:rPr>
      </w:pPr>
    </w:p>
    <w:p>
      <w:pPr>
        <w:jc w:val="both"/>
        <w:ind w:left="860" w:right="219" w:firstLine="645"/>
        <w:spacing w:after="0" w:line="288" w:lineRule="auto"/>
        <w:tabs>
          <w:tab w:leader="none" w:pos="21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Bonus</w:t>
      </w:r>
      <w:r>
        <w:rPr>
          <w:rFonts w:ascii="Times New Roman" w:cs="Times New Roman" w:eastAsia="Times New Roman" w:hAnsi="Times New Roman"/>
          <w:sz w:val="22"/>
          <w:szCs w:val="22"/>
          <w:color w:val="auto"/>
        </w:rPr>
        <w:t>” means a payment of cash compensation other than Base Salary to a Participant as a reward for exceptional performance during the prior calendar year that qualifies as performance-based compensation within the meaning of Treas. Reg. §1.409A-1(e).</w:t>
      </w:r>
    </w:p>
    <w:p>
      <w:pPr>
        <w:spacing w:after="0" w:line="176" w:lineRule="exact"/>
        <w:rPr>
          <w:rFonts w:ascii="Times New Roman" w:cs="Times New Roman" w:eastAsia="Times New Roman" w:hAnsi="Times New Roman"/>
          <w:sz w:val="22"/>
          <w:szCs w:val="22"/>
          <w:color w:val="auto"/>
        </w:rPr>
      </w:pPr>
    </w:p>
    <w:p>
      <w:pPr>
        <w:jc w:val="both"/>
        <w:ind w:left="860" w:right="219" w:firstLine="645"/>
        <w:spacing w:after="0" w:line="297" w:lineRule="auto"/>
        <w:tabs>
          <w:tab w:leader="none" w:pos="21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means that one of the following events has occurred with regard to the Company, but only if such event meets the requirements of Treas. Reg. §1.409A-3(i)(5), or any successor provision:</w:t>
      </w:r>
    </w:p>
    <w:p>
      <w:pPr>
        <w:spacing w:after="0" w:line="171" w:lineRule="exact"/>
        <w:rPr>
          <w:rFonts w:ascii="Times New Roman" w:cs="Times New Roman" w:eastAsia="Times New Roman" w:hAnsi="Times New Roman"/>
          <w:sz w:val="22"/>
          <w:szCs w:val="22"/>
          <w:color w:val="auto"/>
        </w:rPr>
      </w:pPr>
    </w:p>
    <w:p>
      <w:pPr>
        <w:ind w:left="1500" w:right="239" w:firstLine="653"/>
        <w:spacing w:after="0" w:line="309" w:lineRule="auto"/>
        <w:tabs>
          <w:tab w:leader="none" w:pos="279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 of 40% or more of the material operating assets of the Company to a person or entity not affiliated with the Company prior to such sale;</w:t>
      </w:r>
    </w:p>
    <w:p>
      <w:pPr>
        <w:spacing w:after="0" w:line="158" w:lineRule="exact"/>
        <w:rPr>
          <w:rFonts w:ascii="Times New Roman" w:cs="Times New Roman" w:eastAsia="Times New Roman" w:hAnsi="Times New Roman"/>
          <w:sz w:val="22"/>
          <w:szCs w:val="22"/>
          <w:color w:val="auto"/>
        </w:rPr>
      </w:pPr>
    </w:p>
    <w:p>
      <w:pPr>
        <w:jc w:val="both"/>
        <w:ind w:left="1500" w:right="219" w:firstLine="653"/>
        <w:spacing w:after="0" w:line="286" w:lineRule="auto"/>
        <w:tabs>
          <w:tab w:leader="none" w:pos="279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of more than 30% of the common stock of the Company by a person, entity or group of people or entities acting as a group for voting or control purposes, who are not affiliated with the Company prior to such sale; or</w:t>
      </w:r>
    </w:p>
    <w:p>
      <w:pPr>
        <w:spacing w:after="0" w:line="184" w:lineRule="exact"/>
        <w:rPr>
          <w:rFonts w:ascii="Times New Roman" w:cs="Times New Roman" w:eastAsia="Times New Roman" w:hAnsi="Times New Roman"/>
          <w:sz w:val="22"/>
          <w:szCs w:val="22"/>
          <w:color w:val="auto"/>
        </w:rPr>
      </w:pPr>
    </w:p>
    <w:p>
      <w:pPr>
        <w:jc w:val="both"/>
        <w:ind w:left="1500" w:right="219" w:firstLine="653"/>
        <w:spacing w:after="0" w:line="295" w:lineRule="auto"/>
        <w:tabs>
          <w:tab w:leader="none" w:pos="279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Replacement of a majority of the members of the Board during a 12-month period by directors whose appointment or election is not endorsed by a majority of the Board before the appointments or elections.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2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84" w:name="page85"/>
    <w:bookmarkEnd w:id="84"/>
    <w:p>
      <w:pPr>
        <w:ind w:left="860" w:right="459"/>
        <w:spacing w:after="0" w:line="309" w:lineRule="auto"/>
        <w:rPr>
          <w:sz w:val="20"/>
          <w:szCs w:val="20"/>
          <w:color w:val="auto"/>
        </w:rPr>
      </w:pPr>
      <w:r>
        <w:rPr>
          <w:rFonts w:ascii="Times New Roman" w:cs="Times New Roman" w:eastAsia="Times New Roman" w:hAnsi="Times New Roman"/>
          <w:sz w:val="22"/>
          <w:szCs w:val="22"/>
          <w:color w:val="auto"/>
        </w:rPr>
        <w:t>For purposes of the Plan, the Company is “affiliated with” another person or entity if that person or entity has an ownership interest in the Company.</w:t>
      </w:r>
    </w:p>
    <w:p>
      <w:pPr>
        <w:spacing w:after="0" w:line="47" w:lineRule="exact"/>
        <w:rPr>
          <w:sz w:val="20"/>
          <w:szCs w:val="20"/>
          <w:color w:val="auto"/>
        </w:rPr>
      </w:pPr>
    </w:p>
    <w:p>
      <w:pPr>
        <w:ind w:left="2160" w:hanging="655"/>
        <w:spacing w:after="0"/>
        <w:tabs>
          <w:tab w:leader="none" w:pos="21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60" w:lineRule="exact"/>
        <w:rPr>
          <w:rFonts w:ascii="Times New Roman" w:cs="Times New Roman" w:eastAsia="Times New Roman" w:hAnsi="Times New Roman"/>
          <w:sz w:val="22"/>
          <w:szCs w:val="22"/>
          <w:color w:val="auto"/>
        </w:rPr>
      </w:pPr>
    </w:p>
    <w:p>
      <w:pPr>
        <w:jc w:val="both"/>
        <w:ind w:left="860" w:right="219" w:firstLine="645"/>
        <w:spacing w:after="0" w:line="292" w:lineRule="auto"/>
        <w:tabs>
          <w:tab w:leader="none" w:pos="215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UFP Industries, Inc. and its wholly owned subsidiaries and affiliates, except to the extent that any such subsidiary or affiliate maintains its own plan providing similar benefits or is expressly excluded from participation under the Plan. If a Change in Control occurs,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also includes any successor employer.</w:t>
      </w:r>
    </w:p>
    <w:p>
      <w:pPr>
        <w:spacing w:after="0" w:line="172"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Compensation</w:t>
      </w:r>
      <w:r>
        <w:rPr>
          <w:rFonts w:ascii="Times New Roman" w:cs="Times New Roman" w:eastAsia="Times New Roman" w:hAnsi="Times New Roman"/>
          <w:sz w:val="22"/>
          <w:szCs w:val="22"/>
          <w:color w:val="auto"/>
        </w:rPr>
        <w:t>” means the sum of the following:</w:t>
      </w:r>
    </w:p>
    <w:p>
      <w:pPr>
        <w:spacing w:after="0" w:line="264" w:lineRule="exact"/>
        <w:rPr>
          <w:rFonts w:ascii="Times New Roman" w:cs="Times New Roman" w:eastAsia="Times New Roman" w:hAnsi="Times New Roman"/>
          <w:sz w:val="22"/>
          <w:szCs w:val="22"/>
          <w:color w:val="auto"/>
        </w:rPr>
      </w:pPr>
    </w:p>
    <w:p>
      <w:pPr>
        <w:jc w:val="both"/>
        <w:ind w:left="1500" w:right="219" w:firstLine="653"/>
        <w:spacing w:after="0" w:line="285" w:lineRule="auto"/>
        <w:tabs>
          <w:tab w:leader="none" w:pos="279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wages and other payments which are reported on IRS Form W-2. However, this amount shall be determined without regard to any rules that limit the remuneration included in wages based on the nature or location of the employment or the services performed (such as the exception for agricultural labor in Section 3401(a)(2) of the Code).</w:t>
      </w:r>
    </w:p>
    <w:p>
      <w:pPr>
        <w:spacing w:after="0" w:line="185"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Employee’s salary deferral contributions to a Code Section</w:t>
      </w:r>
    </w:p>
    <w:p>
      <w:pPr>
        <w:spacing w:after="0" w:line="4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401(k) plan.</w:t>
      </w:r>
    </w:p>
    <w:p>
      <w:pPr>
        <w:spacing w:after="0" w:line="260" w:lineRule="exact"/>
        <w:rPr>
          <w:rFonts w:ascii="Times New Roman" w:cs="Times New Roman" w:eastAsia="Times New Roman" w:hAnsi="Times New Roman"/>
          <w:sz w:val="22"/>
          <w:szCs w:val="22"/>
          <w:color w:val="auto"/>
        </w:rPr>
      </w:pPr>
    </w:p>
    <w:p>
      <w:pPr>
        <w:ind w:left="1500" w:right="219" w:firstLine="653"/>
        <w:spacing w:after="0" w:line="309" w:lineRule="auto"/>
        <w:tabs>
          <w:tab w:leader="none" w:pos="279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pay reduction contributions to a cafeteria plan under Section 125 of the Code.</w:t>
      </w:r>
    </w:p>
    <w:p>
      <w:pPr>
        <w:spacing w:after="0" w:line="158" w:lineRule="exact"/>
        <w:rPr>
          <w:rFonts w:ascii="Times New Roman" w:cs="Times New Roman" w:eastAsia="Times New Roman" w:hAnsi="Times New Roman"/>
          <w:sz w:val="22"/>
          <w:szCs w:val="22"/>
          <w:color w:val="auto"/>
        </w:rPr>
      </w:pPr>
    </w:p>
    <w:p>
      <w:pPr>
        <w:ind w:left="1500" w:right="219" w:firstLine="653"/>
        <w:spacing w:after="0" w:line="309" w:lineRule="auto"/>
        <w:tabs>
          <w:tab w:leader="none" w:pos="279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pay reduction contributions to a qualified transportation fringe benefit plan under Section 132(f) of the Code.</w:t>
      </w:r>
    </w:p>
    <w:p>
      <w:pPr>
        <w:spacing w:after="0" w:line="158" w:lineRule="exact"/>
        <w:rPr>
          <w:rFonts w:ascii="Times New Roman" w:cs="Times New Roman" w:eastAsia="Times New Roman" w:hAnsi="Times New Roman"/>
          <w:sz w:val="22"/>
          <w:szCs w:val="22"/>
          <w:color w:val="auto"/>
        </w:rPr>
      </w:pPr>
    </w:p>
    <w:p>
      <w:pPr>
        <w:ind w:left="1500" w:right="219" w:firstLine="653"/>
        <w:spacing w:after="0" w:line="309" w:lineRule="auto"/>
        <w:tabs>
          <w:tab w:leader="none" w:pos="279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pay reduction contributions to a simplified employee pension plan under Section 402(h)(1)(B) of the Code.</w:t>
      </w:r>
    </w:p>
    <w:p>
      <w:pPr>
        <w:spacing w:after="0" w:line="141"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Determination Period</w:t>
      </w:r>
      <w:r>
        <w:rPr>
          <w:rFonts w:ascii="Times New Roman" w:cs="Times New Roman" w:eastAsia="Times New Roman" w:hAnsi="Times New Roman"/>
          <w:sz w:val="22"/>
          <w:szCs w:val="22"/>
          <w:color w:val="auto"/>
        </w:rPr>
        <w:t>” means—</w:t>
      </w:r>
    </w:p>
    <w:p>
      <w:pPr>
        <w:spacing w:after="0" w:line="264" w:lineRule="exact"/>
        <w:rPr>
          <w:rFonts w:ascii="Times New Roman" w:cs="Times New Roman" w:eastAsia="Times New Roman" w:hAnsi="Times New Roman"/>
          <w:sz w:val="22"/>
          <w:szCs w:val="22"/>
          <w:color w:val="auto"/>
        </w:rPr>
      </w:pPr>
    </w:p>
    <w:p>
      <w:pPr>
        <w:jc w:val="both"/>
        <w:ind w:left="1500" w:right="219" w:firstLine="653"/>
        <w:spacing w:after="0" w:line="315" w:lineRule="auto"/>
        <w:tabs>
          <w:tab w:leader="none" w:pos="2796"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 Employee who has a Separation from Service from the Company between January 1 and March 31, the second calendar year preceding the calendar year during which the Separation from Service occurred; and</w:t>
      </w:r>
    </w:p>
    <w:p>
      <w:pPr>
        <w:spacing w:after="0" w:line="156" w:lineRule="exact"/>
        <w:rPr>
          <w:rFonts w:ascii="Times New Roman" w:cs="Times New Roman" w:eastAsia="Times New Roman" w:hAnsi="Times New Roman"/>
          <w:sz w:val="21"/>
          <w:szCs w:val="21"/>
          <w:color w:val="auto"/>
        </w:rPr>
      </w:pPr>
    </w:p>
    <w:p>
      <w:pPr>
        <w:jc w:val="both"/>
        <w:ind w:left="1500" w:right="219" w:firstLine="653"/>
        <w:spacing w:after="0" w:line="295" w:lineRule="auto"/>
        <w:tabs>
          <w:tab w:leader="none" w:pos="279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 Employee who has a Separation from Service from the Company between April 1 and December 31, the calendar year preceding the calendar year during which the Separation from Service occurred.</w:t>
      </w:r>
    </w:p>
    <w:p>
      <w:pPr>
        <w:spacing w:after="0" w:line="170" w:lineRule="exact"/>
        <w:rPr>
          <w:rFonts w:ascii="Times New Roman" w:cs="Times New Roman" w:eastAsia="Times New Roman" w:hAnsi="Times New Roman"/>
          <w:sz w:val="22"/>
          <w:szCs w:val="22"/>
          <w:color w:val="auto"/>
        </w:rPr>
      </w:pPr>
    </w:p>
    <w:p>
      <w:pPr>
        <w:ind w:left="860" w:right="219" w:firstLine="645"/>
        <w:spacing w:after="0" w:line="313" w:lineRule="auto"/>
        <w:tabs>
          <w:tab w:leader="none" w:pos="215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Distributable Event</w:t>
      </w:r>
      <w:r>
        <w:rPr>
          <w:rFonts w:ascii="Times New Roman" w:cs="Times New Roman" w:eastAsia="Times New Roman" w:hAnsi="Times New Roman"/>
          <w:sz w:val="22"/>
          <w:szCs w:val="22"/>
          <w:color w:val="auto"/>
        </w:rPr>
        <w:t>” means a “triggering” event for a distribution to a Participant. A Participant’s Distributable Events are described in Section 5.1.</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3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85" w:name="page86"/>
    <w:bookmarkEnd w:id="85"/>
    <w:p>
      <w:pPr>
        <w:ind w:left="860" w:right="239" w:firstLine="645"/>
        <w:spacing w:after="0" w:line="313" w:lineRule="auto"/>
        <w:tabs>
          <w:tab w:leader="none" w:pos="215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Elective Deferrals</w:t>
      </w:r>
      <w:r>
        <w:rPr>
          <w:rFonts w:ascii="Times New Roman" w:cs="Times New Roman" w:eastAsia="Times New Roman" w:hAnsi="Times New Roman"/>
          <w:sz w:val="22"/>
          <w:szCs w:val="22"/>
          <w:color w:val="auto"/>
        </w:rPr>
        <w:t>” are the amounts that a Participant elects to defer from his or her Base Salary or Bonus to his or her Account pursuant to Section 4.2.</w:t>
      </w:r>
    </w:p>
    <w:p>
      <w:pPr>
        <w:spacing w:after="0" w:line="150" w:lineRule="exact"/>
        <w:rPr>
          <w:rFonts w:ascii="Times New Roman" w:cs="Times New Roman" w:eastAsia="Times New Roman" w:hAnsi="Times New Roman"/>
          <w:sz w:val="22"/>
          <w:szCs w:val="22"/>
          <w:color w:val="auto"/>
        </w:rPr>
      </w:pPr>
    </w:p>
    <w:p>
      <w:pPr>
        <w:jc w:val="both"/>
        <w:ind w:left="860" w:right="219" w:firstLine="645"/>
        <w:spacing w:after="0" w:line="297" w:lineRule="auto"/>
        <w:tabs>
          <w:tab w:leader="none" w:pos="215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Employee</w:t>
      </w:r>
      <w:r>
        <w:rPr>
          <w:rFonts w:ascii="Times New Roman" w:cs="Times New Roman" w:eastAsia="Times New Roman" w:hAnsi="Times New Roman"/>
          <w:sz w:val="22"/>
          <w:szCs w:val="22"/>
          <w:color w:val="auto"/>
        </w:rPr>
        <w:t>” means a common-law employee of the Company. An individual who is treated by the Company as an independent contractor for tax purposes is not an Employee.</w:t>
      </w:r>
    </w:p>
    <w:p>
      <w:pPr>
        <w:spacing w:after="0" w:line="167"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means the Employee Retirement Income Security Act of 1974, as</w:t>
      </w:r>
    </w:p>
    <w:p>
      <w:pPr>
        <w:spacing w:after="0" w:line="48"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w:t>
      </w:r>
    </w:p>
    <w:p>
      <w:pPr>
        <w:spacing w:after="0" w:line="256" w:lineRule="exact"/>
        <w:rPr>
          <w:rFonts w:ascii="Times New Roman" w:cs="Times New Roman" w:eastAsia="Times New Roman" w:hAnsi="Times New Roman"/>
          <w:sz w:val="22"/>
          <w:szCs w:val="22"/>
          <w:color w:val="auto"/>
        </w:rPr>
      </w:pPr>
    </w:p>
    <w:p>
      <w:pPr>
        <w:jc w:val="both"/>
        <w:ind w:left="860" w:right="219" w:firstLine="645"/>
        <w:spacing w:after="0" w:line="297" w:lineRule="auto"/>
        <w:tabs>
          <w:tab w:leader="none" w:pos="215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Key Employee</w:t>
      </w:r>
      <w:r>
        <w:rPr>
          <w:rFonts w:ascii="Times New Roman" w:cs="Times New Roman" w:eastAsia="Times New Roman" w:hAnsi="Times New Roman"/>
          <w:sz w:val="22"/>
          <w:szCs w:val="22"/>
          <w:color w:val="auto"/>
        </w:rPr>
        <w:t>” means any Employee who at any time during the Determination Period was a “specified employee” within the meaning of Treas. Reg. §1.409A-1(i), or any successor provision, and may include:</w:t>
      </w:r>
    </w:p>
    <w:p>
      <w:pPr>
        <w:spacing w:after="0" w:line="171" w:lineRule="exact"/>
        <w:rPr>
          <w:rFonts w:ascii="Times New Roman" w:cs="Times New Roman" w:eastAsia="Times New Roman" w:hAnsi="Times New Roman"/>
          <w:sz w:val="22"/>
          <w:szCs w:val="22"/>
          <w:color w:val="auto"/>
        </w:rPr>
      </w:pPr>
    </w:p>
    <w:p>
      <w:pPr>
        <w:jc w:val="both"/>
        <w:ind w:left="1500" w:right="219" w:firstLine="653"/>
        <w:spacing w:after="0" w:line="286" w:lineRule="auto"/>
        <w:tabs>
          <w:tab w:leader="none" w:pos="279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 of the Company or a Related Employer whose annual Compensation from the Company and all Related Employers is more than $145,000 (as adjusted under Section 416(i)(1) of the Code for Plan Years beginning after December 31, 2007);</w:t>
      </w:r>
    </w:p>
    <w:p>
      <w:pPr>
        <w:spacing w:after="0" w:line="184" w:lineRule="exact"/>
        <w:rPr>
          <w:rFonts w:ascii="Times New Roman" w:cs="Times New Roman" w:eastAsia="Times New Roman" w:hAnsi="Times New Roman"/>
          <w:sz w:val="22"/>
          <w:szCs w:val="22"/>
          <w:color w:val="auto"/>
        </w:rPr>
      </w:pPr>
    </w:p>
    <w:p>
      <w:pPr>
        <w:ind w:left="1500" w:right="239" w:firstLine="653"/>
        <w:spacing w:after="0" w:line="309" w:lineRule="auto"/>
        <w:tabs>
          <w:tab w:leader="none" w:pos="279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having more than a 5% ownership interest in the Company or a Related Employer; or</w:t>
      </w:r>
    </w:p>
    <w:p>
      <w:pPr>
        <w:spacing w:after="0" w:line="158" w:lineRule="exact"/>
        <w:rPr>
          <w:rFonts w:ascii="Times New Roman" w:cs="Times New Roman" w:eastAsia="Times New Roman" w:hAnsi="Times New Roman"/>
          <w:sz w:val="22"/>
          <w:szCs w:val="22"/>
          <w:color w:val="auto"/>
        </w:rPr>
      </w:pPr>
    </w:p>
    <w:p>
      <w:pPr>
        <w:jc w:val="both"/>
        <w:ind w:left="1500" w:right="239" w:firstLine="653"/>
        <w:spacing w:after="0" w:line="295" w:lineRule="auto"/>
        <w:tabs>
          <w:tab w:leader="none" w:pos="279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having more than a 1% ownership interest in the Company or a Related Employer and whose annual Compensation from the Company and all Related Employers is more than $150,000.</w:t>
      </w:r>
    </w:p>
    <w:p>
      <w:pPr>
        <w:spacing w:after="0" w:line="174" w:lineRule="exact"/>
        <w:rPr>
          <w:sz w:val="20"/>
          <w:szCs w:val="20"/>
          <w:color w:val="auto"/>
        </w:rPr>
      </w:pPr>
    </w:p>
    <w:p>
      <w:pPr>
        <w:jc w:val="both"/>
        <w:ind w:left="860" w:right="539"/>
        <w:spacing w:after="0" w:line="289" w:lineRule="auto"/>
        <w:rPr>
          <w:sz w:val="20"/>
          <w:szCs w:val="20"/>
          <w:color w:val="auto"/>
        </w:rPr>
      </w:pPr>
      <w:r>
        <w:rPr>
          <w:rFonts w:ascii="Times New Roman" w:cs="Times New Roman" w:eastAsia="Times New Roman" w:hAnsi="Times New Roman"/>
          <w:sz w:val="22"/>
          <w:szCs w:val="22"/>
          <w:color w:val="auto"/>
        </w:rPr>
        <w:t>The Plan Administrator shall determine the Key Employee status of each Participant in accordance with Sections 409A and 416(i)(1) of the Code and the applicable regulations and guidance.</w:t>
      </w:r>
    </w:p>
    <w:p>
      <w:pPr>
        <w:spacing w:after="0" w:line="68" w:lineRule="exact"/>
        <w:rPr>
          <w:sz w:val="20"/>
          <w:szCs w:val="20"/>
          <w:color w:val="auto"/>
        </w:rPr>
      </w:pPr>
    </w:p>
    <w:p>
      <w:pPr>
        <w:jc w:val="both"/>
        <w:ind w:left="860" w:right="219" w:firstLine="645"/>
        <w:spacing w:after="0" w:line="297" w:lineRule="auto"/>
        <w:tabs>
          <w:tab w:leader="none" w:pos="21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means an Employee or former Employee of the Company who has met the requirements for participation under Article 3, and who is or may become eligible to receive benefits from the Plan.</w:t>
      </w:r>
    </w:p>
    <w:p>
      <w:pPr>
        <w:spacing w:after="0" w:line="167"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Plan</w:t>
      </w:r>
      <w:r>
        <w:rPr>
          <w:rFonts w:ascii="Times New Roman" w:cs="Times New Roman" w:eastAsia="Times New Roman" w:hAnsi="Times New Roman"/>
          <w:sz w:val="22"/>
          <w:szCs w:val="22"/>
          <w:color w:val="auto"/>
        </w:rPr>
        <w:t>” means the UFP Industries, Inc. Deferred Compensation Plan.</w:t>
      </w:r>
    </w:p>
    <w:p>
      <w:pPr>
        <w:spacing w:after="0" w:line="260" w:lineRule="exact"/>
        <w:rPr>
          <w:rFonts w:ascii="Times New Roman" w:cs="Times New Roman" w:eastAsia="Times New Roman" w:hAnsi="Times New Roman"/>
          <w:sz w:val="22"/>
          <w:szCs w:val="22"/>
          <w:color w:val="auto"/>
        </w:rPr>
      </w:pPr>
    </w:p>
    <w:p>
      <w:pPr>
        <w:jc w:val="both"/>
        <w:ind w:left="860" w:right="219" w:firstLine="645"/>
        <w:spacing w:after="0" w:line="297" w:lineRule="auto"/>
        <w:tabs>
          <w:tab w:leader="none" w:pos="21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Plan Administrator</w:t>
      </w:r>
      <w:r>
        <w:rPr>
          <w:rFonts w:ascii="Times New Roman" w:cs="Times New Roman" w:eastAsia="Times New Roman" w:hAnsi="Times New Roman"/>
          <w:sz w:val="22"/>
          <w:szCs w:val="22"/>
          <w:color w:val="auto"/>
        </w:rPr>
        <w:t>” means the fiduciary responsible for the operation and administration of the Plan as provided in Article 7. UFP Industries, Inc. shall be the Plan Administrator.</w:t>
      </w:r>
    </w:p>
    <w:p>
      <w:pPr>
        <w:spacing w:after="0" w:line="167" w:lineRule="exact"/>
        <w:rPr>
          <w:rFonts w:ascii="Times New Roman" w:cs="Times New Roman" w:eastAsia="Times New Roman" w:hAnsi="Times New Roman"/>
          <w:sz w:val="22"/>
          <w:szCs w:val="22"/>
          <w:color w:val="auto"/>
        </w:rPr>
      </w:pPr>
    </w:p>
    <w:p>
      <w:pPr>
        <w:ind w:left="860" w:right="219" w:firstLine="645"/>
        <w:spacing w:after="0" w:line="313" w:lineRule="auto"/>
        <w:tabs>
          <w:tab w:leader="none" w:pos="21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Plan Year</w:t>
      </w:r>
      <w:r>
        <w:rPr>
          <w:rFonts w:ascii="Times New Roman" w:cs="Times New Roman" w:eastAsia="Times New Roman" w:hAnsi="Times New Roman"/>
          <w:sz w:val="22"/>
          <w:szCs w:val="22"/>
          <w:color w:val="auto"/>
        </w:rPr>
        <w:t>” means the 12-consecutive-month period beginning on January 1 and ending on the following December 31.</w:t>
      </w:r>
    </w:p>
    <w:p>
      <w:pPr>
        <w:spacing w:after="0" w:line="15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Related Employer</w:t>
      </w:r>
      <w:r>
        <w:rPr>
          <w:rFonts w:ascii="Times New Roman" w:cs="Times New Roman" w:eastAsia="Times New Roman" w:hAnsi="Times New Roman"/>
          <w:sz w:val="22"/>
          <w:szCs w:val="22"/>
          <w:color w:val="auto"/>
        </w:rPr>
        <w:t>” means:</w:t>
      </w:r>
    </w:p>
    <w:p>
      <w:pPr>
        <w:sectPr>
          <w:pgSz w:w="11900" w:h="16838" w:orient="portrait"/>
          <w:cols w:equalWidth="0" w:num="1">
            <w:col w:w="9019"/>
          </w:cols>
          <w:pgMar w:left="1440" w:top="905"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Page 4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433070</wp:posOffset>
            </wp:positionV>
            <wp:extent cx="545211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type w:val="continuous"/>
        </w:sectPr>
      </w:pPr>
    </w:p>
    <w:bookmarkStart w:id="86" w:name="page87"/>
    <w:bookmarkEnd w:id="86"/>
    <w:p>
      <w:pPr>
        <w:jc w:val="both"/>
        <w:ind w:left="1500" w:right="219" w:firstLine="653"/>
        <w:spacing w:after="0" w:line="291" w:lineRule="auto"/>
        <w:tabs>
          <w:tab w:leader="none" w:pos="279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member of a controlled group of corporations in which the Company is a member, as defined in Section 414(b) of the Code, but substituting “at least 20%” for “at least 80%” each place it appears in Section 414(b) of the Code and the Treasury regulations issued thereunder; or</w:t>
      </w:r>
    </w:p>
    <w:p>
      <w:pPr>
        <w:spacing w:after="0" w:line="177" w:lineRule="exact"/>
        <w:rPr>
          <w:rFonts w:ascii="Times New Roman" w:cs="Times New Roman" w:eastAsia="Times New Roman" w:hAnsi="Times New Roman"/>
          <w:sz w:val="22"/>
          <w:szCs w:val="22"/>
          <w:color w:val="auto"/>
        </w:rPr>
      </w:pPr>
    </w:p>
    <w:p>
      <w:pPr>
        <w:jc w:val="both"/>
        <w:ind w:left="1500" w:right="219" w:firstLine="653"/>
        <w:spacing w:after="0" w:line="291" w:lineRule="auto"/>
        <w:tabs>
          <w:tab w:leader="none" w:pos="279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trade or business under common control of or with the Company, as defined in Section 414(c) of the Code, but substituting “at least 20%” for “at least 80%” each place it appears in Section 414(b) of the Code and the Treasury regulations issued thereunder.</w:t>
      </w:r>
    </w:p>
    <w:p>
      <w:pPr>
        <w:spacing w:after="0" w:line="173" w:lineRule="exact"/>
        <w:rPr>
          <w:rFonts w:ascii="Times New Roman" w:cs="Times New Roman" w:eastAsia="Times New Roman" w:hAnsi="Times New Roman"/>
          <w:sz w:val="22"/>
          <w:szCs w:val="22"/>
          <w:color w:val="auto"/>
        </w:rPr>
      </w:pPr>
    </w:p>
    <w:p>
      <w:pPr>
        <w:jc w:val="both"/>
        <w:ind w:left="860" w:right="219" w:firstLine="645"/>
        <w:spacing w:after="0" w:line="284" w:lineRule="auto"/>
        <w:tabs>
          <w:tab w:leader="none" w:pos="215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Separation from Service</w:t>
      </w:r>
      <w:r>
        <w:rPr>
          <w:rFonts w:ascii="Times New Roman" w:cs="Times New Roman" w:eastAsia="Times New Roman" w:hAnsi="Times New Roman"/>
          <w:sz w:val="22"/>
          <w:szCs w:val="22"/>
          <w:color w:val="auto"/>
        </w:rPr>
        <w:t>” means a means a termination of employment that qualifies as a separation from service under Reg §1.409A-1(h). Generally, this occurs if the Employee is reasonably anticipated to have a substantial permanent reduction in the bona fide level of services provided to the Company and all Related Employers (whether provided as an employee or an independent contractor). The reduction shall be “substantial” only if the reduced bona fide level of services is less than 50% of the average bona fide level of services provided by the Employee to the Company and all Related Employers during the immediately preceding 36 months (or the Participant’s entire period of service, if less than 36 months).</w:t>
      </w:r>
    </w:p>
    <w:p>
      <w:pPr>
        <w:spacing w:after="0" w:line="181" w:lineRule="exact"/>
        <w:rPr>
          <w:rFonts w:ascii="Times New Roman" w:cs="Times New Roman" w:eastAsia="Times New Roman" w:hAnsi="Times New Roman"/>
          <w:sz w:val="22"/>
          <w:szCs w:val="22"/>
          <w:color w:val="auto"/>
        </w:rPr>
      </w:pPr>
    </w:p>
    <w:p>
      <w:pPr>
        <w:ind w:left="860" w:right="219" w:firstLine="645"/>
        <w:spacing w:after="0" w:line="313" w:lineRule="auto"/>
        <w:tabs>
          <w:tab w:leader="none" w:pos="215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Substantial Cause</w:t>
      </w:r>
      <w:r>
        <w:rPr>
          <w:rFonts w:ascii="Times New Roman" w:cs="Times New Roman" w:eastAsia="Times New Roman" w:hAnsi="Times New Roman"/>
          <w:sz w:val="22"/>
          <w:szCs w:val="22"/>
          <w:color w:val="auto"/>
        </w:rPr>
        <w:t>,” with respect to a Participant, means the Participant’s commission of any one or more of the following:</w:t>
      </w:r>
    </w:p>
    <w:p>
      <w:pPr>
        <w:spacing w:after="0" w:line="154" w:lineRule="exact"/>
        <w:rPr>
          <w:rFonts w:ascii="Times New Roman" w:cs="Times New Roman" w:eastAsia="Times New Roman" w:hAnsi="Times New Roman"/>
          <w:sz w:val="22"/>
          <w:szCs w:val="22"/>
          <w:color w:val="auto"/>
        </w:rPr>
      </w:pPr>
    </w:p>
    <w:p>
      <w:pPr>
        <w:ind w:left="1500" w:right="219" w:firstLine="653"/>
        <w:spacing w:after="0" w:line="309" w:lineRule="auto"/>
        <w:tabs>
          <w:tab w:leader="none" w:pos="279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misconduct, usurpation of business opportunity or gross negligence related to the Company;</w:t>
      </w:r>
    </w:p>
    <w:p>
      <w:pPr>
        <w:spacing w:after="0" w:line="145" w:lineRule="exact"/>
        <w:rPr>
          <w:rFonts w:ascii="Times New Roman" w:cs="Times New Roman" w:eastAsia="Times New Roman" w:hAnsi="Times New Roman"/>
          <w:sz w:val="22"/>
          <w:szCs w:val="22"/>
          <w:color w:val="auto"/>
        </w:rPr>
      </w:pPr>
    </w:p>
    <w:p>
      <w:pPr>
        <w:ind w:left="1500" w:right="219" w:firstLine="653"/>
        <w:spacing w:after="0" w:line="309" w:lineRule="auto"/>
        <w:tabs>
          <w:tab w:leader="none" w:pos="279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engagement in dishonesty, illegal conduct, or gross misconduct, which is, in each case, materially injurious to the Company;</w:t>
      </w:r>
    </w:p>
    <w:p>
      <w:pPr>
        <w:spacing w:after="0" w:line="158" w:lineRule="exact"/>
        <w:rPr>
          <w:rFonts w:ascii="Times New Roman" w:cs="Times New Roman" w:eastAsia="Times New Roman" w:hAnsi="Times New Roman"/>
          <w:sz w:val="22"/>
          <w:szCs w:val="22"/>
          <w:color w:val="auto"/>
        </w:rPr>
      </w:pPr>
    </w:p>
    <w:p>
      <w:pPr>
        <w:ind w:left="1500" w:right="219" w:firstLine="653"/>
        <w:spacing w:after="0" w:line="309" w:lineRule="auto"/>
        <w:tabs>
          <w:tab w:leader="none" w:pos="279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embezzlement, misappropriation, or fraud, whether or not related to the Participant’s employment with the Company; or</w:t>
      </w:r>
    </w:p>
    <w:p>
      <w:pPr>
        <w:spacing w:after="0" w:line="158" w:lineRule="exact"/>
        <w:rPr>
          <w:rFonts w:ascii="Times New Roman" w:cs="Times New Roman" w:eastAsia="Times New Roman" w:hAnsi="Times New Roman"/>
          <w:sz w:val="22"/>
          <w:szCs w:val="22"/>
          <w:color w:val="auto"/>
        </w:rPr>
      </w:pPr>
    </w:p>
    <w:p>
      <w:pPr>
        <w:jc w:val="both"/>
        <w:ind w:left="1500" w:right="219" w:firstLine="653"/>
        <w:spacing w:after="0" w:line="295" w:lineRule="auto"/>
        <w:tabs>
          <w:tab w:leader="none" w:pos="279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conviction of or plea of guilty or nolo contendere to a crime that constitutes a felony (or state law equivalent), if such felony is work-related or results in material reputational or financial harm to the Company.</w:t>
      </w:r>
    </w:p>
    <w:p>
      <w:pPr>
        <w:spacing w:after="0" w:line="174" w:lineRule="exact"/>
        <w:rPr>
          <w:sz w:val="20"/>
          <w:szCs w:val="20"/>
          <w:color w:val="auto"/>
        </w:rPr>
      </w:pPr>
    </w:p>
    <w:p>
      <w:pPr>
        <w:jc w:val="both"/>
        <w:ind w:left="1500" w:right="219"/>
        <w:spacing w:after="0" w:line="284" w:lineRule="auto"/>
        <w:rPr>
          <w:sz w:val="20"/>
          <w:szCs w:val="20"/>
          <w:color w:val="auto"/>
        </w:rPr>
      </w:pPr>
      <w:r>
        <w:rPr>
          <w:rFonts w:ascii="Times New Roman" w:cs="Times New Roman" w:eastAsia="Times New Roman" w:hAnsi="Times New Roman"/>
          <w:sz w:val="22"/>
          <w:szCs w:val="22"/>
          <w:color w:val="auto"/>
        </w:rPr>
        <w:t>For purposes of determining whether an action constitutes Substantial Cause, no act or failure to act on the part of a Participant shall be considered “willful” unless it is done, or omitted to be done, by the Participant in bad faith or without reasonable belief that the Participant’s action or omission was in the best interests of the Company. Any act, or failure to act, based on authority given pursuant to a resolution duly adopted by the Board or on the advice of counsel for the Company</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5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87" w:name="page88"/>
    <w:bookmarkEnd w:id="87"/>
    <w:p>
      <w:pPr>
        <w:ind w:left="1500" w:right="219"/>
        <w:spacing w:after="0" w:line="309" w:lineRule="auto"/>
        <w:rPr>
          <w:sz w:val="20"/>
          <w:szCs w:val="20"/>
          <w:color w:val="auto"/>
        </w:rPr>
      </w:pPr>
      <w:r>
        <w:rPr>
          <w:rFonts w:ascii="Times New Roman" w:cs="Times New Roman" w:eastAsia="Times New Roman" w:hAnsi="Times New Roman"/>
          <w:sz w:val="22"/>
          <w:szCs w:val="22"/>
          <w:color w:val="auto"/>
        </w:rPr>
        <w:t>shall be conclusively presumed to be done, or omitted to be done, by the Participant in good faith and in the best interests of the Company.</w:t>
      </w:r>
    </w:p>
    <w:p>
      <w:pPr>
        <w:spacing w:after="0" w:line="155" w:lineRule="exact"/>
        <w:rPr>
          <w:sz w:val="20"/>
          <w:szCs w:val="20"/>
          <w:color w:val="auto"/>
        </w:rPr>
      </w:pPr>
    </w:p>
    <w:p>
      <w:pPr>
        <w:jc w:val="both"/>
        <w:ind w:left="860" w:right="219" w:firstLine="645"/>
        <w:spacing w:after="0" w:line="297" w:lineRule="auto"/>
        <w:tabs>
          <w:tab w:leader="none" w:pos="215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Disability</w:t>
      </w:r>
      <w:r>
        <w:rPr>
          <w:rFonts w:ascii="Times New Roman" w:cs="Times New Roman" w:eastAsia="Times New Roman" w:hAnsi="Times New Roman"/>
          <w:sz w:val="22"/>
          <w:szCs w:val="22"/>
          <w:color w:val="auto"/>
        </w:rPr>
        <w:t>” of a Participant means the Participant meets any one of the following requirements, to the extent it qualifies as a disability within the meaning of Treas. Reg. §1.409A-3(i)(4), or any successor:</w:t>
      </w:r>
    </w:p>
    <w:p>
      <w:pPr>
        <w:spacing w:after="0" w:line="171" w:lineRule="exact"/>
        <w:rPr>
          <w:rFonts w:ascii="Times New Roman" w:cs="Times New Roman" w:eastAsia="Times New Roman" w:hAnsi="Times New Roman"/>
          <w:sz w:val="22"/>
          <w:szCs w:val="22"/>
          <w:color w:val="auto"/>
        </w:rPr>
      </w:pPr>
    </w:p>
    <w:p>
      <w:pPr>
        <w:jc w:val="both"/>
        <w:ind w:left="1500" w:right="219" w:firstLine="653"/>
        <w:spacing w:after="0" w:line="291" w:lineRule="auto"/>
        <w:tabs>
          <w:tab w:leader="none" w:pos="2796"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unable to engage in any substantial gainful activity by reason of any medically determinable mental or physical impairment which can be expected to result in death or can be expected to last for a continuous period of at least 12 months;</w:t>
      </w:r>
    </w:p>
    <w:p>
      <w:pPr>
        <w:spacing w:after="0" w:line="177" w:lineRule="exact"/>
        <w:rPr>
          <w:rFonts w:ascii="Times New Roman" w:cs="Times New Roman" w:eastAsia="Times New Roman" w:hAnsi="Times New Roman"/>
          <w:sz w:val="22"/>
          <w:szCs w:val="22"/>
          <w:color w:val="auto"/>
        </w:rPr>
      </w:pPr>
    </w:p>
    <w:p>
      <w:pPr>
        <w:jc w:val="both"/>
        <w:ind w:left="1500" w:right="219" w:firstLine="653"/>
        <w:spacing w:after="0" w:line="285" w:lineRule="auto"/>
        <w:tabs>
          <w:tab w:leader="none" w:pos="2796"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reason of any medically determinable physical or mental impairment that can be expected to result in death or can be expected to last for a continuous period of not less than 12 months, receiving income replacement benefits for a period of not less than three months under a Company-sponsored disability plan;</w:t>
      </w:r>
    </w:p>
    <w:p>
      <w:pPr>
        <w:spacing w:after="0" w:line="185" w:lineRule="exact"/>
        <w:rPr>
          <w:rFonts w:ascii="Times New Roman" w:cs="Times New Roman" w:eastAsia="Times New Roman" w:hAnsi="Times New Roman"/>
          <w:sz w:val="22"/>
          <w:szCs w:val="22"/>
          <w:color w:val="auto"/>
        </w:rPr>
      </w:pPr>
    </w:p>
    <w:p>
      <w:pPr>
        <w:jc w:val="both"/>
        <w:ind w:left="1500" w:right="219" w:firstLine="653"/>
        <w:spacing w:after="0" w:line="295" w:lineRule="auto"/>
        <w:tabs>
          <w:tab w:leader="none" w:pos="2796"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determined to be totally disabled by the certification of a physician or physicians selected by the Plan Administrator, unless the Plan Administrator determines that an examination is unnecessary; or</w:t>
      </w:r>
    </w:p>
    <w:p>
      <w:pPr>
        <w:spacing w:after="0" w:line="174" w:lineRule="exact"/>
        <w:rPr>
          <w:rFonts w:ascii="Times New Roman" w:cs="Times New Roman" w:eastAsia="Times New Roman" w:hAnsi="Times New Roman"/>
          <w:sz w:val="22"/>
          <w:szCs w:val="22"/>
          <w:color w:val="auto"/>
        </w:rPr>
      </w:pPr>
    </w:p>
    <w:p>
      <w:pPr>
        <w:ind w:left="1500" w:right="239" w:firstLine="653"/>
        <w:spacing w:after="0" w:line="309" w:lineRule="auto"/>
        <w:tabs>
          <w:tab w:leader="none" w:pos="2796"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determined to be totally disabled by the Social Security Administration.</w:t>
      </w:r>
    </w:p>
    <w:p>
      <w:pPr>
        <w:spacing w:after="0" w:line="154"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Fund</w:t>
      </w:r>
      <w:r>
        <w:rPr>
          <w:rFonts w:ascii="Times New Roman" w:cs="Times New Roman" w:eastAsia="Times New Roman" w:hAnsi="Times New Roman"/>
          <w:sz w:val="22"/>
          <w:szCs w:val="22"/>
          <w:color w:val="auto"/>
        </w:rPr>
        <w:t>” means any assets held in trust pursuant to Article 6.</w:t>
      </w:r>
    </w:p>
    <w:p>
      <w:pPr>
        <w:spacing w:after="0" w:line="260" w:lineRule="exact"/>
        <w:rPr>
          <w:rFonts w:ascii="Times New Roman" w:cs="Times New Roman" w:eastAsia="Times New Roman" w:hAnsi="Times New Roman"/>
          <w:sz w:val="22"/>
          <w:szCs w:val="22"/>
          <w:color w:val="auto"/>
        </w:rPr>
      </w:pPr>
    </w:p>
    <w:p>
      <w:pPr>
        <w:ind w:left="860" w:right="239" w:firstLine="645"/>
        <w:spacing w:after="0" w:line="300" w:lineRule="auto"/>
        <w:tabs>
          <w:tab w:leader="none" w:pos="215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 means the financial institution designated as trustee by the Company pursuant to Article 6.</w:t>
      </w:r>
    </w:p>
    <w:p>
      <w:pPr>
        <w:spacing w:after="0" w:line="164" w:lineRule="exact"/>
        <w:rPr>
          <w:sz w:val="20"/>
          <w:szCs w:val="20"/>
          <w:color w:val="auto"/>
        </w:rPr>
      </w:pPr>
    </w:p>
    <w:p>
      <w:pPr>
        <w:ind w:left="2160" w:hanging="655"/>
        <w:spacing w:after="0"/>
        <w:tabs>
          <w:tab w:leader="none" w:pos="21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UFP Stock</w:t>
      </w:r>
      <w:r>
        <w:rPr>
          <w:rFonts w:ascii="Times New Roman" w:cs="Times New Roman" w:eastAsia="Times New Roman" w:hAnsi="Times New Roman"/>
          <w:sz w:val="22"/>
          <w:szCs w:val="22"/>
          <w:color w:val="auto"/>
        </w:rPr>
        <w:t>” means shares of UFP Industries, Inc. Common Stock.</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3</w:t>
      </w:r>
    </w:p>
    <w:p>
      <w:pPr>
        <w:spacing w:after="0" w:line="6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Participation</w:t>
      </w:r>
    </w:p>
    <w:p>
      <w:pPr>
        <w:spacing w:after="0" w:line="2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Eligibility for Participation</w:t>
      </w:r>
    </w:p>
    <w:p>
      <w:pPr>
        <w:spacing w:after="0" w:line="156" w:lineRule="exact"/>
        <w:rPr>
          <w:sz w:val="20"/>
          <w:szCs w:val="20"/>
          <w:color w:val="auto"/>
        </w:rPr>
      </w:pPr>
    </w:p>
    <w:p>
      <w:pPr>
        <w:jc w:val="both"/>
        <w:ind w:left="200" w:right="219" w:firstLine="648"/>
        <w:spacing w:after="0" w:line="285" w:lineRule="auto"/>
        <w:rPr>
          <w:sz w:val="20"/>
          <w:szCs w:val="20"/>
          <w:color w:val="auto"/>
        </w:rPr>
      </w:pPr>
      <w:r>
        <w:rPr>
          <w:rFonts w:ascii="Times New Roman" w:cs="Times New Roman" w:eastAsia="Times New Roman" w:hAnsi="Times New Roman"/>
          <w:sz w:val="22"/>
          <w:szCs w:val="22"/>
          <w:color w:val="auto"/>
        </w:rPr>
        <w:t>The Administrative Committee, with the approval of the Board, shall determine the Employees who are eligible to participate in the Plan. If the Administrative Committee selects an Employee to participate, the Employee will become a Participant on the effective date of participation designated by the Administrative Committee, but only if the Employee signs a participation agreement agreeing to the terms of the Plan.</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6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88" w:name="page89"/>
    <w:bookmarkEnd w:id="88"/>
    <w:p>
      <w:pPr>
        <w:jc w:val="both"/>
        <w:ind w:left="200" w:right="219" w:firstLine="648"/>
        <w:spacing w:after="0" w:line="300" w:lineRule="auto"/>
        <w:rPr>
          <w:sz w:val="20"/>
          <w:szCs w:val="20"/>
          <w:color w:val="auto"/>
        </w:rPr>
      </w:pPr>
      <w:r>
        <w:rPr>
          <w:rFonts w:ascii="Times New Roman" w:cs="Times New Roman" w:eastAsia="Times New Roman" w:hAnsi="Times New Roman"/>
          <w:sz w:val="21"/>
          <w:szCs w:val="21"/>
          <w:color w:val="auto"/>
        </w:rPr>
        <w:t>It is intended that participation be limited to Employees who will qualify as members of a “select group of management or other highly compensated employees” under Title I of ERISA. In general, the Employees who are eligible to participate are the executive chairperson, officers, regional directors of operations, directors of operations, operations managers, managing directors, regional sales managers, plant managers, executive account managers, and past and present members of the President’s Club and CEO Club (as such groups are now or hereafter named and constituted) of the Company as well as select corporate directors, purchasing managers, transportation operations and HUB managers, the chief pilot, and senior managers of the Company.</w:t>
      </w:r>
    </w:p>
    <w:p>
      <w:pPr>
        <w:spacing w:after="0" w:line="69"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22"/>
          <w:szCs w:val="22"/>
          <w:color w:val="auto"/>
        </w:rPr>
        <w:t>The Employee shall acknowledge in the participation agreement that he is an unsecured creditor of the Company with regard to any benefits under the Plan and waive any right to a priority claim with regard to the benefits. The Employee may also be required to complete other forms as a condition for participation.</w:t>
      </w:r>
    </w:p>
    <w:p>
      <w:pPr>
        <w:spacing w:after="0" w:line="18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u w:val="single" w:color="auto"/>
          <w:color w:val="auto"/>
        </w:rPr>
        <w:t>Termination of Active Participation</w:t>
      </w:r>
    </w:p>
    <w:p>
      <w:pPr>
        <w:spacing w:after="0" w:line="156"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2"/>
          <w:szCs w:val="22"/>
          <w:color w:val="auto"/>
        </w:rPr>
        <w:t>An Employee’s active participation in the Plan shall be terminated (a) immediately upon the determination of the Administrative Committee, or (b) as of the end of the Plan Year immediately following the failure of an Employee to make a deferral election under Section 4.2 of the Plan for two (2) successive Plan Years beginning on or after the Plan Year commencing January 1, 2024. Upon termination of active participation, the Employee shall not have any additional amounts credited to his or her Account under Section 4.2, but amounts shall continue to be credited to a Participant’s Account under Section 4.3 until that Participant’s Account is distributed pursuant to Article 5. Any future, active participation under the Plan shall be determined by the Administrative Committee.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4</w:t>
      </w:r>
    </w:p>
    <w:p>
      <w:pPr>
        <w:spacing w:after="0" w:line="6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u w:val="single" w:color="auto"/>
          <w:color w:val="auto"/>
        </w:rPr>
        <w:t>Amounts Credited to Accounts</w:t>
      </w:r>
    </w:p>
    <w:p>
      <w:pPr>
        <w:spacing w:after="0" w:line="2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Participant Accounts</w:t>
      </w:r>
    </w:p>
    <w:p>
      <w:pPr>
        <w:spacing w:after="0" w:line="156"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22"/>
          <w:szCs w:val="22"/>
          <w:color w:val="auto"/>
        </w:rPr>
        <w:t>The Plan Administrator shall maintain an Account for each Participant to record the Participant’s benefits under the terms of the Plan. A Participant’s Account is for bookkeeping purposes only. The Company is not required to make contributions to the Trust Fund to fund the amounts credited to a Participant’s Account. A Participant’s Elective Deferrals shall be credited to his Account as soon as administratively feasible after the amounts otherwise would have been paid to the Participant.</w:t>
      </w:r>
    </w:p>
    <w:p>
      <w:pPr>
        <w:spacing w:after="0" w:line="18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Elective Deferrals</w:t>
      </w:r>
    </w:p>
    <w:p>
      <w:pPr>
        <w:spacing w:after="0" w:line="156" w:lineRule="exact"/>
        <w:rPr>
          <w:sz w:val="20"/>
          <w:szCs w:val="20"/>
          <w:color w:val="auto"/>
        </w:rPr>
      </w:pPr>
    </w:p>
    <w:p>
      <w:pPr>
        <w:ind w:left="860" w:right="219" w:firstLine="645"/>
        <w:spacing w:after="0" w:line="309" w:lineRule="auto"/>
        <w:tabs>
          <w:tab w:leader="none" w:pos="215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Election</w:t>
      </w:r>
      <w:r>
        <w:rPr>
          <w:rFonts w:ascii="Times New Roman" w:cs="Times New Roman" w:eastAsia="Times New Roman" w:hAnsi="Times New Roman"/>
          <w:sz w:val="22"/>
          <w:szCs w:val="22"/>
          <w:color w:val="auto"/>
        </w:rPr>
        <w:t>. An active participant may elect to defer compensation as provided in this Section. Deferral elections may be made only in writing, on a form</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7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89" w:name="page90"/>
    <w:bookmarkEnd w:id="89"/>
    <w:p>
      <w:pPr>
        <w:jc w:val="both"/>
        <w:ind w:left="860" w:right="219"/>
        <w:spacing w:after="0" w:line="291" w:lineRule="auto"/>
        <w:rPr>
          <w:sz w:val="20"/>
          <w:szCs w:val="20"/>
          <w:color w:val="auto"/>
        </w:rPr>
      </w:pPr>
      <w:r>
        <w:rPr>
          <w:rFonts w:ascii="Times New Roman" w:cs="Times New Roman" w:eastAsia="Times New Roman" w:hAnsi="Times New Roman"/>
          <w:sz w:val="22"/>
          <w:szCs w:val="22"/>
          <w:color w:val="auto"/>
        </w:rPr>
        <w:t>provided or approved by the Administrative Committee. No deferral election will be effective unless received by the Administrative Committee before the end of the applicable election period. For the avoidance of doubt, any allowable election made “in writing” referenced in this Article 4, includes elections made electronically.</w:t>
      </w:r>
    </w:p>
    <w:p>
      <w:pPr>
        <w:spacing w:after="0" w:line="177" w:lineRule="exact"/>
        <w:rPr>
          <w:sz w:val="20"/>
          <w:szCs w:val="20"/>
          <w:color w:val="auto"/>
        </w:rPr>
      </w:pPr>
    </w:p>
    <w:p>
      <w:pPr>
        <w:jc w:val="both"/>
        <w:ind w:left="860" w:right="219" w:firstLine="645"/>
        <w:spacing w:after="0" w:line="283" w:lineRule="auto"/>
        <w:tabs>
          <w:tab w:leader="none" w:pos="215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Before the beginning of each calendar year, a Participant may make a written election to make Elective Deferrals equal to a specified dollar amount of the Participant’s Base Salary earned during that calendar year. If an Employee initially becomes a Participant during a calendar year, the Employee may make an election within 30 days after the Employee becomes a Participant to make Elective Deferrals from any Base Salary earned after the election is made. If a Participant does not make a new election for a calendar year, no amount shall be deferred from the Participant’s Base Salary for that calendar year. All Elective Deferrals of Base Salary shall be deducted in equal amounts from the Participant’s last paycheck of each month until the Participant has deferred the maximum annual amount described in subsection (d) below or the maximum annual amount elected by the Participant. Except as provided in subsection (e) or (f), a Participant’s election to make Elective Deferrals from Base Salary earned during a calendar year is irrevocable effective on the first date of the calendar year.</w:t>
      </w:r>
    </w:p>
    <w:p>
      <w:pPr>
        <w:spacing w:after="0" w:line="185" w:lineRule="exact"/>
        <w:rPr>
          <w:rFonts w:ascii="Times New Roman" w:cs="Times New Roman" w:eastAsia="Times New Roman" w:hAnsi="Times New Roman"/>
          <w:sz w:val="22"/>
          <w:szCs w:val="22"/>
          <w:color w:val="auto"/>
        </w:rPr>
      </w:pPr>
    </w:p>
    <w:p>
      <w:pPr>
        <w:jc w:val="both"/>
        <w:ind w:left="860" w:right="219" w:firstLine="645"/>
        <w:spacing w:after="0" w:line="284" w:lineRule="auto"/>
        <w:tabs>
          <w:tab w:leader="none" w:pos="215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No later than June 30 of each calendar year, a Participant may make a written election to make Elective Deferrals equal to a specified percentage or dollar amount of the Participant’s Bonus earned during that calendar year. If a Participant does not make a new election for a calendar year, no amount shall be deferred out of the Participant’s Bonus for that calendar year. Except as provided in subsection (e) or (f), a Participant’s election to make Elective Deferrals from Bonuses earned during a calendar year is irrevocable after June 30 of the calendar year.</w:t>
      </w:r>
    </w:p>
    <w:p>
      <w:pPr>
        <w:spacing w:after="0" w:line="185" w:lineRule="exact"/>
        <w:rPr>
          <w:rFonts w:ascii="Times New Roman" w:cs="Times New Roman" w:eastAsia="Times New Roman" w:hAnsi="Times New Roman"/>
          <w:sz w:val="22"/>
          <w:szCs w:val="22"/>
          <w:color w:val="auto"/>
        </w:rPr>
      </w:pPr>
    </w:p>
    <w:p>
      <w:pPr>
        <w:ind w:left="860" w:right="219" w:firstLine="645"/>
        <w:spacing w:after="0" w:line="309" w:lineRule="auto"/>
        <w:tabs>
          <w:tab w:leader="none" w:pos="215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Limits on Elective Deferrals</w:t>
      </w:r>
      <w:r>
        <w:rPr>
          <w:rFonts w:ascii="Times New Roman" w:cs="Times New Roman" w:eastAsia="Times New Roman" w:hAnsi="Times New Roman"/>
          <w:sz w:val="22"/>
          <w:szCs w:val="22"/>
          <w:color w:val="auto"/>
        </w:rPr>
        <w:t>. A Participant may defer up to the following amounts otherwise payable to the Participant each calendar year:</w:t>
      </w:r>
    </w:p>
    <w:p>
      <w:pPr>
        <w:spacing w:after="0" w:line="15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$15,000 of Base Salary; and</w:t>
      </w:r>
    </w:p>
    <w:p>
      <w:pPr>
        <w:spacing w:after="0" w:line="260" w:lineRule="exact"/>
        <w:rPr>
          <w:rFonts w:ascii="Times New Roman" w:cs="Times New Roman" w:eastAsia="Times New Roman" w:hAnsi="Times New Roman"/>
          <w:sz w:val="22"/>
          <w:szCs w:val="22"/>
          <w:color w:val="auto"/>
        </w:rPr>
      </w:pPr>
    </w:p>
    <w:p>
      <w:pPr>
        <w:jc w:val="both"/>
        <w:ind w:left="1500" w:right="219" w:firstLine="653"/>
        <w:spacing w:after="0" w:line="284" w:lineRule="auto"/>
        <w:tabs>
          <w:tab w:leader="none" w:pos="2796"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Bonuses not to exceed $100,000 for the executive chairperson and executive officers; $50,000 for other officers; $25,000 for directors of operations, regional directors of operations, operations managers, managing directors, regional sales managers, corporate directors, segment directors, business unit directors, segment controllers, and the chief pilot; and $10,000 for all other Participants.</w:t>
      </w:r>
    </w:p>
    <w:p>
      <w:pPr>
        <w:spacing w:after="0" w:line="188" w:lineRule="exact"/>
        <w:rPr>
          <w:sz w:val="20"/>
          <w:szCs w:val="20"/>
          <w:color w:val="auto"/>
        </w:rPr>
      </w:pPr>
    </w:p>
    <w:p>
      <w:pPr>
        <w:ind w:left="860" w:right="219"/>
        <w:spacing w:after="0" w:line="309" w:lineRule="auto"/>
        <w:rPr>
          <w:sz w:val="20"/>
          <w:szCs w:val="20"/>
          <w:color w:val="auto"/>
        </w:rPr>
      </w:pPr>
      <w:r>
        <w:rPr>
          <w:rFonts w:ascii="Times New Roman" w:cs="Times New Roman" w:eastAsia="Times New Roman" w:hAnsi="Times New Roman"/>
          <w:sz w:val="22"/>
          <w:szCs w:val="22"/>
          <w:color w:val="auto"/>
        </w:rPr>
        <w:t>The Plan Administrator may also periodically establish additional rules relating to a Participant’s Elective Deferrals (for example, a minimum amount permitted).</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8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90" w:name="page91"/>
    <w:bookmarkEnd w:id="90"/>
    <w:p>
      <w:pPr>
        <w:jc w:val="both"/>
        <w:ind w:left="860" w:right="219" w:firstLine="645"/>
        <w:spacing w:after="0" w:line="288" w:lineRule="auto"/>
        <w:tabs>
          <w:tab w:leader="none" w:pos="215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After Hardship Withdrawal from Plan.</w:t>
      </w:r>
      <w:r>
        <w:rPr>
          <w:rFonts w:ascii="Times New Roman" w:cs="Times New Roman" w:eastAsia="Times New Roman" w:hAnsi="Times New Roman"/>
          <w:sz w:val="22"/>
          <w:szCs w:val="22"/>
          <w:color w:val="auto"/>
        </w:rPr>
        <w:t xml:space="preserve"> Despite any other provision, if a Participant receives a hardship withdrawal as a result of an unforeseeable emergency pursuant to Section 5.6, any Base Salary or Bonus deferral election previously made by the Participant shall be cancelled, until the Participant makes a new deferral election pursuant to this Section 4.2.</w:t>
      </w:r>
    </w:p>
    <w:p>
      <w:pPr>
        <w:spacing w:after="0" w:line="183" w:lineRule="exact"/>
        <w:rPr>
          <w:rFonts w:ascii="Times New Roman" w:cs="Times New Roman" w:eastAsia="Times New Roman" w:hAnsi="Times New Roman"/>
          <w:sz w:val="22"/>
          <w:szCs w:val="22"/>
          <w:color w:val="auto"/>
        </w:rPr>
      </w:pPr>
    </w:p>
    <w:p>
      <w:pPr>
        <w:jc w:val="both"/>
        <w:ind w:left="860" w:right="219" w:firstLine="645"/>
        <w:spacing w:after="0" w:line="295" w:lineRule="auto"/>
        <w:tabs>
          <w:tab w:leader="none" w:pos="215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In-Service Distributions</w:t>
      </w:r>
      <w:r>
        <w:rPr>
          <w:rFonts w:ascii="Times New Roman" w:cs="Times New Roman" w:eastAsia="Times New Roman" w:hAnsi="Times New Roman"/>
          <w:sz w:val="22"/>
          <w:szCs w:val="22"/>
          <w:color w:val="auto"/>
        </w:rPr>
        <w:t>. A Participant may irrevocably elect to receive an in-service distribution of the portion of any Bonus the Participant deferred during a calendar year (but not Base Salary deferrals or investment earnings) if—</w:t>
      </w:r>
    </w:p>
    <w:p>
      <w:pPr>
        <w:spacing w:after="0" w:line="174" w:lineRule="exact"/>
        <w:rPr>
          <w:rFonts w:ascii="Times New Roman" w:cs="Times New Roman" w:eastAsia="Times New Roman" w:hAnsi="Times New Roman"/>
          <w:sz w:val="22"/>
          <w:szCs w:val="22"/>
          <w:color w:val="auto"/>
        </w:rPr>
      </w:pPr>
    </w:p>
    <w:p>
      <w:pPr>
        <w:ind w:left="1500" w:right="219" w:firstLine="653"/>
        <w:spacing w:after="0" w:line="309" w:lineRule="auto"/>
        <w:tabs>
          <w:tab w:leader="none" w:pos="2796"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 is made by the deadline for making a Bonus deferral election for a calendar year;</w:t>
      </w:r>
    </w:p>
    <w:p>
      <w:pPr>
        <w:spacing w:after="0" w:line="158" w:lineRule="exact"/>
        <w:rPr>
          <w:rFonts w:ascii="Times New Roman" w:cs="Times New Roman" w:eastAsia="Times New Roman" w:hAnsi="Times New Roman"/>
          <w:sz w:val="22"/>
          <w:szCs w:val="22"/>
          <w:color w:val="auto"/>
        </w:rPr>
      </w:pPr>
    </w:p>
    <w:p>
      <w:pPr>
        <w:ind w:left="1500" w:right="219" w:firstLine="653"/>
        <w:spacing w:after="0" w:line="322" w:lineRule="auto"/>
        <w:tabs>
          <w:tab w:leader="none" w:pos="2796"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election specifies a fixed payment date that is at least 12 months after the end of the calendar year during which the Bonus was deferred; and</w:t>
      </w:r>
    </w:p>
    <w:p>
      <w:pPr>
        <w:spacing w:after="0" w:line="148" w:lineRule="exact"/>
        <w:rPr>
          <w:rFonts w:ascii="Times New Roman" w:cs="Times New Roman" w:eastAsia="Times New Roman" w:hAnsi="Times New Roman"/>
          <w:sz w:val="21"/>
          <w:szCs w:val="21"/>
          <w:color w:val="auto"/>
        </w:rPr>
      </w:pPr>
    </w:p>
    <w:p>
      <w:pPr>
        <w:ind w:left="1500" w:right="219" w:firstLine="653"/>
        <w:spacing w:after="0" w:line="309" w:lineRule="auto"/>
        <w:tabs>
          <w:tab w:leader="none" w:pos="2796"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remains employed by the Company or a Related Employer until the elected payment date.</w:t>
      </w:r>
    </w:p>
    <w:p>
      <w:pPr>
        <w:spacing w:after="0" w:line="159" w:lineRule="exact"/>
        <w:rPr>
          <w:sz w:val="20"/>
          <w:szCs w:val="20"/>
          <w:color w:val="auto"/>
        </w:rPr>
      </w:pPr>
    </w:p>
    <w:p>
      <w:pPr>
        <w:jc w:val="both"/>
        <w:ind w:left="860" w:right="219"/>
        <w:spacing w:after="0" w:line="283" w:lineRule="auto"/>
        <w:rPr>
          <w:sz w:val="20"/>
          <w:szCs w:val="20"/>
          <w:color w:val="auto"/>
        </w:rPr>
      </w:pPr>
      <w:r>
        <w:rPr>
          <w:rFonts w:ascii="Times New Roman" w:cs="Times New Roman" w:eastAsia="Times New Roman" w:hAnsi="Times New Roman"/>
          <w:sz w:val="22"/>
          <w:szCs w:val="22"/>
          <w:color w:val="auto"/>
        </w:rPr>
        <w:t>If the Participant does not remain employed by the Company or a Related Employer under the elected payment date, the Participant's right to the portion of the Bonus for which the Participant elected to receive an in-service distribution shall be forfeited and cancelled. In the event the Participant is eligible to receive an in-service distribution pursuant to the terms of this subsection (f), the amount distributed will be the lesser of the amount of the Bonus the Participant elected to be paid as of the date it was deferred and the value of the Bonus on the date of distribution. To the extent a Participant’s Bonus deferral for a year is treated as invested in UFP Stock, the Participant’s Elective Deferrals from his or her Bonus will only be distributed in whole shares of UFP Stock, and any fractional shares shall not be distributed, but shall be retained in the Plan until the Participant’s Separation from Service. Except as provided in subsection (e), a Participant’s election to receive an in-service distribution pursuant to this subsection (f) is irrevocable effective after June 30 of the calendar year.</w:t>
      </w:r>
    </w:p>
    <w:p>
      <w:pPr>
        <w:spacing w:after="0" w:line="78" w:lineRule="exact"/>
        <w:rPr>
          <w:sz w:val="20"/>
          <w:szCs w:val="20"/>
          <w:color w:val="auto"/>
        </w:rPr>
      </w:pPr>
    </w:p>
    <w:p>
      <w:pPr>
        <w:jc w:val="both"/>
        <w:ind w:left="860" w:right="219" w:firstLine="645"/>
        <w:spacing w:after="0" w:line="284" w:lineRule="auto"/>
        <w:tabs>
          <w:tab w:leader="none" w:pos="215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of Payroll Taxes.</w:t>
      </w:r>
      <w:r>
        <w:rPr>
          <w:rFonts w:ascii="Times New Roman" w:cs="Times New Roman" w:eastAsia="Times New Roman" w:hAnsi="Times New Roman"/>
          <w:sz w:val="22"/>
          <w:szCs w:val="22"/>
          <w:color w:val="auto"/>
        </w:rPr>
        <w:t xml:space="preserve"> Any payroll taxes the Company must withhold on a Participant’s Base Salary or Bonus deferrals (including any amount that must be withheld because of the discount on UFP Stock provided to Participants whose deferrals are treated as invested in UFP Stock for the year) will be withheld from the portion of the Participant’s Base Salary or Bonus that the Participant does not elect to defer before any amount is credited to the Participant’s Account.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9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91" w:name="page92"/>
    <w:bookmarkEnd w:id="91"/>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u w:val="single" w:color="auto"/>
          <w:color w:val="auto"/>
        </w:rPr>
        <w:t>Hypothetical Investments</w:t>
      </w:r>
    </w:p>
    <w:p>
      <w:pPr>
        <w:spacing w:after="0" w:line="156" w:lineRule="exact"/>
        <w:rPr>
          <w:sz w:val="20"/>
          <w:szCs w:val="20"/>
          <w:color w:val="auto"/>
        </w:rPr>
      </w:pPr>
    </w:p>
    <w:p>
      <w:pPr>
        <w:jc w:val="both"/>
        <w:ind w:left="860" w:right="219" w:firstLine="645"/>
        <w:spacing w:after="0" w:line="283" w:lineRule="auto"/>
        <w:tabs>
          <w:tab w:leader="none" w:pos="215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choose among different hypothetical investment funds made available by the Plan Administrator for purposes of determining hypothetical earnings, gains and losses credited to the Participant’s Account. The earnings, gains and losses for a Participant shall be determined as if the portion of the Participant’s Account which was deemed to be invested in the investment fund had actually been invested in the investment fund during the relevant time period. The Plan Administrator may add or remove hypothetical investment funds at any time. The Plan Administrator shall periodically establish administrative rules for a Participant to make and change his investment elections and rules regarding the crediting of Investment Results. Amounts shall be credited to a Participant’s Account under this Section until the Participant’s Account is completely distributed.</w:t>
      </w:r>
    </w:p>
    <w:p>
      <w:pPr>
        <w:spacing w:after="0" w:line="188" w:lineRule="exact"/>
        <w:rPr>
          <w:rFonts w:ascii="Times New Roman" w:cs="Times New Roman" w:eastAsia="Times New Roman" w:hAnsi="Times New Roman"/>
          <w:sz w:val="22"/>
          <w:szCs w:val="22"/>
          <w:color w:val="auto"/>
        </w:rPr>
      </w:pPr>
    </w:p>
    <w:p>
      <w:pPr>
        <w:jc w:val="both"/>
        <w:ind w:left="860" w:right="219" w:firstLine="645"/>
        <w:spacing w:after="0" w:line="295" w:lineRule="auto"/>
        <w:tabs>
          <w:tab w:leader="none" w:pos="215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under no obligation to make investments that correspond to the Participant’s investment elections, even though the Participant’s elections are used to determine the Participant’s Investment Results.</w:t>
      </w:r>
    </w:p>
    <w:p>
      <w:pPr>
        <w:spacing w:after="0" w:line="174" w:lineRule="exact"/>
        <w:rPr>
          <w:rFonts w:ascii="Times New Roman" w:cs="Times New Roman" w:eastAsia="Times New Roman" w:hAnsi="Times New Roman"/>
          <w:sz w:val="22"/>
          <w:szCs w:val="22"/>
          <w:color w:val="auto"/>
        </w:rPr>
      </w:pPr>
    </w:p>
    <w:p>
      <w:pPr>
        <w:jc w:val="both"/>
        <w:ind w:left="860" w:right="219" w:firstLine="645"/>
        <w:spacing w:after="0" w:line="284" w:lineRule="auto"/>
        <w:tabs>
          <w:tab w:leader="none" w:pos="215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or a portion of a Participant’s Elective Deferrals for a calendar year are deemed to be invested in UFP Stock, the number of shares of UFP Stock credited to the Participant’s Account shall be increased to reflect a fifteen percent (15%) discount to market, determined based on the closing market price of UFP Stock on the day the amount would have been paid to the Participant if he or she had not elected to defer it. The number of shares credited to the Participant’s Account as a result of any deferral of Base Salary or Bonus shall equal:</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(x ÷ .85)</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z</w:t>
      </w:r>
    </w:p>
    <w:p>
      <w:pPr>
        <w:spacing w:after="0" w:line="265" w:lineRule="exact"/>
        <w:rPr>
          <w:sz w:val="20"/>
          <w:szCs w:val="20"/>
          <w:color w:val="auto"/>
        </w:rPr>
      </w:pPr>
    </w:p>
    <w:p>
      <w:pPr>
        <w:jc w:val="both"/>
        <w:ind w:left="860" w:right="219"/>
        <w:spacing w:after="0" w:line="285" w:lineRule="auto"/>
        <w:rPr>
          <w:sz w:val="20"/>
          <w:szCs w:val="20"/>
          <w:color w:val="auto"/>
        </w:rPr>
      </w:pPr>
      <w:r>
        <w:rPr>
          <w:rFonts w:ascii="Times New Roman" w:cs="Times New Roman" w:eastAsia="Times New Roman" w:hAnsi="Times New Roman"/>
          <w:sz w:val="22"/>
          <w:szCs w:val="22"/>
          <w:color w:val="auto"/>
        </w:rPr>
        <w:t>where x equals the amount the Participant defers and z equals the closing market price of UFP Stock on the day the amount would have been paid to the Participant if he had not elected to defer it. Elective Deferrals that are treated as being invested in UFP Stock shall continue to be treated as invested in UFP Stock until the Elective Deferrals are distributed to the Participant.</w:t>
      </w:r>
    </w:p>
    <w:p>
      <w:pPr>
        <w:spacing w:after="0" w:line="18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u w:val="single" w:color="auto"/>
          <w:color w:val="auto"/>
        </w:rPr>
        <w:t>Required Investments in UFP Stock</w:t>
      </w:r>
    </w:p>
    <w:p>
      <w:pPr>
        <w:spacing w:after="0" w:line="156" w:lineRule="exact"/>
        <w:rPr>
          <w:sz w:val="20"/>
          <w:szCs w:val="20"/>
          <w:color w:val="auto"/>
        </w:rPr>
      </w:pPr>
    </w:p>
    <w:p>
      <w:pPr>
        <w:ind w:left="860" w:right="219" w:firstLine="645"/>
        <w:spacing w:after="0" w:line="309" w:lineRule="auto"/>
        <w:tabs>
          <w:tab w:leader="none" w:pos="215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Elective Deferrals from Base Salary for any calendar year will be deemed to be invested in UFP Stock unless:</w:t>
      </w:r>
    </w:p>
    <w:p>
      <w:pPr>
        <w:spacing w:after="0" w:line="158" w:lineRule="exact"/>
        <w:rPr>
          <w:rFonts w:ascii="Times New Roman" w:cs="Times New Roman" w:eastAsia="Times New Roman" w:hAnsi="Times New Roman"/>
          <w:sz w:val="22"/>
          <w:szCs w:val="22"/>
          <w:color w:val="auto"/>
        </w:rPr>
      </w:pPr>
    </w:p>
    <w:p>
      <w:pPr>
        <w:jc w:val="both"/>
        <w:ind w:left="1500" w:right="219" w:firstLine="653"/>
        <w:spacing w:after="0" w:line="295" w:lineRule="auto"/>
        <w:tabs>
          <w:tab w:leader="none" w:pos="279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has less than five Years of Service with the Company as of the December 31 immediately preceding the first day of the calendar year, the Participant owns UFP Stock with a market value as of the</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10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92" w:name="page93"/>
    <w:bookmarkEnd w:id="92"/>
    <w:p>
      <w:pPr>
        <w:jc w:val="both"/>
        <w:ind w:left="1500" w:right="219"/>
        <w:spacing w:after="0" w:line="295" w:lineRule="auto"/>
        <w:rPr>
          <w:sz w:val="20"/>
          <w:szCs w:val="20"/>
          <w:color w:val="auto"/>
        </w:rPr>
      </w:pPr>
      <w:r>
        <w:rPr>
          <w:rFonts w:ascii="Times New Roman" w:cs="Times New Roman" w:eastAsia="Times New Roman" w:hAnsi="Times New Roman"/>
          <w:sz w:val="22"/>
          <w:szCs w:val="22"/>
          <w:color w:val="auto"/>
        </w:rPr>
        <w:t>preceding September 30 of at least one times the Participant’s annualized box 1 W-2 compensation for the second calendar year preceding the calendar year for which the Elective Deferrals are being made;</w:t>
      </w:r>
    </w:p>
    <w:p>
      <w:pPr>
        <w:spacing w:after="0" w:line="174" w:lineRule="exact"/>
        <w:rPr>
          <w:sz w:val="20"/>
          <w:szCs w:val="20"/>
          <w:color w:val="auto"/>
        </w:rPr>
      </w:pPr>
    </w:p>
    <w:p>
      <w:pPr>
        <w:jc w:val="both"/>
        <w:ind w:left="1500" w:right="219" w:firstLine="653"/>
        <w:spacing w:after="0" w:line="287" w:lineRule="auto"/>
        <w:tabs>
          <w:tab w:leader="none" w:pos="279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has at least five but less ten Years of Service with the Company as of the December 31 immediately preceding the first day of the calendar year, the Participant owns UFP Stock with a market value as of the preceding September 30 of at least two times the Participant’s annualized box 1 W-2 compensation for the second calendar year preceding the calendar year for which the Elective Deferrals are being made; or</w:t>
      </w:r>
    </w:p>
    <w:p>
      <w:pPr>
        <w:spacing w:after="0" w:line="182" w:lineRule="exact"/>
        <w:rPr>
          <w:rFonts w:ascii="Times New Roman" w:cs="Times New Roman" w:eastAsia="Times New Roman" w:hAnsi="Times New Roman"/>
          <w:sz w:val="22"/>
          <w:szCs w:val="22"/>
          <w:color w:val="auto"/>
        </w:rPr>
      </w:pPr>
    </w:p>
    <w:p>
      <w:pPr>
        <w:jc w:val="both"/>
        <w:ind w:left="1500" w:right="219" w:firstLine="653"/>
        <w:spacing w:after="0" w:line="284" w:lineRule="auto"/>
        <w:tabs>
          <w:tab w:leader="none" w:pos="279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has ten or more Years of Service with the Company as of the December 31 immediately preceding the first day of the calendar year, the Participant owns UFP Stock with a market value as of the preceding September 30 of at least three times the Participant’s annualized box 1 W-2 compensation for the second calendar year preceding the calendar year for which the Elective Deferrals are being made.</w:t>
      </w:r>
    </w:p>
    <w:p>
      <w:pPr>
        <w:spacing w:after="0" w:line="188" w:lineRule="exact"/>
        <w:rPr>
          <w:sz w:val="20"/>
          <w:szCs w:val="20"/>
          <w:color w:val="auto"/>
        </w:rPr>
      </w:pPr>
    </w:p>
    <w:p>
      <w:pPr>
        <w:jc w:val="both"/>
        <w:ind w:left="860" w:right="219"/>
        <w:spacing w:after="0" w:line="288" w:lineRule="auto"/>
        <w:rPr>
          <w:sz w:val="20"/>
          <w:szCs w:val="20"/>
          <w:color w:val="auto"/>
        </w:rPr>
      </w:pPr>
      <w:r>
        <w:rPr>
          <w:rFonts w:ascii="Times New Roman" w:cs="Times New Roman" w:eastAsia="Times New Roman" w:hAnsi="Times New Roman"/>
          <w:sz w:val="22"/>
          <w:szCs w:val="22"/>
          <w:color w:val="auto"/>
        </w:rPr>
        <w:t>For purposes of this subsection, if a Participant’s box 1 W-2 compensation for any calendar year is for work performed for less than a 12-month period, the Participant’s box 1 W-2 compensation for the calendar year shall be annualized by multiplying his box 1 W-2 compensation by 12 and dividing it by the number of full and partial months he worked during the year.</w:t>
      </w:r>
    </w:p>
    <w:p>
      <w:pPr>
        <w:spacing w:after="0" w:line="75" w:lineRule="exact"/>
        <w:rPr>
          <w:sz w:val="20"/>
          <w:szCs w:val="20"/>
          <w:color w:val="auto"/>
        </w:rPr>
      </w:pPr>
    </w:p>
    <w:p>
      <w:pPr>
        <w:jc w:val="both"/>
        <w:ind w:left="860" w:right="219" w:firstLine="645"/>
        <w:spacing w:after="0" w:line="286" w:lineRule="auto"/>
        <w:tabs>
          <w:tab w:leader="none" w:pos="215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applicable requirement detailed in subsection (a) above is met as of the December 31 of the preceding calendar year, the Participant may direct that his Elective Deferrals from Base Salary for the calendar year be credited with earnings or losses based on any investment option available under the Plan.</w:t>
      </w:r>
    </w:p>
    <w:p>
      <w:pPr>
        <w:spacing w:after="0" w:line="184" w:lineRule="exact"/>
        <w:rPr>
          <w:rFonts w:ascii="Times New Roman" w:cs="Times New Roman" w:eastAsia="Times New Roman" w:hAnsi="Times New Roman"/>
          <w:sz w:val="22"/>
          <w:szCs w:val="22"/>
          <w:color w:val="auto"/>
        </w:rPr>
      </w:pPr>
    </w:p>
    <w:p>
      <w:pPr>
        <w:ind w:left="860" w:right="219" w:firstLine="645"/>
        <w:spacing w:after="0" w:line="309" w:lineRule="auto"/>
        <w:tabs>
          <w:tab w:leader="none" w:pos="215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Elective Deferrals from Bonuses for a calendar year will be deemed to be invested in UFP Stock unless:</w:t>
      </w:r>
    </w:p>
    <w:p>
      <w:pPr>
        <w:spacing w:after="0" w:line="158" w:lineRule="exact"/>
        <w:rPr>
          <w:rFonts w:ascii="Times New Roman" w:cs="Times New Roman" w:eastAsia="Times New Roman" w:hAnsi="Times New Roman"/>
          <w:sz w:val="22"/>
          <w:szCs w:val="22"/>
          <w:color w:val="auto"/>
        </w:rPr>
      </w:pPr>
    </w:p>
    <w:p>
      <w:pPr>
        <w:jc w:val="both"/>
        <w:ind w:left="1500" w:right="219" w:firstLine="653"/>
        <w:spacing w:after="0" w:line="287" w:lineRule="auto"/>
        <w:tabs>
          <w:tab w:leader="none" w:pos="279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has less than five Years of Service with the Company as of the December 31 preceding the June 30 by which the election must be made, the Participant owns UFP Stock with a market value as of the preceding April 30 of at least one (1) times the Participant’s annualized box 1 W-2 compensation for the calendar year preceding the calendar year for which the Elective Deferral from his Bonus is made.</w:t>
      </w:r>
    </w:p>
    <w:p>
      <w:pPr>
        <w:spacing w:after="0" w:line="169" w:lineRule="exact"/>
        <w:rPr>
          <w:rFonts w:ascii="Times New Roman" w:cs="Times New Roman" w:eastAsia="Times New Roman" w:hAnsi="Times New Roman"/>
          <w:sz w:val="22"/>
          <w:szCs w:val="22"/>
          <w:color w:val="auto"/>
        </w:rPr>
      </w:pPr>
    </w:p>
    <w:p>
      <w:pPr>
        <w:jc w:val="both"/>
        <w:ind w:left="1500" w:right="219" w:firstLine="653"/>
        <w:spacing w:after="0" w:line="291" w:lineRule="auto"/>
        <w:tabs>
          <w:tab w:leader="none" w:pos="279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has at least five but less than ten Years of Service with the Company as of the December 31 preceding the June 30 by which the election must be made, the Participant owns UFP Stock with a market value as of the preceding April 30 of at least two (2) times the Participant’s annualized box 1</w:t>
      </w:r>
    </w:p>
    <w:p>
      <w:pPr>
        <w:sectPr>
          <w:pgSz w:w="11900" w:h="16838" w:orient="portrait"/>
          <w:cols w:equalWidth="0" w:num="1">
            <w:col w:w="9019"/>
          </w:cols>
          <w:pgMar w:left="1440" w:top="909" w:right="1440"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Page 11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433070</wp:posOffset>
            </wp:positionV>
            <wp:extent cx="545211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type w:val="continuous"/>
        </w:sectPr>
      </w:pPr>
    </w:p>
    <w:bookmarkStart w:id="93" w:name="page94"/>
    <w:bookmarkEnd w:id="93"/>
    <w:p>
      <w:pPr>
        <w:ind w:left="1500" w:right="219"/>
        <w:spacing w:after="0" w:line="309" w:lineRule="auto"/>
        <w:rPr>
          <w:sz w:val="20"/>
          <w:szCs w:val="20"/>
          <w:color w:val="auto"/>
        </w:rPr>
      </w:pPr>
      <w:r>
        <w:rPr>
          <w:rFonts w:ascii="Times New Roman" w:cs="Times New Roman" w:eastAsia="Times New Roman" w:hAnsi="Times New Roman"/>
          <w:sz w:val="22"/>
          <w:szCs w:val="22"/>
          <w:color w:val="auto"/>
        </w:rPr>
        <w:t>W-2 compensation for the calendar year preceding the calendar year for which the Elective Deferral from his Bonus is made; or</w:t>
      </w:r>
    </w:p>
    <w:p>
      <w:pPr>
        <w:spacing w:after="0" w:line="159" w:lineRule="exact"/>
        <w:rPr>
          <w:sz w:val="20"/>
          <w:szCs w:val="20"/>
          <w:color w:val="auto"/>
        </w:rPr>
      </w:pPr>
    </w:p>
    <w:p>
      <w:pPr>
        <w:jc w:val="both"/>
        <w:ind w:left="1500" w:right="219" w:firstLine="653"/>
        <w:spacing w:after="0" w:line="287" w:lineRule="auto"/>
        <w:tabs>
          <w:tab w:leader="none" w:pos="279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has ten or more Years of Service with the Company as of the December 31 preceding the date by which the election must be made, the Participant owns UFP Stock with a market value as of preceding April 30 of at least three (3) times the Participant’s annualized box 1 W-2 compensation for the calendar year preceding the calendar year for which the Elective Deferral from his Bonus is made.</w:t>
      </w:r>
    </w:p>
    <w:p>
      <w:pPr>
        <w:spacing w:after="0" w:line="183" w:lineRule="exact"/>
        <w:rPr>
          <w:sz w:val="20"/>
          <w:szCs w:val="20"/>
          <w:color w:val="auto"/>
        </w:rPr>
      </w:pPr>
    </w:p>
    <w:p>
      <w:pPr>
        <w:jc w:val="both"/>
        <w:ind w:left="860" w:right="219"/>
        <w:spacing w:after="0" w:line="285" w:lineRule="auto"/>
        <w:rPr>
          <w:sz w:val="20"/>
          <w:szCs w:val="20"/>
          <w:color w:val="auto"/>
        </w:rPr>
      </w:pPr>
      <w:r>
        <w:rPr>
          <w:rFonts w:ascii="Times New Roman" w:cs="Times New Roman" w:eastAsia="Times New Roman" w:hAnsi="Times New Roman"/>
          <w:sz w:val="22"/>
          <w:szCs w:val="22"/>
          <w:color w:val="auto"/>
        </w:rPr>
        <w:t>For purposes of this subsection, if a Participant’s box 1 W-2 compensation for any calendar year is for work performed for less than a 12-month period, the Participant’s box 1 W-2 compensation for the calendar year shall be annualized by multiplying his box 1 W-2 compensation by 12 and dividing it by the number of full and partial months he worked during the year.</w:t>
      </w:r>
    </w:p>
    <w:p>
      <w:pPr>
        <w:spacing w:after="0" w:line="77" w:lineRule="exact"/>
        <w:rPr>
          <w:sz w:val="20"/>
          <w:szCs w:val="20"/>
          <w:color w:val="auto"/>
        </w:rPr>
      </w:pPr>
    </w:p>
    <w:p>
      <w:pPr>
        <w:jc w:val="both"/>
        <w:ind w:left="860" w:right="219" w:firstLine="645"/>
        <w:spacing w:after="0" w:line="291" w:lineRule="auto"/>
        <w:tabs>
          <w:tab w:leader="none" w:pos="215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applicable requirement detailed in subsection (c) above is met as of the June 30 by which the Participant’s Bonus deferral election must be made, the Participant may direct that his Elective Deferrals from his Bonus for the calendar year be credited with earnings or losses based on any investment option available under the Plan.</w:t>
      </w:r>
    </w:p>
    <w:p>
      <w:pPr>
        <w:spacing w:after="0" w:line="177" w:lineRule="exact"/>
        <w:rPr>
          <w:rFonts w:ascii="Times New Roman" w:cs="Times New Roman" w:eastAsia="Times New Roman" w:hAnsi="Times New Roman"/>
          <w:sz w:val="22"/>
          <w:szCs w:val="22"/>
          <w:color w:val="auto"/>
        </w:rPr>
      </w:pPr>
    </w:p>
    <w:p>
      <w:pPr>
        <w:jc w:val="both"/>
        <w:ind w:left="860" w:right="219" w:firstLine="645"/>
        <w:spacing w:after="0" w:line="298" w:lineRule="auto"/>
        <w:tabs>
          <w:tab w:leader="none" w:pos="215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example, if a Participant who has completed three Years of Service with the Company as of December 31, 2019 defers $10,000 of his Base Salary for 2020, his Elective Deferrals from his Base Salary will be invested in UFP Stock unless he owns UFP Stock with a market value as of September 30, 2019 equal to his 2018 compensation as reported in box 1 of his 2018 W-2 (assuming he worked for the Company for all of 2018). If the Participant elects to defer all or any portion of his 2020 Bonus that is payable in 2021, his Elective Deferrals from his Bonus will be invested in UFP Stock unless he owns UFP Stock with a market value as of April 30, 2020 equal to his 2019 compensation as reported in box 1 of his 2019 W-2 (assuming he worked for the Company for all of 2019).</w:t>
      </w:r>
    </w:p>
    <w:p>
      <w:pPr>
        <w:spacing w:after="0" w:line="17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4.5</w:t>
      </w:r>
      <w:r>
        <w:rPr>
          <w:sz w:val="20"/>
          <w:szCs w:val="20"/>
          <w:color w:val="auto"/>
        </w:rPr>
        <w:tab/>
      </w:r>
      <w:r>
        <w:rPr>
          <w:rFonts w:ascii="Times New Roman" w:cs="Times New Roman" w:eastAsia="Times New Roman" w:hAnsi="Times New Roman"/>
          <w:sz w:val="21"/>
          <w:szCs w:val="21"/>
          <w:b w:val="1"/>
          <w:bCs w:val="1"/>
          <w:u w:val="single" w:color="auto"/>
          <w:color w:val="auto"/>
        </w:rPr>
        <w:t>Vesting</w:t>
      </w:r>
    </w:p>
    <w:p>
      <w:pPr>
        <w:spacing w:after="0" w:line="156" w:lineRule="exact"/>
        <w:rPr>
          <w:sz w:val="20"/>
          <w:szCs w:val="20"/>
          <w:color w:val="auto"/>
        </w:rPr>
      </w:pPr>
    </w:p>
    <w:p>
      <w:pPr>
        <w:jc w:val="both"/>
        <w:ind w:left="200" w:right="219" w:firstLine="648"/>
        <w:spacing w:after="0" w:line="309" w:lineRule="auto"/>
        <w:rPr>
          <w:sz w:val="20"/>
          <w:szCs w:val="20"/>
          <w:color w:val="auto"/>
        </w:rPr>
      </w:pPr>
      <w:r>
        <w:rPr>
          <w:rFonts w:ascii="Times New Roman" w:cs="Times New Roman" w:eastAsia="Times New Roman" w:hAnsi="Times New Roman"/>
          <w:sz w:val="22"/>
          <w:szCs w:val="22"/>
          <w:color w:val="auto"/>
        </w:rPr>
        <w:t>Except as provided in Sections 4.6 and 5.3, all amounts credited to a Participant’s Account are always 100% vested.</w:t>
      </w:r>
    </w:p>
    <w:p>
      <w:pPr>
        <w:spacing w:after="0" w:line="15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4.6</w:t>
      </w:r>
      <w:r>
        <w:rPr>
          <w:sz w:val="20"/>
          <w:szCs w:val="20"/>
          <w:color w:val="auto"/>
        </w:rPr>
        <w:tab/>
      </w:r>
      <w:r>
        <w:rPr>
          <w:rFonts w:ascii="Times New Roman" w:cs="Times New Roman" w:eastAsia="Times New Roman" w:hAnsi="Times New Roman"/>
          <w:sz w:val="21"/>
          <w:szCs w:val="21"/>
          <w:b w:val="1"/>
          <w:bCs w:val="1"/>
          <w:u w:val="single" w:color="auto"/>
          <w:color w:val="auto"/>
        </w:rPr>
        <w:t>Forfeiture</w:t>
      </w:r>
    </w:p>
    <w:p>
      <w:pPr>
        <w:spacing w:after="0" w:line="156" w:lineRule="exact"/>
        <w:rPr>
          <w:sz w:val="20"/>
          <w:szCs w:val="20"/>
          <w:color w:val="auto"/>
        </w:rPr>
      </w:pPr>
    </w:p>
    <w:p>
      <w:pPr>
        <w:jc w:val="both"/>
        <w:ind w:left="200" w:right="219" w:firstLine="648"/>
        <w:spacing w:after="0" w:line="300" w:lineRule="auto"/>
        <w:rPr>
          <w:sz w:val="20"/>
          <w:szCs w:val="20"/>
          <w:color w:val="auto"/>
        </w:rPr>
      </w:pPr>
      <w:r>
        <w:rPr>
          <w:rFonts w:ascii="Times New Roman" w:cs="Times New Roman" w:eastAsia="Times New Roman" w:hAnsi="Times New Roman"/>
          <w:sz w:val="21"/>
          <w:szCs w:val="21"/>
          <w:color w:val="auto"/>
        </w:rPr>
        <w:t>If a Participant’s employment is terminated by the Company in connection with Substantial Cause, or if the Company determines that Substantial Cause exists with respect to a Participant at any time prior to payment of the Participant’s benefits from the Plan pursuant to Section 5.3, then the Participant’s Account balance under the Plan shall be reduced by the lesser of (i) the amount of material harm or damages incurred by the Company as a result of the Substantial Cause, including but not limited to any costs related to investigation or prosecution of the Substantial</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12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94" w:name="page95"/>
    <w:bookmarkEnd w:id="94"/>
    <w:p>
      <w:pPr>
        <w:ind w:left="200" w:right="219"/>
        <w:spacing w:after="0" w:line="309" w:lineRule="auto"/>
        <w:rPr>
          <w:sz w:val="20"/>
          <w:szCs w:val="20"/>
          <w:color w:val="auto"/>
        </w:rPr>
      </w:pPr>
      <w:r>
        <w:rPr>
          <w:rFonts w:ascii="Times New Roman" w:cs="Times New Roman" w:eastAsia="Times New Roman" w:hAnsi="Times New Roman"/>
          <w:sz w:val="22"/>
          <w:szCs w:val="22"/>
          <w:color w:val="auto"/>
        </w:rPr>
        <w:t>Cause, all as determined in the sole discretion of the Administrative Committee, or (ii) the full balance of the Participant’s Account at the time of the Substantial Cause.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5</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Distribution of Benefits</w:t>
      </w:r>
    </w:p>
    <w:p>
      <w:pPr>
        <w:spacing w:after="0" w:line="2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u w:val="single" w:color="auto"/>
          <w:color w:val="auto"/>
        </w:rPr>
        <w:t>Distributable Events</w:t>
      </w:r>
    </w:p>
    <w:p>
      <w:pPr>
        <w:spacing w:after="0" w:line="156" w:lineRule="exact"/>
        <w:rPr>
          <w:sz w:val="20"/>
          <w:szCs w:val="20"/>
          <w:color w:val="auto"/>
        </w:rPr>
      </w:pPr>
    </w:p>
    <w:p>
      <w:pPr>
        <w:ind w:left="200" w:right="239" w:firstLine="648"/>
        <w:spacing w:after="0" w:line="309" w:lineRule="auto"/>
        <w:rPr>
          <w:sz w:val="20"/>
          <w:szCs w:val="20"/>
          <w:color w:val="auto"/>
        </w:rPr>
      </w:pPr>
      <w:r>
        <w:rPr>
          <w:rFonts w:ascii="Times New Roman" w:cs="Times New Roman" w:eastAsia="Times New Roman" w:hAnsi="Times New Roman"/>
          <w:sz w:val="22"/>
          <w:szCs w:val="22"/>
          <w:color w:val="auto"/>
        </w:rPr>
        <w:t>A Participant shall have a Distributable Event for purposes of the Plan on the date the first of the following events occurs:</w:t>
      </w:r>
    </w:p>
    <w:p>
      <w:pPr>
        <w:spacing w:after="0" w:line="37" w:lineRule="exact"/>
        <w:rPr>
          <w:sz w:val="20"/>
          <w:szCs w:val="20"/>
          <w:color w:val="auto"/>
        </w:rPr>
      </w:pPr>
    </w:p>
    <w:p>
      <w:pPr>
        <w:ind w:left="2160" w:hanging="655"/>
        <w:spacing w:after="0"/>
        <w:tabs>
          <w:tab w:leader="none" w:pos="21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a Separation from Service;</w:t>
      </w:r>
    </w:p>
    <w:p>
      <w:pPr>
        <w:spacing w:after="0" w:line="26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dies while employed by the Company;</w:t>
      </w:r>
    </w:p>
    <w:p>
      <w:pPr>
        <w:spacing w:after="0" w:line="26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incurs a Total Disability while employed by the Company;</w:t>
      </w:r>
    </w:p>
    <w:p>
      <w:pPr>
        <w:spacing w:after="0" w:line="4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or</w:t>
      </w:r>
    </w:p>
    <w:p>
      <w:pPr>
        <w:spacing w:after="0" w:line="260" w:lineRule="exact"/>
        <w:rPr>
          <w:sz w:val="20"/>
          <w:szCs w:val="20"/>
          <w:color w:val="auto"/>
        </w:rPr>
      </w:pPr>
    </w:p>
    <w:p>
      <w:pPr>
        <w:ind w:left="2160" w:hanging="655"/>
        <w:spacing w:after="0"/>
        <w:tabs>
          <w:tab w:leader="none" w:pos="21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occurs.</w:t>
      </w:r>
    </w:p>
    <w:p>
      <w:pPr>
        <w:spacing w:after="0" w:line="25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u w:val="single" w:color="auto"/>
          <w:color w:val="auto"/>
        </w:rPr>
        <w:t>Amount of Benefits</w:t>
      </w:r>
    </w:p>
    <w:p>
      <w:pPr>
        <w:spacing w:after="0" w:line="156"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22"/>
          <w:szCs w:val="22"/>
          <w:color w:val="auto"/>
        </w:rPr>
        <w:t>A Participant’s benefits under the Plan shall be equal to the amount credited to the Participant’s Account on a date determined by the Company that is no more than one month prior to the date the amount is distributed to the Participant.</w:t>
      </w:r>
    </w:p>
    <w:p>
      <w:pPr>
        <w:spacing w:after="0" w:line="17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u w:val="single" w:color="auto"/>
          <w:color w:val="auto"/>
        </w:rPr>
        <w:t>Time of Payment</w:t>
      </w:r>
    </w:p>
    <w:p>
      <w:pPr>
        <w:spacing w:after="0" w:line="143" w:lineRule="exact"/>
        <w:rPr>
          <w:sz w:val="20"/>
          <w:szCs w:val="20"/>
          <w:color w:val="auto"/>
        </w:rPr>
      </w:pPr>
    </w:p>
    <w:p>
      <w:pPr>
        <w:ind w:left="860" w:right="219" w:firstLine="645"/>
        <w:spacing w:after="0" w:line="309" w:lineRule="auto"/>
        <w:tabs>
          <w:tab w:leader="none" w:pos="215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benefits from the Plan triggered by the occurrence of a Distributable Event shall be paid in a single lump sum payment due at the following time:</w:t>
      </w:r>
    </w:p>
    <w:p>
      <w:pPr>
        <w:spacing w:after="0" w:line="158" w:lineRule="exact"/>
        <w:rPr>
          <w:rFonts w:ascii="Times New Roman" w:cs="Times New Roman" w:eastAsia="Times New Roman" w:hAnsi="Times New Roman"/>
          <w:sz w:val="22"/>
          <w:szCs w:val="22"/>
          <w:color w:val="auto"/>
        </w:rPr>
      </w:pPr>
    </w:p>
    <w:p>
      <w:pPr>
        <w:jc w:val="both"/>
        <w:ind w:left="1500" w:right="219" w:firstLine="653"/>
        <w:spacing w:after="0" w:line="295" w:lineRule="auto"/>
        <w:tabs>
          <w:tab w:leader="none" w:pos="279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Distributable Event is the Participant’s Separation from Service before age 55, benefits shall be paid on the first anniversary of the Separation from Service; and</w:t>
      </w:r>
    </w:p>
    <w:p>
      <w:pPr>
        <w:spacing w:after="0" w:line="174" w:lineRule="exact"/>
        <w:rPr>
          <w:rFonts w:ascii="Times New Roman" w:cs="Times New Roman" w:eastAsia="Times New Roman" w:hAnsi="Times New Roman"/>
          <w:sz w:val="22"/>
          <w:szCs w:val="22"/>
          <w:color w:val="auto"/>
        </w:rPr>
      </w:pPr>
    </w:p>
    <w:p>
      <w:pPr>
        <w:jc w:val="both"/>
        <w:ind w:left="1500" w:right="219" w:firstLine="653"/>
        <w:spacing w:after="0" w:line="295" w:lineRule="auto"/>
        <w:tabs>
          <w:tab w:leader="none" w:pos="279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Distributable Event is the Participant’s death, Total Disability, Separation from Service after age 55, or Change in Control, benefits shall be paid 60 days after the Participant’s Distributable Event occurs.</w:t>
      </w:r>
    </w:p>
    <w:p>
      <w:pPr>
        <w:spacing w:after="0" w:line="174" w:lineRule="exact"/>
        <w:rPr>
          <w:rFonts w:ascii="Times New Roman" w:cs="Times New Roman" w:eastAsia="Times New Roman" w:hAnsi="Times New Roman"/>
          <w:sz w:val="22"/>
          <w:szCs w:val="22"/>
          <w:color w:val="auto"/>
        </w:rPr>
      </w:pPr>
    </w:p>
    <w:p>
      <w:pPr>
        <w:jc w:val="both"/>
        <w:ind w:left="860" w:right="219" w:firstLine="645"/>
        <w:spacing w:after="0" w:line="286" w:lineRule="auto"/>
        <w:tabs>
          <w:tab w:leader="none" w:pos="215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subsection (a) above, if the Participant is a Key Employee and the Distributable Event is the Participant’s Separation from Service, distribution shall be delayed until the six-month anniversary of the date of the Participant’s Separation from Service, unless the Participant dies prior to the end of the six-month period.</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13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95" w:name="page96"/>
    <w:bookmarkEnd w:id="95"/>
    <w:p>
      <w:pPr>
        <w:jc w:val="both"/>
        <w:ind w:left="860" w:right="219" w:firstLine="645"/>
        <w:spacing w:after="0" w:line="287" w:lineRule="auto"/>
        <w:tabs>
          <w:tab w:leader="none" w:pos="215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the Participant’s employment with the Company or the twelve-month period following his Separation from Service, the Participant violates any confidentiality agreement, intellectual property agreement or non-competition agreement with the Company or any Related Employer in effect while the Participant is employed by the Company or a Related Employer or at the time of the Separation from Service, the Participant’s Account shall be reduced to reflect the value that is the lesser of:</w:t>
      </w:r>
    </w:p>
    <w:p>
      <w:pPr>
        <w:spacing w:after="0" w:line="182"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actual Account value on the date of Separation from Service; or</w:t>
      </w:r>
    </w:p>
    <w:p>
      <w:pPr>
        <w:spacing w:after="0" w:line="271" w:lineRule="exact"/>
        <w:rPr>
          <w:rFonts w:ascii="Times New Roman" w:cs="Times New Roman" w:eastAsia="Times New Roman" w:hAnsi="Times New Roman"/>
          <w:sz w:val="21"/>
          <w:szCs w:val="21"/>
          <w:color w:val="auto"/>
        </w:rPr>
      </w:pPr>
    </w:p>
    <w:p>
      <w:pPr>
        <w:jc w:val="both"/>
        <w:ind w:left="1500" w:right="219" w:firstLine="653"/>
        <w:spacing w:after="0" w:line="291" w:lineRule="auto"/>
        <w:tabs>
          <w:tab w:leader="none" w:pos="279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the Account would have been on the date of Separation from Service if it had been credited with an earnings rate of 0% from the time the Elective Deferrals were initially credited to the Account and no discount had been available for deemed investments in UFP Stock.</w:t>
      </w:r>
    </w:p>
    <w:p>
      <w:pPr>
        <w:spacing w:after="0" w:line="1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u w:val="single" w:color="auto"/>
          <w:color w:val="auto"/>
        </w:rPr>
        <w:t>Form of Payment</w:t>
      </w:r>
    </w:p>
    <w:p>
      <w:pPr>
        <w:spacing w:after="0" w:line="156" w:lineRule="exact"/>
        <w:rPr>
          <w:sz w:val="20"/>
          <w:szCs w:val="20"/>
          <w:color w:val="auto"/>
        </w:rPr>
      </w:pPr>
    </w:p>
    <w:p>
      <w:pPr>
        <w:jc w:val="both"/>
        <w:ind w:left="200" w:right="219" w:firstLine="648"/>
        <w:spacing w:after="0" w:line="291" w:lineRule="auto"/>
        <w:rPr>
          <w:sz w:val="20"/>
          <w:szCs w:val="20"/>
          <w:color w:val="auto"/>
        </w:rPr>
      </w:pPr>
      <w:r>
        <w:rPr>
          <w:rFonts w:ascii="Times New Roman" w:cs="Times New Roman" w:eastAsia="Times New Roman" w:hAnsi="Times New Roman"/>
          <w:sz w:val="22"/>
          <w:szCs w:val="22"/>
          <w:color w:val="auto"/>
        </w:rPr>
        <w:t>A Participant’s benefits from the Plan shall be distributed in cash, except all amounts treated as invested in UFP Stock shall be distributed in the form of certificates for whole shares of UFP Stock and any fractional shares shall be withheld to cover taxes. In addition, no fractional shares shall be paid pursuant to any in-service distribution election made under Section 4.2(f).</w:t>
      </w:r>
    </w:p>
    <w:p>
      <w:pPr>
        <w:spacing w:after="0" w:line="17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u w:val="single" w:color="auto"/>
          <w:color w:val="auto"/>
        </w:rPr>
        <w:t>Beneficiary Designations</w:t>
      </w:r>
    </w:p>
    <w:p>
      <w:pPr>
        <w:spacing w:after="0" w:line="156"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22"/>
          <w:szCs w:val="22"/>
          <w:color w:val="auto"/>
        </w:rPr>
        <w:t>“Beneficiary” means the beneficiary designated in writing by the Participant to receive benefits from the Plan in the event of the Participant’s death. The Beneficiary shall be designated on a form provided by the Plan Administrator, and the Participant may change the Beneficiary designation at any time by signing and delivering a new form to the Plan Administrator. A beneficiary designation will become effective upon receipt by the Plan Administrator, but only if received before the Participant’s death.</w:t>
      </w:r>
    </w:p>
    <w:p>
      <w:pPr>
        <w:spacing w:after="0" w:line="80" w:lineRule="exact"/>
        <w:rPr>
          <w:sz w:val="20"/>
          <w:szCs w:val="20"/>
          <w:color w:val="auto"/>
        </w:rPr>
      </w:pPr>
    </w:p>
    <w:p>
      <w:pPr>
        <w:jc w:val="both"/>
        <w:ind w:left="200" w:right="219" w:firstLine="648"/>
        <w:spacing w:after="0" w:line="291" w:lineRule="auto"/>
        <w:rPr>
          <w:sz w:val="20"/>
          <w:szCs w:val="20"/>
          <w:color w:val="auto"/>
        </w:rPr>
      </w:pPr>
      <w:r>
        <w:rPr>
          <w:rFonts w:ascii="Times New Roman" w:cs="Times New Roman" w:eastAsia="Times New Roman" w:hAnsi="Times New Roman"/>
          <w:sz w:val="22"/>
          <w:szCs w:val="22"/>
          <w:color w:val="auto"/>
        </w:rPr>
        <w:t>A trust may be designated as a Beneficiary. If this occurs, the Plan Administrator will determine the rights of any trustee designated as a Beneficiary without responsibility for determining the validity, existence or provisions of that trust, and will have no responsibility for the use of amounts paid to that trustee or for the discharge of the trust.</w:t>
      </w:r>
    </w:p>
    <w:p>
      <w:pPr>
        <w:spacing w:after="0" w:line="69" w:lineRule="exact"/>
        <w:rPr>
          <w:sz w:val="20"/>
          <w:szCs w:val="20"/>
          <w:color w:val="auto"/>
        </w:rPr>
      </w:pPr>
    </w:p>
    <w:p>
      <w:pPr>
        <w:jc w:val="both"/>
        <w:ind w:left="200" w:right="239" w:firstLine="648"/>
        <w:spacing w:after="0" w:line="295" w:lineRule="auto"/>
        <w:rPr>
          <w:sz w:val="20"/>
          <w:szCs w:val="20"/>
          <w:color w:val="auto"/>
        </w:rPr>
      </w:pPr>
      <w:r>
        <w:rPr>
          <w:rFonts w:ascii="Times New Roman" w:cs="Times New Roman" w:eastAsia="Times New Roman" w:hAnsi="Times New Roman"/>
          <w:sz w:val="22"/>
          <w:szCs w:val="22"/>
          <w:color w:val="auto"/>
        </w:rPr>
        <w:t>If a Participant designates the Participant’s Spouse as Beneficiary and the Participant and Spouse are subsequently divorced, the judgment of divorce will be considered to revoke the prior Beneficiary designation of the Spouse.</w:t>
      </w:r>
    </w:p>
    <w:p>
      <w:pPr>
        <w:spacing w:after="0" w:line="66" w:lineRule="exact"/>
        <w:rPr>
          <w:sz w:val="20"/>
          <w:szCs w:val="20"/>
          <w:color w:val="auto"/>
        </w:rPr>
      </w:pPr>
    </w:p>
    <w:p>
      <w:pPr>
        <w:jc w:val="both"/>
        <w:ind w:left="200" w:right="219" w:firstLine="648"/>
        <w:spacing w:after="0" w:line="300" w:lineRule="auto"/>
        <w:rPr>
          <w:sz w:val="20"/>
          <w:szCs w:val="20"/>
          <w:color w:val="auto"/>
        </w:rPr>
      </w:pPr>
      <w:r>
        <w:rPr>
          <w:rFonts w:ascii="Times New Roman" w:cs="Times New Roman" w:eastAsia="Times New Roman" w:hAnsi="Times New Roman"/>
          <w:sz w:val="21"/>
          <w:szCs w:val="21"/>
          <w:color w:val="auto"/>
        </w:rPr>
        <w:t>The rules of this paragraph apply unless provided otherwise in a Participant’s Beneficiary designation form. If a Participant designates one primary Beneficiary and the Beneficiary dies after the Participant but before benefit payments are completed, any remaining benefits will be payable to the secondary Beneficiary. If a Participant fails to designate a secondary Beneficiary, or if no secondary Beneficiary survives the primary Beneficiary, any remaining benefits will be payable to the deceased primary Beneficiary’s heirs in the manner described in the next paragraph.</w:t>
      </w:r>
    </w:p>
    <w:p>
      <w:pPr>
        <w:sectPr>
          <w:pgSz w:w="11900" w:h="16838" w:orient="portrait"/>
          <w:cols w:equalWidth="0" w:num="1">
            <w:col w:w="9019"/>
          </w:cols>
          <w:pgMar w:left="1440" w:top="90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Page 14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433070</wp:posOffset>
            </wp:positionV>
            <wp:extent cx="545211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type w:val="continuous"/>
        </w:sectPr>
      </w:pPr>
    </w:p>
    <w:bookmarkStart w:id="96" w:name="page97"/>
    <w:bookmarkEnd w:id="96"/>
    <w:p>
      <w:pPr>
        <w:jc w:val="both"/>
        <w:ind w:left="200" w:right="219"/>
        <w:spacing w:after="0" w:line="291" w:lineRule="auto"/>
        <w:rPr>
          <w:sz w:val="20"/>
          <w:szCs w:val="20"/>
          <w:color w:val="auto"/>
        </w:rPr>
      </w:pPr>
      <w:r>
        <w:rPr>
          <w:rFonts w:ascii="Times New Roman" w:cs="Times New Roman" w:eastAsia="Times New Roman" w:hAnsi="Times New Roman"/>
          <w:sz w:val="22"/>
          <w:szCs w:val="22"/>
          <w:color w:val="auto"/>
        </w:rPr>
        <w:t>If a Participant designates more than one primary Beneficiary or more than one secondary Beneficiary and a Beneficiary dies before benefit payments are made, the share payable to the deceased Beneficiary will be paid to the deceased Beneficiary’s heirs in the manner described in the next paragraph as if the Beneficiary was the Participant.</w:t>
      </w:r>
    </w:p>
    <w:p>
      <w:pPr>
        <w:spacing w:after="0" w:line="69" w:lineRule="exact"/>
        <w:rPr>
          <w:sz w:val="20"/>
          <w:szCs w:val="20"/>
          <w:color w:val="auto"/>
        </w:rPr>
      </w:pPr>
    </w:p>
    <w:p>
      <w:pPr>
        <w:jc w:val="both"/>
        <w:ind w:left="200" w:right="219" w:firstLine="648"/>
        <w:spacing w:after="0" w:line="291" w:lineRule="auto"/>
        <w:rPr>
          <w:sz w:val="20"/>
          <w:szCs w:val="20"/>
          <w:color w:val="auto"/>
        </w:rPr>
      </w:pPr>
      <w:r>
        <w:rPr>
          <w:rFonts w:ascii="Times New Roman" w:cs="Times New Roman" w:eastAsia="Times New Roman" w:hAnsi="Times New Roman"/>
          <w:sz w:val="22"/>
          <w:szCs w:val="22"/>
          <w:color w:val="auto"/>
        </w:rPr>
        <w:t>If a Participant fails to designate a Beneficiary, or if no designated Beneficiary survives a Participant, distribution will be made in equal shares to the members of the first of the classes listed below having a living member on the date the distribution is payable. The classes, in order of priority, are as follows:</w:t>
      </w:r>
    </w:p>
    <w:p>
      <w:pPr>
        <w:spacing w:after="0" w:line="56" w:lineRule="exact"/>
        <w:rPr>
          <w:sz w:val="20"/>
          <w:szCs w:val="20"/>
          <w:color w:val="auto"/>
        </w:rPr>
      </w:pPr>
    </w:p>
    <w:p>
      <w:pPr>
        <w:ind w:left="2160" w:hanging="655"/>
        <w:spacing w:after="0"/>
        <w:tabs>
          <w:tab w:leader="none" w:pos="21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Spouse;</w:t>
      </w:r>
    </w:p>
    <w:p>
      <w:pPr>
        <w:spacing w:after="0" w:line="219" w:lineRule="exact"/>
        <w:rPr>
          <w:rFonts w:ascii="Times New Roman" w:cs="Times New Roman" w:eastAsia="Times New Roman" w:hAnsi="Times New Roman"/>
          <w:sz w:val="22"/>
          <w:szCs w:val="22"/>
          <w:color w:val="auto"/>
        </w:rPr>
      </w:pPr>
    </w:p>
    <w:p>
      <w:pPr>
        <w:ind w:left="860" w:right="239" w:firstLine="645"/>
        <w:spacing w:after="0" w:line="271" w:lineRule="auto"/>
        <w:tabs>
          <w:tab w:leader="none" w:pos="215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children (natural, legally adopted or children placed for adoption) or their then-living issue, by right of representation; and</w:t>
      </w:r>
    </w:p>
    <w:p>
      <w:pPr>
        <w:spacing w:after="0" w:line="157" w:lineRule="exact"/>
        <w:rPr>
          <w:rFonts w:ascii="Times New Roman" w:cs="Times New Roman" w:eastAsia="Times New Roman" w:hAnsi="Times New Roman"/>
          <w:sz w:val="22"/>
          <w:szCs w:val="22"/>
          <w:color w:val="auto"/>
        </w:rPr>
      </w:pPr>
    </w:p>
    <w:p>
      <w:pPr>
        <w:jc w:val="both"/>
        <w:ind w:left="860" w:right="219" w:firstLine="645"/>
        <w:spacing w:after="0" w:line="252" w:lineRule="auto"/>
        <w:tabs>
          <w:tab w:leader="none" w:pos="215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estate, if the estate is under active administration. If the Participant’s estate is not under active administration, the legal heirs of the Participant under the intestacy laws of the Participant’s state of residence on the date of the Participant’s death.</w:t>
      </w:r>
    </w:p>
    <w:p>
      <w:pPr>
        <w:spacing w:after="0" w:line="193"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22"/>
          <w:szCs w:val="22"/>
          <w:color w:val="auto"/>
        </w:rPr>
        <w:t>A Beneficiary is permitted to disclaim the Beneficiary’s rights to a death benefit under the Plan to the extent permitted by applicable law. If this occurs, the Beneficiary will be treated as predeceasing the Participant for purposes of this Section.</w:t>
      </w:r>
    </w:p>
    <w:p>
      <w:pPr>
        <w:spacing w:after="0" w:line="66" w:lineRule="exact"/>
        <w:rPr>
          <w:sz w:val="20"/>
          <w:szCs w:val="20"/>
          <w:color w:val="auto"/>
        </w:rPr>
      </w:pPr>
    </w:p>
    <w:p>
      <w:pPr>
        <w:jc w:val="both"/>
        <w:ind w:left="200" w:right="219" w:firstLine="648"/>
        <w:spacing w:after="0" w:line="289" w:lineRule="auto"/>
        <w:rPr>
          <w:sz w:val="20"/>
          <w:szCs w:val="20"/>
          <w:color w:val="auto"/>
        </w:rPr>
      </w:pPr>
      <w:r>
        <w:rPr>
          <w:rFonts w:ascii="Times New Roman" w:cs="Times New Roman" w:eastAsia="Times New Roman" w:hAnsi="Times New Roman"/>
          <w:sz w:val="22"/>
          <w:szCs w:val="22"/>
          <w:color w:val="auto"/>
        </w:rPr>
        <w:t>The records of the Plan Administrator will be conclusive as to the proper payee and the amount payable. A distribution made based upon these facts will be treated as a complete discharge of all obligations under the Plan.</w:t>
      </w:r>
    </w:p>
    <w:p>
      <w:pPr>
        <w:spacing w:after="0" w:line="200" w:lineRule="exact"/>
        <w:rPr>
          <w:sz w:val="20"/>
          <w:szCs w:val="20"/>
          <w:color w:val="auto"/>
        </w:rPr>
      </w:pPr>
    </w:p>
    <w:p>
      <w:pPr>
        <w:spacing w:after="0" w:line="38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u w:val="single" w:color="auto"/>
          <w:color w:val="auto"/>
        </w:rPr>
        <w:t>Unforeseeable Emergency</w:t>
      </w:r>
    </w:p>
    <w:p>
      <w:pPr>
        <w:spacing w:after="0" w:line="156"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2"/>
          <w:szCs w:val="22"/>
          <w:color w:val="auto"/>
        </w:rPr>
        <w:t>If a Participant incurs an unforeseeable emergency within the meaning of Treasury Regulation §1.409A-3(i)(3)(i), the Committee may pay the Participant some or all of the remaining balance of the Award in a lump sum in lieu of following the payment timing set forth in Section 5.3. The Committee will evaluate requests for payment due to unforeseeable emergency under the facts and circumstances of the situation. The amount of any payment made on account of an unforeseeable emergency shall not exceed the amount reasonably necessary to satisfy the financial hardship, including amounts necessary to pay any federal, state or local income taxes or penalties reasonably anticipated to result from the payment, as determined by the Committee. No early payment will be made to extent that the financial hardship can be relieved (i) through reimbursement or compensation by insurance or otherwise or (ii) by liquidation of the Participant’s assets without such liquidation itself causing a severe financial hardship.</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15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97" w:name="page98"/>
    <w:bookmarkEnd w:id="97"/>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u w:val="single" w:color="auto"/>
          <w:color w:val="auto"/>
        </w:rPr>
        <w:t>Tax Withholding</w:t>
      </w:r>
    </w:p>
    <w:p>
      <w:pPr>
        <w:spacing w:after="0" w:line="156"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22"/>
          <w:szCs w:val="22"/>
          <w:color w:val="auto"/>
        </w:rPr>
        <w:t>Any applicable federal, state, or local taxes shall be withheld from the benefits paid to a Participant or the Participant’s Beneficiary to the extent required by law or elected by the Participant or Beneficiary.</w:t>
      </w:r>
    </w:p>
    <w:p>
      <w:pPr>
        <w:spacing w:after="0" w:line="17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5.8</w:t>
      </w:r>
      <w:r>
        <w:rPr>
          <w:sz w:val="20"/>
          <w:szCs w:val="20"/>
          <w:color w:val="auto"/>
        </w:rPr>
        <w:tab/>
      </w:r>
      <w:r>
        <w:rPr>
          <w:rFonts w:ascii="Times New Roman" w:cs="Times New Roman" w:eastAsia="Times New Roman" w:hAnsi="Times New Roman"/>
          <w:sz w:val="21"/>
          <w:szCs w:val="21"/>
          <w:b w:val="1"/>
          <w:bCs w:val="1"/>
          <w:u w:val="single" w:color="auto"/>
          <w:color w:val="auto"/>
        </w:rPr>
        <w:t>Prohibition on Assignment and Alienation</w:t>
      </w:r>
    </w:p>
    <w:p>
      <w:pPr>
        <w:spacing w:after="0" w:line="156" w:lineRule="exact"/>
        <w:rPr>
          <w:sz w:val="20"/>
          <w:szCs w:val="20"/>
          <w:color w:val="auto"/>
        </w:rPr>
      </w:pPr>
    </w:p>
    <w:p>
      <w:pPr>
        <w:jc w:val="both"/>
        <w:ind w:left="860" w:right="219" w:firstLine="645"/>
        <w:spacing w:after="0" w:line="284" w:lineRule="auto"/>
        <w:tabs>
          <w:tab w:leader="none" w:pos="215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deferred compensation payments under the Plan are not subject to assignment or alienation in any manner, and are to be exempt, to the maximum extent permitted by law, from the claims of creditors. As used in this section, the words “assignment” and “alienation” include any sale, transfer, or other disposition; any anticipation, pledge, security agreement, or other method of securing payment or performance of an obligation; any garnishment, execution, attachment, levy, or other method of satisfying a creditor’s claims.</w:t>
      </w:r>
    </w:p>
    <w:p>
      <w:pPr>
        <w:spacing w:after="0" w:line="185" w:lineRule="exact"/>
        <w:rPr>
          <w:rFonts w:ascii="Times New Roman" w:cs="Times New Roman" w:eastAsia="Times New Roman" w:hAnsi="Times New Roman"/>
          <w:sz w:val="22"/>
          <w:szCs w:val="22"/>
          <w:color w:val="auto"/>
        </w:rPr>
      </w:pPr>
    </w:p>
    <w:p>
      <w:pPr>
        <w:ind w:left="860" w:right="219" w:firstLine="645"/>
        <w:spacing w:after="0" w:line="309" w:lineRule="auto"/>
        <w:tabs>
          <w:tab w:leader="none" w:pos="215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prohibition on assignment and alienation does not apply to qualified medical child support orders within the meaning of ERISA §609(a)(2)(A).</w:t>
      </w:r>
    </w:p>
    <w:p>
      <w:pPr>
        <w:spacing w:after="0" w:line="158" w:lineRule="exact"/>
        <w:rPr>
          <w:rFonts w:ascii="Times New Roman" w:cs="Times New Roman" w:eastAsia="Times New Roman" w:hAnsi="Times New Roman"/>
          <w:sz w:val="22"/>
          <w:szCs w:val="22"/>
          <w:color w:val="auto"/>
        </w:rPr>
      </w:pPr>
    </w:p>
    <w:p>
      <w:pPr>
        <w:jc w:val="both"/>
        <w:ind w:left="860" w:right="239" w:firstLine="645"/>
        <w:spacing w:after="0" w:line="291" w:lineRule="auto"/>
        <w:tabs>
          <w:tab w:leader="none" w:pos="215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prohibition on assignment and alienation does not apply to claims of the Company or any Affiliate. When any amount becomes payable under the Plan, the Company may offset the amount otherwise payable by the amount of any outstanding debt, liability, or other obligation of the payee to the Company or any affiliate.</w:t>
      </w:r>
    </w:p>
    <w:p>
      <w:pPr>
        <w:spacing w:after="0" w:line="177" w:lineRule="exact"/>
        <w:rPr>
          <w:rFonts w:ascii="Times New Roman" w:cs="Times New Roman" w:eastAsia="Times New Roman" w:hAnsi="Times New Roman"/>
          <w:sz w:val="22"/>
          <w:szCs w:val="22"/>
          <w:color w:val="auto"/>
        </w:rPr>
      </w:pPr>
    </w:p>
    <w:p>
      <w:pPr>
        <w:jc w:val="both"/>
        <w:ind w:left="860" w:right="219" w:firstLine="645"/>
        <w:spacing w:after="0" w:line="286" w:lineRule="auto"/>
        <w:tabs>
          <w:tab w:leader="none" w:pos="215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prohibition on assignment and alienation does not apply to tax withholding. No benefit or interest under the Plan is subject in any manner to anticipation, alienation, sale, transfer, assignment, pledge, encumbrance, attachment, or garnishment by creditors of a Participant or the Participant’s Beneficiary.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6</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Funding</w:t>
      </w:r>
    </w:p>
    <w:p>
      <w:pPr>
        <w:spacing w:after="0" w:line="2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u w:val="single" w:color="auto"/>
          <w:color w:val="auto"/>
        </w:rPr>
        <w:t>No Trust or Other Fiduciary Relationship</w:t>
      </w:r>
    </w:p>
    <w:p>
      <w:pPr>
        <w:spacing w:after="0" w:line="156"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22"/>
          <w:szCs w:val="22"/>
          <w:color w:val="auto"/>
        </w:rPr>
        <w:t>The Plan does not create any trust or other fiduciary relationship of any kind with respect to the deferred compensation or any asset of the Company. The Company has complete legal and beneficial ownership of all assets attributable to deferred compensation. The right to deferred compensation under the Plan is merely an unsecured promise of the Company to pay the deferred compensation from the Company’s general assets. The Plan does not require the Company or the Committee to establish any fund or segregate any assets for the benefit of any Participant.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16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98" w:name="page99"/>
    <w:bookmarkEnd w:id="98"/>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u w:val="single" w:color="auto"/>
          <w:color w:val="auto"/>
        </w:rPr>
        <w:t>Establishment of Trust Fund</w:t>
      </w:r>
    </w:p>
    <w:p>
      <w:pPr>
        <w:spacing w:after="0" w:line="156" w:lineRule="exact"/>
        <w:rPr>
          <w:sz w:val="20"/>
          <w:szCs w:val="20"/>
          <w:color w:val="auto"/>
        </w:rPr>
      </w:pPr>
    </w:p>
    <w:p>
      <w:pPr>
        <w:jc w:val="both"/>
        <w:ind w:left="200" w:right="219" w:firstLine="648"/>
        <w:spacing w:after="0" w:line="285" w:lineRule="auto"/>
        <w:rPr>
          <w:sz w:val="20"/>
          <w:szCs w:val="20"/>
          <w:color w:val="auto"/>
        </w:rPr>
      </w:pPr>
      <w:r>
        <w:rPr>
          <w:rFonts w:ascii="Times New Roman" w:cs="Times New Roman" w:eastAsia="Times New Roman" w:hAnsi="Times New Roman"/>
          <w:sz w:val="22"/>
          <w:szCs w:val="22"/>
          <w:color w:val="auto"/>
        </w:rPr>
        <w:t>The Company may enter into a trust agreement with an unrelated financial institution, as Trustee, to establish a Trust Fund to accumulate reserve of assets for the payment of benefits under the Plan, but Participants will have no interest in any such reserve (or any other assets of the Company) other than their interests as creditors with unsecured claims for payment of deferred compensation according to the terms of the Plan. If a Trust Fund is established, the Company may, but is not required to, make contributions to the Trust Fund. However, if a Change in Control occurs, the Company shall establish a Trust Fund and shall contribute to the Trust Fund an amount, if any, necessary so that the assets of the Trust Fund are sufficient to pay all amounts credited to Participants’ Accounts.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7</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u w:val="single" w:color="auto"/>
          <w:color w:val="auto"/>
        </w:rPr>
        <w:t>Plan Administrator</w:t>
      </w:r>
    </w:p>
    <w:p>
      <w:pPr>
        <w:spacing w:after="0" w:line="156"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22"/>
          <w:szCs w:val="22"/>
          <w:color w:val="auto"/>
        </w:rPr>
        <w:t>The Company shall have the sole responsibility for the administration of the Plan and is designated as named fiduciary and Plan Administrator. The Plan Administrator shall have the power and duties which are described in this Article. The Administrative Committee shall carry out the functions of the Plan Administrator with respect to the day-to-day operations of the Plan. If a member of the Administrative Committee is a Participant, the member shall abstain from voting on any matter relating to the member’s benefits under the Plan.</w:t>
      </w:r>
    </w:p>
    <w:p>
      <w:pPr>
        <w:spacing w:after="0" w:line="80" w:lineRule="exact"/>
        <w:rPr>
          <w:sz w:val="20"/>
          <w:szCs w:val="20"/>
          <w:color w:val="auto"/>
        </w:rPr>
      </w:pPr>
    </w:p>
    <w:p>
      <w:pPr>
        <w:jc w:val="both"/>
        <w:ind w:left="200" w:right="219" w:firstLine="648"/>
        <w:spacing w:after="0" w:line="287" w:lineRule="auto"/>
        <w:rPr>
          <w:sz w:val="20"/>
          <w:szCs w:val="20"/>
          <w:color w:val="auto"/>
        </w:rPr>
      </w:pPr>
      <w:r>
        <w:rPr>
          <w:rFonts w:ascii="Times New Roman" w:cs="Times New Roman" w:eastAsia="Times New Roman" w:hAnsi="Times New Roman"/>
          <w:sz w:val="22"/>
          <w:szCs w:val="22"/>
          <w:color w:val="auto"/>
        </w:rPr>
        <w:t>The Administrative Committee may adopt such policies and procedures as it deems necessary, desirable, or appropriate. All policies, procedures, and decisions of the Administrative Committee will be uniformly applied to all Participants in similar circumstances. When making a determination or calculation, the Administrative Committee will be entitled to rely upon information furnished by a Participant, Beneficiary, or alternate payee, the Company, or the Company’s legal counsel.</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u w:val="single" w:color="auto"/>
          <w:color w:val="auto"/>
        </w:rPr>
        <w:t>Powers of Plan Administrator</w:t>
      </w:r>
    </w:p>
    <w:p>
      <w:pPr>
        <w:spacing w:after="0" w:line="156" w:lineRule="exact"/>
        <w:rPr>
          <w:sz w:val="20"/>
          <w:szCs w:val="20"/>
          <w:color w:val="auto"/>
        </w:rPr>
      </w:pPr>
    </w:p>
    <w:p>
      <w:pPr>
        <w:jc w:val="both"/>
        <w:ind w:left="200" w:right="239" w:firstLine="648"/>
        <w:spacing w:after="0" w:line="309" w:lineRule="auto"/>
        <w:rPr>
          <w:sz w:val="20"/>
          <w:szCs w:val="20"/>
          <w:color w:val="auto"/>
        </w:rPr>
      </w:pPr>
      <w:r>
        <w:rPr>
          <w:rFonts w:ascii="Times New Roman" w:cs="Times New Roman" w:eastAsia="Times New Roman" w:hAnsi="Times New Roman"/>
          <w:sz w:val="22"/>
          <w:szCs w:val="22"/>
          <w:color w:val="auto"/>
        </w:rPr>
        <w:t>The Plan Administrator has discretionary authority over the administration of the Plan, including the discretionary authority to—</w:t>
      </w:r>
    </w:p>
    <w:p>
      <w:pPr>
        <w:spacing w:after="0" w:line="24" w:lineRule="exact"/>
        <w:rPr>
          <w:sz w:val="20"/>
          <w:szCs w:val="20"/>
          <w:color w:val="auto"/>
        </w:rPr>
      </w:pPr>
    </w:p>
    <w:p>
      <w:pPr>
        <w:ind w:left="2160" w:hanging="655"/>
        <w:spacing w:after="0"/>
        <w:tabs>
          <w:tab w:leader="none" w:pos="21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rules, procedures and forms for the administration of the Plan;</w:t>
      </w:r>
    </w:p>
    <w:p>
      <w:pPr>
        <w:spacing w:after="0" w:line="23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all claims for benefits and review all adverse determinations;</w:t>
      </w:r>
    </w:p>
    <w:p>
      <w:pPr>
        <w:spacing w:after="0" w:line="26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 and construe the Plan;</w:t>
      </w:r>
    </w:p>
    <w:p>
      <w:pPr>
        <w:spacing w:after="0" w:line="26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correct errors in the administration of the Plan, including the power to adjust</w:t>
      </w:r>
    </w:p>
    <w:p>
      <w:pPr>
        <w:spacing w:after="0" w:line="55" w:lineRule="exact"/>
        <w:rPr>
          <w:rFonts w:ascii="Times New Roman" w:cs="Times New Roman" w:eastAsia="Times New Roman" w:hAnsi="Times New Roman"/>
          <w:sz w:val="21"/>
          <w:szCs w:val="21"/>
          <w:color w:val="auto"/>
        </w:rPr>
      </w:pPr>
    </w:p>
    <w:p>
      <w:pPr>
        <w:ind w:left="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payments;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17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99" w:name="page100"/>
    <w:bookmarkEnd w:id="99"/>
    <w:p>
      <w:pPr>
        <w:ind w:left="860" w:right="239" w:firstLine="645"/>
        <w:spacing w:after="0" w:line="309" w:lineRule="auto"/>
        <w:tabs>
          <w:tab w:leader="none" w:pos="215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attorneys, accountants and other professional advisors to give advice regarding the operation and administration of the Plan; and</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delegate administrative duties to other persons.</w:t>
      </w:r>
    </w:p>
    <w:p>
      <w:pPr>
        <w:spacing w:after="0" w:line="260" w:lineRule="exact"/>
        <w:rPr>
          <w:sz w:val="20"/>
          <w:szCs w:val="20"/>
          <w:color w:val="auto"/>
        </w:rPr>
      </w:pPr>
    </w:p>
    <w:p>
      <w:pPr>
        <w:jc w:val="both"/>
        <w:ind w:left="200" w:right="219" w:firstLine="648"/>
        <w:spacing w:after="0" w:line="309" w:lineRule="auto"/>
        <w:rPr>
          <w:sz w:val="20"/>
          <w:szCs w:val="20"/>
          <w:color w:val="auto"/>
        </w:rPr>
      </w:pPr>
      <w:r>
        <w:rPr>
          <w:rFonts w:ascii="Times New Roman" w:cs="Times New Roman" w:eastAsia="Times New Roman" w:hAnsi="Times New Roman"/>
          <w:sz w:val="22"/>
          <w:szCs w:val="22"/>
          <w:color w:val="auto"/>
        </w:rPr>
        <w:t>The Plan Adminstrator’s exercise of discretion under the Plan is absolute, need not be uniform among Participants, and may vary from one Participant to another.</w:t>
      </w:r>
    </w:p>
    <w:p>
      <w:pPr>
        <w:spacing w:after="0" w:line="15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u w:val="single" w:color="auto"/>
          <w:color w:val="auto"/>
        </w:rPr>
        <w:t>Maintenance of Records</w:t>
      </w:r>
    </w:p>
    <w:p>
      <w:pPr>
        <w:spacing w:after="0" w:line="156" w:lineRule="exact"/>
        <w:rPr>
          <w:sz w:val="20"/>
          <w:szCs w:val="20"/>
          <w:color w:val="auto"/>
        </w:rPr>
      </w:pPr>
    </w:p>
    <w:p>
      <w:pPr>
        <w:jc w:val="both"/>
        <w:ind w:left="200" w:right="219" w:firstLine="648"/>
        <w:spacing w:after="0" w:line="308" w:lineRule="auto"/>
        <w:rPr>
          <w:sz w:val="20"/>
          <w:szCs w:val="20"/>
          <w:color w:val="auto"/>
        </w:rPr>
      </w:pPr>
      <w:r>
        <w:rPr>
          <w:rFonts w:ascii="Times New Roman" w:cs="Times New Roman" w:eastAsia="Times New Roman" w:hAnsi="Times New Roman"/>
          <w:sz w:val="21"/>
          <w:szCs w:val="21"/>
          <w:color w:val="auto"/>
        </w:rPr>
        <w:t>The Committee shall maintain records as necessary or appropriate to comply with the recordkeeping, reporting, and disclosure requirements of ERISA. The Committee shall also maintain records as necessary or appropriate to satisfy the recordkeeping requirements of the Code, including records sufficient to demonstrate compliance with the requirements Code §409A.</w:t>
      </w:r>
    </w:p>
    <w:p>
      <w:pPr>
        <w:spacing w:after="0" w:line="1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u w:val="single" w:color="auto"/>
          <w:color w:val="auto"/>
        </w:rPr>
        <w:t>Appeal Procedure</w:t>
      </w:r>
    </w:p>
    <w:p>
      <w:pPr>
        <w:spacing w:after="0" w:line="143"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22"/>
          <w:szCs w:val="22"/>
          <w:color w:val="auto"/>
        </w:rPr>
        <w:t>Any Participant whose application for benefits under the Plan has been denied, in whole or in part, shall be given written notice of the denial of benefits by the Plan Administrator. The notice shall be in easily understood language and shall indicate the reasons for denial and the specific provisions of the Plan on which the denial is based. The notice shall explain that the Participant may request a review of the denial and the procedure for requesting review. The notice shall describe any additional information necessary to approve the Participant’s claim and explain why such information is necessary.</w:t>
      </w:r>
    </w:p>
    <w:p>
      <w:pPr>
        <w:spacing w:after="0" w:line="77" w:lineRule="exact"/>
        <w:rPr>
          <w:sz w:val="20"/>
          <w:szCs w:val="20"/>
          <w:color w:val="auto"/>
        </w:rPr>
      </w:pPr>
    </w:p>
    <w:p>
      <w:pPr>
        <w:jc w:val="both"/>
        <w:ind w:left="200" w:right="219" w:firstLine="648"/>
        <w:spacing w:after="0" w:line="285" w:lineRule="auto"/>
        <w:rPr>
          <w:sz w:val="20"/>
          <w:szCs w:val="20"/>
          <w:color w:val="auto"/>
        </w:rPr>
      </w:pPr>
      <w:r>
        <w:rPr>
          <w:rFonts w:ascii="Times New Roman" w:cs="Times New Roman" w:eastAsia="Times New Roman" w:hAnsi="Times New Roman"/>
          <w:sz w:val="22"/>
          <w:szCs w:val="22"/>
          <w:color w:val="auto"/>
        </w:rPr>
        <w:t>A Participant may make a written request to the Plan Administrator for a review of any denial of benefits under the Plan. The request for review must be in writing and must be made within 60 days after the mailing date of the notice of denial. The request shall refer to the provisions of the Plan on which it is based and shall set forth the facts relied upon as justifying a reversal or modification of the determination being appealed.</w:t>
      </w:r>
    </w:p>
    <w:p>
      <w:pPr>
        <w:spacing w:after="0" w:line="77" w:lineRule="exact"/>
        <w:rPr>
          <w:sz w:val="20"/>
          <w:szCs w:val="20"/>
          <w:color w:val="auto"/>
        </w:rPr>
      </w:pPr>
    </w:p>
    <w:p>
      <w:pPr>
        <w:jc w:val="both"/>
        <w:ind w:left="200" w:right="219" w:firstLine="648"/>
        <w:spacing w:after="0" w:line="303" w:lineRule="auto"/>
        <w:rPr>
          <w:sz w:val="20"/>
          <w:szCs w:val="20"/>
          <w:color w:val="auto"/>
        </w:rPr>
      </w:pPr>
      <w:r>
        <w:rPr>
          <w:rFonts w:ascii="Times New Roman" w:cs="Times New Roman" w:eastAsia="Times New Roman" w:hAnsi="Times New Roman"/>
          <w:sz w:val="21"/>
          <w:szCs w:val="21"/>
          <w:color w:val="auto"/>
        </w:rPr>
        <w:t>A Participant who requests a review of a denial of benefits in accordance with this appeal procedure may examine pertinent documents and submit pertinent issues and comments in writing. A Participant may have a duly authorized representative act on his behalf in exercising his right to request a review and any other rights granted by this appeal procedure. The Plan Administrator shall provide a review of the decision denying the claim for benefit within 60 days after receiving the written request for review (or 45 days, if the claim involves a determination of Disability).</w:t>
      </w:r>
    </w:p>
    <w:p>
      <w:pPr>
        <w:spacing w:after="0" w:line="61" w:lineRule="exact"/>
        <w:rPr>
          <w:sz w:val="20"/>
          <w:szCs w:val="20"/>
          <w:color w:val="auto"/>
        </w:rPr>
      </w:pPr>
    </w:p>
    <w:p>
      <w:pPr>
        <w:jc w:val="both"/>
        <w:ind w:left="200" w:right="219" w:firstLine="648"/>
        <w:spacing w:after="0" w:line="335" w:lineRule="auto"/>
        <w:rPr>
          <w:sz w:val="20"/>
          <w:szCs w:val="20"/>
          <w:color w:val="auto"/>
        </w:rPr>
      </w:pPr>
      <w:r>
        <w:rPr>
          <w:rFonts w:ascii="Times New Roman" w:cs="Times New Roman" w:eastAsia="Times New Roman" w:hAnsi="Times New Roman"/>
          <w:sz w:val="21"/>
          <w:szCs w:val="21"/>
          <w:color w:val="auto"/>
        </w:rPr>
        <w:t>A Participant shall not be permitted to commence any legal action against the Company regarding benefits under the Plan before exhausting the appeal procedure contained in this Section.</w:t>
      </w:r>
    </w:p>
    <w:p>
      <w:pPr>
        <w:spacing w:after="0" w:line="13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7.5</w:t>
      </w:r>
      <w:r>
        <w:rPr>
          <w:sz w:val="20"/>
          <w:szCs w:val="20"/>
          <w:color w:val="auto"/>
        </w:rPr>
        <w:tab/>
      </w:r>
      <w:r>
        <w:rPr>
          <w:rFonts w:ascii="Times New Roman" w:cs="Times New Roman" w:eastAsia="Times New Roman" w:hAnsi="Times New Roman"/>
          <w:sz w:val="21"/>
          <w:szCs w:val="21"/>
          <w:b w:val="1"/>
          <w:bCs w:val="1"/>
          <w:u w:val="single" w:color="auto"/>
          <w:color w:val="auto"/>
        </w:rPr>
        <w:t>Indemnification of Administrative Committee</w:t>
      </w:r>
    </w:p>
    <w:p>
      <w:pPr>
        <w:spacing w:after="0" w:line="143" w:lineRule="exact"/>
        <w:rPr>
          <w:sz w:val="20"/>
          <w:szCs w:val="20"/>
          <w:color w:val="auto"/>
        </w:rPr>
      </w:pPr>
    </w:p>
    <w:p>
      <w:pPr>
        <w:jc w:val="both"/>
        <w:ind w:left="200" w:right="239" w:firstLine="648"/>
        <w:spacing w:after="0" w:line="309" w:lineRule="auto"/>
        <w:rPr>
          <w:sz w:val="20"/>
          <w:szCs w:val="20"/>
          <w:color w:val="auto"/>
        </w:rPr>
      </w:pPr>
      <w:r>
        <w:rPr>
          <w:rFonts w:ascii="Times New Roman" w:cs="Times New Roman" w:eastAsia="Times New Roman" w:hAnsi="Times New Roman"/>
          <w:sz w:val="22"/>
          <w:szCs w:val="22"/>
          <w:color w:val="auto"/>
        </w:rPr>
        <w:t>The Company shall indemnify and hold harmless the members of the Administrative Committee and their duly appointed agents against any and all claims, loss, damage, expense or</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18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00" w:name="page101"/>
    <w:bookmarkEnd w:id="100"/>
    <w:p>
      <w:pPr>
        <w:jc w:val="both"/>
        <w:ind w:left="200" w:right="239"/>
        <w:spacing w:after="0" w:line="335" w:lineRule="auto"/>
        <w:rPr>
          <w:sz w:val="20"/>
          <w:szCs w:val="20"/>
          <w:color w:val="auto"/>
        </w:rPr>
      </w:pPr>
      <w:r>
        <w:rPr>
          <w:rFonts w:ascii="Times New Roman" w:cs="Times New Roman" w:eastAsia="Times New Roman" w:hAnsi="Times New Roman"/>
          <w:sz w:val="21"/>
          <w:szCs w:val="21"/>
          <w:color w:val="auto"/>
        </w:rPr>
        <w:t>liability arising from any action or failure to act with respect to the Plan, except in the case of gross negligence or willful misconduct by any such member or agent of the Administrative Committee.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8</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1"/>
          <w:szCs w:val="21"/>
          <w:b w:val="1"/>
          <w:bCs w:val="1"/>
          <w:u w:val="single" w:color="auto"/>
          <w:color w:val="auto"/>
        </w:rPr>
        <w:t>No Employment Rights</w:t>
      </w:r>
    </w:p>
    <w:p>
      <w:pPr>
        <w:spacing w:after="0" w:line="156" w:lineRule="exact"/>
        <w:rPr>
          <w:sz w:val="20"/>
          <w:szCs w:val="20"/>
          <w:color w:val="auto"/>
        </w:rPr>
      </w:pPr>
    </w:p>
    <w:p>
      <w:pPr>
        <w:jc w:val="both"/>
        <w:ind w:left="200" w:right="219" w:firstLine="648"/>
        <w:spacing w:after="0" w:line="309" w:lineRule="auto"/>
        <w:rPr>
          <w:sz w:val="20"/>
          <w:szCs w:val="20"/>
          <w:color w:val="auto"/>
        </w:rPr>
      </w:pPr>
      <w:r>
        <w:rPr>
          <w:rFonts w:ascii="Times New Roman" w:cs="Times New Roman" w:eastAsia="Times New Roman" w:hAnsi="Times New Roman"/>
          <w:sz w:val="22"/>
          <w:szCs w:val="22"/>
          <w:color w:val="auto"/>
        </w:rPr>
        <w:t>The Plan does not create any right to employment or restrict the Company’s right to terminate any Employee’s employment.</w:t>
      </w:r>
    </w:p>
    <w:p>
      <w:pPr>
        <w:spacing w:after="0" w:line="14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u w:val="single" w:color="auto"/>
          <w:color w:val="auto"/>
        </w:rPr>
        <w:t>Amendment</w:t>
      </w:r>
    </w:p>
    <w:p>
      <w:pPr>
        <w:spacing w:after="0" w:line="156" w:lineRule="exact"/>
        <w:rPr>
          <w:sz w:val="20"/>
          <w:szCs w:val="20"/>
          <w:color w:val="auto"/>
        </w:rPr>
      </w:pPr>
    </w:p>
    <w:p>
      <w:pPr>
        <w:jc w:val="both"/>
        <w:ind w:left="200" w:right="219" w:firstLine="648"/>
        <w:spacing w:after="0" w:line="287" w:lineRule="auto"/>
        <w:rPr>
          <w:sz w:val="20"/>
          <w:szCs w:val="20"/>
          <w:color w:val="auto"/>
        </w:rPr>
      </w:pPr>
      <w:r>
        <w:rPr>
          <w:rFonts w:ascii="Times New Roman" w:cs="Times New Roman" w:eastAsia="Times New Roman" w:hAnsi="Times New Roman"/>
          <w:sz w:val="22"/>
          <w:szCs w:val="22"/>
          <w:color w:val="auto"/>
        </w:rPr>
        <w:t>The Company may amend the Plan at any time, in the Company’s discretion, with or without advance notice to Employees, Participants or Beneficiaries, but no amendment will be effective unless it is set forth in writing and signed by the Chairman of the Board, by the Chief Executive Officer, Corporate Secretary or by any other person specifically authorized by the Board or the bylaws of the Company. However, no amendment shall reduce the amount credited to a Participant’s Account without the written consent of the affected Participant.</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1"/>
          <w:szCs w:val="21"/>
          <w:b w:val="1"/>
          <w:bCs w:val="1"/>
          <w:u w:val="single" w:color="auto"/>
          <w:color w:val="auto"/>
        </w:rPr>
        <w:t>Termination</w:t>
      </w:r>
    </w:p>
    <w:p>
      <w:pPr>
        <w:spacing w:after="0" w:line="156" w:lineRule="exact"/>
        <w:rPr>
          <w:sz w:val="20"/>
          <w:szCs w:val="20"/>
          <w:color w:val="auto"/>
        </w:rPr>
      </w:pPr>
    </w:p>
    <w:p>
      <w:pPr>
        <w:jc w:val="both"/>
        <w:ind w:left="200" w:right="219" w:firstLine="648"/>
        <w:spacing w:after="0" w:line="285" w:lineRule="auto"/>
        <w:rPr>
          <w:sz w:val="20"/>
          <w:szCs w:val="20"/>
          <w:color w:val="auto"/>
        </w:rPr>
      </w:pPr>
      <w:r>
        <w:rPr>
          <w:rFonts w:ascii="Times New Roman" w:cs="Times New Roman" w:eastAsia="Times New Roman" w:hAnsi="Times New Roman"/>
          <w:sz w:val="22"/>
          <w:szCs w:val="22"/>
          <w:color w:val="auto"/>
        </w:rPr>
        <w:t>The Company may terminate the Plan at any time, in the Company’s discretion, with or without advance notice to Employees, Participants or Beneficiaries. If the Plan is terminated, no additional amounts shall be credited to a Participant’s Account under Section 4.2, but the Participant’s Account shall be adjusted for the results of hypothetical investments under Section 4.3 until the Participant’s benefits are distributed to the Participant.</w:t>
      </w:r>
    </w:p>
    <w:p>
      <w:pPr>
        <w:spacing w:after="0" w:line="77" w:lineRule="exact"/>
        <w:rPr>
          <w:sz w:val="20"/>
          <w:szCs w:val="20"/>
          <w:color w:val="auto"/>
        </w:rPr>
      </w:pPr>
    </w:p>
    <w:p>
      <w:pPr>
        <w:jc w:val="both"/>
        <w:ind w:left="200" w:right="219" w:firstLine="648"/>
        <w:spacing w:after="0" w:line="291" w:lineRule="auto"/>
        <w:rPr>
          <w:sz w:val="20"/>
          <w:szCs w:val="20"/>
          <w:color w:val="auto"/>
        </w:rPr>
      </w:pPr>
      <w:r>
        <w:rPr>
          <w:rFonts w:ascii="Times New Roman" w:cs="Times New Roman" w:eastAsia="Times New Roman" w:hAnsi="Times New Roman"/>
          <w:sz w:val="22"/>
          <w:szCs w:val="22"/>
          <w:color w:val="auto"/>
        </w:rPr>
        <w:t>The Participant shall be entitled to receive the amounts credited to his Account upon satisfying the requirements for payment of benefits under the Plan. However, the Company may pay the Participant the amount credited to the Participant’s Account at any time after the Plan is terminated if the payment is permitted by Section 409A of the Code.</w:t>
      </w:r>
    </w:p>
    <w:p>
      <w:pPr>
        <w:spacing w:after="0" w:line="17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u w:val="single" w:color="auto"/>
          <w:color w:val="auto"/>
        </w:rPr>
        <w:t>Severability</w:t>
      </w:r>
    </w:p>
    <w:p>
      <w:pPr>
        <w:spacing w:after="0" w:line="156" w:lineRule="exact"/>
        <w:rPr>
          <w:sz w:val="20"/>
          <w:szCs w:val="20"/>
          <w:color w:val="auto"/>
        </w:rPr>
      </w:pPr>
    </w:p>
    <w:p>
      <w:pPr>
        <w:jc w:val="both"/>
        <w:ind w:left="860" w:right="219" w:firstLine="645"/>
        <w:spacing w:after="0" w:line="284" w:lineRule="auto"/>
        <w:tabs>
          <w:tab w:leader="none" w:pos="215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will be administered so as to comply with Code §409A. If any provision of the Plan conflicts with any requirement of Code §409A, the requirement of Code §409A will control. For example, and without limiting the generality of the foregoing, a change in control event does not occur unless the event qualifies as a change in the ownership of the Company, a change in the effective control of the Company, or a change in the ownership of a substantial portion of the Company’s assets under Code §409A.</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19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01" w:name="page102"/>
    <w:bookmarkEnd w:id="101"/>
    <w:p>
      <w:pPr>
        <w:jc w:val="both"/>
        <w:ind w:left="860" w:right="219" w:firstLine="645"/>
        <w:spacing w:after="0" w:line="287" w:lineRule="auto"/>
        <w:tabs>
          <w:tab w:leader="none" w:pos="215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court determines that any provision of the Plan is unenforceable, the court may modify the provision, if possible, so as to give effect to the Plan in a way that is consistent with the purpose of the Plan and the requirements of governing law. If such a modification is not possible, the court may sever the unenforceable provision and enforce the rest of the Plan in a way that is consistent with the purpose of the Plan and the requirements of governing law.</w:t>
      </w:r>
    </w:p>
    <w:p>
      <w:pPr>
        <w:spacing w:after="0" w:line="182" w:lineRule="exact"/>
        <w:rPr>
          <w:rFonts w:ascii="Times New Roman" w:cs="Times New Roman" w:eastAsia="Times New Roman" w:hAnsi="Times New Roman"/>
          <w:sz w:val="22"/>
          <w:szCs w:val="22"/>
          <w:color w:val="auto"/>
        </w:rPr>
      </w:pPr>
    </w:p>
    <w:p>
      <w:pPr>
        <w:jc w:val="both"/>
        <w:ind w:left="860" w:right="219" w:firstLine="645"/>
        <w:spacing w:after="0" w:line="295" w:lineRule="auto"/>
        <w:tabs>
          <w:tab w:leader="none" w:pos="215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the Plan Administrator may apply any permissive provision of any applicable law or regulation unless the provision is contrary to the terms of the Plan.</w:t>
      </w:r>
    </w:p>
    <w:p>
      <w:pPr>
        <w:spacing w:after="0" w:line="17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8.5</w:t>
      </w:r>
      <w:r>
        <w:rPr>
          <w:sz w:val="20"/>
          <w:szCs w:val="20"/>
          <w:color w:val="auto"/>
        </w:rPr>
        <w:tab/>
      </w:r>
      <w:r>
        <w:rPr>
          <w:rFonts w:ascii="Times New Roman" w:cs="Times New Roman" w:eastAsia="Times New Roman" w:hAnsi="Times New Roman"/>
          <w:sz w:val="21"/>
          <w:szCs w:val="21"/>
          <w:b w:val="1"/>
          <w:bCs w:val="1"/>
          <w:u w:val="single" w:color="auto"/>
          <w:color w:val="auto"/>
        </w:rPr>
        <w:t>Construction</w:t>
      </w:r>
    </w:p>
    <w:p>
      <w:pPr>
        <w:spacing w:after="0" w:line="156" w:lineRule="exact"/>
        <w:rPr>
          <w:sz w:val="20"/>
          <w:szCs w:val="20"/>
          <w:color w:val="auto"/>
        </w:rPr>
      </w:pPr>
    </w:p>
    <w:p>
      <w:pPr>
        <w:jc w:val="both"/>
        <w:ind w:left="200" w:right="239" w:firstLine="648"/>
        <w:spacing w:after="0" w:line="296" w:lineRule="auto"/>
        <w:rPr>
          <w:sz w:val="20"/>
          <w:szCs w:val="20"/>
          <w:color w:val="auto"/>
        </w:rPr>
      </w:pPr>
      <w:r>
        <w:rPr>
          <w:rFonts w:ascii="Times New Roman" w:cs="Times New Roman" w:eastAsia="Times New Roman" w:hAnsi="Times New Roman"/>
          <w:sz w:val="22"/>
          <w:szCs w:val="22"/>
          <w:color w:val="auto"/>
        </w:rPr>
        <w:t>Words used in the masculine shall apply to the feminine where applicable. Wherever the context of the Plan dictates, the plural shall be read as the singular and the singular as the plural.</w:t>
      </w:r>
    </w:p>
    <w:p>
      <w:pPr>
        <w:spacing w:after="0" w:line="16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8.6</w:t>
      </w:r>
      <w:r>
        <w:rPr>
          <w:sz w:val="20"/>
          <w:szCs w:val="20"/>
          <w:color w:val="auto"/>
        </w:rPr>
        <w:tab/>
      </w:r>
      <w:r>
        <w:rPr>
          <w:rFonts w:ascii="Times New Roman" w:cs="Times New Roman" w:eastAsia="Times New Roman" w:hAnsi="Times New Roman"/>
          <w:sz w:val="21"/>
          <w:szCs w:val="21"/>
          <w:b w:val="1"/>
          <w:bCs w:val="1"/>
          <w:u w:val="single" w:color="auto"/>
          <w:color w:val="auto"/>
        </w:rPr>
        <w:t>Governing Law</w:t>
      </w:r>
    </w:p>
    <w:p>
      <w:pPr>
        <w:spacing w:after="0" w:line="156" w:lineRule="exact"/>
        <w:rPr>
          <w:sz w:val="20"/>
          <w:szCs w:val="20"/>
          <w:color w:val="auto"/>
        </w:rPr>
      </w:pPr>
    </w:p>
    <w:p>
      <w:pPr>
        <w:jc w:val="both"/>
        <w:ind w:left="200" w:right="219" w:firstLine="648"/>
        <w:spacing w:after="0" w:line="288" w:lineRule="auto"/>
        <w:rPr>
          <w:sz w:val="20"/>
          <w:szCs w:val="20"/>
          <w:color w:val="auto"/>
        </w:rPr>
      </w:pPr>
      <w:r>
        <w:rPr>
          <w:rFonts w:ascii="Times New Roman" w:cs="Times New Roman" w:eastAsia="Times New Roman" w:hAnsi="Times New Roman"/>
          <w:sz w:val="22"/>
          <w:szCs w:val="22"/>
          <w:color w:val="auto"/>
        </w:rPr>
        <w:t>The Plan is governed by the law of the State of Michigan, even if principles of Michigan law regarding conflict of laws or choice of law would otherwise require or permit a court to apply the law of another jurisdiction, except to the extent that Michigan law is preempted by the laws of the United States of America (including any common law developed by federal courts under the applicable laws of the United States).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20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05" w:lineRule="exact"/>
        <w:rPr>
          <w:sz w:val="20"/>
          <w:szCs w:val="20"/>
          <w:color w:val="auto"/>
        </w:rPr>
      </w:pPr>
    </w:p>
    <w:p>
      <w:pPr>
        <w:ind w:left="200" w:right="219" w:firstLine="648"/>
        <w:spacing w:after="0" w:line="309" w:lineRule="auto"/>
        <w:rPr>
          <w:sz w:val="20"/>
          <w:szCs w:val="20"/>
          <w:color w:val="auto"/>
        </w:rPr>
      </w:pPr>
      <w:r>
        <w:rPr>
          <w:rFonts w:ascii="Times New Roman" w:cs="Times New Roman" w:eastAsia="Times New Roman" w:hAnsi="Times New Roman"/>
          <w:sz w:val="22"/>
          <w:szCs w:val="22"/>
          <w:color w:val="auto"/>
        </w:rPr>
        <w:t>The Company has signed the amended and restated UFP Industries, Inc. Deferred Compensation Plan effective as of January 1, 2025.</w:t>
      </w:r>
    </w:p>
    <w:p>
      <w:pPr>
        <w:spacing w:after="0" w:line="4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UFP INDUSTRIES, INC.</w:t>
      </w:r>
    </w:p>
    <w:p>
      <w:pPr>
        <w:spacing w:after="0" w:line="200" w:lineRule="exact"/>
        <w:rPr>
          <w:sz w:val="20"/>
          <w:szCs w:val="20"/>
          <w:color w:val="auto"/>
        </w:rPr>
      </w:pPr>
    </w:p>
    <w:p>
      <w:pPr>
        <w:spacing w:after="0" w:line="280" w:lineRule="exact"/>
        <w:rPr>
          <w:sz w:val="20"/>
          <w:szCs w:val="20"/>
          <w:color w:val="auto"/>
        </w:rPr>
      </w:pPr>
    </w:p>
    <w:p>
      <w:pPr>
        <w:jc w:val="center"/>
        <w:ind w:right="139"/>
        <w:spacing w:after="0"/>
        <w:tabs>
          <w:tab w:leader="none" w:pos="280" w:val="left"/>
        </w:tabs>
        <w:rPr>
          <w:sz w:val="20"/>
          <w:szCs w:val="20"/>
          <w:color w:val="auto"/>
        </w:rPr>
      </w:pPr>
      <w:r>
        <w:rPr>
          <w:rFonts w:ascii="Times New Roman" w:cs="Times New Roman" w:eastAsia="Times New Roman" w:hAnsi="Times New Roman"/>
          <w:sz w:val="22"/>
          <w:szCs w:val="22"/>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-13970</wp:posOffset>
            </wp:positionV>
            <wp:extent cx="26987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2698750" cy="8255"/>
                    </a:xfrm>
                    <a:prstGeom prst="rect">
                      <a:avLst/>
                    </a:prstGeom>
                    <a:noFill/>
                  </pic:spPr>
                </pic:pic>
              </a:graphicData>
            </a:graphic>
          </wp:anchor>
        </w:drawing>
      </w:r>
    </w:p>
    <w:p>
      <w:pPr>
        <w:spacing w:after="0" w:line="240" w:lineRule="exact"/>
        <w:rPr>
          <w:sz w:val="20"/>
          <w:szCs w:val="20"/>
          <w:color w:val="auto"/>
        </w:rPr>
      </w:pPr>
    </w:p>
    <w:p>
      <w:pPr>
        <w:jc w:val="center"/>
        <w:ind w:left="3760"/>
        <w:spacing w:after="0"/>
        <w:tabs>
          <w:tab w:leader="none" w:pos="3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-13970</wp:posOffset>
            </wp:positionV>
            <wp:extent cx="27190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2719070" cy="8255"/>
                    </a:xfrm>
                    <a:prstGeom prst="rect">
                      <a:avLst/>
                    </a:prstGeom>
                    <a:noFill/>
                  </pic:spPr>
                </pic:pic>
              </a:graphicData>
            </a:graphic>
          </wp:anchor>
        </w:drawing>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21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03" w:name="page104"/>
    <w:bookmarkEnd w:id="10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UFP INDUSTRIES,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EXECUTIVE STOCK GRANT PROGRAM</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Second Amended and Restated Effective January 1, 2023</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(As Amended as of December 6, 2024, and as of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655320</wp:posOffset>
            </wp:positionV>
            <wp:extent cx="545211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4" w:name="page105"/>
    <w:bookmarkEnd w:id="104"/>
    <w:tbl>
      <w:tblPr>
        <w:tblLayout w:type="fixed"/>
        <w:tblInd w:w="220" w:type="dxa"/>
        <w:tblCellMar>
          <w:top w:w="0" w:type="dxa"/>
          <w:left w:w="0" w:type="dxa"/>
          <w:bottom w:w="0" w:type="dxa"/>
          <w:right w:w="0" w:type="dxa"/>
        </w:tblCellMar>
      </w:tblPr>
      <w:tr>
        <w:trPr>
          <w:trHeight w:val="282"/>
        </w:trPr>
        <w:tc>
          <w:tcPr>
            <w:tcW w:w="1340" w:type="dxa"/>
            <w:vAlign w:val="bottom"/>
          </w:tcPr>
          <w:p>
            <w:pPr>
              <w:spacing w:after="0"/>
              <w:rPr>
                <w:sz w:val="24"/>
                <w:szCs w:val="24"/>
                <w:color w:val="auto"/>
              </w:rPr>
            </w:pPr>
          </w:p>
        </w:tc>
        <w:tc>
          <w:tcPr>
            <w:tcW w:w="682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INDEX</w:t>
            </w:r>
          </w:p>
        </w:tc>
        <w:tc>
          <w:tcPr>
            <w:tcW w:w="420" w:type="dxa"/>
            <w:vAlign w:val="bottom"/>
          </w:tcPr>
          <w:p>
            <w:pPr>
              <w:spacing w:after="0"/>
              <w:rPr>
                <w:sz w:val="24"/>
                <w:szCs w:val="24"/>
                <w:color w:val="auto"/>
              </w:rPr>
            </w:pPr>
          </w:p>
        </w:tc>
      </w:tr>
      <w:tr>
        <w:trPr>
          <w:trHeight w:val="433"/>
        </w:trPr>
        <w:tc>
          <w:tcPr>
            <w:tcW w:w="13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492"/>
        </w:trPr>
        <w:tc>
          <w:tcPr>
            <w:tcW w:w="8160" w:type="dxa"/>
            <w:vAlign w:val="bottom"/>
            <w:gridSpan w:val="2"/>
          </w:tcPr>
          <w:p>
            <w:pPr>
              <w:spacing w:after="0"/>
              <w:rPr>
                <w:sz w:val="20"/>
                <w:szCs w:val="20"/>
                <w:color w:val="auto"/>
              </w:rPr>
            </w:pPr>
            <w:r>
              <w:rPr>
                <w:rFonts w:ascii="Times New Roman" w:cs="Times New Roman" w:eastAsia="Times New Roman" w:hAnsi="Times New Roman"/>
                <w:sz w:val="22"/>
                <w:szCs w:val="22"/>
                <w:color w:val="auto"/>
                <w:highlight w:val="white"/>
              </w:rPr>
              <w:t>Article 1 Establishment and Purpose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1"/>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History of the Program</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Status of Program Under ERISA</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83"/>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Compliance with Section 409A</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59"/>
        </w:trPr>
        <w:tc>
          <w:tcPr>
            <w:tcW w:w="8160" w:type="dxa"/>
            <w:vAlign w:val="bottom"/>
            <w:gridSpan w:val="2"/>
          </w:tcPr>
          <w:p>
            <w:pPr>
              <w:spacing w:after="0"/>
              <w:rPr>
                <w:sz w:val="20"/>
                <w:szCs w:val="20"/>
                <w:color w:val="auto"/>
              </w:rPr>
            </w:pPr>
            <w:r>
              <w:rPr>
                <w:rFonts w:ascii="Times New Roman" w:cs="Times New Roman" w:eastAsia="Times New Roman" w:hAnsi="Times New Roman"/>
                <w:sz w:val="22"/>
                <w:szCs w:val="22"/>
                <w:color w:val="auto"/>
                <w:highlight w:val="white"/>
              </w:rPr>
              <w:t>Article 2 Definitions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59"/>
        </w:trPr>
        <w:tc>
          <w:tcPr>
            <w:tcW w:w="8160" w:type="dxa"/>
            <w:vAlign w:val="bottom"/>
            <w:gridSpan w:val="2"/>
          </w:tcPr>
          <w:p>
            <w:pPr>
              <w:spacing w:after="0"/>
              <w:rPr>
                <w:sz w:val="20"/>
                <w:szCs w:val="20"/>
                <w:color w:val="auto"/>
              </w:rPr>
            </w:pPr>
            <w:r>
              <w:rPr>
                <w:rFonts w:ascii="Times New Roman" w:cs="Times New Roman" w:eastAsia="Times New Roman" w:hAnsi="Times New Roman"/>
                <w:sz w:val="22"/>
                <w:szCs w:val="22"/>
                <w:color w:val="auto"/>
                <w:highlight w:val="white"/>
              </w:rPr>
              <w:t>Article 3 Participation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11"/>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3.1</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Eligibility for Participation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83"/>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3.2</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Termination of Active Participation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59"/>
        </w:trPr>
        <w:tc>
          <w:tcPr>
            <w:tcW w:w="8160" w:type="dxa"/>
            <w:vAlign w:val="bottom"/>
            <w:gridSpan w:val="2"/>
          </w:tcPr>
          <w:p>
            <w:pPr>
              <w:spacing w:after="0"/>
              <w:rPr>
                <w:sz w:val="20"/>
                <w:szCs w:val="20"/>
                <w:color w:val="auto"/>
              </w:rPr>
            </w:pPr>
            <w:r>
              <w:rPr>
                <w:rFonts w:ascii="Times New Roman" w:cs="Times New Roman" w:eastAsia="Times New Roman" w:hAnsi="Times New Roman"/>
                <w:sz w:val="22"/>
                <w:szCs w:val="22"/>
                <w:color w:val="auto"/>
                <w:highlight w:val="white"/>
              </w:rPr>
              <w:t>Article 4 Amounts Credited to Accounts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11"/>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4.1</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Participants’ Accounts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4.2</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Amounts Credited to Participant Accounts</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4.3</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Amounts Credited for Company Dividends</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4.4</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Vesting and Forfeiture</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83"/>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4.5</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Voting Rights with Respect to Participant 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59"/>
        </w:trPr>
        <w:tc>
          <w:tcPr>
            <w:tcW w:w="8160" w:type="dxa"/>
            <w:vAlign w:val="bottom"/>
            <w:gridSpan w:val="2"/>
          </w:tcPr>
          <w:p>
            <w:pPr>
              <w:spacing w:after="0"/>
              <w:rPr>
                <w:sz w:val="20"/>
                <w:szCs w:val="20"/>
                <w:color w:val="auto"/>
              </w:rPr>
            </w:pPr>
            <w:r>
              <w:rPr>
                <w:rFonts w:ascii="Times New Roman" w:cs="Times New Roman" w:eastAsia="Times New Roman" w:hAnsi="Times New Roman"/>
                <w:sz w:val="22"/>
                <w:szCs w:val="22"/>
                <w:color w:val="auto"/>
                <w:highlight w:val="white"/>
              </w:rPr>
              <w:t>Article 5 Distribution of Benefits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11"/>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5.1</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Hardship Withdrawals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5.2</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Forfeiture of Vested Benefits</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10</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5.3</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Duty of Loyalty</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10</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5.4</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Payment Timing &amp; Terms</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83"/>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5.5</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Spendthrift Provision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-3916045</wp:posOffset>
            </wp:positionV>
            <wp:extent cx="4963160" cy="39090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4963160" cy="3909060"/>
                    </a:xfrm>
                    <a:prstGeom prst="rect">
                      <a:avLst/>
                    </a:prstGeom>
                    <a:noFill/>
                  </pic:spPr>
                </pic:pic>
              </a:graphicData>
            </a:graphic>
          </wp:anchor>
        </w:drawing>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105" w:name="page106"/>
    <w:bookmarkEnd w:id="105"/>
    <w:tbl>
      <w:tblPr>
        <w:tblLayout w:type="fixed"/>
        <w:tblInd w:w="22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680"/>
        </w:trPr>
        <w:tc>
          <w:tcPr>
            <w:tcW w:w="8160" w:type="dxa"/>
            <w:vAlign w:val="bottom"/>
            <w:gridSpan w:val="2"/>
          </w:tcPr>
          <w:p>
            <w:pPr>
              <w:spacing w:after="0"/>
              <w:rPr>
                <w:sz w:val="20"/>
                <w:szCs w:val="20"/>
                <w:color w:val="auto"/>
              </w:rPr>
            </w:pPr>
            <w:r>
              <w:rPr>
                <w:rFonts w:ascii="Times New Roman" w:cs="Times New Roman" w:eastAsia="Times New Roman" w:hAnsi="Times New Roman"/>
                <w:sz w:val="22"/>
                <w:szCs w:val="22"/>
                <w:color w:val="auto"/>
                <w:highlight w:val="white"/>
              </w:rPr>
              <w:t>Article 6 Funding</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11"/>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6.1</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Establishment of Trust Fund</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6.2</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Status as Grantor Trust</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w:t>
            </w:r>
          </w:p>
        </w:tc>
      </w:tr>
      <w:tr>
        <w:trPr>
          <w:trHeight w:val="283"/>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6.3</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Status of Participants as Unsecured Creditors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w:t>
            </w:r>
          </w:p>
        </w:tc>
      </w:tr>
      <w:tr>
        <w:trPr>
          <w:trHeight w:val="459"/>
        </w:trPr>
        <w:tc>
          <w:tcPr>
            <w:tcW w:w="8160" w:type="dxa"/>
            <w:vAlign w:val="bottom"/>
            <w:gridSpan w:val="2"/>
          </w:tcPr>
          <w:p>
            <w:pPr>
              <w:spacing w:after="0"/>
              <w:rPr>
                <w:sz w:val="20"/>
                <w:szCs w:val="20"/>
                <w:color w:val="auto"/>
              </w:rPr>
            </w:pPr>
            <w:r>
              <w:rPr>
                <w:rFonts w:ascii="Times New Roman" w:cs="Times New Roman" w:eastAsia="Times New Roman" w:hAnsi="Times New Roman"/>
                <w:sz w:val="22"/>
                <w:szCs w:val="22"/>
                <w:color w:val="auto"/>
                <w:highlight w:val="white"/>
              </w:rPr>
              <w:t>Article 7 Administration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w:t>
            </w:r>
          </w:p>
        </w:tc>
      </w:tr>
      <w:tr>
        <w:trPr>
          <w:trHeight w:val="311"/>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7.1</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Administrator</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7.2</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Powers of Administrator</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7.3</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Standard of Care</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13</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7.4</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Appeal Procedure</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13</w:t>
            </w:r>
          </w:p>
        </w:tc>
      </w:tr>
      <w:tr>
        <w:trPr>
          <w:trHeight w:val="283"/>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7.5</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Indemnification of Committee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14</w:t>
            </w:r>
          </w:p>
        </w:tc>
      </w:tr>
      <w:tr>
        <w:trPr>
          <w:trHeight w:val="459"/>
        </w:trPr>
        <w:tc>
          <w:tcPr>
            <w:tcW w:w="8160" w:type="dxa"/>
            <w:vAlign w:val="bottom"/>
            <w:gridSpan w:val="2"/>
          </w:tcPr>
          <w:p>
            <w:pPr>
              <w:spacing w:after="0"/>
              <w:rPr>
                <w:sz w:val="20"/>
                <w:szCs w:val="20"/>
                <w:color w:val="auto"/>
              </w:rPr>
            </w:pPr>
            <w:r>
              <w:rPr>
                <w:rFonts w:ascii="Times New Roman" w:cs="Times New Roman" w:eastAsia="Times New Roman" w:hAnsi="Times New Roman"/>
                <w:sz w:val="22"/>
                <w:szCs w:val="22"/>
                <w:color w:val="auto"/>
                <w:highlight w:val="white"/>
              </w:rPr>
              <w:t>Article 8 Miscellaneous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14</w:t>
            </w:r>
          </w:p>
        </w:tc>
      </w:tr>
      <w:tr>
        <w:trPr>
          <w:trHeight w:val="311"/>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8.1</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Employment Rights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14</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8.2</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Tax Withholding</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14</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8.3</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409A Savings Clause &amp; Severability</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14</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8.4</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Construction</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15</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8.5</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Facility of Payment.</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15</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8.6</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Amendment</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16</w:t>
            </w:r>
          </w:p>
        </w:tc>
      </w:tr>
      <w:tr>
        <w:trPr>
          <w:trHeight w:val="283"/>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8.7</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Termination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16</w:t>
            </w:r>
          </w:p>
        </w:tc>
      </w:tr>
      <w:tr>
        <w:trPr>
          <w:trHeight w:val="459"/>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Signature</w:t>
            </w:r>
          </w:p>
        </w:tc>
        <w:tc>
          <w:tcPr>
            <w:tcW w:w="68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-3556000</wp:posOffset>
            </wp:positionV>
            <wp:extent cx="4963160" cy="3514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4963160"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37" w:right="1440"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UFP INDUSTRIES,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EXECUTIVE STOCK GRANT PROGRAM</w:t>
      </w:r>
    </w:p>
    <w:p>
      <w:pPr>
        <w:ind w:left="316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u w:val="single" w:color="auto"/>
          <w:color w:val="auto"/>
        </w:rPr>
        <w:t>Establishment and Purpose</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u w:val="single" w:color="auto"/>
          <w:color w:val="auto"/>
        </w:rPr>
        <w:t>History of the Program</w:t>
      </w:r>
    </w:p>
    <w:p>
      <w:pPr>
        <w:spacing w:after="0" w:line="210"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The Company established this Executive Stock Grant Program (the "Program") under Article 10 of the Company’s Long Term Stock Incentive Plan, as amended and restated (the "Plan"). The Program became effective on January 1, 2009, was amended and restated effective as of January 1, 2020, was amended and restated as of January 1, 2023, and was further amended as of December 6, 2024, and as of January 1, 2025. Except as otherwise provided herein, the Program shall be administered in accordance and subject to the terms of the Plan, and the Shares subject to Awards under this Program shall be granted under the Plan.</w:t>
      </w:r>
    </w:p>
    <w:p>
      <w:pPr>
        <w:spacing w:after="0" w:line="17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Status of Program Under ERISA</w:t>
      </w:r>
    </w:p>
    <w:p>
      <w:pPr>
        <w:spacing w:after="0" w:line="210"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The Program is intended to be "unfunded," terminable by the Company, and maintained "primarily for the purpose of providing deferred compensation for a select group of management or highly compensated employees" for purposes of ERISA. Accordingly, the Program is not intended to be covered by Parts 2 through 4 of Subtitle B of Title I of ERISA.</w:t>
      </w:r>
    </w:p>
    <w:p>
      <w:pPr>
        <w:spacing w:after="0" w:line="17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u w:val="single" w:color="auto"/>
          <w:color w:val="auto"/>
        </w:rPr>
        <w:t>Compliance with Section 409A</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To the extent the Program provides deferred compensation under Section 409A of the Code, the Program is intended to comply with Section 409A. The Program is intended to be interpreted consistent with the requirements of Section 409A of the Code.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The following terms shall have the meanings described in this Article unless the context clearly indicates another meaning. All other defined terms shall have the meanings set forth in the Program.</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u w:val="single" w:color="auto"/>
          <w:color w:val="auto"/>
        </w:rPr>
        <w:t>Accounts</w:t>
      </w:r>
    </w:p>
    <w:p>
      <w:pPr>
        <w:spacing w:after="0" w:line="21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"Accounts" means the bookkeeping records of the Participants’ benefits under the terms of the Program.</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u w:val="single" w:color="auto"/>
          <w:color w:val="auto"/>
        </w:rPr>
        <w:t>Administrator</w:t>
      </w:r>
    </w:p>
    <w:p>
      <w:pPr>
        <w:spacing w:after="0" w:line="210"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"Administrator" means the fiduciary responsible for the operation and administration of the Program as provided in Article 7. The Company shall be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769620</wp:posOffset>
            </wp:positionV>
            <wp:extent cx="545211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7" w:name="page108"/>
    <w:bookmarkEnd w:id="107"/>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u w:val="single" w:color="auto"/>
          <w:color w:val="auto"/>
        </w:rPr>
        <w:t>Beneficiary</w:t>
      </w:r>
    </w:p>
    <w:p>
      <w:pPr>
        <w:spacing w:after="0" w:line="210" w:lineRule="exact"/>
        <w:rPr>
          <w:sz w:val="20"/>
          <w:szCs w:val="20"/>
          <w:color w:val="auto"/>
        </w:rPr>
      </w:pPr>
    </w:p>
    <w:p>
      <w:pPr>
        <w:jc w:val="both"/>
        <w:ind w:left="860" w:right="219" w:firstLine="1296"/>
        <w:spacing w:after="0" w:line="236" w:lineRule="auto"/>
        <w:rPr>
          <w:sz w:val="20"/>
          <w:szCs w:val="20"/>
          <w:color w:val="auto"/>
        </w:rPr>
      </w:pPr>
      <w:r>
        <w:rPr>
          <w:rFonts w:ascii="Times New Roman" w:cs="Times New Roman" w:eastAsia="Times New Roman" w:hAnsi="Times New Roman"/>
          <w:sz w:val="22"/>
          <w:szCs w:val="22"/>
          <w:color w:val="auto"/>
        </w:rPr>
        <w:t>“Beneficiary” means the beneficiary designated in writing by the Participant to receive benefits from the Program in the event of the Participant’s death. The Beneficiary shall be designated on a form provided by the Administrator, and the Participant may change the Beneficiary designation at any time by signing and delivering a new form to the Administrator. A beneficiary designation will become effective upon receipt by the Administrator, but only if received before the Participant’s death.</w:t>
      </w:r>
    </w:p>
    <w:p>
      <w:pPr>
        <w:spacing w:after="0" w:line="181" w:lineRule="exact"/>
        <w:rPr>
          <w:sz w:val="20"/>
          <w:szCs w:val="20"/>
          <w:color w:val="auto"/>
        </w:rPr>
      </w:pPr>
    </w:p>
    <w:p>
      <w:pPr>
        <w:jc w:val="both"/>
        <w:ind w:left="860" w:right="219" w:firstLine="1296"/>
        <w:spacing w:after="0" w:line="255" w:lineRule="auto"/>
        <w:rPr>
          <w:sz w:val="20"/>
          <w:szCs w:val="20"/>
          <w:color w:val="auto"/>
        </w:rPr>
      </w:pPr>
      <w:r>
        <w:rPr>
          <w:rFonts w:ascii="Times New Roman" w:cs="Times New Roman" w:eastAsia="Times New Roman" w:hAnsi="Times New Roman"/>
          <w:sz w:val="21"/>
          <w:szCs w:val="21"/>
          <w:color w:val="auto"/>
        </w:rPr>
        <w:t>A trust may be designated as a Beneficiary. If this occurs, the Administrator will determine the rights of any trustee designated as a Beneficiary without responsibility for determining the validity, existence or provisions of that trust, and will have no responsibility for the use of amounts paid to that trustee or for the discharge of the trust.</w:t>
      </w:r>
    </w:p>
    <w:p>
      <w:pPr>
        <w:spacing w:after="0" w:line="162" w:lineRule="exact"/>
        <w:rPr>
          <w:sz w:val="20"/>
          <w:szCs w:val="20"/>
          <w:color w:val="auto"/>
        </w:rPr>
      </w:pPr>
    </w:p>
    <w:p>
      <w:pPr>
        <w:jc w:val="both"/>
        <w:ind w:left="860" w:right="219" w:firstLine="1296"/>
        <w:spacing w:after="0" w:line="244" w:lineRule="auto"/>
        <w:rPr>
          <w:sz w:val="20"/>
          <w:szCs w:val="20"/>
          <w:color w:val="auto"/>
        </w:rPr>
      </w:pPr>
      <w:r>
        <w:rPr>
          <w:rFonts w:ascii="Times New Roman" w:cs="Times New Roman" w:eastAsia="Times New Roman" w:hAnsi="Times New Roman"/>
          <w:sz w:val="22"/>
          <w:szCs w:val="22"/>
          <w:color w:val="auto"/>
        </w:rPr>
        <w:t>If a Participant designates the Participant’s spouse as Beneficiary and the Participant and spouse are subsequently divorced, the judgment of divorce will be considered to revoke the prior Beneficiary designation of the spouse.</w:t>
      </w:r>
    </w:p>
    <w:p>
      <w:pPr>
        <w:spacing w:after="0" w:line="173" w:lineRule="exact"/>
        <w:rPr>
          <w:sz w:val="20"/>
          <w:szCs w:val="20"/>
          <w:color w:val="auto"/>
        </w:rPr>
      </w:pPr>
    </w:p>
    <w:p>
      <w:pPr>
        <w:jc w:val="both"/>
        <w:ind w:left="860" w:right="219" w:firstLine="1296"/>
        <w:spacing w:after="0" w:line="233" w:lineRule="auto"/>
        <w:rPr>
          <w:sz w:val="20"/>
          <w:szCs w:val="20"/>
          <w:color w:val="auto"/>
        </w:rPr>
      </w:pPr>
      <w:r>
        <w:rPr>
          <w:rFonts w:ascii="Times New Roman" w:cs="Times New Roman" w:eastAsia="Times New Roman" w:hAnsi="Times New Roman"/>
          <w:sz w:val="22"/>
          <w:szCs w:val="22"/>
          <w:color w:val="auto"/>
        </w:rPr>
        <w:t>The rules of this Section 2.3 apply unless provided otherwise in a Participant’s Beneficiary designation form. If a Participant designates one primary Beneficiary and the Beneficiary dies after the Participant but before benefit payments are completed, any remaining benefits will be payable to the secondary Beneficiary. If a Participant fails to designate a secondary Beneficiary, or if no secondary Beneficiary survives the primary Beneficiary, any remaining benefits will be payable to the deceased primary Beneficiary’s heirs in the manner described below. If a Participant designates more than one primary Beneficiary or more than one secondary Beneficiary and a Beneficiary dies before benefit payments are made, the Shares payable to the deceased Beneficiary will be paid to the deceased Beneficiary’s heirs in the manner described below as if the Beneficiary was the Participant.</w:t>
      </w:r>
    </w:p>
    <w:p>
      <w:pPr>
        <w:spacing w:after="0" w:line="187" w:lineRule="exact"/>
        <w:rPr>
          <w:sz w:val="20"/>
          <w:szCs w:val="20"/>
          <w:color w:val="auto"/>
        </w:rPr>
      </w:pPr>
    </w:p>
    <w:p>
      <w:pPr>
        <w:jc w:val="both"/>
        <w:ind w:left="860" w:right="219" w:firstLine="1296"/>
        <w:spacing w:after="0" w:line="239" w:lineRule="auto"/>
        <w:rPr>
          <w:sz w:val="20"/>
          <w:szCs w:val="20"/>
          <w:color w:val="auto"/>
        </w:rPr>
      </w:pPr>
      <w:r>
        <w:rPr>
          <w:rFonts w:ascii="Times New Roman" w:cs="Times New Roman" w:eastAsia="Times New Roman" w:hAnsi="Times New Roman"/>
          <w:sz w:val="22"/>
          <w:szCs w:val="22"/>
          <w:color w:val="auto"/>
        </w:rPr>
        <w:t>If a Participant fails to designate a Beneficiary, or if no designated Beneficiary survives a Participant, distribution will be made in equal shares to the members of the first of the classes listed below having a living member on the date the distribution is payable. The classes, in order of priority, are as follows:</w:t>
      </w:r>
    </w:p>
    <w:p>
      <w:pPr>
        <w:spacing w:after="0" w:line="180" w:lineRule="exact"/>
        <w:rPr>
          <w:sz w:val="20"/>
          <w:szCs w:val="20"/>
          <w:color w:val="auto"/>
        </w:rPr>
      </w:pPr>
    </w:p>
    <w:p>
      <w:pPr>
        <w:ind w:left="3440" w:hanging="639"/>
        <w:spacing w:after="0"/>
        <w:tabs>
          <w:tab w:leader="none" w:pos="344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Participant’s spouse;</w:t>
      </w:r>
    </w:p>
    <w:p>
      <w:pPr>
        <w:spacing w:after="0" w:line="206" w:lineRule="exact"/>
        <w:rPr>
          <w:rFonts w:ascii="Times New Roman" w:cs="Times New Roman" w:eastAsia="Times New Roman" w:hAnsi="Times New Roman"/>
          <w:sz w:val="22"/>
          <w:szCs w:val="22"/>
          <w:b w:val="1"/>
          <w:bCs w:val="1"/>
          <w:color w:val="auto"/>
        </w:rPr>
      </w:pPr>
    </w:p>
    <w:p>
      <w:pPr>
        <w:jc w:val="both"/>
        <w:ind w:left="1500" w:right="239" w:firstLine="1301"/>
        <w:spacing w:after="0" w:line="244" w:lineRule="auto"/>
        <w:tabs>
          <w:tab w:leader="none" w:pos="3444"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Participant’s children (natural, legally adopted or children placed for adoption) or their then-living issue, by right of representation; and</w:t>
      </w:r>
    </w:p>
    <w:p>
      <w:pPr>
        <w:spacing w:after="0" w:line="173" w:lineRule="exact"/>
        <w:rPr>
          <w:rFonts w:ascii="Times New Roman" w:cs="Times New Roman" w:eastAsia="Times New Roman" w:hAnsi="Times New Roman"/>
          <w:sz w:val="22"/>
          <w:szCs w:val="22"/>
          <w:b w:val="1"/>
          <w:bCs w:val="1"/>
          <w:color w:val="auto"/>
        </w:rPr>
      </w:pPr>
    </w:p>
    <w:p>
      <w:pPr>
        <w:jc w:val="both"/>
        <w:ind w:left="1500" w:right="219" w:firstLine="1301"/>
        <w:spacing w:after="0" w:line="239" w:lineRule="auto"/>
        <w:tabs>
          <w:tab w:leader="none" w:pos="3444"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Participant’s estate, if the estate is under active administration. If the Participant’s estate is not under active administration, the legal heirs of the Participant under the intestacy laws of the Participant’s state of residence on the date of the Participant’s death.</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8" w:name="page109"/>
    <w:bookmarkEnd w:id="108"/>
    <w:p>
      <w:pPr>
        <w:jc w:val="both"/>
        <w:ind w:left="860" w:right="219" w:firstLine="1296"/>
        <w:spacing w:after="0" w:line="244" w:lineRule="auto"/>
        <w:rPr>
          <w:sz w:val="20"/>
          <w:szCs w:val="20"/>
          <w:color w:val="auto"/>
        </w:rPr>
      </w:pPr>
      <w:r>
        <w:rPr>
          <w:rFonts w:ascii="Times New Roman" w:cs="Times New Roman" w:eastAsia="Times New Roman" w:hAnsi="Times New Roman"/>
          <w:sz w:val="22"/>
          <w:szCs w:val="22"/>
          <w:color w:val="auto"/>
        </w:rPr>
        <w:t>A Beneficiary is permitted to disclaim the Beneficiary’s rights to a death benefit under the Program to the extent permitted by applicable law. If this occurs, the Beneficiary will be treated as predeceasing the Participant for purposes of this Section.</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The records of the Administrator will be conclusive as to the proper payee and the amount payable. A distribution made based upon these facts will be treated as a complete discharge of all obligations under the Program.</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u w:val="single" w:color="auto"/>
          <w:color w:val="auto"/>
        </w:rPr>
        <w:t>Change in Control</w:t>
      </w:r>
    </w:p>
    <w:p>
      <w:pPr>
        <w:spacing w:after="0" w:line="210"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"Change in Control" means any of the following but only to the extent that such events meet the requirements of Treas. Reg. §1.409A-3(i)(5), or any successor provisions:</w:t>
      </w:r>
    </w:p>
    <w:p>
      <w:pPr>
        <w:spacing w:after="0" w:line="158" w:lineRule="exact"/>
        <w:rPr>
          <w:sz w:val="20"/>
          <w:szCs w:val="20"/>
          <w:color w:val="auto"/>
        </w:rPr>
      </w:pPr>
    </w:p>
    <w:p>
      <w:pPr>
        <w:ind w:left="860" w:right="239" w:firstLine="1293"/>
        <w:spacing w:after="0" w:line="258" w:lineRule="auto"/>
        <w:tabs>
          <w:tab w:leader="none" w:pos="2804"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sale of 40% or more of the material operating assets of the Company to a person or entity not affiliated with the Company prior to such sale;</w:t>
      </w:r>
    </w:p>
    <w:p>
      <w:pPr>
        <w:spacing w:after="0" w:line="158" w:lineRule="exact"/>
        <w:rPr>
          <w:rFonts w:ascii="Times New Roman" w:cs="Times New Roman" w:eastAsia="Times New Roman" w:hAnsi="Times New Roman"/>
          <w:sz w:val="22"/>
          <w:szCs w:val="22"/>
          <w:b w:val="1"/>
          <w:bCs w:val="1"/>
          <w:color w:val="auto"/>
        </w:rPr>
      </w:pPr>
    </w:p>
    <w:p>
      <w:pPr>
        <w:jc w:val="both"/>
        <w:ind w:left="860" w:right="219" w:firstLine="1293"/>
        <w:spacing w:after="0" w:line="244" w:lineRule="auto"/>
        <w:tabs>
          <w:tab w:leader="none" w:pos="2804"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acquisition of stock of the Company possessing more than 30% of the total voting power of the stock of the Company, by a person, entity or group of people or entities acting as a group for voting or control purposes; or</w:t>
      </w:r>
    </w:p>
    <w:p>
      <w:pPr>
        <w:spacing w:after="0" w:line="173" w:lineRule="exact"/>
        <w:rPr>
          <w:rFonts w:ascii="Times New Roman" w:cs="Times New Roman" w:eastAsia="Times New Roman" w:hAnsi="Times New Roman"/>
          <w:sz w:val="22"/>
          <w:szCs w:val="22"/>
          <w:b w:val="1"/>
          <w:bCs w:val="1"/>
          <w:color w:val="auto"/>
        </w:rPr>
      </w:pPr>
    </w:p>
    <w:p>
      <w:pPr>
        <w:jc w:val="both"/>
        <w:ind w:left="860" w:right="219" w:firstLine="1293"/>
        <w:spacing w:after="0" w:line="261" w:lineRule="auto"/>
        <w:tabs>
          <w:tab w:leader="none" w:pos="2804"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replacement of a majority of the members of the Board during a twelve (12) consecutive month period by persons whose appointment or election was not endorsed by a majority of the Board immediately prior to such appointments or elections.</w:t>
      </w:r>
    </w:p>
    <w:p>
      <w:pPr>
        <w:spacing w:after="0" w:line="153"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u w:val="single" w:color="auto"/>
          <w:color w:val="auto"/>
        </w:rPr>
        <w:t>Closing Price</w:t>
      </w:r>
    </w:p>
    <w:p>
      <w:pPr>
        <w:spacing w:after="0" w:line="21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"Closing Price" shall mean the Nasdaq Official Close Price as reported on the NASDAQ Exchange.</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u w:val="single" w:color="auto"/>
          <w:color w:val="auto"/>
        </w:rPr>
        <w:t>Committee</w:t>
      </w:r>
    </w:p>
    <w:p>
      <w:pPr>
        <w:spacing w:after="0" w:line="210"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"Committee" shall mean the Committee of the Board of Directors of the Company designated in the Plan to administer such Plan, as such term is defined in the Plan.</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u w:val="single" w:color="auto"/>
          <w:color w:val="auto"/>
        </w:rPr>
        <w:t>Company</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"Company" means UFP Industries, Inc.</w:t>
      </w:r>
    </w:p>
    <w:p>
      <w:pPr>
        <w:spacing w:after="0" w:line="202"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b w:val="1"/>
          <w:bCs w:val="1"/>
          <w:u w:val="single" w:color="auto"/>
          <w:color w:val="auto"/>
        </w:rPr>
        <w:t>Deferred Compensation Plan</w:t>
      </w:r>
    </w:p>
    <w:p>
      <w:pPr>
        <w:spacing w:after="0" w:line="21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"Deferred Compensation Plan" means the UFP Industries, Inc. Deferred Compensation Plan, as amended and restated effective January 1, 2020 and as may be amended.</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1"/>
          <w:szCs w:val="21"/>
          <w:b w:val="1"/>
          <w:bCs w:val="1"/>
          <w:u w:val="single" w:color="auto"/>
          <w:color w:val="auto"/>
        </w:rPr>
        <w:t>Determination Period</w:t>
      </w:r>
    </w:p>
    <w:p>
      <w:pPr>
        <w:spacing w:after="0" w:line="210"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"Determination Period" means with respect to a Participant who has a Separation from Service between January 1 and March 31, the second Year preceding the Year during which the Separation from Service occurred. If the Participant has a Separation from Service between April 1 and December 31, the Determination Period is the preceding Plan Year.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9" w:name="page110"/>
    <w:bookmarkEnd w:id="109"/>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2.10</w:t>
      </w:r>
      <w:r>
        <w:rPr>
          <w:sz w:val="20"/>
          <w:szCs w:val="20"/>
          <w:color w:val="auto"/>
        </w:rPr>
        <w:tab/>
      </w:r>
      <w:r>
        <w:rPr>
          <w:rFonts w:ascii="Times New Roman" w:cs="Times New Roman" w:eastAsia="Times New Roman" w:hAnsi="Times New Roman"/>
          <w:sz w:val="21"/>
          <w:szCs w:val="21"/>
          <w:b w:val="1"/>
          <w:bCs w:val="1"/>
          <w:u w:val="single" w:color="auto"/>
          <w:color w:val="auto"/>
        </w:rPr>
        <w:t>Distributable Event</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"Distributable Event" means the earliest of the following to occur with respect to a</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Participant:</w:t>
      </w:r>
    </w:p>
    <w:p>
      <w:pPr>
        <w:spacing w:after="0" w:line="182" w:lineRule="exact"/>
        <w:rPr>
          <w:sz w:val="20"/>
          <w:szCs w:val="20"/>
          <w:color w:val="auto"/>
        </w:rPr>
      </w:pPr>
    </w:p>
    <w:p>
      <w:pPr>
        <w:ind w:left="2800" w:hanging="647"/>
        <w:spacing w:after="0"/>
        <w:tabs>
          <w:tab w:leader="none" w:pos="280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has a Separation from Service;</w:t>
      </w:r>
    </w:p>
    <w:p>
      <w:pPr>
        <w:spacing w:after="0" w:line="206"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dies while employed by the Company;</w:t>
      </w:r>
    </w:p>
    <w:p>
      <w:pPr>
        <w:spacing w:after="0" w:line="206"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incurs a Total Disability; or</w:t>
      </w:r>
    </w:p>
    <w:p>
      <w:pPr>
        <w:spacing w:after="0" w:line="206"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Change in Control occurs.</w:t>
      </w:r>
    </w:p>
    <w:p>
      <w:pPr>
        <w:spacing w:after="0" w:line="202"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b w:val="1"/>
          <w:bCs w:val="1"/>
          <w:color w:val="auto"/>
        </w:rPr>
        <w:t>2.11</w:t>
      </w:r>
      <w:r>
        <w:rPr>
          <w:sz w:val="20"/>
          <w:szCs w:val="20"/>
          <w:color w:val="auto"/>
        </w:rPr>
        <w:tab/>
      </w:r>
      <w:r>
        <w:rPr>
          <w:rFonts w:ascii="Times New Roman" w:cs="Times New Roman" w:eastAsia="Times New Roman" w:hAnsi="Times New Roman"/>
          <w:sz w:val="21"/>
          <w:szCs w:val="21"/>
          <w:b w:val="1"/>
          <w:bCs w:val="1"/>
          <w:u w:val="single" w:color="auto"/>
          <w:color w:val="auto"/>
        </w:rPr>
        <w:t>Employee</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"Employee" means a common-law employee of the Company or a Subsidiary. An individual who is treated as an independent contractor by the Company or Subsidiary is not an Employee.</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2.12</w:t>
      </w:r>
      <w:r>
        <w:rPr>
          <w:sz w:val="20"/>
          <w:szCs w:val="20"/>
          <w:color w:val="auto"/>
        </w:rPr>
        <w:tab/>
      </w:r>
      <w:r>
        <w:rPr>
          <w:rFonts w:ascii="Times New Roman" w:cs="Times New Roman" w:eastAsia="Times New Roman" w:hAnsi="Times New Roman"/>
          <w:sz w:val="21"/>
          <w:szCs w:val="21"/>
          <w:b w:val="1"/>
          <w:bCs w:val="1"/>
          <w:u w:val="single" w:color="auto"/>
          <w:color w:val="auto"/>
        </w:rPr>
        <w:t>ERISA</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"ERISA" means the Employee Retirement Income Security Act of 1974, as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amended.</w:t>
      </w:r>
    </w:p>
    <w:p>
      <w:pPr>
        <w:spacing w:after="0" w:line="178"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2.13</w:t>
      </w:r>
      <w:r>
        <w:rPr>
          <w:sz w:val="20"/>
          <w:szCs w:val="20"/>
          <w:color w:val="auto"/>
        </w:rPr>
        <w:tab/>
      </w:r>
      <w:r>
        <w:rPr>
          <w:rFonts w:ascii="Times New Roman" w:cs="Times New Roman" w:eastAsia="Times New Roman" w:hAnsi="Times New Roman"/>
          <w:sz w:val="21"/>
          <w:szCs w:val="21"/>
          <w:b w:val="1"/>
          <w:bCs w:val="1"/>
          <w:u w:val="single" w:color="auto"/>
          <w:color w:val="auto"/>
        </w:rPr>
        <w:t>Gross Misconduct</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"Gross Misconduct" means one or more of the following:</w:t>
      </w:r>
    </w:p>
    <w:p>
      <w:pPr>
        <w:spacing w:after="0" w:line="206" w:lineRule="exact"/>
        <w:rPr>
          <w:sz w:val="20"/>
          <w:szCs w:val="20"/>
          <w:color w:val="auto"/>
        </w:rPr>
      </w:pPr>
    </w:p>
    <w:p>
      <w:pPr>
        <w:ind w:left="2800" w:hanging="647"/>
        <w:spacing w:after="0"/>
        <w:tabs>
          <w:tab w:leader="none" w:pos="280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Embezzlement or theft from the Company or any Subsidiary;</w:t>
      </w:r>
    </w:p>
    <w:p>
      <w:pPr>
        <w:spacing w:after="0" w:line="206" w:lineRule="exact"/>
        <w:rPr>
          <w:rFonts w:ascii="Times New Roman" w:cs="Times New Roman" w:eastAsia="Times New Roman" w:hAnsi="Times New Roman"/>
          <w:sz w:val="22"/>
          <w:szCs w:val="22"/>
          <w:b w:val="1"/>
          <w:bCs w:val="1"/>
          <w:color w:val="auto"/>
        </w:rPr>
      </w:pPr>
    </w:p>
    <w:p>
      <w:pPr>
        <w:ind w:left="860" w:right="239" w:firstLine="1293"/>
        <w:spacing w:after="0" w:line="258" w:lineRule="auto"/>
        <w:tabs>
          <w:tab w:leader="none" w:pos="2804"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unauthorized disclosure of the trade secrets or other proprietary information of the Company or a Subsidiary; or</w:t>
      </w:r>
    </w:p>
    <w:p>
      <w:pPr>
        <w:spacing w:after="0" w:line="158"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breach of the duty of loyalty described in Section 5.3.</w:t>
      </w:r>
    </w:p>
    <w:p>
      <w:pPr>
        <w:spacing w:after="0" w:line="206" w:lineRule="exact"/>
        <w:rPr>
          <w:sz w:val="20"/>
          <w:szCs w:val="20"/>
          <w:color w:val="auto"/>
        </w:rPr>
      </w:pPr>
    </w:p>
    <w:p>
      <w:pPr>
        <w:jc w:val="both"/>
        <w:ind w:left="200" w:right="219" w:firstLine="1296"/>
        <w:spacing w:after="0" w:line="282" w:lineRule="auto"/>
        <w:rPr>
          <w:sz w:val="20"/>
          <w:szCs w:val="20"/>
          <w:color w:val="auto"/>
        </w:rPr>
      </w:pPr>
      <w:r>
        <w:rPr>
          <w:rFonts w:ascii="Times New Roman" w:cs="Times New Roman" w:eastAsia="Times New Roman" w:hAnsi="Times New Roman"/>
          <w:sz w:val="21"/>
          <w:szCs w:val="21"/>
          <w:color w:val="auto"/>
        </w:rPr>
        <w:t>The definition of "Gross Misconduct" is relevant only for purposes of the forfeiture provisions in Section 5.2 and does not change the status of a Participant as an "employee at will."</w:t>
      </w:r>
    </w:p>
    <w:p>
      <w:pPr>
        <w:spacing w:after="0" w:line="131"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2.14</w:t>
      </w:r>
      <w:r>
        <w:rPr>
          <w:sz w:val="20"/>
          <w:szCs w:val="20"/>
          <w:color w:val="auto"/>
        </w:rPr>
        <w:tab/>
      </w:r>
      <w:r>
        <w:rPr>
          <w:rFonts w:ascii="Times New Roman" w:cs="Times New Roman" w:eastAsia="Times New Roman" w:hAnsi="Times New Roman"/>
          <w:sz w:val="21"/>
          <w:szCs w:val="21"/>
          <w:b w:val="1"/>
          <w:bCs w:val="1"/>
          <w:u w:val="single" w:color="auto"/>
          <w:color w:val="auto"/>
        </w:rPr>
        <w:t>Key Employee</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"Key Employee" means any employee of the Company or a Subsidiary who at any time during the Determination Period was a "specified employee" within the meaning of Treas. Reg. §1.409A-1(i), or any successor provision, and may include.</w:t>
      </w:r>
    </w:p>
    <w:p>
      <w:pPr>
        <w:spacing w:after="0" w:line="173" w:lineRule="exact"/>
        <w:rPr>
          <w:sz w:val="20"/>
          <w:szCs w:val="20"/>
          <w:color w:val="auto"/>
        </w:rPr>
      </w:pPr>
    </w:p>
    <w:p>
      <w:pPr>
        <w:jc w:val="both"/>
        <w:ind w:left="860" w:right="239" w:firstLine="1293"/>
        <w:spacing w:after="0" w:line="244" w:lineRule="auto"/>
        <w:tabs>
          <w:tab w:leader="none" w:pos="2804"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officer of the Company or a Subsidiary whose annual compensation from the Company and any Subsidiary is more than $150,000 (as adjusted under Section 416(i)(1) of the Code for Years beginning after December 31, 2008);</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0" w:name="page111"/>
    <w:bookmarkEnd w:id="110"/>
    <w:p>
      <w:pPr>
        <w:ind w:left="2800" w:hanging="647"/>
        <w:spacing w:after="0"/>
        <w:tabs>
          <w:tab w:leader="none" w:pos="2800" w:val="left"/>
        </w:tabs>
        <w:numPr>
          <w:ilvl w:val="0"/>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person having more than a 5% ownership interest in the Company</w:t>
      </w:r>
    </w:p>
    <w:p>
      <w:pPr>
        <w:spacing w:after="0" w:line="25" w:lineRule="exact"/>
        <w:rPr>
          <w:rFonts w:ascii="Times New Roman" w:cs="Times New Roman" w:eastAsia="Times New Roman" w:hAnsi="Times New Roman"/>
          <w:sz w:val="21"/>
          <w:szCs w:val="21"/>
          <w:b w:val="1"/>
          <w:bCs w:val="1"/>
          <w:color w:val="auto"/>
        </w:rPr>
      </w:pPr>
    </w:p>
    <w:p>
      <w:pPr>
        <w:ind w:left="8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or a Subsidiary; or</w:t>
      </w:r>
    </w:p>
    <w:p>
      <w:pPr>
        <w:spacing w:after="0" w:line="182" w:lineRule="exact"/>
        <w:rPr>
          <w:rFonts w:ascii="Times New Roman" w:cs="Times New Roman" w:eastAsia="Times New Roman" w:hAnsi="Times New Roman"/>
          <w:sz w:val="21"/>
          <w:szCs w:val="21"/>
          <w:b w:val="1"/>
          <w:bCs w:val="1"/>
          <w:color w:val="auto"/>
        </w:rPr>
      </w:pPr>
    </w:p>
    <w:p>
      <w:pPr>
        <w:jc w:val="both"/>
        <w:ind w:left="860" w:right="219" w:firstLine="1293"/>
        <w:spacing w:after="0" w:line="244" w:lineRule="auto"/>
        <w:tabs>
          <w:tab w:leader="none" w:pos="2804"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person having more than a 1% ownership interest in the Company or a Subsidiary, and whose annual Compensation from the Company and all Subsidiaries is more than $150,000.</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The determination of who is a Key Employee shall be made in accordance with Sections 409A and 416(i)(1) of the Code and the applicable regulations and guidance.</w:t>
      </w:r>
    </w:p>
    <w:p>
      <w:pPr>
        <w:spacing w:after="0" w:line="154" w:lineRule="exact"/>
        <w:rPr>
          <w:sz w:val="20"/>
          <w:szCs w:val="20"/>
          <w:color w:val="auto"/>
        </w:rPr>
      </w:pPr>
    </w:p>
    <w:p>
      <w:pPr>
        <w:ind w:left="150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2.15</w:t>
      </w:r>
      <w:r>
        <w:rPr>
          <w:sz w:val="20"/>
          <w:szCs w:val="20"/>
          <w:color w:val="auto"/>
        </w:rPr>
        <w:tab/>
      </w:r>
      <w:r>
        <w:rPr>
          <w:rFonts w:ascii="Times New Roman" w:cs="Times New Roman" w:eastAsia="Times New Roman" w:hAnsi="Times New Roman"/>
          <w:sz w:val="21"/>
          <w:szCs w:val="21"/>
          <w:b w:val="1"/>
          <w:bCs w:val="1"/>
          <w:u w:val="single" w:color="auto"/>
          <w:color w:val="auto"/>
        </w:rPr>
        <w:t>Participant</w:t>
      </w:r>
    </w:p>
    <w:p>
      <w:pPr>
        <w:spacing w:after="0" w:line="210" w:lineRule="exact"/>
        <w:rPr>
          <w:sz w:val="20"/>
          <w:szCs w:val="20"/>
          <w:color w:val="auto"/>
        </w:rPr>
      </w:pPr>
    </w:p>
    <w:p>
      <w:pPr>
        <w:jc w:val="both"/>
        <w:ind w:left="200" w:right="239" w:firstLine="1296"/>
        <w:spacing w:after="0" w:line="244" w:lineRule="auto"/>
        <w:rPr>
          <w:sz w:val="20"/>
          <w:szCs w:val="20"/>
          <w:color w:val="auto"/>
        </w:rPr>
      </w:pPr>
      <w:r>
        <w:rPr>
          <w:rFonts w:ascii="Times New Roman" w:cs="Times New Roman" w:eastAsia="Times New Roman" w:hAnsi="Times New Roman"/>
          <w:sz w:val="22"/>
          <w:szCs w:val="22"/>
          <w:color w:val="auto"/>
        </w:rPr>
        <w:t>"Participant" means an Employee or former Employee of the Company or a Subsidiary who has met the requirements for participation under the terms of Article 3 of this Program and who is or may become eligible to receive benefits under this Program.</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2.16</w:t>
      </w:r>
      <w:r>
        <w:rPr>
          <w:sz w:val="20"/>
          <w:szCs w:val="20"/>
          <w:color w:val="auto"/>
        </w:rPr>
        <w:tab/>
      </w:r>
      <w:r>
        <w:rPr>
          <w:rFonts w:ascii="Times New Roman" w:cs="Times New Roman" w:eastAsia="Times New Roman" w:hAnsi="Times New Roman"/>
          <w:sz w:val="21"/>
          <w:szCs w:val="21"/>
          <w:b w:val="1"/>
          <w:bCs w:val="1"/>
          <w:u w:val="single" w:color="auto"/>
          <w:color w:val="auto"/>
        </w:rPr>
        <w:t>Participant Shares</w:t>
      </w:r>
    </w:p>
    <w:p>
      <w:pPr>
        <w:spacing w:after="0" w:line="210"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"Participant Shares" means the Shares awarded to a Participant pursuant to Sections 4.2 and 4.3 and credited to the Participant's Account pursuant to 4.1, to the extent vested or unvested. Such term shall collectively refer to Unvested Participant Shares and Vested Participant Shares.</w:t>
      </w:r>
    </w:p>
    <w:p>
      <w:pPr>
        <w:spacing w:after="0" w:line="17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2.17</w:t>
      </w:r>
      <w:r>
        <w:rPr>
          <w:sz w:val="20"/>
          <w:szCs w:val="20"/>
          <w:color w:val="auto"/>
        </w:rPr>
        <w:tab/>
      </w:r>
      <w:r>
        <w:rPr>
          <w:rFonts w:ascii="Times New Roman" w:cs="Times New Roman" w:eastAsia="Times New Roman" w:hAnsi="Times New Roman"/>
          <w:sz w:val="21"/>
          <w:szCs w:val="21"/>
          <w:b w:val="1"/>
          <w:bCs w:val="1"/>
          <w:u w:val="single" w:color="auto"/>
          <w:color w:val="auto"/>
        </w:rPr>
        <w:t>Separation from Service</w:t>
      </w:r>
    </w:p>
    <w:p>
      <w:pPr>
        <w:spacing w:after="0" w:line="210"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"Separation from Service" means a "separation from service" under Section 409A of the Code. Generally, this occurs if a Participant is reasonably anticipated to have a substantial permanent reduction in the bona fide level of services provided to the Company and all Subsidiaries (whether provided as an employee or an independent contractor). The reduction shall be "substantial" only if the reduced bona fide level of services is less than 50% of the average bona fide level of services provided by Participant to the Company and all Subsidiaries during the immediately preceding 36 months (or the Participant’s entire period of service, if less than 36 months). A member of the Board shall be treated as having a Separation from Service as of the date that he or she is no longer a member of the Board.</w:t>
      </w:r>
    </w:p>
    <w:p>
      <w:pPr>
        <w:spacing w:after="0" w:line="17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2.18</w:t>
      </w:r>
      <w:r>
        <w:rPr>
          <w:sz w:val="20"/>
          <w:szCs w:val="20"/>
          <w:color w:val="auto"/>
        </w:rPr>
        <w:tab/>
      </w:r>
      <w:r>
        <w:rPr>
          <w:rFonts w:ascii="Times New Roman" w:cs="Times New Roman" w:eastAsia="Times New Roman" w:hAnsi="Times New Roman"/>
          <w:sz w:val="21"/>
          <w:szCs w:val="21"/>
          <w:b w:val="1"/>
          <w:bCs w:val="1"/>
          <w:u w:val="single" w:color="auto"/>
          <w:color w:val="auto"/>
        </w:rPr>
        <w:t>Shares</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"Shares" means shares of the common stock of the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1" w:name="page112"/>
    <w:bookmarkEnd w:id="111"/>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2.19</w:t>
      </w:r>
      <w:r>
        <w:rPr>
          <w:sz w:val="20"/>
          <w:szCs w:val="20"/>
          <w:color w:val="auto"/>
        </w:rPr>
        <w:tab/>
      </w:r>
      <w:r>
        <w:rPr>
          <w:rFonts w:ascii="Times New Roman" w:cs="Times New Roman" w:eastAsia="Times New Roman" w:hAnsi="Times New Roman"/>
          <w:sz w:val="21"/>
          <w:szCs w:val="21"/>
          <w:b w:val="1"/>
          <w:bCs w:val="1"/>
          <w:u w:val="single" w:color="auto"/>
          <w:color w:val="auto"/>
        </w:rPr>
        <w:t>Subsidiary</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"Subsidiary" means any corporation, limited liability company, partnership or other entity of which a majority of the outstanding voting stock or voting power is beneficially owned directly or indirectly by the Company.</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2.20</w:t>
      </w:r>
      <w:r>
        <w:rPr>
          <w:sz w:val="20"/>
          <w:szCs w:val="20"/>
          <w:color w:val="auto"/>
        </w:rPr>
        <w:tab/>
      </w:r>
      <w:r>
        <w:rPr>
          <w:rFonts w:ascii="Times New Roman" w:cs="Times New Roman" w:eastAsia="Times New Roman" w:hAnsi="Times New Roman"/>
          <w:sz w:val="21"/>
          <w:szCs w:val="21"/>
          <w:b w:val="1"/>
          <w:bCs w:val="1"/>
          <w:u w:val="single" w:color="auto"/>
          <w:color w:val="auto"/>
        </w:rPr>
        <w:t>Total Disability</w:t>
      </w:r>
    </w:p>
    <w:p>
      <w:pPr>
        <w:spacing w:after="0" w:line="21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"Total Disability" means the Participant meets one of the following requirements, to the extent it qualifies as a Disability within the meaning of Treas. Reg. §1.409A-3(i)(4):</w:t>
      </w:r>
    </w:p>
    <w:p>
      <w:pPr>
        <w:spacing w:after="0" w:line="158" w:lineRule="exact"/>
        <w:rPr>
          <w:sz w:val="20"/>
          <w:szCs w:val="20"/>
          <w:color w:val="auto"/>
        </w:rPr>
      </w:pPr>
    </w:p>
    <w:p>
      <w:pPr>
        <w:jc w:val="both"/>
        <w:ind w:left="860" w:right="219" w:firstLine="1293"/>
        <w:spacing w:after="0" w:line="239" w:lineRule="auto"/>
        <w:tabs>
          <w:tab w:leader="none" w:pos="2804"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is unable to engage in any substantial gainful activity by reason of any medically determinable mental or physical impairment which can be expected to result in death or can be expected to last for a continuous period of at least 12 months; or</w:t>
      </w:r>
    </w:p>
    <w:p>
      <w:pPr>
        <w:spacing w:after="0" w:line="180" w:lineRule="exact"/>
        <w:rPr>
          <w:rFonts w:ascii="Times New Roman" w:cs="Times New Roman" w:eastAsia="Times New Roman" w:hAnsi="Times New Roman"/>
          <w:sz w:val="22"/>
          <w:szCs w:val="22"/>
          <w:b w:val="1"/>
          <w:bCs w:val="1"/>
          <w:color w:val="auto"/>
        </w:rPr>
      </w:pPr>
    </w:p>
    <w:p>
      <w:pPr>
        <w:jc w:val="both"/>
        <w:ind w:left="860" w:right="219" w:firstLine="1293"/>
        <w:spacing w:after="0" w:line="255" w:lineRule="auto"/>
        <w:tabs>
          <w:tab w:leader="none" w:pos="2804" w:val="left"/>
        </w:tabs>
        <w:numPr>
          <w:ilvl w:val="0"/>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Participant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 Company-sponsored disability plan.</w:t>
      </w:r>
    </w:p>
    <w:p>
      <w:pPr>
        <w:spacing w:after="0" w:line="162"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The existence of a Total Disability shall be established by the certification of a physician or physicians selected by the Administrator, unless the Administrator determines that an examination is unnecessary. Alternatively, a Participant shall be considered to have a Total Disability if the Participant is determined to be disabled by the Social Security Administration.</w:t>
      </w:r>
    </w:p>
    <w:p>
      <w:pPr>
        <w:spacing w:after="0" w:line="17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2.21</w:t>
      </w:r>
      <w:r>
        <w:rPr>
          <w:sz w:val="20"/>
          <w:szCs w:val="20"/>
          <w:color w:val="auto"/>
        </w:rPr>
        <w:tab/>
      </w:r>
      <w:r>
        <w:rPr>
          <w:rFonts w:ascii="Times New Roman" w:cs="Times New Roman" w:eastAsia="Times New Roman" w:hAnsi="Times New Roman"/>
          <w:sz w:val="21"/>
          <w:szCs w:val="21"/>
          <w:b w:val="1"/>
          <w:bCs w:val="1"/>
          <w:u w:val="single" w:color="auto"/>
          <w:color w:val="auto"/>
        </w:rPr>
        <w:t>Trust Agreement</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"Trust Agreement" means the trust agreement used to establish the Trust Fund.</w:t>
      </w:r>
    </w:p>
    <w:p>
      <w:pPr>
        <w:spacing w:after="0" w:line="202"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2.22</w:t>
      </w:r>
      <w:r>
        <w:rPr>
          <w:sz w:val="20"/>
          <w:szCs w:val="20"/>
          <w:color w:val="auto"/>
        </w:rPr>
        <w:tab/>
      </w:r>
      <w:r>
        <w:rPr>
          <w:rFonts w:ascii="Times New Roman" w:cs="Times New Roman" w:eastAsia="Times New Roman" w:hAnsi="Times New Roman"/>
          <w:sz w:val="21"/>
          <w:szCs w:val="21"/>
          <w:b w:val="1"/>
          <w:bCs w:val="1"/>
          <w:u w:val="single" w:color="auto"/>
          <w:color w:val="auto"/>
        </w:rPr>
        <w:t>Trust Fund</w:t>
      </w:r>
    </w:p>
    <w:p>
      <w:pPr>
        <w:spacing w:after="0" w:line="210"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"Trust Fund" means the assets held under the Trust Agreement in a trust, if one is established, that conforms with the model rabbi trust found in Internal Revenue Procedure 92-64, and meets the requirements of Code Section 409A, and is a grantor trust, of which the Company is the grantor, within the meaning of Subpart E, Part I, Subchapter J, Chapter 1, Subtitle A of the Code.</w:t>
      </w:r>
    </w:p>
    <w:p>
      <w:pPr>
        <w:spacing w:after="0" w:line="173"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2.23</w:t>
      </w:r>
      <w:r>
        <w:rPr>
          <w:sz w:val="20"/>
          <w:szCs w:val="20"/>
          <w:color w:val="auto"/>
        </w:rPr>
        <w:tab/>
      </w:r>
      <w:r>
        <w:rPr>
          <w:rFonts w:ascii="Times New Roman" w:cs="Times New Roman" w:eastAsia="Times New Roman" w:hAnsi="Times New Roman"/>
          <w:sz w:val="21"/>
          <w:szCs w:val="21"/>
          <w:b w:val="1"/>
          <w:bCs w:val="1"/>
          <w:u w:val="single" w:color="auto"/>
          <w:color w:val="auto"/>
        </w:rPr>
        <w:t>Unvested Participant Shares</w:t>
      </w:r>
    </w:p>
    <w:p>
      <w:pPr>
        <w:spacing w:after="0" w:line="210"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21"/>
          <w:szCs w:val="21"/>
          <w:color w:val="auto"/>
        </w:rPr>
        <w:t>"Unvested Participant Shares" means all or a portion of the Participant Shares credited to a Participant's Account pursuant to Article 4 to the extent that they are not Vested Participant Shares.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2" w:name="page113"/>
    <w:bookmarkEnd w:id="112"/>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2.24</w:t>
      </w:r>
      <w:r>
        <w:rPr>
          <w:sz w:val="20"/>
          <w:szCs w:val="20"/>
          <w:color w:val="auto"/>
        </w:rPr>
        <w:tab/>
      </w:r>
      <w:r>
        <w:rPr>
          <w:rFonts w:ascii="Times New Roman" w:cs="Times New Roman" w:eastAsia="Times New Roman" w:hAnsi="Times New Roman"/>
          <w:sz w:val="21"/>
          <w:szCs w:val="21"/>
          <w:b w:val="1"/>
          <w:bCs w:val="1"/>
          <w:u w:val="single" w:color="auto"/>
          <w:color w:val="auto"/>
        </w:rPr>
        <w:t>Vested Participant Shares</w:t>
      </w: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"Vested Participant Shares" means all or a portion of the Participant Shares credited to a Participant's Account pursuant to Section 4 that have become vested and met the applicable vesting requirements set forth in Section 4.4 of this Program.</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2.25</w:t>
      </w:r>
      <w:r>
        <w:rPr>
          <w:sz w:val="20"/>
          <w:szCs w:val="20"/>
          <w:color w:val="auto"/>
        </w:rPr>
        <w:tab/>
      </w:r>
      <w:r>
        <w:rPr>
          <w:rFonts w:ascii="Times New Roman" w:cs="Times New Roman" w:eastAsia="Times New Roman" w:hAnsi="Times New Roman"/>
          <w:sz w:val="19"/>
          <w:szCs w:val="19"/>
          <w:b w:val="1"/>
          <w:bCs w:val="1"/>
          <w:u w:val="single" w:color="auto"/>
          <w:color w:val="auto"/>
        </w:rPr>
        <w:t>Year</w:t>
      </w:r>
    </w:p>
    <w:p>
      <w:pPr>
        <w:spacing w:after="0" w:line="21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"Year" means the 12-consecutive-month period beginning on January 1 and ending on December 31.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Participation</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Eligibility for Participation</w:t>
      </w:r>
    </w:p>
    <w:p>
      <w:pPr>
        <w:spacing w:after="0" w:line="210"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Employees of the Company or a Subsidiary that (a) participate in the Deferred Compensation Plan, (b) elect to have all or a portion of his or her Elective Deferral to be deemed to be invested in Shares, and (c) who qualify as members of a "select group of management or other highly compensated employees" under Title I of ERISA shall automatically become a Participant in the Program.</w:t>
      </w:r>
    </w:p>
    <w:p>
      <w:pPr>
        <w:spacing w:after="0" w:line="173"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u w:val="single" w:color="auto"/>
          <w:color w:val="auto"/>
        </w:rPr>
        <w:t>Termination of Active Participation</w:t>
      </w:r>
    </w:p>
    <w:p>
      <w:pPr>
        <w:spacing w:after="0" w:line="210"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The Committee may remove an Employee from further active participation in the Program. If a Participant experiences a Separation from Service or otherwise ceases to be actively employed by the Company, the Participant shall not have any additional amounts credited to his or her Account under Section 4.2; however, credits of Participant Shares to a Participant’s Account may continue as applicable pursuant to Section 4.3 until the balance of Participant's Account and the Participant Shares credited thereunder are distributed or forfeited.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3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u w:val="single" w:color="auto"/>
          <w:color w:val="auto"/>
        </w:rPr>
        <w:t>Amounts Credited to Accounts</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Participants’ Accounts</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The Administrator shall maintain an Account for each Participant to record the Participant’s benefits under the terms of the Program. Participant Shares shall be credited and allocated to a Participant’s Account as provided in this Article 4.</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Amounts Credited to Participant Accounts</w:t>
      </w:r>
    </w:p>
    <w:p>
      <w:pPr>
        <w:spacing w:after="0" w:line="210" w:lineRule="exact"/>
        <w:rPr>
          <w:sz w:val="20"/>
          <w:szCs w:val="20"/>
          <w:color w:val="auto"/>
        </w:rPr>
      </w:pPr>
    </w:p>
    <w:p>
      <w:pPr>
        <w:jc w:val="both"/>
        <w:ind w:left="860" w:right="219" w:firstLine="1293"/>
        <w:spacing w:after="0" w:line="238" w:lineRule="auto"/>
        <w:tabs>
          <w:tab w:leader="none" w:pos="2804"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Commencing with deferrals made under the Deferred Compensation Plan on or after January 1, 2025, each Participant shall be credited with Unvested Participant Shares equal to $0.35 for every $1.00 of Base Salary and/or Bonus (each as defined in the Deferred Compensation Plan) which the Participant defers under the Deferred Compensation Plan for the prior Year and which is deemed to be invested in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3" w:name="page114"/>
    <w:bookmarkEnd w:id="113"/>
    <w:p>
      <w:pPr>
        <w:jc w:val="both"/>
        <w:ind w:left="860" w:right="219"/>
        <w:spacing w:after="0" w:line="238" w:lineRule="auto"/>
        <w:rPr>
          <w:sz w:val="20"/>
          <w:szCs w:val="20"/>
          <w:color w:val="auto"/>
        </w:rPr>
      </w:pPr>
      <w:r>
        <w:rPr>
          <w:rFonts w:ascii="Times New Roman" w:cs="Times New Roman" w:eastAsia="Times New Roman" w:hAnsi="Times New Roman"/>
          <w:sz w:val="22"/>
          <w:szCs w:val="22"/>
          <w:color w:val="auto"/>
        </w:rPr>
        <w:t xml:space="preserve">Shares under the terms and conditions of the Deferred Compensation Plan. Notwithstanding the foregoing, in no event shall the aggregate Elective Deferrals (as defined in the Deferred Compensation Plan) to be considered in the calculation of the total number of Unvested Participant Shares granted to a Participant under this Section 4.2 exceed the limits set forth in attached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860" w:right="219" w:firstLine="1293"/>
        <w:spacing w:after="0" w:line="238" w:lineRule="auto"/>
        <w:tabs>
          <w:tab w:leader="none" w:pos="2804"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 will be credited with a number of Unvested Participant Shares equal to thirty-five percent (35%) of (i) the amount of deferred Base Salary, divided by the Closing Price on the date the Base Salary would have otherwise been paid to Participant, and (ii) the amount of the Bonus, divided by the Closing Price on the date the Bonus would have otherwise been paid to Participant.</w:t>
      </w:r>
    </w:p>
    <w:p>
      <w:pPr>
        <w:spacing w:after="0" w:line="173"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u w:val="single" w:color="auto"/>
          <w:color w:val="auto"/>
        </w:rPr>
        <w:t>Amounts Credited for Company Dividends</w:t>
      </w:r>
    </w:p>
    <w:p>
      <w:pPr>
        <w:spacing w:after="0" w:line="210" w:lineRule="exact"/>
        <w:rPr>
          <w:sz w:val="20"/>
          <w:szCs w:val="20"/>
          <w:color w:val="auto"/>
        </w:rPr>
      </w:pPr>
    </w:p>
    <w:p>
      <w:pPr>
        <w:jc w:val="both"/>
        <w:ind w:left="860" w:right="219"/>
        <w:spacing w:after="0" w:line="234" w:lineRule="auto"/>
        <w:rPr>
          <w:sz w:val="20"/>
          <w:szCs w:val="20"/>
          <w:color w:val="auto"/>
        </w:rPr>
      </w:pPr>
      <w:r>
        <w:rPr>
          <w:rFonts w:ascii="Times New Roman" w:cs="Times New Roman" w:eastAsia="Times New Roman" w:hAnsi="Times New Roman"/>
          <w:sz w:val="22"/>
          <w:szCs w:val="22"/>
          <w:color w:val="auto"/>
        </w:rPr>
        <w:t>If the Company pays a dividend on its Shares, a Participant's Account shall be credited with additional Shares, with respect to both Unvested Participant Shares and Vested Participant Shares credited to a Participant's Account as of the Credit Date as of the end of the immediately preceding Year, in an amount equal to the number of Participant Shares credited the Participant's Account as of the Credit Date, multiplied by a fraction, the numerator of which equals the per Share cash dividend and the denominator of which equals the Closing Price on the date the dividend is paid. The Credit Date means the date, each Year, that all Participant Shares are allocated to a Participant's Account as a result of Elective Deferrals under the Deferred Compensation Plan for the immediately preceding Year.</w:t>
      </w:r>
    </w:p>
    <w:p>
      <w:pPr>
        <w:spacing w:after="0" w:line="175"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u w:val="single" w:color="auto"/>
          <w:color w:val="auto"/>
        </w:rPr>
        <w:t>Vesting and Forfeiture</w:t>
      </w:r>
    </w:p>
    <w:p>
      <w:pPr>
        <w:spacing w:after="0" w:line="206" w:lineRule="exact"/>
        <w:rPr>
          <w:sz w:val="20"/>
          <w:szCs w:val="20"/>
          <w:color w:val="auto"/>
        </w:rPr>
      </w:pPr>
    </w:p>
    <w:p>
      <w:pPr>
        <w:jc w:val="both"/>
        <w:ind w:left="200" w:right="219" w:firstLine="1953"/>
        <w:spacing w:after="0" w:line="246" w:lineRule="auto"/>
        <w:tabs>
          <w:tab w:leader="none" w:pos="2792"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 and Forfeiture</w:t>
      </w:r>
      <w:r>
        <w:rPr>
          <w:rFonts w:ascii="Times New Roman" w:cs="Times New Roman" w:eastAsia="Times New Roman" w:hAnsi="Times New Roman"/>
          <w:sz w:val="22"/>
          <w:szCs w:val="22"/>
          <w:color w:val="auto"/>
        </w:rPr>
        <w:t>. Each Participant's Unvested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credited to that Participant’s Account pursuant to Sections 4.2 and 4.3 shall vest and become Vested Participant Shares as provided in this Section 4.4.</w:t>
      </w:r>
    </w:p>
    <w:p>
      <w:pPr>
        <w:spacing w:after="0" w:line="167" w:lineRule="exact"/>
        <w:rPr>
          <w:rFonts w:ascii="Times New Roman" w:cs="Times New Roman" w:eastAsia="Times New Roman" w:hAnsi="Times New Roman"/>
          <w:sz w:val="22"/>
          <w:szCs w:val="22"/>
          <w:b w:val="1"/>
          <w:bCs w:val="1"/>
          <w:color w:val="auto"/>
        </w:rPr>
      </w:pPr>
    </w:p>
    <w:p>
      <w:pPr>
        <w:jc w:val="both"/>
        <w:ind w:left="200" w:right="219" w:firstLine="2601"/>
        <w:spacing w:after="0" w:line="236" w:lineRule="auto"/>
        <w:tabs>
          <w:tab w:leader="none" w:pos="3440" w:val="left"/>
        </w:tabs>
        <w:numPr>
          <w:ilvl w:val="1"/>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Rule</w:t>
      </w:r>
      <w:r>
        <w:rPr>
          <w:rFonts w:ascii="Times New Roman" w:cs="Times New Roman" w:eastAsia="Times New Roman" w:hAnsi="Times New Roman"/>
          <w:sz w:val="22"/>
          <w:szCs w:val="22"/>
          <w:color w:val="auto"/>
        </w:rPr>
        <w:t>. Unvested Participant Shares credited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Account under Section 4.2 shall vest, in full, and become Vested Participant Shares separately on the fifth anniversary of the Credit Date, provided that the Participant remains employed by the Company or a Subsidiary on such applicable fifth anniversary. A separate subaccount shall be maintained for each credit of Shares to a Participant. Participant Shares credited to a Participant under Section 4.3 shall vest in accordance with the manner in which the Participant Shares are allocated as Unvested Participant Shares and Vested Participant Shares.</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2601"/>
        <w:spacing w:after="0" w:line="238" w:lineRule="auto"/>
        <w:tabs>
          <w:tab w:leader="none" w:pos="3440" w:val="left"/>
        </w:tabs>
        <w:numPr>
          <w:ilvl w:val="1"/>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Age 60, Death, Disability or Change in Control</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5.2 below, Unvested Participant Shares credited to a Participant's Account shall vest in full, and become Vested Participant Shares, in the event that the Participant attains age 60, dies, incurs a Total Disability or a Change in Control occurs, while the Participant is employed by the Company or a Subsidiary.</w:t>
      </w:r>
    </w:p>
    <w:p>
      <w:pPr>
        <w:spacing w:after="0" w:line="176" w:lineRule="exact"/>
        <w:rPr>
          <w:rFonts w:ascii="Times New Roman" w:cs="Times New Roman" w:eastAsia="Times New Roman" w:hAnsi="Times New Roman"/>
          <w:sz w:val="22"/>
          <w:szCs w:val="22"/>
          <w:b w:val="1"/>
          <w:bCs w:val="1"/>
          <w:color w:val="auto"/>
        </w:rPr>
      </w:pPr>
    </w:p>
    <w:p>
      <w:pPr>
        <w:jc w:val="both"/>
        <w:ind w:left="200" w:right="219" w:firstLine="2601"/>
        <w:spacing w:after="0" w:line="246" w:lineRule="auto"/>
        <w:tabs>
          <w:tab w:leader="none" w:pos="3440" w:val="left"/>
        </w:tabs>
        <w:numPr>
          <w:ilvl w:val="1"/>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color w:val="auto"/>
        </w:rPr>
        <w:t>. If a Participant has a Separation from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to the date of the events set forth in Section 4.4(a)(2), all Unvested Participant Shares shall be forfeited immediately. The Participant shall not be entitled to any payment or other economic</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4" w:name="page115"/>
    <w:bookmarkEnd w:id="114"/>
    <w:p>
      <w:pPr>
        <w:jc w:val="both"/>
        <w:ind w:left="200" w:right="239"/>
        <w:spacing w:after="0" w:line="244" w:lineRule="auto"/>
        <w:rPr>
          <w:sz w:val="20"/>
          <w:szCs w:val="20"/>
          <w:color w:val="auto"/>
        </w:rPr>
      </w:pPr>
      <w:r>
        <w:rPr>
          <w:rFonts w:ascii="Times New Roman" w:cs="Times New Roman" w:eastAsia="Times New Roman" w:hAnsi="Times New Roman"/>
          <w:sz w:val="22"/>
          <w:szCs w:val="22"/>
          <w:color w:val="auto"/>
        </w:rPr>
        <w:t>benefit with respect to such forfeited Unvested Participant Shares pursuant to the terms of this Program. The Participant’s forfeiture shall not be reallocated to the Accounts of other Participants, but shall reduce the Company’s liability under the Program.</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4.5</w:t>
      </w:r>
      <w:r>
        <w:rPr>
          <w:sz w:val="20"/>
          <w:szCs w:val="20"/>
          <w:color w:val="auto"/>
        </w:rPr>
        <w:tab/>
      </w:r>
      <w:r>
        <w:rPr>
          <w:rFonts w:ascii="Times New Roman" w:cs="Times New Roman" w:eastAsia="Times New Roman" w:hAnsi="Times New Roman"/>
          <w:sz w:val="21"/>
          <w:szCs w:val="21"/>
          <w:b w:val="1"/>
          <w:bCs w:val="1"/>
          <w:u w:val="single" w:color="auto"/>
          <w:color w:val="auto"/>
        </w:rPr>
        <w:t>Voting Rights with Respect to Participant Shares</w:t>
      </w:r>
    </w:p>
    <w:p>
      <w:pPr>
        <w:spacing w:after="0" w:line="210" w:lineRule="exact"/>
        <w:rPr>
          <w:sz w:val="20"/>
          <w:szCs w:val="20"/>
          <w:color w:val="auto"/>
        </w:rPr>
      </w:pPr>
    </w:p>
    <w:p>
      <w:pPr>
        <w:jc w:val="both"/>
        <w:ind w:left="860" w:right="219"/>
        <w:spacing w:after="0" w:line="235" w:lineRule="auto"/>
        <w:rPr>
          <w:sz w:val="20"/>
          <w:szCs w:val="20"/>
          <w:color w:val="auto"/>
        </w:rPr>
      </w:pPr>
      <w:r>
        <w:rPr>
          <w:rFonts w:ascii="Times New Roman" w:cs="Times New Roman" w:eastAsia="Times New Roman" w:hAnsi="Times New Roman"/>
          <w:sz w:val="22"/>
          <w:szCs w:val="22"/>
          <w:color w:val="auto"/>
        </w:rPr>
        <w:t>Participants shall have no voting rights with respect to Participant Shares allocated to their Accounts unless and until such Participant Shares are distributed to such Participant or Beneficiary pursuant to the terms of this Program. Participants and Beneficiaries are not shareholders of the Company or any Subsidiary by virtue of the Participant Shares credited to their Accounts and have no equity ownership interest in the Company or any Subsidiary by virtue of this Program, unless and until such Participant Shares are distributed to such Participant or Beneficiary pursuant to the terms of this Program.</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3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u w:val="single" w:color="auto"/>
          <w:color w:val="auto"/>
        </w:rPr>
        <w:t>Distribution of Benefits</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u w:val="single" w:color="auto"/>
          <w:color w:val="auto"/>
        </w:rPr>
        <w:t>Hardship Withdrawals</w:t>
      </w:r>
    </w:p>
    <w:p>
      <w:pPr>
        <w:spacing w:after="0" w:line="210"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A Participant who has an unforeseeable financial emergency may receive payment while employed by the Company or a Subsidiary of all or part of the vested amount credited to the Participant’s Account. A Participant may only withdraw the amount reasonably needed to satisfy the financial emergency need, including taxes reasonably anticipated to result from the distribution.</w:t>
      </w:r>
    </w:p>
    <w:p>
      <w:pPr>
        <w:spacing w:after="0" w:line="177"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For purposes of this Section 5.1, an unforeseeable financial emergency is a severe financial hardship of the Participant resulting from: a sudden and unexpected illness or accident of the Participant or a dependent of the Participant; loss of the Participant’s property due to casualty; or other similar extraordinary and unforeseeable circumstances arising as a result of events beyond the control of the Participant, to the extent such event qualifies under Treas. Reg. §1.409A-3(i)(3) or any successor provisions. But the Participant will not be considered to have an unforeseeable emergency if the hardship is or may be relieved:</w:t>
      </w:r>
    </w:p>
    <w:p>
      <w:pPr>
        <w:spacing w:after="0" w:line="183" w:lineRule="exact"/>
        <w:rPr>
          <w:sz w:val="20"/>
          <w:szCs w:val="20"/>
          <w:color w:val="auto"/>
        </w:rPr>
      </w:pPr>
    </w:p>
    <w:p>
      <w:pPr>
        <w:ind w:left="2800" w:hanging="647"/>
        <w:spacing w:after="0"/>
        <w:tabs>
          <w:tab w:leader="none" w:pos="2800"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Through reimbursement or compensation by insurance or otherwise;</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or</w:t>
      </w:r>
    </w:p>
    <w:p>
      <w:pPr>
        <w:spacing w:after="0" w:line="182" w:lineRule="exact"/>
        <w:rPr>
          <w:sz w:val="20"/>
          <w:szCs w:val="20"/>
          <w:color w:val="auto"/>
        </w:rPr>
      </w:pPr>
    </w:p>
    <w:p>
      <w:pPr>
        <w:ind w:left="860" w:right="219" w:firstLine="1293"/>
        <w:spacing w:after="0" w:line="258" w:lineRule="auto"/>
        <w:tabs>
          <w:tab w:leader="none" w:pos="2804"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liquidation of the Participant’s assets, to the extent the liquidation of such assets would itself not cause severe financial hardship.</w:t>
      </w:r>
    </w:p>
    <w:p>
      <w:pPr>
        <w:spacing w:after="0" w:line="158" w:lineRule="exact"/>
        <w:rPr>
          <w:sz w:val="20"/>
          <w:szCs w:val="20"/>
          <w:color w:val="auto"/>
        </w:rPr>
      </w:pPr>
    </w:p>
    <w:p>
      <w:pPr>
        <w:ind w:left="860" w:right="239" w:firstLine="648"/>
        <w:spacing w:after="0" w:line="258" w:lineRule="auto"/>
        <w:rPr>
          <w:sz w:val="20"/>
          <w:szCs w:val="20"/>
          <w:color w:val="auto"/>
        </w:rPr>
      </w:pPr>
      <w:r>
        <w:rPr>
          <w:rFonts w:ascii="Times New Roman" w:cs="Times New Roman" w:eastAsia="Times New Roman" w:hAnsi="Times New Roman"/>
          <w:sz w:val="22"/>
          <w:szCs w:val="22"/>
          <w:color w:val="auto"/>
        </w:rPr>
        <w:t>The need to send a Participant’s child to college or the desire to purchase a home are not unforeseeable emergencies for purposes of this Section 5.1.</w:t>
      </w:r>
    </w:p>
    <w:p>
      <w:pPr>
        <w:spacing w:after="0" w:line="15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The Administrator may periodically establish administrative rules regarding withdrawals under this Section 5.1. Any hardship withdrawals made by a Participant shall reduce the number of Participant Shares credited to Participant's Account and correspondingly the amount distributable to the Participant under this Article 5.</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5" w:name="page116"/>
    <w:bookmarkEnd w:id="115"/>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u w:val="single" w:color="auto"/>
          <w:color w:val="auto"/>
        </w:rPr>
        <w:t>Forfeiture of Vested Benefits</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Notwithstanding anything else herein to the contrary, the Participant shall forfeit all Participant Shares, including Vested Participant Shares and Unvested Participant Shares, credited to his or her Account if:</w:t>
      </w:r>
    </w:p>
    <w:p>
      <w:pPr>
        <w:spacing w:after="0" w:line="173" w:lineRule="exact"/>
        <w:rPr>
          <w:sz w:val="20"/>
          <w:szCs w:val="20"/>
          <w:color w:val="auto"/>
        </w:rPr>
      </w:pPr>
    </w:p>
    <w:p>
      <w:pPr>
        <w:ind w:left="860" w:right="239" w:firstLine="1293"/>
        <w:spacing w:after="0" w:line="258" w:lineRule="auto"/>
        <w:tabs>
          <w:tab w:leader="none" w:pos="2804"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has a voluntary or involuntary Separation from Service after the Participant commits Gross Misconduct.</w:t>
      </w:r>
    </w:p>
    <w:p>
      <w:pPr>
        <w:spacing w:after="0" w:line="158"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fails to comply with the duty of loyalty described in</w:t>
      </w:r>
    </w:p>
    <w:p>
      <w:pPr>
        <w:spacing w:after="0" w:line="14" w:lineRule="exact"/>
        <w:rPr>
          <w:rFonts w:ascii="Times New Roman" w:cs="Times New Roman" w:eastAsia="Times New Roman" w:hAnsi="Times New Roman"/>
          <w:sz w:val="22"/>
          <w:szCs w:val="22"/>
          <w:b w:val="1"/>
          <w:bCs w:val="1"/>
          <w:color w:val="auto"/>
        </w:rPr>
      </w:pPr>
    </w:p>
    <w:p>
      <w:pPr>
        <w:ind w:left="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5.3.</w:t>
      </w:r>
    </w:p>
    <w:p>
      <w:pPr>
        <w:spacing w:after="0" w:line="182" w:lineRule="exact"/>
        <w:rPr>
          <w:sz w:val="20"/>
          <w:szCs w:val="20"/>
          <w:color w:val="auto"/>
        </w:rPr>
      </w:pPr>
    </w:p>
    <w:p>
      <w:pPr>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The amount of any forfeitures under this Section 5.2 shall reduce the Company’s liability under this Program and shall not be reallocated to the Accounts of other Participants.</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u w:val="single" w:color="auto"/>
          <w:color w:val="auto"/>
        </w:rPr>
        <w:t>Duty of Loyalty</w:t>
      </w:r>
    </w:p>
    <w:p>
      <w:pPr>
        <w:spacing w:after="0" w:line="210" w:lineRule="exact"/>
        <w:rPr>
          <w:sz w:val="20"/>
          <w:szCs w:val="20"/>
          <w:color w:val="auto"/>
        </w:rPr>
      </w:pPr>
    </w:p>
    <w:p>
      <w:pPr>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Each Participant has a duty of loyalty to the Company and its Subsidiaries. While the Participant is employed by the Company or a Subsidiary, this duty includes the following:</w:t>
      </w:r>
    </w:p>
    <w:p>
      <w:pPr>
        <w:spacing w:after="0" w:line="158" w:lineRule="exact"/>
        <w:rPr>
          <w:sz w:val="20"/>
          <w:szCs w:val="20"/>
          <w:color w:val="auto"/>
        </w:rPr>
      </w:pPr>
    </w:p>
    <w:p>
      <w:pPr>
        <w:ind w:left="860" w:right="219" w:firstLine="1293"/>
        <w:spacing w:after="0" w:line="258" w:lineRule="auto"/>
        <w:tabs>
          <w:tab w:leader="none" w:pos="2804"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shall use the Participant’s best efforts in performing any job duties assigned to the Participant.</w:t>
      </w:r>
    </w:p>
    <w:p>
      <w:pPr>
        <w:spacing w:after="0" w:line="158" w:lineRule="exact"/>
        <w:rPr>
          <w:rFonts w:ascii="Times New Roman" w:cs="Times New Roman" w:eastAsia="Times New Roman" w:hAnsi="Times New Roman"/>
          <w:sz w:val="22"/>
          <w:szCs w:val="22"/>
          <w:b w:val="1"/>
          <w:bCs w:val="1"/>
          <w:color w:val="auto"/>
        </w:rPr>
      </w:pPr>
    </w:p>
    <w:p>
      <w:pPr>
        <w:jc w:val="both"/>
        <w:ind w:left="860" w:right="219" w:firstLine="1293"/>
        <w:spacing w:after="0" w:line="244" w:lineRule="auto"/>
        <w:tabs>
          <w:tab w:leader="none" w:pos="2804"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shall not have an ownership interest in any other entity if that ownership interest detracts from the Participant’s job duties for the Company or a Subsidiary, or is inconsistent with the best interests of the Company or a Subsidiary.</w:t>
      </w:r>
    </w:p>
    <w:p>
      <w:pPr>
        <w:spacing w:after="0" w:line="173" w:lineRule="exact"/>
        <w:rPr>
          <w:rFonts w:ascii="Times New Roman" w:cs="Times New Roman" w:eastAsia="Times New Roman" w:hAnsi="Times New Roman"/>
          <w:sz w:val="22"/>
          <w:szCs w:val="22"/>
          <w:b w:val="1"/>
          <w:bCs w:val="1"/>
          <w:color w:val="auto"/>
        </w:rPr>
      </w:pPr>
    </w:p>
    <w:p>
      <w:pPr>
        <w:jc w:val="both"/>
        <w:ind w:left="860" w:right="219" w:firstLine="1293"/>
        <w:spacing w:after="0" w:line="244" w:lineRule="auto"/>
        <w:tabs>
          <w:tab w:leader="none" w:pos="2804"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shall not provide services to any other entity if those services detract from the Participant’s job duties for the Company or is in any way inconsistent with the best interests of the Company or a Subsidiary.</w:t>
      </w:r>
    </w:p>
    <w:p>
      <w:pPr>
        <w:spacing w:after="0" w:line="173" w:lineRule="exact"/>
        <w:rPr>
          <w:rFonts w:ascii="Times New Roman" w:cs="Times New Roman" w:eastAsia="Times New Roman" w:hAnsi="Times New Roman"/>
          <w:sz w:val="22"/>
          <w:szCs w:val="22"/>
          <w:b w:val="1"/>
          <w:bCs w:val="1"/>
          <w:color w:val="auto"/>
        </w:rPr>
      </w:pPr>
    </w:p>
    <w:p>
      <w:pPr>
        <w:jc w:val="both"/>
        <w:ind w:left="860" w:right="219" w:firstLine="1293"/>
        <w:spacing w:after="0" w:line="244" w:lineRule="auto"/>
        <w:tabs>
          <w:tab w:leader="none" w:pos="2804"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shall not take advantage of any business opportunities for the Participant’s individual benefit if the business opportunity should have been provided to the Company or a Subsidiary.</w:t>
      </w:r>
    </w:p>
    <w:p>
      <w:pPr>
        <w:spacing w:after="0" w:line="173"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If the Company notifies a Participant that the Participant is in violation of the duty of loyalty described in this Section 5.3, the Participant shall have ten days to cure any violation as required by the Company or forfeit all rights to subsequent benefits from the Program. If the Participant cures a violation of the duty of loyalty, but then violates the duty of loyalty a second time, the Participant shall immediately forfeit all rights to subsequent benefits from the Program without being given the right to cure the violation.</w:t>
      </w:r>
    </w:p>
    <w:p>
      <w:pPr>
        <w:spacing w:after="0" w:line="181"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The determination of whether a Participant has violated the duty of loyalty described in this Section 5.3 shall be made by the Administrator in its sole discretion.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6" w:name="page117"/>
    <w:bookmarkEnd w:id="116"/>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u w:val="single" w:color="auto"/>
          <w:color w:val="auto"/>
        </w:rPr>
        <w:t>Payment Timing &amp; Terms</w:t>
      </w:r>
    </w:p>
    <w:p>
      <w:pPr>
        <w:spacing w:after="0" w:line="210"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All Vested Participant Shares credited to a Participant's Account shall be distributed to a Participant or the Participant's Beneficiary, as applicable, in a single lump sum payable in the form of certificates for whole Shares of the Company (except for fractional Shares which shall be paid in cash or withheld to cover taxes) at the first of the following to occur:</w:t>
      </w:r>
    </w:p>
    <w:p>
      <w:pPr>
        <w:spacing w:after="0" w:line="180" w:lineRule="exact"/>
        <w:rPr>
          <w:sz w:val="20"/>
          <w:szCs w:val="20"/>
          <w:color w:val="auto"/>
        </w:rPr>
      </w:pPr>
    </w:p>
    <w:p>
      <w:pPr>
        <w:jc w:val="both"/>
        <w:ind w:left="200" w:right="219" w:firstLine="1953"/>
        <w:spacing w:after="0" w:line="244" w:lineRule="auto"/>
        <w:tabs>
          <w:tab w:leader="none" w:pos="2792"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 Distributable Event occurs as a result of the Participant’s Total Disability or Separation from Service, the Vested Participant Shares shall be paid not later than 90 days after the Distributable Event.</w:t>
      </w:r>
    </w:p>
    <w:p>
      <w:pPr>
        <w:spacing w:after="0" w:line="173"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Participant has a Distributable Event because of a Change in</w:t>
      </w:r>
    </w:p>
    <w:p>
      <w:pPr>
        <w:spacing w:after="0" w:line="14" w:lineRule="exact"/>
        <w:rPr>
          <w:rFonts w:ascii="Times New Roman" w:cs="Times New Roman" w:eastAsia="Times New Roman" w:hAnsi="Times New Roman"/>
          <w:sz w:val="22"/>
          <w:szCs w:val="22"/>
          <w:b w:val="1"/>
          <w:bCs w:val="1"/>
          <w:color w:val="auto"/>
        </w:rPr>
      </w:pPr>
    </w:p>
    <w:p>
      <w:pPr>
        <w:ind w:left="2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Control, the Participant Shares shall be paid on the date of the Change in Control.</w:t>
      </w:r>
    </w:p>
    <w:p>
      <w:pPr>
        <w:spacing w:after="0" w:line="182" w:lineRule="exact"/>
        <w:rPr>
          <w:rFonts w:ascii="Times New Roman" w:cs="Times New Roman" w:eastAsia="Times New Roman" w:hAnsi="Times New Roman"/>
          <w:sz w:val="22"/>
          <w:szCs w:val="22"/>
          <w:b w:val="1"/>
          <w:bCs w:val="1"/>
          <w:color w:val="auto"/>
        </w:rPr>
      </w:pPr>
    </w:p>
    <w:p>
      <w:pPr>
        <w:jc w:val="both"/>
        <w:ind w:left="200" w:right="219" w:firstLine="1953"/>
        <w:spacing w:after="0" w:line="244" w:lineRule="auto"/>
        <w:tabs>
          <w:tab w:leader="none" w:pos="2792"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 Participant has a Distributable Event because of the Participant’s death, the Vested Participant Shares shall be paid to the Participant’s Beneficiary on the date that is 90 days after the Participant’s death.</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953"/>
        <w:spacing w:after="0" w:line="239" w:lineRule="auto"/>
        <w:tabs>
          <w:tab w:leader="none" w:pos="2792"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else to the contrary including the provisions of this Section 5.4, payment to a Key Employee as a result of a Separation from Service will be delayed until the six-month anniversary of the date the Key Employee has a Separation from Service or the date of the Key Employee’s death, if earlier.</w:t>
      </w:r>
    </w:p>
    <w:p>
      <w:pPr>
        <w:spacing w:after="0" w:line="17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u w:val="single" w:color="auto"/>
          <w:color w:val="auto"/>
        </w:rPr>
        <w:t>Spendthrift Provision</w:t>
      </w:r>
    </w:p>
    <w:p>
      <w:pPr>
        <w:spacing w:after="0" w:line="210"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No benefit or interest under the Program is subject in any manner to anticipation, alienation, sale, transfer, assignment, pledge, encumbrance, attachment, or garnishment by creditors of a Participant or the Participant’s Beneficiary, and are exempt, to the maximum extent permitted by law, from the claims of creditors. Any attempt by a Participant or Beneficiary to assign or alienate the benefits issued pursuant to the terms of this Program shall cause all of such benefits to be immediately forfeited and neither Participant nor Beneficiary shall be entitled to any payment or other economic benefit with respect to the forfeited Incentive Benefit or otherwise under the terms of the Program. As used in this section, the words assignment and alienation include any sale, transfer, or other disposition; any anticipation, pledge, security agreement, or other method of securing payment or performance of an obligation; any garnishment, execution, attachment, levy, or other method of satisfying creditors’ claims. Notwithstanding the foregoing, the prohibition on assignment and alienation shall not restrict the Company or any Subsidiary’s obligation to engage in tax withholding.</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u w:val="single" w:color="auto"/>
          <w:color w:val="auto"/>
        </w:rPr>
        <w:t>Funding</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u w:val="single" w:color="auto"/>
          <w:color w:val="auto"/>
        </w:rPr>
        <w:t>Establishment of Trust Fund</w:t>
      </w:r>
    </w:p>
    <w:p>
      <w:pPr>
        <w:spacing w:after="0" w:line="21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The Company may enter into a Trust Agreement to establish a Trust Fund and shall contribute Shares to the Trust Fund as such Shares are granted to Participants. Any Shares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7" w:name="page118"/>
    <w:bookmarkEnd w:id="117"/>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forfeited by Participants may be retained in the Trust and used to reduce future contributions to be made by the Company.</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u w:val="single" w:color="auto"/>
          <w:color w:val="auto"/>
        </w:rPr>
        <w:t>Status as Grantor Trust</w:t>
      </w:r>
    </w:p>
    <w:p>
      <w:pPr>
        <w:spacing w:after="0" w:line="210"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The Trust Fund shall be a grantor trust. The Trust Agreement shall provide that the assets of the Trust Fund are subject to the claims of the Company’s general creditors if the Company becomes insolvent. In addition, neither this Program nor the establishment of a Trust Fund shall create any trust or other fiduciary relationship of any kind with respect to the deferred compensation or any asset of the Company. The Company has complete legal and beneficial ownership of all assets in the Trust Fund and Participant Accounts until distributed pursuant to the terms of this Program. The right to benefits under the Program is merely an unsecured promise of the Company to pay the deferred compensation from the Company’s general assets. The Program does not require the Company or the Committee to establish any fund or segregate any assets for the benefit of any Participant.</w:t>
      </w:r>
    </w:p>
    <w:p>
      <w:pPr>
        <w:spacing w:after="0" w:line="175"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u w:val="single" w:color="auto"/>
          <w:color w:val="auto"/>
        </w:rPr>
        <w:t>Status of Participants as Unsecured Creditors</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The obligation of the Company to pay benefits under the Plan shall be unsecured. Each Participant is an unsecured creditor of the Company. The Plan constitutes a mere promise by the Company to make benefit payments in the future.</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The establishment of an Account for a Participant and the Company’s payment of contributions to the Trust Fund are not intended to create any security for payment of benefits under the Plan or change the status of the Plan as an unfunded plan.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u w:val="single" w:color="auto"/>
          <w:color w:val="auto"/>
        </w:rPr>
        <w:t>Administrator</w:t>
      </w:r>
    </w:p>
    <w:p>
      <w:pPr>
        <w:spacing w:after="0" w:line="210"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The Company shall have the sole responsibility for the administration of the Plan and is designated as named fiduciary and Administrator. The Administrator shall have the power and duties which are described in this Article. The Committee shall carry out the functions of the Administrator with respect to the day-to-day operation of the Program. If a member of the Committee is a Participant, the member shall abstain from voting on any matter relating to the member’s benefits under the Program.</w:t>
      </w:r>
    </w:p>
    <w:p>
      <w:pPr>
        <w:spacing w:after="0" w:line="177"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u w:val="single" w:color="auto"/>
          <w:color w:val="auto"/>
        </w:rPr>
        <w:t>Powers of Administrator</w:t>
      </w:r>
    </w:p>
    <w:p>
      <w:pPr>
        <w:spacing w:after="0" w:line="21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The Administrator shall have all discretionary powers necessary to administer and satisfy its obligations under the Program, including, but not limited to, the following:</w:t>
      </w:r>
    </w:p>
    <w:p>
      <w:pPr>
        <w:spacing w:after="0" w:line="158" w:lineRule="exact"/>
        <w:rPr>
          <w:sz w:val="20"/>
          <w:szCs w:val="20"/>
          <w:color w:val="auto"/>
        </w:rPr>
      </w:pPr>
    </w:p>
    <w:p>
      <w:pPr>
        <w:ind w:left="2800" w:hanging="647"/>
        <w:spacing w:after="0"/>
        <w:tabs>
          <w:tab w:leader="none" w:pos="280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Maintain records pertaining to the Program.</w:t>
      </w:r>
    </w:p>
    <w:p>
      <w:pPr>
        <w:spacing w:after="0" w:line="206"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Interpret the terms and provisions of the Program.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8" w:name="page119"/>
    <w:bookmarkEnd w:id="118"/>
    <w:p>
      <w:pPr>
        <w:ind w:left="860" w:right="219" w:firstLine="1293"/>
        <w:spacing w:after="0" w:line="258" w:lineRule="auto"/>
        <w:tabs>
          <w:tab w:leader="none" w:pos="2804"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Establish procedures by which Participants may apply for benefits under the Program and appeal a denial of benefits.</w:t>
      </w:r>
    </w:p>
    <w:p>
      <w:pPr>
        <w:spacing w:after="0" w:line="158" w:lineRule="exact"/>
        <w:rPr>
          <w:rFonts w:ascii="Times New Roman" w:cs="Times New Roman" w:eastAsia="Times New Roman" w:hAnsi="Times New Roman"/>
          <w:sz w:val="22"/>
          <w:szCs w:val="22"/>
          <w:b w:val="1"/>
          <w:bCs w:val="1"/>
          <w:color w:val="auto"/>
        </w:rPr>
      </w:pPr>
    </w:p>
    <w:p>
      <w:pPr>
        <w:ind w:left="860" w:right="219" w:firstLine="1293"/>
        <w:spacing w:after="0" w:line="258" w:lineRule="auto"/>
        <w:tabs>
          <w:tab w:leader="none" w:pos="2804"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Determine the rights under the Program of any Participant applying for or receiving benefits.</w:t>
      </w:r>
    </w:p>
    <w:p>
      <w:pPr>
        <w:spacing w:after="0" w:line="158"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Administer the appeal procedure provided in this Article.</w:t>
      </w:r>
    </w:p>
    <w:p>
      <w:pPr>
        <w:spacing w:after="0" w:line="206" w:lineRule="exact"/>
        <w:rPr>
          <w:rFonts w:ascii="Times New Roman" w:cs="Times New Roman" w:eastAsia="Times New Roman" w:hAnsi="Times New Roman"/>
          <w:sz w:val="22"/>
          <w:szCs w:val="22"/>
          <w:b w:val="1"/>
          <w:bCs w:val="1"/>
          <w:color w:val="auto"/>
        </w:rPr>
      </w:pPr>
    </w:p>
    <w:p>
      <w:pPr>
        <w:ind w:left="860" w:right="219" w:firstLine="1293"/>
        <w:spacing w:after="0" w:line="258" w:lineRule="auto"/>
        <w:tabs>
          <w:tab w:leader="none" w:pos="2804"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Perform all acts necessary to meet the reporting and disclosure obligations imposed by applicable law.</w:t>
      </w:r>
    </w:p>
    <w:p>
      <w:pPr>
        <w:spacing w:after="0" w:line="158" w:lineRule="exact"/>
        <w:rPr>
          <w:rFonts w:ascii="Times New Roman" w:cs="Times New Roman" w:eastAsia="Times New Roman" w:hAnsi="Times New Roman"/>
          <w:sz w:val="22"/>
          <w:szCs w:val="22"/>
          <w:b w:val="1"/>
          <w:bCs w:val="1"/>
          <w:color w:val="auto"/>
        </w:rPr>
      </w:pPr>
    </w:p>
    <w:p>
      <w:pPr>
        <w:jc w:val="both"/>
        <w:ind w:left="860" w:right="219" w:firstLine="1293"/>
        <w:spacing w:after="0" w:line="244" w:lineRule="auto"/>
        <w:tabs>
          <w:tab w:leader="none" w:pos="2804"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Delegate specific responsibilities for the operation and administration of the Program to such employees of the Company or agents as it deems advisable and necessary.</w:t>
      </w:r>
    </w:p>
    <w:p>
      <w:pPr>
        <w:spacing w:after="0" w:line="173"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Issue reports to Participants no less than once per year.</w:t>
      </w:r>
    </w:p>
    <w:p>
      <w:pPr>
        <w:spacing w:after="0" w:line="202"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u w:val="single" w:color="auto"/>
          <w:color w:val="auto"/>
        </w:rPr>
        <w:t>Standard of Care</w:t>
      </w:r>
    </w:p>
    <w:p>
      <w:pPr>
        <w:spacing w:after="0" w:line="210"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The Administrator shall administer the Program solely in the interest of Participants and for the exclusive purposes of providing benefits to the Participants and their Beneficiaries. The Administrator shall administer the Program with the care, skill, prudence and diligence under the circumstances then prevailing that a prudent person, acting in a like capacity and familiar with such matters, would use in the conduct of an enterprise of a like character and with like aims.</w:t>
      </w:r>
    </w:p>
    <w:p>
      <w:pPr>
        <w:spacing w:after="0" w:line="16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The Administrator shall not be liable for any act or omission relating to its duties under the Program unless the act or omission violates the standard of care described in this Section 7.3.</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u w:val="single" w:color="auto"/>
          <w:color w:val="auto"/>
        </w:rPr>
        <w:t>Appeal Procedure</w:t>
      </w:r>
    </w:p>
    <w:p>
      <w:pPr>
        <w:spacing w:after="0" w:line="210"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Any Participant whose application for benefits under the Program has been denied, in whole or in part, shall be given written notice of the denial of benefits by the Administrator. The notice shall be in easily understood language and shall indicate the reasons for denial and the specific provisions of the Program on which the denial is based. The notice shall explain that the Participant may request a review of the denial and the procedure for requesting review. The notice shall describe any additional information necessary to approve the Participant’s claim and explain why such information is necessary.</w:t>
      </w:r>
    </w:p>
    <w:p>
      <w:pPr>
        <w:spacing w:after="0" w:line="183"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A Participant may make a written request to the Committee for a review of any denial of benefits under the Program. The request for review must be in writing and must be made within 60 days after the mailing date of the notice of denial. The request shall refer to the provisions of the Program or Plan on which it is based and shall set forth the facts relied upon as justifying a reversal or modification of the determination being appealed.</w:t>
      </w:r>
    </w:p>
    <w:p>
      <w:pPr>
        <w:spacing w:after="0" w:line="177"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A Participant who requests a review of a denial of benefits in accordance with this appeal procedure may examine pertinent documents and submit pertinent issues and comments in writing. A Participant may have a duly authorized representative act on his or her behalf in</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9" w:name="page120"/>
    <w:bookmarkEnd w:id="119"/>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exercising his or her right to request a review and any other rights granted by this appeal procedure. The Committee shall provide a review of the decision denying the claim for benefit within 60 days after receiving the written request for review.</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A Participant shall not be permitted to commence any legal action against the Company regarding his or her benefits under the Plan before exhausting the appeal procedure contained in this Section 7.4.</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7.5</w:t>
      </w:r>
      <w:r>
        <w:rPr>
          <w:sz w:val="20"/>
          <w:szCs w:val="20"/>
          <w:color w:val="auto"/>
        </w:rPr>
        <w:tab/>
      </w:r>
      <w:r>
        <w:rPr>
          <w:rFonts w:ascii="Times New Roman" w:cs="Times New Roman" w:eastAsia="Times New Roman" w:hAnsi="Times New Roman"/>
          <w:sz w:val="21"/>
          <w:szCs w:val="21"/>
          <w:b w:val="1"/>
          <w:bCs w:val="1"/>
          <w:u w:val="single" w:color="auto"/>
          <w:color w:val="auto"/>
        </w:rPr>
        <w:t>Indemnification of Committee</w:t>
      </w:r>
    </w:p>
    <w:p>
      <w:pPr>
        <w:spacing w:after="0" w:line="210"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The Company shall indemnify and hold harmless the members of the Committee and their duly appointed agents against any and all claims, loss, damage, expense or liability arising from any action or failure to act with respect to the Program, except in the case of gross negligence or willful misconduct by any such member or agent of the Committee.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23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1"/>
          <w:szCs w:val="21"/>
          <w:b w:val="1"/>
          <w:bCs w:val="1"/>
          <w:u w:val="single" w:color="auto"/>
          <w:color w:val="auto"/>
        </w:rPr>
        <w:t>Employment Rights</w:t>
      </w:r>
    </w:p>
    <w:p>
      <w:pPr>
        <w:spacing w:after="0" w:line="210" w:lineRule="exact"/>
        <w:rPr>
          <w:sz w:val="20"/>
          <w:szCs w:val="20"/>
          <w:color w:val="auto"/>
        </w:rPr>
      </w:pPr>
    </w:p>
    <w:p>
      <w:pPr>
        <w:jc w:val="both"/>
        <w:ind w:left="200" w:right="239" w:firstLine="1296"/>
        <w:spacing w:after="0" w:line="244" w:lineRule="auto"/>
        <w:rPr>
          <w:sz w:val="20"/>
          <w:szCs w:val="20"/>
          <w:color w:val="auto"/>
        </w:rPr>
      </w:pPr>
      <w:r>
        <w:rPr>
          <w:rFonts w:ascii="Times New Roman" w:cs="Times New Roman" w:eastAsia="Times New Roman" w:hAnsi="Times New Roman"/>
          <w:sz w:val="22"/>
          <w:szCs w:val="22"/>
          <w:color w:val="auto"/>
        </w:rPr>
        <w:t>The existence of the Plan and the Program shall not grant a Participant any legal right to continue as an employee of the Company or any Subsidiary nor affect the right of the Company or a Subsidiary to discharge a Participant from employment.</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u w:val="single" w:color="auto"/>
          <w:color w:val="auto"/>
        </w:rPr>
        <w:t>Tax Withholding</w:t>
      </w:r>
    </w:p>
    <w:p>
      <w:pPr>
        <w:spacing w:after="0" w:line="210" w:lineRule="exact"/>
        <w:rPr>
          <w:sz w:val="20"/>
          <w:szCs w:val="20"/>
          <w:color w:val="auto"/>
        </w:rPr>
      </w:pPr>
    </w:p>
    <w:p>
      <w:pPr>
        <w:jc w:val="both"/>
        <w:ind w:left="200" w:right="219" w:firstLine="1953"/>
        <w:spacing w:after="0" w:line="244" w:lineRule="auto"/>
        <w:tabs>
          <w:tab w:leader="none" w:pos="2792"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applicable federal, state, or local taxes shall be withheld from the benefits paid to a Participant or the Participant’s Beneficiary to the extent required by law or elected by the Participant or Beneficiary.</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953"/>
        <w:spacing w:after="0" w:line="239" w:lineRule="auto"/>
        <w:tabs>
          <w:tab w:leader="none" w:pos="2792"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Neither the Company nor any Subsidiary makes any representations with respect to the tax treatment of the Shares subject to the terms of the Program and Plan. Each Participant is advised to review with the Participant's own tax advisors the federal, state, local, and foreign tax consequences of this Program, and the benefits hereunder.</w:t>
      </w:r>
    </w:p>
    <w:p>
      <w:pPr>
        <w:spacing w:after="0" w:line="17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1"/>
          <w:szCs w:val="21"/>
          <w:b w:val="1"/>
          <w:bCs w:val="1"/>
          <w:u w:val="single" w:color="auto"/>
          <w:color w:val="auto"/>
        </w:rPr>
        <w:t>409A Savings Clause &amp; Severability</w:t>
      </w:r>
    </w:p>
    <w:p>
      <w:pPr>
        <w:spacing w:after="0" w:line="210" w:lineRule="exact"/>
        <w:rPr>
          <w:sz w:val="20"/>
          <w:szCs w:val="20"/>
          <w:color w:val="auto"/>
        </w:rPr>
      </w:pPr>
    </w:p>
    <w:p>
      <w:pPr>
        <w:jc w:val="both"/>
        <w:ind w:left="200" w:right="219" w:firstLine="1953"/>
        <w:spacing w:after="0" w:line="236" w:lineRule="auto"/>
        <w:tabs>
          <w:tab w:leader="none" w:pos="2792"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Program will be administered so as to comply with Code §409A. If any provision of the Program or Plan term conflicts with any requirement of Code §409A, the requirement of Code §409A will control. For example, and without limiting the generality of the foregoing, a change in control event does not occur unless the event qualifies as a change in the ownership of the Company, a change in the effective control of the Company, or a change in the ownership of a substantial portion of the Company’s assets under Code §409A.</w:t>
      </w:r>
    </w:p>
    <w:p>
      <w:pPr>
        <w:spacing w:after="0" w:line="181" w:lineRule="exact"/>
        <w:rPr>
          <w:rFonts w:ascii="Times New Roman" w:cs="Times New Roman" w:eastAsia="Times New Roman" w:hAnsi="Times New Roman"/>
          <w:sz w:val="22"/>
          <w:szCs w:val="22"/>
          <w:b w:val="1"/>
          <w:bCs w:val="1"/>
          <w:color w:val="auto"/>
        </w:rPr>
      </w:pPr>
    </w:p>
    <w:p>
      <w:pPr>
        <w:jc w:val="both"/>
        <w:ind w:left="200" w:right="219" w:firstLine="1953"/>
        <w:spacing w:after="0" w:line="261" w:lineRule="auto"/>
        <w:tabs>
          <w:tab w:leader="none" w:pos="2792" w:val="left"/>
        </w:tabs>
        <w:numPr>
          <w:ilvl w:val="0"/>
          <w:numId w:val="1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a court determines that any provision of the Program is unenforceable, the court may modify the provision, if possible, so as to give effect to the Program in a way that is consistent with the purpose of the Plan and the requirements of governing law. If</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0" w:name="page121"/>
    <w:bookmarkEnd w:id="120"/>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such a modification is not possible, the court may sever the unenforceable provision and enforce the rest of the Plan in a way that is consistent with the purpose of the Program and the requirements of governing law.</w:t>
      </w:r>
    </w:p>
    <w:p>
      <w:pPr>
        <w:spacing w:after="0" w:line="173" w:lineRule="exact"/>
        <w:rPr>
          <w:sz w:val="20"/>
          <w:szCs w:val="20"/>
          <w:color w:val="auto"/>
        </w:rPr>
      </w:pPr>
    </w:p>
    <w:p>
      <w:pPr>
        <w:jc w:val="both"/>
        <w:ind w:left="200" w:right="219" w:firstLine="1953"/>
        <w:spacing w:after="0" w:line="244" w:lineRule="auto"/>
        <w:tabs>
          <w:tab w:leader="none" w:pos="2792"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or the Administrator may apply any permissive provision of any applicable law or regulation unless the provision is contrary to the terms of the Program.</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u w:val="single" w:color="auto"/>
          <w:color w:val="auto"/>
        </w:rPr>
        <w:t>Construction</w:t>
      </w:r>
    </w:p>
    <w:p>
      <w:pPr>
        <w:spacing w:after="0" w:line="206" w:lineRule="exact"/>
        <w:rPr>
          <w:sz w:val="20"/>
          <w:szCs w:val="20"/>
          <w:color w:val="auto"/>
        </w:rPr>
      </w:pPr>
    </w:p>
    <w:p>
      <w:pPr>
        <w:ind w:left="2160"/>
        <w:spacing w:after="0"/>
        <w:tabs>
          <w:tab w:leader="none" w:pos="278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color w:val="auto"/>
        </w:rPr>
        <w:t>Words used in the masculine shall apply to the feminine where</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applicable.</w:t>
      </w:r>
    </w:p>
    <w:p>
      <w:pPr>
        <w:spacing w:after="0" w:line="182" w:lineRule="exact"/>
        <w:rPr>
          <w:sz w:val="20"/>
          <w:szCs w:val="20"/>
          <w:color w:val="auto"/>
        </w:rPr>
      </w:pPr>
    </w:p>
    <w:p>
      <w:pPr>
        <w:ind w:left="200" w:right="219" w:firstLine="1953"/>
        <w:spacing w:after="0" w:line="258" w:lineRule="auto"/>
        <w:tabs>
          <w:tab w:leader="none" w:pos="2792"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Wherever the context of the Program dictates, the plural shall be read as the singular and the singular as the plural.</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8.5</w:t>
      </w:r>
      <w:r>
        <w:rPr>
          <w:sz w:val="20"/>
          <w:szCs w:val="20"/>
          <w:color w:val="auto"/>
        </w:rPr>
        <w:tab/>
      </w:r>
      <w:r>
        <w:rPr>
          <w:rFonts w:ascii="Times New Roman" w:cs="Times New Roman" w:eastAsia="Times New Roman" w:hAnsi="Times New Roman"/>
          <w:sz w:val="21"/>
          <w:szCs w:val="21"/>
          <w:b w:val="1"/>
          <w:bCs w:val="1"/>
          <w:u w:val="single" w:color="auto"/>
          <w:color w:val="auto"/>
        </w:rPr>
        <w:t>Facility of Payment.</w:t>
      </w:r>
    </w:p>
    <w:p>
      <w:pPr>
        <w:spacing w:after="0" w:line="210" w:lineRule="exact"/>
        <w:rPr>
          <w:sz w:val="20"/>
          <w:szCs w:val="20"/>
          <w:color w:val="auto"/>
        </w:rPr>
      </w:pPr>
    </w:p>
    <w:p>
      <w:pPr>
        <w:jc w:val="both"/>
        <w:ind w:left="200" w:right="219" w:firstLine="1953"/>
        <w:spacing w:after="0" w:line="236" w:lineRule="auto"/>
        <w:tabs>
          <w:tab w:leader="none" w:pos="2792"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Administrator will make reasonable efforts to locate a Participant or Beneficiary who is entitled to payment pursuant to the terms of the Program. If after a reasonable effort the Administrator cannot locate a person who is entitled to payment, the payment will be forfeited. The Administrator may rely on affidavits or other information that the Administrator believes to be reliable even though not otherwise admissible as evidence in a legal proceeding.</w:t>
      </w:r>
    </w:p>
    <w:p>
      <w:pPr>
        <w:spacing w:after="0" w:line="181" w:lineRule="exact"/>
        <w:rPr>
          <w:rFonts w:ascii="Times New Roman" w:cs="Times New Roman" w:eastAsia="Times New Roman" w:hAnsi="Times New Roman"/>
          <w:sz w:val="22"/>
          <w:szCs w:val="22"/>
          <w:b w:val="1"/>
          <w:bCs w:val="1"/>
          <w:color w:val="auto"/>
        </w:rPr>
      </w:pPr>
    </w:p>
    <w:p>
      <w:pPr>
        <w:jc w:val="both"/>
        <w:ind w:left="200" w:right="219" w:firstLine="1953"/>
        <w:spacing w:after="0" w:line="235" w:lineRule="auto"/>
        <w:tabs>
          <w:tab w:leader="none" w:pos="2792"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Administrator is not required to commence probate proceedings, seek the appointment of a legal representative, or make payments to a legal representative. In the event an amount is payable to a Participant pursuant to the terms of this Program but in the event a Participant dies prior to such payment having been made, the payment shall be made to the Participant's Beneficiary, and such payment is conclusive and binding on all persons, and will fully discharge the Company, any Affiliates, and the Administrator from all liability with respect to the payment pursuant to the terms of the Program or Plan.</w:t>
      </w:r>
    </w:p>
    <w:p>
      <w:pPr>
        <w:spacing w:after="0" w:line="183" w:lineRule="exact"/>
        <w:rPr>
          <w:rFonts w:ascii="Times New Roman" w:cs="Times New Roman" w:eastAsia="Times New Roman" w:hAnsi="Times New Roman"/>
          <w:sz w:val="22"/>
          <w:szCs w:val="22"/>
          <w:b w:val="1"/>
          <w:bCs w:val="1"/>
          <w:color w:val="auto"/>
        </w:rPr>
      </w:pPr>
    </w:p>
    <w:p>
      <w:pPr>
        <w:jc w:val="both"/>
        <w:ind w:left="200" w:right="219" w:firstLine="1953"/>
        <w:spacing w:after="0" w:line="239" w:lineRule="auto"/>
        <w:tabs>
          <w:tab w:leader="none" w:pos="2792"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 person appears to be mentally, physically, or legally incapable of receiving or acknowledging receipt of distribution payments, the Administrator may authorize payments to a person with a valid power of attorney, to a court-appointed guardian or conservator, or to any other person authorized under state law to receive the benefit.</w:t>
      </w:r>
    </w:p>
    <w:p>
      <w:pPr>
        <w:spacing w:after="0" w:line="180" w:lineRule="exact"/>
        <w:rPr>
          <w:rFonts w:ascii="Times New Roman" w:cs="Times New Roman" w:eastAsia="Times New Roman" w:hAnsi="Times New Roman"/>
          <w:sz w:val="22"/>
          <w:szCs w:val="22"/>
          <w:b w:val="1"/>
          <w:bCs w:val="1"/>
          <w:color w:val="auto"/>
        </w:rPr>
      </w:pPr>
    </w:p>
    <w:p>
      <w:pPr>
        <w:jc w:val="both"/>
        <w:ind w:left="200" w:right="219" w:firstLine="1953"/>
        <w:spacing w:after="0" w:line="239" w:lineRule="auto"/>
        <w:tabs>
          <w:tab w:leader="none" w:pos="2792"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 person entitled to receive benefits is a minor and the value of the benefit exceeds $5,000, the Administrator may delay payment of the benefit until the minor has attained the age of majority or pay the benefit to a person who has been named by a court of competent jurisdiction as fiduciary for the minor.</w:t>
      </w:r>
    </w:p>
    <w:p>
      <w:pPr>
        <w:spacing w:after="0" w:line="180" w:lineRule="exact"/>
        <w:rPr>
          <w:rFonts w:ascii="Times New Roman" w:cs="Times New Roman" w:eastAsia="Times New Roman" w:hAnsi="Times New Roman"/>
          <w:sz w:val="22"/>
          <w:szCs w:val="22"/>
          <w:b w:val="1"/>
          <w:bCs w:val="1"/>
          <w:color w:val="auto"/>
        </w:rPr>
      </w:pPr>
    </w:p>
    <w:p>
      <w:pPr>
        <w:jc w:val="both"/>
        <w:ind w:left="200" w:right="219" w:firstLine="1953"/>
        <w:spacing w:after="0" w:line="244" w:lineRule="auto"/>
        <w:tabs>
          <w:tab w:leader="none" w:pos="2792"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Administrator cannot determine, from affidavits or other information the Administrator believes to be reliable, whether the Participant's Beneficiary survived the Participant, the Beneficiary will be deemed not to have survived the Participant.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1" w:name="page122"/>
    <w:bookmarkEnd w:id="121"/>
    <w:p>
      <w:pPr>
        <w:jc w:val="both"/>
        <w:ind w:left="200" w:right="219" w:firstLine="1953"/>
        <w:spacing w:after="0" w:line="244" w:lineRule="auto"/>
        <w:tabs>
          <w:tab w:leader="none" w:pos="2792"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Administrator's actions regarding payment, if taken in good faith, are conclusive and binding on all persons, and payment will fully discharge the Company, any Affiliates, and the Administrator from all liability with respect to the payment.</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8.6</w:t>
      </w:r>
      <w:r>
        <w:rPr>
          <w:sz w:val="20"/>
          <w:szCs w:val="20"/>
          <w:color w:val="auto"/>
        </w:rPr>
        <w:tab/>
      </w:r>
      <w:r>
        <w:rPr>
          <w:rFonts w:ascii="Times New Roman" w:cs="Times New Roman" w:eastAsia="Times New Roman" w:hAnsi="Times New Roman"/>
          <w:sz w:val="21"/>
          <w:szCs w:val="21"/>
          <w:b w:val="1"/>
          <w:bCs w:val="1"/>
          <w:u w:val="single" w:color="auto"/>
          <w:color w:val="auto"/>
        </w:rPr>
        <w:t>Amendment</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The Company shall have the right to amend the Program at any time; however, no amendment or termination shall reduce the number of Participant Shares credited to a Participant’s Accounts.</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8.7</w:t>
      </w:r>
      <w:r>
        <w:rPr>
          <w:sz w:val="20"/>
          <w:szCs w:val="20"/>
          <w:color w:val="auto"/>
        </w:rPr>
        <w:tab/>
      </w:r>
      <w:r>
        <w:rPr>
          <w:rFonts w:ascii="Times New Roman" w:cs="Times New Roman" w:eastAsia="Times New Roman" w:hAnsi="Times New Roman"/>
          <w:sz w:val="21"/>
          <w:szCs w:val="21"/>
          <w:b w:val="1"/>
          <w:bCs w:val="1"/>
          <w:u w:val="single" w:color="auto"/>
          <w:color w:val="auto"/>
        </w:rPr>
        <w:t>Termination</w:t>
      </w:r>
    </w:p>
    <w:p>
      <w:pPr>
        <w:spacing w:after="0" w:line="210"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The Company shall have the right to terminate the Program at any time. If the Program is terminated, no additional amounts shall be credited to a Participant’s Account under Section 4.2; however, the Participant’s Account shall continue to be adjusted for dividends under Section 4.3 until the Participant’s benefits are distributed to the Participant as his or her Beneficiary. The Participant shall be entitled to receive the amounts credited to his or her Account upon satisfying the requirements for payment of benefits under the Program, unless the Company elects to make payment at an earlier time in accordance with the requirements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The Company has amended and restated the UFP Industries, Inc. Executive Stock Grant Program effective as of the 1st day of January, 2023.</w:t>
      </w:r>
    </w:p>
    <w:p>
      <w:pPr>
        <w:spacing w:after="0" w:line="15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UFP INDUSTRIES, INC.</w:t>
      </w:r>
    </w:p>
    <w:p>
      <w:pPr>
        <w:spacing w:after="0" w:line="200" w:lineRule="exact"/>
        <w:rPr>
          <w:sz w:val="20"/>
          <w:szCs w:val="20"/>
          <w:color w:val="auto"/>
        </w:rPr>
      </w:pPr>
    </w:p>
    <w:p>
      <w:pPr>
        <w:spacing w:after="0" w:line="2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-13335</wp:posOffset>
            </wp:positionV>
            <wp:extent cx="26657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Its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-13335</wp:posOffset>
            </wp:positionV>
            <wp:extent cx="24942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21810878</w:t>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44" w:lineRule="exact"/>
        <w:rPr>
          <w:sz w:val="20"/>
          <w:szCs w:val="20"/>
          <w:color w:val="auto"/>
        </w:rPr>
      </w:pPr>
    </w:p>
    <w:tbl>
      <w:tblPr>
        <w:tblLayout w:type="fixed"/>
        <w:tblInd w:w="230" w:type="dxa"/>
        <w:tblCellMar>
          <w:top w:w="0" w:type="dxa"/>
          <w:left w:w="0" w:type="dxa"/>
          <w:bottom w:w="0" w:type="dxa"/>
          <w:right w:w="0" w:type="dxa"/>
        </w:tblCellMar>
      </w:tblPr>
      <w:tr>
        <w:trPr>
          <w:trHeight w:val="459"/>
        </w:trPr>
        <w:tc>
          <w:tcPr>
            <w:tcW w:w="1400" w:type="dxa"/>
            <w:vAlign w:val="bottom"/>
            <w:tcBorders>
              <w:top w:val="single" w:sz="8" w:color="auto"/>
              <w:left w:val="single" w:sz="8" w:color="auto"/>
            </w:tcBorders>
            <w:shd w:val="clear" w:color="auto" w:fill="D9D9D9"/>
          </w:tcPr>
          <w:p>
            <w:pPr>
              <w:spacing w:after="0"/>
              <w:rPr>
                <w:sz w:val="24"/>
                <w:szCs w:val="24"/>
                <w:color w:val="auto"/>
              </w:rPr>
            </w:pPr>
          </w:p>
        </w:tc>
        <w:tc>
          <w:tcPr>
            <w:tcW w:w="4720" w:type="dxa"/>
            <w:vAlign w:val="bottom"/>
            <w:tcBorders>
              <w:top w:val="single" w:sz="8" w:color="auto"/>
              <w:right w:val="single" w:sz="8" w:color="auto"/>
            </w:tcBorders>
            <w:gridSpan w:val="3"/>
            <w:shd w:val="clear" w:color="auto" w:fill="D9D9D9"/>
          </w:tcPr>
          <w:p>
            <w:pPr>
              <w:spacing w:after="0"/>
              <w:rPr>
                <w:sz w:val="20"/>
                <w:szCs w:val="20"/>
                <w:color w:val="auto"/>
              </w:rPr>
            </w:pPr>
            <w:r>
              <w:rPr>
                <w:rFonts w:ascii="Times New Roman" w:cs="Times New Roman" w:eastAsia="Times New Roman" w:hAnsi="Times New Roman"/>
                <w:sz w:val="22"/>
                <w:szCs w:val="22"/>
                <w:b w:val="1"/>
                <w:bCs w:val="1"/>
                <w:color w:val="auto"/>
              </w:rPr>
              <w:t>Deferred Compensation Plan (DCP)</w:t>
            </w:r>
          </w:p>
        </w:tc>
        <w:tc>
          <w:tcPr>
            <w:tcW w:w="160" w:type="dxa"/>
            <w:vAlign w:val="bottom"/>
            <w:tcBorders>
              <w:top w:val="single" w:sz="8" w:color="auto"/>
            </w:tcBorders>
            <w:shd w:val="clear" w:color="auto" w:fill="D9D9D9"/>
          </w:tcPr>
          <w:p>
            <w:pPr>
              <w:spacing w:after="0"/>
              <w:rPr>
                <w:sz w:val="24"/>
                <w:szCs w:val="24"/>
                <w:color w:val="auto"/>
              </w:rPr>
            </w:pPr>
          </w:p>
        </w:tc>
        <w:tc>
          <w:tcPr>
            <w:tcW w:w="2280" w:type="dxa"/>
            <w:vAlign w:val="bottom"/>
            <w:tcBorders>
              <w:top w:val="single" w:sz="8" w:color="auto"/>
              <w:right w:val="single" w:sz="8" w:color="auto"/>
            </w:tcBorders>
            <w:gridSpan w:val="4"/>
            <w:shd w:val="clear" w:color="auto" w:fill="D9D9D9"/>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8"/>
              </w:rPr>
              <w:t>Executive Stock Grant</w:t>
            </w:r>
          </w:p>
        </w:tc>
      </w:tr>
      <w:tr>
        <w:trPr>
          <w:trHeight w:val="223"/>
        </w:trPr>
        <w:tc>
          <w:tcPr>
            <w:tcW w:w="1400" w:type="dxa"/>
            <w:vAlign w:val="bottom"/>
            <w:tcBorders>
              <w:top w:val="single" w:sz="8" w:color="D9D9D9"/>
              <w:left w:val="single" w:sz="8" w:color="auto"/>
            </w:tcBorders>
            <w:shd w:val="clear" w:color="auto" w:fill="D9D9D9"/>
          </w:tcPr>
          <w:p>
            <w:pPr>
              <w:spacing w:after="0"/>
              <w:rPr>
                <w:sz w:val="19"/>
                <w:szCs w:val="19"/>
                <w:color w:val="auto"/>
              </w:rPr>
            </w:pPr>
          </w:p>
        </w:tc>
        <w:tc>
          <w:tcPr>
            <w:tcW w:w="2480" w:type="dxa"/>
            <w:vAlign w:val="bottom"/>
            <w:tcBorders>
              <w:top w:val="single" w:sz="8" w:color="auto"/>
              <w:right w:val="single" w:sz="8" w:color="D9D9D9"/>
            </w:tcBorders>
            <w:shd w:val="clear" w:color="auto" w:fill="D9D9D9"/>
          </w:tcPr>
          <w:p>
            <w:pPr>
              <w:spacing w:after="0"/>
              <w:rPr>
                <w:sz w:val="19"/>
                <w:szCs w:val="19"/>
                <w:color w:val="auto"/>
              </w:rPr>
            </w:pPr>
          </w:p>
        </w:tc>
        <w:tc>
          <w:tcPr>
            <w:tcW w:w="840" w:type="dxa"/>
            <w:vAlign w:val="bottom"/>
            <w:tcBorders>
              <w:top w:val="single" w:sz="8" w:color="auto"/>
            </w:tcBorders>
            <w:shd w:val="clear" w:color="auto" w:fill="D9D9D9"/>
          </w:tcPr>
          <w:p>
            <w:pPr>
              <w:spacing w:after="0"/>
              <w:rPr>
                <w:sz w:val="19"/>
                <w:szCs w:val="19"/>
                <w:color w:val="auto"/>
              </w:rPr>
            </w:pPr>
          </w:p>
        </w:tc>
        <w:tc>
          <w:tcPr>
            <w:tcW w:w="1400" w:type="dxa"/>
            <w:vAlign w:val="bottom"/>
            <w:tcBorders>
              <w:top w:val="single" w:sz="8" w:color="D9D9D9"/>
              <w:right w:val="single" w:sz="8" w:color="auto"/>
            </w:tcBorders>
            <w:shd w:val="clear" w:color="auto" w:fill="D9D9D9"/>
          </w:tcPr>
          <w:p>
            <w:pPr>
              <w:spacing w:after="0"/>
              <w:rPr>
                <w:sz w:val="19"/>
                <w:szCs w:val="19"/>
                <w:color w:val="auto"/>
              </w:rPr>
            </w:pPr>
          </w:p>
        </w:tc>
        <w:tc>
          <w:tcPr>
            <w:tcW w:w="160" w:type="dxa"/>
            <w:vAlign w:val="bottom"/>
            <w:tcBorders>
              <w:top w:val="single" w:sz="8" w:color="D9D9D9"/>
            </w:tcBorders>
            <w:shd w:val="clear" w:color="auto" w:fill="D9D9D9"/>
          </w:tcPr>
          <w:p>
            <w:pPr>
              <w:spacing w:after="0"/>
              <w:rPr>
                <w:sz w:val="19"/>
                <w:szCs w:val="19"/>
                <w:color w:val="auto"/>
              </w:rPr>
            </w:pPr>
          </w:p>
        </w:tc>
        <w:tc>
          <w:tcPr>
            <w:tcW w:w="260" w:type="dxa"/>
            <w:vAlign w:val="bottom"/>
            <w:tcBorders>
              <w:top w:val="single" w:sz="8" w:color="auto"/>
            </w:tcBorders>
            <w:shd w:val="clear" w:color="auto" w:fill="D9D9D9"/>
          </w:tcPr>
          <w:p>
            <w:pPr>
              <w:spacing w:after="0"/>
              <w:rPr>
                <w:sz w:val="19"/>
                <w:szCs w:val="19"/>
                <w:color w:val="auto"/>
              </w:rPr>
            </w:pPr>
          </w:p>
        </w:tc>
        <w:tc>
          <w:tcPr>
            <w:tcW w:w="1840" w:type="dxa"/>
            <w:vAlign w:val="bottom"/>
            <w:tcBorders>
              <w:top w:val="single" w:sz="8" w:color="auto"/>
            </w:tcBorders>
            <w:gridSpan w:val="2"/>
            <w:shd w:val="clear" w:color="auto" w:fill="D9D9D9"/>
          </w:tcPr>
          <w:p>
            <w:pPr>
              <w:jc w:val="center"/>
              <w:ind w:right="260"/>
              <w:spacing w:after="0" w:line="223" w:lineRule="exact"/>
              <w:rPr>
                <w:sz w:val="20"/>
                <w:szCs w:val="20"/>
                <w:color w:val="auto"/>
              </w:rPr>
            </w:pPr>
            <w:r>
              <w:rPr>
                <w:rFonts w:ascii="Times New Roman" w:cs="Times New Roman" w:eastAsia="Times New Roman" w:hAnsi="Times New Roman"/>
                <w:sz w:val="22"/>
                <w:szCs w:val="22"/>
                <w:b w:val="1"/>
                <w:bCs w:val="1"/>
                <w:color w:val="auto"/>
                <w:w w:val="97"/>
              </w:rPr>
              <w:t>Program (ESGP)</w:t>
            </w:r>
          </w:p>
        </w:tc>
        <w:tc>
          <w:tcPr>
            <w:tcW w:w="180" w:type="dxa"/>
            <w:vAlign w:val="bottom"/>
            <w:tcBorders>
              <w:top w:val="single" w:sz="8" w:color="D9D9D9"/>
              <w:right w:val="single" w:sz="8" w:color="auto"/>
            </w:tcBorders>
            <w:shd w:val="clear" w:color="auto" w:fill="D9D9D9"/>
          </w:tcPr>
          <w:p>
            <w:pPr>
              <w:spacing w:after="0"/>
              <w:rPr>
                <w:sz w:val="19"/>
                <w:szCs w:val="19"/>
                <w:color w:val="auto"/>
              </w:rPr>
            </w:pPr>
          </w:p>
        </w:tc>
      </w:tr>
      <w:tr>
        <w:trPr>
          <w:trHeight w:val="385"/>
        </w:trPr>
        <w:tc>
          <w:tcPr>
            <w:tcW w:w="1400" w:type="dxa"/>
            <w:vAlign w:val="bottom"/>
            <w:tcBorders>
              <w:top w:val="single" w:sz="8" w:color="D9D9D9"/>
              <w:left w:val="single" w:sz="8" w:color="auto"/>
              <w:bottom w:val="single" w:sz="8" w:color="auto"/>
            </w:tcBorders>
            <w:shd w:val="clear" w:color="auto" w:fill="D9D9D9"/>
          </w:tcPr>
          <w:p>
            <w:pPr>
              <w:spacing w:after="0"/>
              <w:rPr>
                <w:sz w:val="24"/>
                <w:szCs w:val="24"/>
                <w:color w:val="auto"/>
              </w:rPr>
            </w:pPr>
          </w:p>
        </w:tc>
        <w:tc>
          <w:tcPr>
            <w:tcW w:w="2480" w:type="dxa"/>
            <w:vAlign w:val="bottom"/>
            <w:tcBorders>
              <w:top w:val="single" w:sz="8" w:color="D9D9D9"/>
              <w:bottom w:val="single" w:sz="8" w:color="auto"/>
              <w:right w:val="single" w:sz="8" w:color="D9D9D9"/>
            </w:tcBorders>
            <w:shd w:val="clear" w:color="auto" w:fill="D9D9D9"/>
          </w:tcPr>
          <w:p>
            <w:pPr>
              <w:spacing w:after="0"/>
              <w:rPr>
                <w:sz w:val="24"/>
                <w:szCs w:val="24"/>
                <w:color w:val="auto"/>
              </w:rPr>
            </w:pPr>
          </w:p>
        </w:tc>
        <w:tc>
          <w:tcPr>
            <w:tcW w:w="840" w:type="dxa"/>
            <w:vAlign w:val="bottom"/>
            <w:tcBorders>
              <w:top w:val="single" w:sz="8" w:color="D9D9D9"/>
              <w:bottom w:val="single" w:sz="8" w:color="auto"/>
            </w:tcBorders>
            <w:shd w:val="clear" w:color="auto" w:fill="D9D9D9"/>
          </w:tcPr>
          <w:p>
            <w:pPr>
              <w:spacing w:after="0"/>
              <w:rPr>
                <w:sz w:val="24"/>
                <w:szCs w:val="24"/>
                <w:color w:val="auto"/>
              </w:rPr>
            </w:pPr>
          </w:p>
        </w:tc>
        <w:tc>
          <w:tcPr>
            <w:tcW w:w="1400" w:type="dxa"/>
            <w:vAlign w:val="bottom"/>
            <w:tcBorders>
              <w:top w:val="single" w:sz="8" w:color="D9D9D9"/>
              <w:bottom w:val="single" w:sz="8" w:color="auto"/>
              <w:right w:val="single" w:sz="8" w:color="auto"/>
            </w:tcBorders>
            <w:shd w:val="clear" w:color="auto" w:fill="D9D9D9"/>
          </w:tcPr>
          <w:p>
            <w:pPr>
              <w:spacing w:after="0"/>
              <w:rPr>
                <w:sz w:val="24"/>
                <w:szCs w:val="24"/>
                <w:color w:val="auto"/>
              </w:rPr>
            </w:pPr>
          </w:p>
        </w:tc>
        <w:tc>
          <w:tcPr>
            <w:tcW w:w="160" w:type="dxa"/>
            <w:vAlign w:val="bottom"/>
            <w:tcBorders>
              <w:top w:val="single" w:sz="8" w:color="D9D9D9"/>
              <w:bottom w:val="single" w:sz="8" w:color="auto"/>
            </w:tcBorders>
            <w:shd w:val="clear" w:color="auto" w:fill="D9D9D9"/>
          </w:tcPr>
          <w:p>
            <w:pPr>
              <w:spacing w:after="0"/>
              <w:rPr>
                <w:sz w:val="24"/>
                <w:szCs w:val="24"/>
                <w:color w:val="auto"/>
              </w:rPr>
            </w:pPr>
          </w:p>
        </w:tc>
        <w:tc>
          <w:tcPr>
            <w:tcW w:w="260" w:type="dxa"/>
            <w:vAlign w:val="bottom"/>
            <w:tcBorders>
              <w:top w:val="single" w:sz="8" w:color="D9D9D9"/>
              <w:bottom w:val="single" w:sz="8" w:color="auto"/>
            </w:tcBorders>
            <w:shd w:val="clear" w:color="auto" w:fill="D9D9D9"/>
          </w:tcPr>
          <w:p>
            <w:pPr>
              <w:spacing w:after="0"/>
              <w:rPr>
                <w:sz w:val="24"/>
                <w:szCs w:val="24"/>
                <w:color w:val="auto"/>
              </w:rPr>
            </w:pPr>
          </w:p>
        </w:tc>
        <w:tc>
          <w:tcPr>
            <w:tcW w:w="1580" w:type="dxa"/>
            <w:vAlign w:val="bottom"/>
            <w:tcBorders>
              <w:top w:val="single" w:sz="8" w:color="auto"/>
              <w:bottom w:val="single" w:sz="8" w:color="auto"/>
            </w:tcBorders>
            <w:shd w:val="clear" w:color="auto" w:fill="D9D9D9"/>
          </w:tcPr>
          <w:p>
            <w:pPr>
              <w:spacing w:after="0"/>
              <w:rPr>
                <w:sz w:val="24"/>
                <w:szCs w:val="24"/>
                <w:color w:val="auto"/>
              </w:rPr>
            </w:pPr>
          </w:p>
        </w:tc>
        <w:tc>
          <w:tcPr>
            <w:tcW w:w="260" w:type="dxa"/>
            <w:vAlign w:val="bottom"/>
            <w:tcBorders>
              <w:top w:val="single" w:sz="8" w:color="D9D9D9"/>
              <w:bottom w:val="single" w:sz="8" w:color="auto"/>
            </w:tcBorders>
            <w:shd w:val="clear" w:color="auto" w:fill="D9D9D9"/>
          </w:tcPr>
          <w:p>
            <w:pPr>
              <w:spacing w:after="0"/>
              <w:rPr>
                <w:sz w:val="24"/>
                <w:szCs w:val="24"/>
                <w:color w:val="auto"/>
              </w:rPr>
            </w:pPr>
          </w:p>
        </w:tc>
        <w:tc>
          <w:tcPr>
            <w:tcW w:w="180" w:type="dxa"/>
            <w:vAlign w:val="bottom"/>
            <w:tcBorders>
              <w:top w:val="single" w:sz="8" w:color="D9D9D9"/>
              <w:bottom w:val="single" w:sz="8" w:color="auto"/>
              <w:right w:val="single" w:sz="8" w:color="auto"/>
            </w:tcBorders>
            <w:shd w:val="clear" w:color="auto" w:fill="D9D9D9"/>
          </w:tcPr>
          <w:p>
            <w:pPr>
              <w:spacing w:after="0"/>
              <w:rPr>
                <w:sz w:val="24"/>
                <w:szCs w:val="24"/>
                <w:color w:val="auto"/>
              </w:rPr>
            </w:pPr>
          </w:p>
        </w:tc>
      </w:tr>
      <w:tr>
        <w:trPr>
          <w:trHeight w:val="205"/>
        </w:trPr>
        <w:tc>
          <w:tcPr>
            <w:tcW w:w="3880" w:type="dxa"/>
            <w:vAlign w:val="bottom"/>
            <w:tcBorders>
              <w:left w:val="single" w:sz="8" w:color="auto"/>
              <w:right w:val="single" w:sz="8" w:color="auto"/>
            </w:tcBorders>
            <w:gridSpan w:val="2"/>
          </w:tcPr>
          <w:p>
            <w:pPr>
              <w:ind w:left="100"/>
              <w:spacing w:after="0" w:line="205" w:lineRule="exact"/>
              <w:rPr>
                <w:sz w:val="20"/>
                <w:szCs w:val="20"/>
                <w:color w:val="auto"/>
              </w:rPr>
            </w:pPr>
            <w:r>
              <w:rPr>
                <w:rFonts w:ascii="Times New Roman" w:cs="Times New Roman" w:eastAsia="Times New Roman" w:hAnsi="Times New Roman"/>
                <w:sz w:val="22"/>
                <w:szCs w:val="22"/>
                <w:b w:val="1"/>
                <w:bCs w:val="1"/>
                <w:color w:val="auto"/>
              </w:rPr>
              <w:t>Eligible Participants under the DCP</w:t>
            </w:r>
          </w:p>
        </w:tc>
        <w:tc>
          <w:tcPr>
            <w:tcW w:w="2240" w:type="dxa"/>
            <w:vAlign w:val="bottom"/>
            <w:tcBorders>
              <w:right w:val="single" w:sz="8" w:color="auto"/>
            </w:tcBorders>
            <w:gridSpan w:val="2"/>
          </w:tcPr>
          <w:p>
            <w:pPr>
              <w:jc w:val="center"/>
              <w:ind w:right="20"/>
              <w:spacing w:after="0" w:line="205" w:lineRule="exact"/>
              <w:rPr>
                <w:sz w:val="20"/>
                <w:szCs w:val="20"/>
                <w:color w:val="auto"/>
              </w:rPr>
            </w:pPr>
            <w:r>
              <w:rPr>
                <w:rFonts w:ascii="Times New Roman" w:cs="Times New Roman" w:eastAsia="Times New Roman" w:hAnsi="Times New Roman"/>
                <w:sz w:val="22"/>
                <w:szCs w:val="22"/>
                <w:b w:val="1"/>
                <w:bCs w:val="1"/>
                <w:color w:val="auto"/>
                <w:w w:val="98"/>
              </w:rPr>
              <w:t>Maximum Annual</w:t>
            </w:r>
          </w:p>
        </w:tc>
        <w:tc>
          <w:tcPr>
            <w:tcW w:w="160" w:type="dxa"/>
            <w:vAlign w:val="bottom"/>
          </w:tcPr>
          <w:p>
            <w:pPr>
              <w:spacing w:after="0"/>
              <w:rPr>
                <w:sz w:val="17"/>
                <w:szCs w:val="17"/>
                <w:color w:val="auto"/>
              </w:rPr>
            </w:pPr>
          </w:p>
        </w:tc>
        <w:tc>
          <w:tcPr>
            <w:tcW w:w="2280" w:type="dxa"/>
            <w:vAlign w:val="bottom"/>
            <w:tcBorders>
              <w:right w:val="single" w:sz="8" w:color="auto"/>
            </w:tcBorders>
            <w:gridSpan w:val="4"/>
          </w:tcPr>
          <w:p>
            <w:pPr>
              <w:jc w:val="center"/>
              <w:ind w:right="180"/>
              <w:spacing w:after="0" w:line="205" w:lineRule="exact"/>
              <w:rPr>
                <w:sz w:val="20"/>
                <w:szCs w:val="20"/>
                <w:color w:val="auto"/>
              </w:rPr>
            </w:pPr>
            <w:r>
              <w:rPr>
                <w:rFonts w:ascii="Times New Roman" w:cs="Times New Roman" w:eastAsia="Times New Roman" w:hAnsi="Times New Roman"/>
                <w:sz w:val="22"/>
                <w:szCs w:val="22"/>
                <w:b w:val="1"/>
                <w:bCs w:val="1"/>
                <w:color w:val="auto"/>
                <w:w w:val="98"/>
              </w:rPr>
              <w:t>Maximum Annual</w:t>
            </w:r>
          </w:p>
        </w:tc>
      </w:tr>
      <w:tr>
        <w:trPr>
          <w:trHeight w:val="243"/>
        </w:trPr>
        <w:tc>
          <w:tcPr>
            <w:tcW w:w="1400" w:type="dxa"/>
            <w:vAlign w:val="bottom"/>
            <w:tcBorders>
              <w:lef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gridSpan w:val="2"/>
          </w:tcPr>
          <w:p>
            <w:pPr>
              <w:jc w:val="center"/>
              <w:ind w:right="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Bonus Deferral – (up</w:t>
            </w:r>
          </w:p>
        </w:tc>
        <w:tc>
          <w:tcPr>
            <w:tcW w:w="160" w:type="dxa"/>
            <w:vAlign w:val="bottom"/>
          </w:tcPr>
          <w:p>
            <w:pPr>
              <w:spacing w:after="0"/>
              <w:rPr>
                <w:sz w:val="21"/>
                <w:szCs w:val="21"/>
                <w:color w:val="auto"/>
              </w:rPr>
            </w:pPr>
          </w:p>
        </w:tc>
        <w:tc>
          <w:tcPr>
            <w:tcW w:w="2280" w:type="dxa"/>
            <w:vAlign w:val="bottom"/>
            <w:tcBorders>
              <w:right w:val="single" w:sz="8" w:color="auto"/>
            </w:tcBorders>
            <w:gridSpan w:val="4"/>
          </w:tcPr>
          <w:p>
            <w:pPr>
              <w:jc w:val="center"/>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Elective Deferrals **</w:t>
            </w:r>
          </w:p>
        </w:tc>
      </w:tr>
      <w:tr>
        <w:trPr>
          <w:trHeight w:val="243"/>
        </w:trPr>
        <w:tc>
          <w:tcPr>
            <w:tcW w:w="1400" w:type="dxa"/>
            <w:vAlign w:val="bottom"/>
            <w:tcBorders>
              <w:lef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gridSpan w:val="2"/>
          </w:tcPr>
          <w:p>
            <w:pPr>
              <w:jc w:val="center"/>
              <w:ind w:righ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to 50% of Bonus not</w:t>
            </w:r>
          </w:p>
        </w:tc>
        <w:tc>
          <w:tcPr>
            <w:tcW w:w="160" w:type="dxa"/>
            <w:vAlign w:val="bottom"/>
          </w:tcPr>
          <w:p>
            <w:pPr>
              <w:spacing w:after="0"/>
              <w:rPr>
                <w:sz w:val="21"/>
                <w:szCs w:val="21"/>
                <w:color w:val="auto"/>
              </w:rPr>
            </w:pPr>
          </w:p>
        </w:tc>
        <w:tc>
          <w:tcPr>
            <w:tcW w:w="2280" w:type="dxa"/>
            <w:vAlign w:val="bottom"/>
            <w:tcBorders>
              <w:right w:val="single" w:sz="8" w:color="auto"/>
            </w:tcBorders>
            <w:gridSpan w:val="4"/>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eligible for calculation</w:t>
            </w:r>
          </w:p>
        </w:tc>
      </w:tr>
      <w:tr>
        <w:trPr>
          <w:trHeight w:val="243"/>
        </w:trPr>
        <w:tc>
          <w:tcPr>
            <w:tcW w:w="1400" w:type="dxa"/>
            <w:vAlign w:val="bottom"/>
            <w:tcBorders>
              <w:lef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gridSpan w:val="2"/>
          </w:tcPr>
          <w:p>
            <w:pPr>
              <w:jc w:val="center"/>
              <w:ind w:righ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to exceed amounts</w:t>
            </w:r>
          </w:p>
        </w:tc>
        <w:tc>
          <w:tcPr>
            <w:tcW w:w="160" w:type="dxa"/>
            <w:vAlign w:val="bottom"/>
          </w:tcPr>
          <w:p>
            <w:pPr>
              <w:spacing w:after="0"/>
              <w:rPr>
                <w:sz w:val="21"/>
                <w:szCs w:val="21"/>
                <w:color w:val="auto"/>
              </w:rPr>
            </w:pPr>
          </w:p>
        </w:tc>
        <w:tc>
          <w:tcPr>
            <w:tcW w:w="2280" w:type="dxa"/>
            <w:vAlign w:val="bottom"/>
            <w:tcBorders>
              <w:right w:val="single" w:sz="8" w:color="auto"/>
            </w:tcBorders>
            <w:gridSpan w:val="4"/>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of shares granted</w:t>
            </w:r>
          </w:p>
        </w:tc>
      </w:tr>
      <w:tr>
        <w:trPr>
          <w:trHeight w:val="243"/>
        </w:trPr>
        <w:tc>
          <w:tcPr>
            <w:tcW w:w="1400" w:type="dxa"/>
            <w:vAlign w:val="bottom"/>
            <w:tcBorders>
              <w:lef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gridSpan w:val="2"/>
          </w:tcPr>
          <w:p>
            <w:pPr>
              <w:jc w:val="center"/>
              <w:ind w:right="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below) *</w:t>
            </w:r>
          </w:p>
        </w:tc>
        <w:tc>
          <w:tcPr>
            <w:tcW w:w="160" w:type="dxa"/>
            <w:vAlign w:val="bottom"/>
          </w:tcPr>
          <w:p>
            <w:pPr>
              <w:spacing w:after="0"/>
              <w:rPr>
                <w:sz w:val="21"/>
                <w:szCs w:val="21"/>
                <w:color w:val="auto"/>
              </w:rPr>
            </w:pPr>
          </w:p>
        </w:tc>
        <w:tc>
          <w:tcPr>
            <w:tcW w:w="2280" w:type="dxa"/>
            <w:vAlign w:val="bottom"/>
            <w:tcBorders>
              <w:right w:val="single" w:sz="8" w:color="auto"/>
            </w:tcBorders>
            <w:gridSpan w:val="4"/>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pursuant to Article 4.2</w:t>
            </w:r>
          </w:p>
        </w:tc>
      </w:tr>
      <w:tr>
        <w:trPr>
          <w:trHeight w:val="286"/>
        </w:trPr>
        <w:tc>
          <w:tcPr>
            <w:tcW w:w="1400" w:type="dxa"/>
            <w:vAlign w:val="bottom"/>
            <w:tcBorders>
              <w:lef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8"/>
              </w:rPr>
              <w:t>of the ESGP</w:t>
            </w:r>
          </w:p>
        </w:tc>
      </w:tr>
      <w:tr>
        <w:trPr>
          <w:trHeight w:val="231"/>
        </w:trPr>
        <w:tc>
          <w:tcPr>
            <w:tcW w:w="1400" w:type="dxa"/>
            <w:vAlign w:val="bottom"/>
            <w:tcBorders>
              <w:left w:val="single" w:sz="8" w:color="auto"/>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r>
      <w:tr>
        <w:trPr>
          <w:trHeight w:val="276"/>
        </w:trPr>
        <w:tc>
          <w:tcPr>
            <w:tcW w:w="38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CEO of UFP Industries</w:t>
            </w:r>
          </w:p>
        </w:tc>
        <w:tc>
          <w:tcPr>
            <w:tcW w:w="224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22"/>
                <w:szCs w:val="22"/>
                <w:color w:val="auto"/>
                <w:w w:val="96"/>
              </w:rPr>
              <w:t>$100,000</w:t>
            </w:r>
          </w:p>
        </w:tc>
        <w:tc>
          <w:tcPr>
            <w:tcW w:w="2000" w:type="dxa"/>
            <w:vAlign w:val="bottom"/>
            <w:gridSpan w:val="3"/>
          </w:tcPr>
          <w:p>
            <w:pPr>
              <w:jc w:val="center"/>
              <w:ind w:left="312"/>
              <w:spacing w:after="0"/>
              <w:rPr>
                <w:sz w:val="20"/>
                <w:szCs w:val="20"/>
                <w:color w:val="auto"/>
              </w:rPr>
            </w:pPr>
            <w:r>
              <w:rPr>
                <w:rFonts w:ascii="Times New Roman" w:cs="Times New Roman" w:eastAsia="Times New Roman" w:hAnsi="Times New Roman"/>
                <w:sz w:val="22"/>
                <w:szCs w:val="22"/>
                <w:color w:val="auto"/>
                <w:w w:val="99"/>
              </w:rPr>
              <w:t>$105,000</w:t>
            </w:r>
          </w:p>
        </w:tc>
        <w:tc>
          <w:tcPr>
            <w:tcW w:w="26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r>
      <w:tr>
        <w:trPr>
          <w:trHeight w:val="285"/>
        </w:trPr>
        <w:tc>
          <w:tcPr>
            <w:tcW w:w="1400" w:type="dxa"/>
            <w:vAlign w:val="bottom"/>
            <w:tcBorders>
              <w:left w:val="single" w:sz="8" w:color="auto"/>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r>
      <w:tr>
        <w:trPr>
          <w:trHeight w:val="209"/>
        </w:trPr>
        <w:tc>
          <w:tcPr>
            <w:tcW w:w="3880" w:type="dxa"/>
            <w:vAlign w:val="bottom"/>
            <w:tcBorders>
              <w:left w:val="single" w:sz="8" w:color="auto"/>
              <w:right w:val="single" w:sz="8" w:color="auto"/>
            </w:tcBorders>
            <w:gridSpan w:val="2"/>
          </w:tcPr>
          <w:p>
            <w:pPr>
              <w:ind w:left="100"/>
              <w:spacing w:after="0" w:line="209" w:lineRule="exact"/>
              <w:rPr>
                <w:sz w:val="20"/>
                <w:szCs w:val="20"/>
                <w:color w:val="auto"/>
              </w:rPr>
            </w:pPr>
            <w:r>
              <w:rPr>
                <w:rFonts w:ascii="Times New Roman" w:cs="Times New Roman" w:eastAsia="Times New Roman" w:hAnsi="Times New Roman"/>
                <w:sz w:val="22"/>
                <w:szCs w:val="22"/>
                <w:color w:val="auto"/>
              </w:rPr>
              <w:t>Executive Chairman; Segment Presidents;</w:t>
            </w:r>
          </w:p>
        </w:tc>
        <w:tc>
          <w:tcPr>
            <w:tcW w:w="2240" w:type="dxa"/>
            <w:vAlign w:val="bottom"/>
            <w:tcBorders>
              <w:right w:val="single" w:sz="8" w:color="auto"/>
            </w:tcBorders>
            <w:gridSpan w:val="2"/>
          </w:tcPr>
          <w:p>
            <w:pPr>
              <w:jc w:val="center"/>
              <w:ind w:right="40"/>
              <w:spacing w:after="0" w:line="209" w:lineRule="exact"/>
              <w:rPr>
                <w:sz w:val="20"/>
                <w:szCs w:val="20"/>
                <w:color w:val="auto"/>
              </w:rPr>
            </w:pPr>
            <w:r>
              <w:rPr>
                <w:rFonts w:ascii="Times New Roman" w:cs="Times New Roman" w:eastAsia="Times New Roman" w:hAnsi="Times New Roman"/>
                <w:sz w:val="22"/>
                <w:szCs w:val="22"/>
                <w:color w:val="auto"/>
                <w:w w:val="96"/>
              </w:rPr>
              <w:t>$100,000</w:t>
            </w:r>
          </w:p>
        </w:tc>
        <w:tc>
          <w:tcPr>
            <w:tcW w:w="2000" w:type="dxa"/>
            <w:vAlign w:val="bottom"/>
            <w:gridSpan w:val="3"/>
          </w:tcPr>
          <w:p>
            <w:pPr>
              <w:jc w:val="center"/>
              <w:ind w:left="312"/>
              <w:spacing w:after="0" w:line="209" w:lineRule="exact"/>
              <w:rPr>
                <w:sz w:val="20"/>
                <w:szCs w:val="20"/>
                <w:color w:val="auto"/>
              </w:rPr>
            </w:pPr>
            <w:r>
              <w:rPr>
                <w:rFonts w:ascii="Times New Roman" w:cs="Times New Roman" w:eastAsia="Times New Roman" w:hAnsi="Times New Roman"/>
                <w:sz w:val="22"/>
                <w:szCs w:val="22"/>
                <w:color w:val="auto"/>
                <w:w w:val="97"/>
              </w:rPr>
              <w:t>$55,000</w:t>
            </w:r>
          </w:p>
        </w:tc>
        <w:tc>
          <w:tcPr>
            <w:tcW w:w="2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82"/>
        </w:trPr>
        <w:tc>
          <w:tcPr>
            <w:tcW w:w="38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Officers</w:t>
            </w:r>
          </w:p>
        </w:tc>
        <w:tc>
          <w:tcPr>
            <w:tcW w:w="84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r>
      <w:tr>
        <w:trPr>
          <w:trHeight w:val="231"/>
        </w:trPr>
        <w:tc>
          <w:tcPr>
            <w:tcW w:w="1400" w:type="dxa"/>
            <w:vAlign w:val="bottom"/>
            <w:tcBorders>
              <w:left w:val="single" w:sz="8" w:color="auto"/>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r>
      <w:tr>
        <w:trPr>
          <w:trHeight w:val="276"/>
        </w:trPr>
        <w:tc>
          <w:tcPr>
            <w:tcW w:w="38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Officers</w:t>
            </w:r>
          </w:p>
        </w:tc>
        <w:tc>
          <w:tcPr>
            <w:tcW w:w="22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2"/>
                <w:szCs w:val="22"/>
                <w:color w:val="auto"/>
                <w:w w:val="97"/>
              </w:rPr>
              <w:t>$50,000</w:t>
            </w:r>
          </w:p>
        </w:tc>
        <w:tc>
          <w:tcPr>
            <w:tcW w:w="2000" w:type="dxa"/>
            <w:vAlign w:val="bottom"/>
            <w:gridSpan w:val="3"/>
          </w:tcPr>
          <w:p>
            <w:pPr>
              <w:jc w:val="center"/>
              <w:ind w:left="312"/>
              <w:spacing w:after="0"/>
              <w:rPr>
                <w:sz w:val="20"/>
                <w:szCs w:val="20"/>
                <w:color w:val="auto"/>
              </w:rPr>
            </w:pPr>
            <w:r>
              <w:rPr>
                <w:rFonts w:ascii="Times New Roman" w:cs="Times New Roman" w:eastAsia="Times New Roman" w:hAnsi="Times New Roman"/>
                <w:sz w:val="22"/>
                <w:szCs w:val="22"/>
                <w:color w:val="auto"/>
                <w:w w:val="97"/>
              </w:rPr>
              <w:t>$40,000</w:t>
            </w:r>
          </w:p>
        </w:tc>
        <w:tc>
          <w:tcPr>
            <w:tcW w:w="26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r>
      <w:tr>
        <w:trPr>
          <w:trHeight w:val="177"/>
        </w:trPr>
        <w:tc>
          <w:tcPr>
            <w:tcW w:w="1400" w:type="dxa"/>
            <w:vAlign w:val="bottom"/>
            <w:tcBorders>
              <w:left w:val="single" w:sz="8" w:color="auto"/>
              <w:bottom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r>
      <w:tr>
        <w:trPr>
          <w:trHeight w:val="209"/>
        </w:trPr>
        <w:tc>
          <w:tcPr>
            <w:tcW w:w="3880" w:type="dxa"/>
            <w:vAlign w:val="bottom"/>
            <w:tcBorders>
              <w:left w:val="single" w:sz="8" w:color="auto"/>
              <w:right w:val="single" w:sz="8" w:color="auto"/>
            </w:tcBorders>
            <w:gridSpan w:val="2"/>
          </w:tcPr>
          <w:p>
            <w:pPr>
              <w:ind w:left="100"/>
              <w:spacing w:after="0" w:line="209" w:lineRule="exact"/>
              <w:rPr>
                <w:sz w:val="20"/>
                <w:szCs w:val="20"/>
                <w:color w:val="auto"/>
              </w:rPr>
            </w:pPr>
            <w:r>
              <w:rPr>
                <w:rFonts w:ascii="Times New Roman" w:cs="Times New Roman" w:eastAsia="Times New Roman" w:hAnsi="Times New Roman"/>
                <w:sz w:val="22"/>
                <w:szCs w:val="22"/>
                <w:color w:val="auto"/>
              </w:rPr>
              <w:t>Director of Operations (DOs); Regional</w:t>
            </w:r>
          </w:p>
        </w:tc>
        <w:tc>
          <w:tcPr>
            <w:tcW w:w="2240" w:type="dxa"/>
            <w:vAlign w:val="bottom"/>
            <w:tcBorders>
              <w:right w:val="single" w:sz="8" w:color="auto"/>
            </w:tcBorders>
            <w:gridSpan w:val="2"/>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7"/>
              </w:rPr>
              <w:t>$25,000</w:t>
            </w:r>
          </w:p>
        </w:tc>
        <w:tc>
          <w:tcPr>
            <w:tcW w:w="2000" w:type="dxa"/>
            <w:vAlign w:val="bottom"/>
            <w:gridSpan w:val="3"/>
          </w:tcPr>
          <w:p>
            <w:pPr>
              <w:jc w:val="center"/>
              <w:ind w:left="312"/>
              <w:spacing w:after="0" w:line="209" w:lineRule="exact"/>
              <w:rPr>
                <w:sz w:val="20"/>
                <w:szCs w:val="20"/>
                <w:color w:val="auto"/>
              </w:rPr>
            </w:pPr>
            <w:r>
              <w:rPr>
                <w:rFonts w:ascii="Times New Roman" w:cs="Times New Roman" w:eastAsia="Times New Roman" w:hAnsi="Times New Roman"/>
                <w:sz w:val="22"/>
                <w:szCs w:val="22"/>
                <w:color w:val="auto"/>
                <w:w w:val="97"/>
              </w:rPr>
              <w:t>$30,000</w:t>
            </w:r>
          </w:p>
        </w:tc>
        <w:tc>
          <w:tcPr>
            <w:tcW w:w="2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43"/>
        </w:trPr>
        <w:tc>
          <w:tcPr>
            <w:tcW w:w="3880" w:type="dxa"/>
            <w:vAlign w:val="bottom"/>
            <w:tcBorders>
              <w:left w:val="single" w:sz="8" w:color="auto"/>
              <w:right w:val="single" w:sz="8" w:color="auto"/>
            </w:tcBorders>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DOs; Regional Sales Managers;</w:t>
            </w:r>
          </w:p>
        </w:tc>
        <w:tc>
          <w:tcPr>
            <w:tcW w:w="84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r>
      <w:tr>
        <w:trPr>
          <w:trHeight w:val="243"/>
        </w:trPr>
        <w:tc>
          <w:tcPr>
            <w:tcW w:w="3880" w:type="dxa"/>
            <w:vAlign w:val="bottom"/>
            <w:tcBorders>
              <w:left w:val="single" w:sz="8" w:color="auto"/>
              <w:right w:val="single" w:sz="8" w:color="auto"/>
            </w:tcBorders>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Managing Directors; Corporate, Segment</w:t>
            </w:r>
          </w:p>
        </w:tc>
        <w:tc>
          <w:tcPr>
            <w:tcW w:w="84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r>
      <w:tr>
        <w:trPr>
          <w:trHeight w:val="243"/>
        </w:trPr>
        <w:tc>
          <w:tcPr>
            <w:tcW w:w="3880" w:type="dxa"/>
            <w:vAlign w:val="bottom"/>
            <w:tcBorders>
              <w:left w:val="single" w:sz="8" w:color="auto"/>
              <w:right w:val="single" w:sz="8" w:color="auto"/>
            </w:tcBorders>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and Business Unit Directors; Segment</w:t>
            </w:r>
          </w:p>
        </w:tc>
        <w:tc>
          <w:tcPr>
            <w:tcW w:w="84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r>
      <w:tr>
        <w:trPr>
          <w:trHeight w:val="282"/>
        </w:trPr>
        <w:tc>
          <w:tcPr>
            <w:tcW w:w="38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Controllers; Chief Pilot</w:t>
            </w:r>
          </w:p>
        </w:tc>
        <w:tc>
          <w:tcPr>
            <w:tcW w:w="84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r>
      <w:tr>
        <w:trPr>
          <w:trHeight w:val="231"/>
        </w:trPr>
        <w:tc>
          <w:tcPr>
            <w:tcW w:w="1400" w:type="dxa"/>
            <w:vAlign w:val="bottom"/>
            <w:tcBorders>
              <w:left w:val="single" w:sz="8" w:color="auto"/>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r>
      <w:tr>
        <w:trPr>
          <w:trHeight w:val="209"/>
        </w:trPr>
        <w:tc>
          <w:tcPr>
            <w:tcW w:w="3880" w:type="dxa"/>
            <w:vAlign w:val="bottom"/>
            <w:tcBorders>
              <w:left w:val="single" w:sz="8" w:color="auto"/>
              <w:right w:val="single" w:sz="8" w:color="auto"/>
            </w:tcBorders>
            <w:gridSpan w:val="2"/>
          </w:tcPr>
          <w:p>
            <w:pPr>
              <w:ind w:left="100"/>
              <w:spacing w:after="0" w:line="209" w:lineRule="exact"/>
              <w:rPr>
                <w:sz w:val="20"/>
                <w:szCs w:val="20"/>
                <w:color w:val="auto"/>
              </w:rPr>
            </w:pPr>
            <w:r>
              <w:rPr>
                <w:rFonts w:ascii="Times New Roman" w:cs="Times New Roman" w:eastAsia="Times New Roman" w:hAnsi="Times New Roman"/>
                <w:sz w:val="22"/>
                <w:szCs w:val="22"/>
                <w:color w:val="auto"/>
              </w:rPr>
              <w:t>Operations Managers; Transportation</w:t>
            </w:r>
          </w:p>
        </w:tc>
        <w:tc>
          <w:tcPr>
            <w:tcW w:w="2240" w:type="dxa"/>
            <w:vAlign w:val="bottom"/>
            <w:tcBorders>
              <w:right w:val="single" w:sz="8" w:color="auto"/>
            </w:tcBorders>
            <w:gridSpan w:val="2"/>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7"/>
              </w:rPr>
              <w:t>$25,000</w:t>
            </w:r>
          </w:p>
        </w:tc>
        <w:tc>
          <w:tcPr>
            <w:tcW w:w="2000" w:type="dxa"/>
            <w:vAlign w:val="bottom"/>
            <w:gridSpan w:val="3"/>
          </w:tcPr>
          <w:p>
            <w:pPr>
              <w:jc w:val="center"/>
              <w:ind w:left="312"/>
              <w:spacing w:after="0" w:line="209" w:lineRule="exact"/>
              <w:rPr>
                <w:sz w:val="20"/>
                <w:szCs w:val="20"/>
                <w:color w:val="auto"/>
              </w:rPr>
            </w:pPr>
            <w:r>
              <w:rPr>
                <w:rFonts w:ascii="Times New Roman" w:cs="Times New Roman" w:eastAsia="Times New Roman" w:hAnsi="Times New Roman"/>
                <w:sz w:val="22"/>
                <w:szCs w:val="22"/>
                <w:color w:val="auto"/>
                <w:w w:val="97"/>
              </w:rPr>
              <w:t>$15,000</w:t>
            </w:r>
          </w:p>
        </w:tc>
        <w:tc>
          <w:tcPr>
            <w:tcW w:w="2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82"/>
        </w:trPr>
        <w:tc>
          <w:tcPr>
            <w:tcW w:w="38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Operations Managers</w:t>
            </w:r>
          </w:p>
        </w:tc>
        <w:tc>
          <w:tcPr>
            <w:tcW w:w="84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r>
      <w:tr>
        <w:trPr>
          <w:trHeight w:val="272"/>
        </w:trPr>
        <w:tc>
          <w:tcPr>
            <w:tcW w:w="1400" w:type="dxa"/>
            <w:vAlign w:val="bottom"/>
            <w:tcBorders>
              <w:left w:val="single" w:sz="8" w:color="auto"/>
              <w:bottom w:val="single" w:sz="8" w:color="auto"/>
            </w:tcBorders>
          </w:tcPr>
          <w:p>
            <w:pPr>
              <w:spacing w:after="0"/>
              <w:rPr>
                <w:sz w:val="23"/>
                <w:szCs w:val="23"/>
                <w:color w:val="auto"/>
              </w:rPr>
            </w:pPr>
          </w:p>
        </w:tc>
        <w:tc>
          <w:tcPr>
            <w:tcW w:w="248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40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r>
      <w:tr>
        <w:trPr>
          <w:trHeight w:val="209"/>
        </w:trPr>
        <w:tc>
          <w:tcPr>
            <w:tcW w:w="3880" w:type="dxa"/>
            <w:vAlign w:val="bottom"/>
            <w:tcBorders>
              <w:left w:val="single" w:sz="8" w:color="auto"/>
              <w:right w:val="single" w:sz="8" w:color="auto"/>
            </w:tcBorders>
            <w:gridSpan w:val="2"/>
          </w:tcPr>
          <w:p>
            <w:pPr>
              <w:ind w:left="100"/>
              <w:spacing w:after="0" w:line="209" w:lineRule="exact"/>
              <w:rPr>
                <w:sz w:val="20"/>
                <w:szCs w:val="20"/>
                <w:color w:val="auto"/>
              </w:rPr>
            </w:pPr>
            <w:r>
              <w:rPr>
                <w:rFonts w:ascii="Times New Roman" w:cs="Times New Roman" w:eastAsia="Times New Roman" w:hAnsi="Times New Roman"/>
                <w:sz w:val="22"/>
                <w:szCs w:val="22"/>
                <w:color w:val="auto"/>
              </w:rPr>
              <w:t>Purchasing Managers; Executive Account</w:t>
            </w:r>
          </w:p>
        </w:tc>
        <w:tc>
          <w:tcPr>
            <w:tcW w:w="2240" w:type="dxa"/>
            <w:vAlign w:val="bottom"/>
            <w:tcBorders>
              <w:right w:val="single" w:sz="8" w:color="auto"/>
            </w:tcBorders>
            <w:gridSpan w:val="2"/>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7"/>
              </w:rPr>
              <w:t>$10,000</w:t>
            </w:r>
          </w:p>
        </w:tc>
        <w:tc>
          <w:tcPr>
            <w:tcW w:w="2000" w:type="dxa"/>
            <w:vAlign w:val="bottom"/>
            <w:gridSpan w:val="3"/>
          </w:tcPr>
          <w:p>
            <w:pPr>
              <w:jc w:val="center"/>
              <w:ind w:left="312"/>
              <w:spacing w:after="0" w:line="209" w:lineRule="exact"/>
              <w:rPr>
                <w:sz w:val="20"/>
                <w:szCs w:val="20"/>
                <w:color w:val="auto"/>
              </w:rPr>
            </w:pPr>
            <w:r>
              <w:rPr>
                <w:rFonts w:ascii="Times New Roman" w:cs="Times New Roman" w:eastAsia="Times New Roman" w:hAnsi="Times New Roman"/>
                <w:sz w:val="22"/>
                <w:szCs w:val="22"/>
                <w:color w:val="auto"/>
                <w:w w:val="97"/>
              </w:rPr>
              <w:t>$15,000</w:t>
            </w:r>
          </w:p>
        </w:tc>
        <w:tc>
          <w:tcPr>
            <w:tcW w:w="2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43"/>
        </w:trPr>
        <w:tc>
          <w:tcPr>
            <w:tcW w:w="3880" w:type="dxa"/>
            <w:vAlign w:val="bottom"/>
            <w:tcBorders>
              <w:left w:val="single" w:sz="8" w:color="auto"/>
              <w:right w:val="single" w:sz="8" w:color="auto"/>
            </w:tcBorders>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Managers; CEO Club Members (current</w:t>
            </w:r>
          </w:p>
        </w:tc>
        <w:tc>
          <w:tcPr>
            <w:tcW w:w="84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r>
      <w:tr>
        <w:trPr>
          <w:trHeight w:val="243"/>
        </w:trPr>
        <w:tc>
          <w:tcPr>
            <w:tcW w:w="3880" w:type="dxa"/>
            <w:vAlign w:val="bottom"/>
            <w:tcBorders>
              <w:left w:val="single" w:sz="8" w:color="auto"/>
              <w:right w:val="single" w:sz="8" w:color="auto"/>
            </w:tcBorders>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and former); former President’s Club</w:t>
            </w:r>
          </w:p>
        </w:tc>
        <w:tc>
          <w:tcPr>
            <w:tcW w:w="84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r>
      <w:tr>
        <w:trPr>
          <w:trHeight w:val="282"/>
        </w:trPr>
        <w:tc>
          <w:tcPr>
            <w:tcW w:w="38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Members</w:t>
            </w:r>
          </w:p>
        </w:tc>
        <w:tc>
          <w:tcPr>
            <w:tcW w:w="84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r>
      <w:tr>
        <w:trPr>
          <w:trHeight w:val="272"/>
        </w:trPr>
        <w:tc>
          <w:tcPr>
            <w:tcW w:w="1400" w:type="dxa"/>
            <w:vAlign w:val="bottom"/>
            <w:tcBorders>
              <w:left w:val="single" w:sz="8" w:color="auto"/>
              <w:bottom w:val="single" w:sz="8" w:color="auto"/>
            </w:tcBorders>
          </w:tcPr>
          <w:p>
            <w:pPr>
              <w:spacing w:after="0"/>
              <w:rPr>
                <w:sz w:val="23"/>
                <w:szCs w:val="23"/>
                <w:color w:val="auto"/>
              </w:rPr>
            </w:pPr>
          </w:p>
        </w:tc>
        <w:tc>
          <w:tcPr>
            <w:tcW w:w="248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40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r>
      <w:tr>
        <w:trPr>
          <w:trHeight w:val="276"/>
        </w:trPr>
        <w:tc>
          <w:tcPr>
            <w:tcW w:w="38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Corporate Senior Managers</w:t>
            </w:r>
          </w:p>
        </w:tc>
        <w:tc>
          <w:tcPr>
            <w:tcW w:w="22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2"/>
                <w:szCs w:val="22"/>
                <w:color w:val="auto"/>
                <w:w w:val="97"/>
              </w:rPr>
              <w:t>$25,000</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22"/>
                <w:szCs w:val="22"/>
                <w:color w:val="auto"/>
                <w:w w:val="97"/>
              </w:rPr>
              <w:t>No Match</w:t>
            </w:r>
          </w:p>
        </w:tc>
      </w:tr>
      <w:tr>
        <w:trPr>
          <w:trHeight w:val="163"/>
        </w:trPr>
        <w:tc>
          <w:tcPr>
            <w:tcW w:w="1400" w:type="dxa"/>
            <w:vAlign w:val="bottom"/>
            <w:tcBorders>
              <w:left w:val="single" w:sz="8" w:color="auto"/>
              <w:bottom w:val="single" w:sz="8" w:color="auto"/>
            </w:tcBorders>
          </w:tcPr>
          <w:p>
            <w:pPr>
              <w:spacing w:after="0"/>
              <w:rPr>
                <w:sz w:val="14"/>
                <w:szCs w:val="14"/>
                <w:color w:val="auto"/>
              </w:rPr>
            </w:pPr>
          </w:p>
        </w:tc>
        <w:tc>
          <w:tcPr>
            <w:tcW w:w="248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r>
      <w:tr>
        <w:trPr>
          <w:trHeight w:val="209"/>
        </w:trPr>
        <w:tc>
          <w:tcPr>
            <w:tcW w:w="3880" w:type="dxa"/>
            <w:vAlign w:val="bottom"/>
            <w:tcBorders>
              <w:left w:val="single" w:sz="8" w:color="auto"/>
              <w:right w:val="single" w:sz="8" w:color="auto"/>
            </w:tcBorders>
            <w:gridSpan w:val="2"/>
          </w:tcPr>
          <w:p>
            <w:pPr>
              <w:ind w:left="100"/>
              <w:spacing w:after="0" w:line="209" w:lineRule="exact"/>
              <w:rPr>
                <w:sz w:val="20"/>
                <w:szCs w:val="20"/>
                <w:color w:val="auto"/>
              </w:rPr>
            </w:pPr>
            <w:r>
              <w:rPr>
                <w:rFonts w:ascii="Times New Roman" w:cs="Times New Roman" w:eastAsia="Times New Roman" w:hAnsi="Times New Roman"/>
                <w:sz w:val="22"/>
                <w:szCs w:val="22"/>
                <w:color w:val="auto"/>
              </w:rPr>
              <w:t>Plant Managers; Transportation Hub</w:t>
            </w:r>
          </w:p>
        </w:tc>
        <w:tc>
          <w:tcPr>
            <w:tcW w:w="2240" w:type="dxa"/>
            <w:vAlign w:val="bottom"/>
            <w:tcBorders>
              <w:right w:val="single" w:sz="8" w:color="auto"/>
            </w:tcBorders>
            <w:gridSpan w:val="2"/>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7"/>
              </w:rPr>
              <w:t>$10,000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Borders>
              <w:right w:val="single" w:sz="8" w:color="auto"/>
            </w:tcBorders>
            <w:gridSpan w:val="3"/>
          </w:tcPr>
          <w:p>
            <w:pPr>
              <w:jc w:val="center"/>
              <w:ind w:right="440"/>
              <w:spacing w:after="0" w:line="209" w:lineRule="exact"/>
              <w:rPr>
                <w:sz w:val="20"/>
                <w:szCs w:val="20"/>
                <w:color w:val="auto"/>
              </w:rPr>
            </w:pPr>
            <w:r>
              <w:rPr>
                <w:rFonts w:ascii="Times New Roman" w:cs="Times New Roman" w:eastAsia="Times New Roman" w:hAnsi="Times New Roman"/>
                <w:sz w:val="22"/>
                <w:szCs w:val="22"/>
                <w:color w:val="auto"/>
                <w:w w:val="97"/>
              </w:rPr>
              <w:t>No Match</w:t>
            </w:r>
          </w:p>
        </w:tc>
      </w:tr>
      <w:tr>
        <w:trPr>
          <w:trHeight w:val="243"/>
        </w:trPr>
        <w:tc>
          <w:tcPr>
            <w:tcW w:w="3880" w:type="dxa"/>
            <w:vAlign w:val="bottom"/>
            <w:tcBorders>
              <w:left w:val="single" w:sz="8" w:color="auto"/>
              <w:right w:val="single" w:sz="8" w:color="auto"/>
            </w:tcBorders>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Mangers; Regional and Divisional</w:t>
            </w:r>
          </w:p>
        </w:tc>
        <w:tc>
          <w:tcPr>
            <w:tcW w:w="84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r>
      <w:tr>
        <w:trPr>
          <w:trHeight w:val="243"/>
        </w:trPr>
        <w:tc>
          <w:tcPr>
            <w:tcW w:w="3880" w:type="dxa"/>
            <w:vAlign w:val="bottom"/>
            <w:tcBorders>
              <w:left w:val="single" w:sz="8" w:color="auto"/>
              <w:right w:val="single" w:sz="8" w:color="auto"/>
            </w:tcBorders>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Senior/Executive Managers; Regional</w:t>
            </w:r>
          </w:p>
        </w:tc>
        <w:tc>
          <w:tcPr>
            <w:tcW w:w="84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r>
      <w:tr>
        <w:trPr>
          <w:trHeight w:val="282"/>
        </w:trPr>
        <w:tc>
          <w:tcPr>
            <w:tcW w:w="38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Safety Directors</w:t>
            </w:r>
          </w:p>
        </w:tc>
        <w:tc>
          <w:tcPr>
            <w:tcW w:w="84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r>
      <w:tr>
        <w:trPr>
          <w:trHeight w:val="150"/>
        </w:trPr>
        <w:tc>
          <w:tcPr>
            <w:tcW w:w="1400" w:type="dxa"/>
            <w:vAlign w:val="bottom"/>
            <w:tcBorders>
              <w:left w:val="single" w:sz="8" w:color="auto"/>
              <w:bottom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r>
    </w:tbl>
    <w:p>
      <w:pPr>
        <w:spacing w:after="0" w:line="216" w:lineRule="exact"/>
        <w:rPr>
          <w:sz w:val="20"/>
          <w:szCs w:val="20"/>
          <w:color w:val="auto"/>
        </w:rPr>
      </w:pPr>
    </w:p>
    <w:p>
      <w:pPr>
        <w:ind w:left="200" w:right="1319" w:firstLine="9"/>
        <w:spacing w:after="0" w:line="523" w:lineRule="auto"/>
        <w:tabs>
          <w:tab w:leader="none" w:pos="362"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participants are also eligible to defer up to $15,000 of their Base Salary annually. ** Elective Deferrals include amounts deferred from both Base Salary and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463550</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23" w:name="page124"/>
    <w:bookmarkEnd w:id="12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10(i)</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UFP INDUSTRIES,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EXECUTIVE RETIREMENT PLAN</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2024 Restatement</w:t>
      </w:r>
    </w:p>
    <w:p>
      <w:pPr>
        <w:spacing w:after="0" w:line="26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The UFP Industries, Inc. Executive Retirement Plan ("ERP" or the "Plan") is maintained by UFP Industries, Inc. and its participating affiliates (the "Company"). The Plan is an unfunded, nonqualified deferred compensation plan. The Plan is structured to qualify for certain exemptions from the eligibility, funding, and other requirements of the Employee Retirement Income Security Act of 1974 ("ERISA") and, further, Plan benefits are computed without regard to compensation limits imposed under the Internal Revenue Code.</w:t>
      </w:r>
    </w:p>
    <w:p>
      <w:pPr>
        <w:spacing w:after="0" w:line="227"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The Company established the Plan effective July 14, 2010. This document sets forth the Plan as restated on October 23, 2024 (the "2024 Restatement").</w:t>
      </w:r>
    </w:p>
    <w:p>
      <w:pPr>
        <w:spacing w:after="0" w:line="200" w:lineRule="exact"/>
        <w:rPr>
          <w:sz w:val="20"/>
          <w:szCs w:val="20"/>
          <w:color w:val="auto"/>
        </w:rPr>
      </w:pPr>
    </w:p>
    <w:p>
      <w:pPr>
        <w:spacing w:after="0" w:line="2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 xml:space="preserve">ARTICLE 1. </w:t>
      </w:r>
      <w:r>
        <w:rPr>
          <w:rFonts w:ascii="Times New Roman" w:cs="Times New Roman" w:eastAsia="Times New Roman" w:hAnsi="Times New Roman"/>
          <w:sz w:val="22"/>
          <w:szCs w:val="22"/>
          <w:b w:val="1"/>
          <w:bCs w:val="1"/>
          <w:u w:val="single" w:color="auto"/>
          <w:color w:val="auto"/>
        </w:rPr>
        <w:t>PURPOSE; ADMINISTRATION; AND DEFINITIONS</w:t>
      </w:r>
    </w:p>
    <w:p>
      <w:pPr>
        <w:spacing w:after="0" w:line="260"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Purpose of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purpose of the Plan is to help provide eligible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of the Company an overall level of yearly retirement benefits, or lump sum distributions, which are competitive with the benefits provided executives retiring from other major U.S. industrial companies.</w:t>
      </w:r>
    </w:p>
    <w:p>
      <w:pPr>
        <w:spacing w:after="0" w:line="220"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It is further intended to eliminate the need for separate severance agreements for salaried executive employees who separate from service after age 55.</w:t>
      </w:r>
    </w:p>
    <w:p>
      <w:pPr>
        <w:spacing w:after="0" w:line="198"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It is intended that this Plan qualify as a plan "providing deferred compensation for a select group of management or highly compensated employees" under Section 201(2), 301(a)(3), and 401(a)(1) of ERISA.</w:t>
      </w:r>
    </w:p>
    <w:p>
      <w:pPr>
        <w:spacing w:after="0" w:line="20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Administration of the Plan.</w:t>
      </w:r>
    </w:p>
    <w:p>
      <w:pPr>
        <w:spacing w:after="0" w:line="264" w:lineRule="exact"/>
        <w:rPr>
          <w:sz w:val="20"/>
          <w:szCs w:val="20"/>
          <w:color w:val="auto"/>
        </w:rPr>
      </w:pPr>
    </w:p>
    <w:p>
      <w:pPr>
        <w:ind w:left="200" w:right="219" w:firstLine="657"/>
        <w:spacing w:after="0" w:line="271" w:lineRule="auto"/>
        <w:tabs>
          <w:tab w:leader="none" w:pos="149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shall at all times be maintained, considered, and administered as a non-qualified plan that is wholly separate and distinct from the Company's 401(k) plan.</w:t>
      </w:r>
    </w:p>
    <w:p>
      <w:pPr>
        <w:spacing w:after="0" w:line="198"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Benefits under this Plan are not guaranteed.</w:t>
      </w:r>
    </w:p>
    <w:p>
      <w:pPr>
        <w:spacing w:after="0" w:line="260" w:lineRule="exact"/>
        <w:rPr>
          <w:rFonts w:ascii="Times New Roman" w:cs="Times New Roman" w:eastAsia="Times New Roman" w:hAnsi="Times New Roman"/>
          <w:sz w:val="22"/>
          <w:szCs w:val="22"/>
          <w:color w:val="auto"/>
        </w:rPr>
      </w:pPr>
    </w:p>
    <w:p>
      <w:pPr>
        <w:jc w:val="both"/>
        <w:ind w:left="200" w:right="219" w:firstLine="657"/>
        <w:spacing w:after="0" w:line="250" w:lineRule="auto"/>
        <w:tabs>
          <w:tab w:leader="none" w:pos="149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the plan administrator. The plan administrator will have complete discretion and authority over the administration of the plan, including the authority to construe, interpret, apply, and administer the Plan. A decision of the plan administrator as to interpretation or application of this Plan shall be given full force and effect unless it is proven that the interpretation or determination was an abuse of discretion.</w:t>
      </w:r>
    </w:p>
    <w:p>
      <w:pPr>
        <w:spacing w:after="0" w:line="221" w:lineRule="exact"/>
        <w:rPr>
          <w:rFonts w:ascii="Times New Roman" w:cs="Times New Roman" w:eastAsia="Times New Roman" w:hAnsi="Times New Roman"/>
          <w:sz w:val="22"/>
          <w:szCs w:val="22"/>
          <w:color w:val="auto"/>
        </w:rPr>
      </w:pPr>
    </w:p>
    <w:p>
      <w:pPr>
        <w:jc w:val="both"/>
        <w:ind w:left="200" w:right="219" w:firstLine="657"/>
        <w:spacing w:after="0" w:line="257" w:lineRule="auto"/>
        <w:tabs>
          <w:tab w:leader="none" w:pos="149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shall have the full power to engage and employ such legal, actuarial, auditing, tax, and other such agents, as it shall, in its sole discretion, deem to be in the best interest of the Company, the Plan, and its Participants and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324485</wp:posOffset>
            </wp:positionV>
            <wp:extent cx="545211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4" w:name="page125"/>
    <w:bookmarkEnd w:id="124"/>
    <w:p>
      <w:pPr>
        <w:ind w:left="200" w:right="219" w:firstLine="657"/>
        <w:spacing w:after="0" w:line="271" w:lineRule="auto"/>
        <w:tabs>
          <w:tab w:leader="none" w:pos="149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expenses of administering this Plan are borne by the Company and are not charged against its Participants and beneficiaries.</w:t>
      </w:r>
    </w:p>
    <w:p>
      <w:pPr>
        <w:spacing w:after="0" w:line="198" w:lineRule="exact"/>
        <w:rPr>
          <w:rFonts w:ascii="Times New Roman" w:cs="Times New Roman" w:eastAsia="Times New Roman" w:hAnsi="Times New Roman"/>
          <w:sz w:val="22"/>
          <w:szCs w:val="22"/>
          <w:color w:val="auto"/>
        </w:rPr>
      </w:pPr>
    </w:p>
    <w:p>
      <w:pPr>
        <w:jc w:val="both"/>
        <w:ind w:left="200" w:right="219" w:firstLine="657"/>
        <w:spacing w:after="0" w:line="246" w:lineRule="auto"/>
        <w:tabs>
          <w:tab w:leader="none" w:pos="149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Various aspects of Plan administration may be delegated to the Plan record-keeper selected by the plan administrator. In carrying out its delegated responsibilities, the Plan record-keeper shall have discretionary authority to construe, interpret, apply, and administer the Plan provisions. The discretionary authority delegated to the Plan record-keeper shall, however, be limited to the Plan terms relevant to its delegated responsibilities and shall not permit the Plan record-keeper to render a determination or to make any representation concerning benefits which are not provided by the express terms of the Plan. The Plan record-keeper's actions shall be given full force and effect unless determined by the plan administrator to be contrary to the Plan provisions or arbitrary and capricious.</w:t>
      </w:r>
    </w:p>
    <w:p>
      <w:pPr>
        <w:spacing w:after="0" w:line="231"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2024 Restatement is effective October 23, 2024.</w:t>
      </w:r>
    </w:p>
    <w:p>
      <w:pPr>
        <w:spacing w:after="0" w:line="27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u w:val="single" w:color="auto"/>
          <w:color w:val="auto"/>
        </w:rPr>
        <w:t>Definitions.</w:t>
      </w:r>
    </w:p>
    <w:p>
      <w:pPr>
        <w:spacing w:after="0" w:line="26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"Board" or "Board of Directors" means the Board of Directors of UFP</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Industries, Inc.</w:t>
      </w:r>
    </w:p>
    <w:p>
      <w:pPr>
        <w:spacing w:after="0" w:line="23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"Cause" for termination of employment means any one or more of the</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following:</w:t>
      </w:r>
    </w:p>
    <w:p>
      <w:pPr>
        <w:spacing w:after="0" w:line="236" w:lineRule="exact"/>
        <w:rPr>
          <w:sz w:val="20"/>
          <w:szCs w:val="20"/>
          <w:color w:val="auto"/>
        </w:rPr>
      </w:pPr>
    </w:p>
    <w:p>
      <w:pPr>
        <w:jc w:val="both"/>
        <w:ind w:left="200" w:right="219" w:firstLine="1953"/>
        <w:spacing w:after="0" w:line="252" w:lineRule="auto"/>
        <w:tabs>
          <w:tab w:leader="none" w:pos="2792"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misconduct, such as fraud or embezzlement, gross insubordination, or the Participant's material failure (or a number of failures that are material in the aggregate) to perform his or her duties in a manner commensurate with generally accepted industry standards applicable to similarly situated executive employees;</w:t>
      </w:r>
    </w:p>
    <w:p>
      <w:pPr>
        <w:spacing w:after="0" w:line="219" w:lineRule="exact"/>
        <w:rPr>
          <w:rFonts w:ascii="Times New Roman" w:cs="Times New Roman" w:eastAsia="Times New Roman" w:hAnsi="Times New Roman"/>
          <w:sz w:val="22"/>
          <w:szCs w:val="22"/>
          <w:color w:val="auto"/>
        </w:rPr>
      </w:pPr>
    </w:p>
    <w:p>
      <w:pPr>
        <w:ind w:left="200" w:right="219" w:firstLine="1953"/>
        <w:spacing w:after="0" w:line="271" w:lineRule="auto"/>
        <w:tabs>
          <w:tab w:leader="none" w:pos="2792"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conviction of a felony adversely affecting the Participant's ability to carry on the normal duties of his or her position;</w:t>
      </w:r>
    </w:p>
    <w:p>
      <w:pPr>
        <w:spacing w:after="0" w:line="198" w:lineRule="exact"/>
        <w:rPr>
          <w:rFonts w:ascii="Times New Roman" w:cs="Times New Roman" w:eastAsia="Times New Roman" w:hAnsi="Times New Roman"/>
          <w:sz w:val="22"/>
          <w:szCs w:val="22"/>
          <w:color w:val="auto"/>
        </w:rPr>
      </w:pPr>
    </w:p>
    <w:p>
      <w:pPr>
        <w:ind w:left="200" w:right="219" w:firstLine="1953"/>
        <w:spacing w:after="0" w:line="271" w:lineRule="auto"/>
        <w:tabs>
          <w:tab w:leader="none" w:pos="2792"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that is highly likely to bring public disrespect, contempt, or ridicule, upon the Company; or</w:t>
      </w:r>
    </w:p>
    <w:p>
      <w:pPr>
        <w:spacing w:after="0" w:line="198" w:lineRule="exact"/>
        <w:rPr>
          <w:rFonts w:ascii="Times New Roman" w:cs="Times New Roman" w:eastAsia="Times New Roman" w:hAnsi="Times New Roman"/>
          <w:sz w:val="22"/>
          <w:szCs w:val="22"/>
          <w:color w:val="auto"/>
        </w:rPr>
      </w:pPr>
    </w:p>
    <w:p>
      <w:pPr>
        <w:jc w:val="both"/>
        <w:ind w:left="200" w:right="219" w:firstLine="1953"/>
        <w:spacing w:after="0" w:line="275" w:lineRule="auto"/>
        <w:tabs>
          <w:tab w:leader="none" w:pos="2792"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prolonged absence without the consent of the Board of Directors, but not absence that is permitted under the generally applicable employment policies and procedures of the Company or the terms of the executive employee's employment with the Company.</w:t>
      </w:r>
    </w:p>
    <w:p>
      <w:pPr>
        <w:spacing w:after="0" w:line="195" w:lineRule="exact"/>
        <w:rPr>
          <w:rFonts w:ascii="Times New Roman" w:cs="Times New Roman" w:eastAsia="Times New Roman" w:hAnsi="Times New Roman"/>
          <w:sz w:val="21"/>
          <w:szCs w:val="21"/>
          <w:color w:val="auto"/>
        </w:rPr>
      </w:pPr>
    </w:p>
    <w:p>
      <w:pPr>
        <w:jc w:val="both"/>
        <w:ind w:left="200" w:right="219" w:firstLine="1305"/>
        <w:spacing w:after="0" w:line="265" w:lineRule="auto"/>
        <w:tabs>
          <w:tab w:leader="none" w:pos="2144"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"Disability" means the inability to engage in any substantial gainful activity by reason of any medically determinable physical or mental impairment that can be expected to result in death or can be expected to continue for a period of at least 12 months. A Participant will be deemed to be disabled if the Social Security Administration has determined that the Participant is totally disabled for purposes of receiving disability benefits under the Social Security Act.</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25" w:name="page126"/>
    <w:bookmarkEnd w:id="125"/>
    <w:p>
      <w:pPr>
        <w:ind w:left="200" w:right="239" w:firstLine="1305"/>
        <w:spacing w:after="0" w:line="271" w:lineRule="auto"/>
        <w:tabs>
          <w:tab w:leader="none" w:pos="21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means an executive employed by the Company and participating in the Plan in accordance with the provisions of Article 2.1.</w:t>
      </w:r>
    </w:p>
    <w:p>
      <w:pPr>
        <w:spacing w:after="0" w:line="19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Year" means the 12-month period beginning January 1 and ending</w:t>
      </w:r>
    </w:p>
    <w:p>
      <w:pPr>
        <w:spacing w:after="0" w:line="27"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December 31.</w:t>
      </w:r>
    </w:p>
    <w:p>
      <w:pPr>
        <w:spacing w:after="0" w:line="236" w:lineRule="exact"/>
        <w:rPr>
          <w:rFonts w:ascii="Times New Roman" w:cs="Times New Roman" w:eastAsia="Times New Roman" w:hAnsi="Times New Roman"/>
          <w:sz w:val="22"/>
          <w:szCs w:val="22"/>
          <w:color w:val="auto"/>
        </w:rPr>
      </w:pPr>
    </w:p>
    <w:p>
      <w:pPr>
        <w:ind w:left="200" w:right="219" w:firstLine="1305"/>
        <w:spacing w:after="0" w:line="271" w:lineRule="auto"/>
        <w:tabs>
          <w:tab w:leader="none" w:pos="21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"Separation from Service" means a termination of employment that qualifies as a separation from service under Section 1.409A-1(h) of the Treasury Regulations.</w:t>
      </w:r>
    </w:p>
    <w:p>
      <w:pPr>
        <w:spacing w:after="0" w:line="198" w:lineRule="exact"/>
        <w:rPr>
          <w:rFonts w:ascii="Times New Roman" w:cs="Times New Roman" w:eastAsia="Times New Roman" w:hAnsi="Times New Roman"/>
          <w:sz w:val="22"/>
          <w:szCs w:val="22"/>
          <w:color w:val="auto"/>
        </w:rPr>
      </w:pPr>
    </w:p>
    <w:p>
      <w:pPr>
        <w:ind w:left="200" w:right="219" w:firstLine="1305"/>
        <w:spacing w:after="0" w:line="271" w:lineRule="auto"/>
        <w:tabs>
          <w:tab w:leader="none" w:pos="21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"Spouse" means, with respect to any Participant, the person (if any) who is legally married to the Participant.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ARTICLE 2. </w:t>
      </w:r>
      <w:r>
        <w:rPr>
          <w:rFonts w:ascii="Times New Roman" w:cs="Times New Roman" w:eastAsia="Times New Roman" w:hAnsi="Times New Roman"/>
          <w:sz w:val="22"/>
          <w:szCs w:val="22"/>
          <w:b w:val="1"/>
          <w:bCs w:val="1"/>
          <w:u w:val="single" w:color="auto"/>
          <w:color w:val="auto"/>
        </w:rPr>
        <w:t>PARTICIPATION</w:t>
      </w:r>
    </w:p>
    <w:p>
      <w:pPr>
        <w:spacing w:after="0" w:line="260"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2.1 </w:t>
      </w:r>
      <w:r>
        <w:rPr>
          <w:rFonts w:ascii="Times New Roman" w:cs="Times New Roman" w:eastAsia="Times New Roman" w:hAnsi="Times New Roman"/>
          <w:sz w:val="21"/>
          <w:szCs w:val="21"/>
          <w:b w:val="1"/>
          <w:bCs w:val="1"/>
          <w:u w:val="single" w:color="auto"/>
          <w:color w:val="auto"/>
        </w:rPr>
        <w:t>Eligibility to Participate.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Participation in the Plan will be limited to a select group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executive employees of the Company who are identified by the Personnel and Compensation Committee of the Board of Directors on Appendix A attached hereto, as amended from time to time, as Participants in the Plan. The Personnel and Compensation Committee of the Board of Directors may add executive employees as Participants in the Plan at any time and for any reason.</w:t>
      </w:r>
    </w:p>
    <w:p>
      <w:pPr>
        <w:spacing w:after="0" w:line="199"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b w:val="1"/>
          <w:bCs w:val="1"/>
          <w:u w:val="single" w:color="auto"/>
          <w:color w:val="auto"/>
        </w:rPr>
        <w:t>Individuals Not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Section 2.1, the following classes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individuals are ineligible to participate in the Plan:</w:t>
      </w:r>
    </w:p>
    <w:p>
      <w:pPr>
        <w:spacing w:after="0" w:line="194" w:lineRule="exact"/>
        <w:rPr>
          <w:sz w:val="20"/>
          <w:szCs w:val="20"/>
          <w:color w:val="auto"/>
        </w:rPr>
      </w:pPr>
    </w:p>
    <w:p>
      <w:pPr>
        <w:jc w:val="both"/>
        <w:ind w:left="200" w:right="219" w:firstLine="1305"/>
        <w:spacing w:after="0" w:line="275" w:lineRule="auto"/>
        <w:tabs>
          <w:tab w:leader="none" w:pos="2144"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who provides services to the Company where there is an agreement with a separate company under which the services are provided (such individuals are commonly referred to by the Company as "contract employees" or "bundled-services employees");</w:t>
      </w:r>
    </w:p>
    <w:p>
      <w:pPr>
        <w:spacing w:after="0" w:line="195" w:lineRule="exact"/>
        <w:rPr>
          <w:rFonts w:ascii="Times New Roman" w:cs="Times New Roman" w:eastAsia="Times New Roman" w:hAnsi="Times New Roman"/>
          <w:sz w:val="21"/>
          <w:szCs w:val="21"/>
          <w:color w:val="auto"/>
        </w:rPr>
      </w:pPr>
    </w:p>
    <w:p>
      <w:pPr>
        <w:ind w:left="200" w:right="219" w:firstLine="1305"/>
        <w:spacing w:after="0" w:line="271" w:lineRule="auto"/>
        <w:tabs>
          <w:tab w:leader="none" w:pos="214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individual who has signed an independent contractor agreement, consulting agreement, or other similar personal services contract with the Company; and</w:t>
      </w:r>
    </w:p>
    <w:p>
      <w:pPr>
        <w:spacing w:after="0" w:line="198"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4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individual that the Company, in good faith, classifies as an independent contractor, consultant, contract employee, or bundled-services employee during the period the individual is so classified by the Company.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ARTICLE 3. </w:t>
      </w:r>
      <w:r>
        <w:rPr>
          <w:rFonts w:ascii="Times New Roman" w:cs="Times New Roman" w:eastAsia="Times New Roman" w:hAnsi="Times New Roman"/>
          <w:sz w:val="22"/>
          <w:szCs w:val="22"/>
          <w:b w:val="1"/>
          <w:bCs w:val="1"/>
          <w:u w:val="single" w:color="auto"/>
          <w:color w:val="auto"/>
        </w:rPr>
        <w:t>EXECUTIVE RETIREMENT PLAN</w:t>
      </w:r>
    </w:p>
    <w:p>
      <w:pPr>
        <w:spacing w:after="0" w:line="260" w:lineRule="exact"/>
        <w:rPr>
          <w:sz w:val="20"/>
          <w:szCs w:val="20"/>
          <w:color w:val="auto"/>
        </w:rPr>
      </w:pPr>
    </w:p>
    <w:p>
      <w:pPr>
        <w:ind w:left="200" w:right="21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b w:val="1"/>
          <w:bCs w:val="1"/>
          <w:u w:val="single" w:color="auto"/>
          <w:color w:val="auto"/>
        </w:rPr>
        <w:t>Entitlement to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Participant will be entitled to a benefit under this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only if the Participant meets the eligibility requirements in Article 2 and either:</w:t>
      </w:r>
    </w:p>
    <w:p>
      <w:pPr>
        <w:spacing w:after="0" w:line="194" w:lineRule="exact"/>
        <w:rPr>
          <w:sz w:val="20"/>
          <w:szCs w:val="20"/>
          <w:color w:val="auto"/>
        </w:rPr>
      </w:pPr>
    </w:p>
    <w:p>
      <w:pPr>
        <w:jc w:val="both"/>
        <w:ind w:left="200" w:right="219" w:firstLine="1305"/>
        <w:spacing w:after="0" w:line="257" w:lineRule="auto"/>
        <w:tabs>
          <w:tab w:leader="none" w:pos="214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at least 20 years of service with the Company as an employee, the Participant has at least ten years of service with the Company as an officer, and the Participant is at least 55 years of age, or</w:t>
      </w:r>
    </w:p>
    <w:p>
      <w:pPr>
        <w:spacing w:after="0" w:line="213" w:lineRule="exact"/>
        <w:rPr>
          <w:rFonts w:ascii="Times New Roman" w:cs="Times New Roman" w:eastAsia="Times New Roman" w:hAnsi="Times New Roman"/>
          <w:sz w:val="22"/>
          <w:szCs w:val="22"/>
          <w:color w:val="auto"/>
        </w:rPr>
      </w:pPr>
    </w:p>
    <w:p>
      <w:pPr>
        <w:ind w:left="200" w:right="239" w:firstLine="1305"/>
        <w:spacing w:after="0" w:line="271" w:lineRule="auto"/>
        <w:tabs>
          <w:tab w:leader="none" w:pos="214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a change in control of the Company, as defined in the Company's Long Term Stock Incentive Plan, as amended and restated.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6" w:name="page127"/>
    <w:bookmarkEnd w:id="126"/>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u w:val="single" w:color="auto"/>
          <w:color w:val="auto"/>
        </w:rPr>
        <w:t>Benefits.</w:t>
      </w:r>
    </w:p>
    <w:p>
      <w:pPr>
        <w:spacing w:after="0" w:line="264" w:lineRule="exact"/>
        <w:rPr>
          <w:sz w:val="20"/>
          <w:szCs w:val="20"/>
          <w:color w:val="auto"/>
        </w:rPr>
      </w:pPr>
    </w:p>
    <w:p>
      <w:pPr>
        <w:jc w:val="both"/>
        <w:ind w:left="200" w:right="219" w:firstLine="1305"/>
        <w:spacing w:after="0" w:line="263" w:lineRule="auto"/>
        <w:tabs>
          <w:tab w:leader="none" w:pos="2144"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Participant who is eligible for benefits under Section 3.1(A) dies, becomes disabled, or otherwise separates from service on or after attaining age 62, or if a Participant who is eligible for benefits under Section 3.1(B), dies, becomes disabled, or otherwise separates from service, the Participant shall be entitled to a retirement benefit equal to 150% of the Participant's highest annual base salary during the three Plan Years immediately preceding the Plan Year in which the Participant died, became disabled, or otherwise separated from service.</w:t>
      </w:r>
    </w:p>
    <w:p>
      <w:pPr>
        <w:spacing w:after="0" w:line="207" w:lineRule="exact"/>
        <w:rPr>
          <w:rFonts w:ascii="Times New Roman" w:cs="Times New Roman" w:eastAsia="Times New Roman" w:hAnsi="Times New Roman"/>
          <w:sz w:val="21"/>
          <w:szCs w:val="21"/>
          <w:color w:val="auto"/>
        </w:rPr>
      </w:pPr>
    </w:p>
    <w:p>
      <w:pPr>
        <w:jc w:val="both"/>
        <w:ind w:left="200" w:right="219" w:firstLine="1305"/>
        <w:spacing w:after="0" w:line="248" w:lineRule="auto"/>
        <w:tabs>
          <w:tab w:leader="none" w:pos="214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who is eligible for benefits under Section 3.1(A) dies, becomes disabled, or otherwise separates from service before attaining age 62, the Participant shall be entitled to a retirement benefit equal to the lesser of (i) the cumulative total of the Participant's annual plan credits, or (ii) 150% of the Participant's highest annual base salary during the three Plan Years immediately preceding the Plan Year in which the Participant, died, became disabled, or otherwise separated from service.</w:t>
      </w:r>
    </w:p>
    <w:p>
      <w:pPr>
        <w:spacing w:after="0" w:line="240" w:lineRule="exact"/>
        <w:rPr>
          <w:rFonts w:ascii="Times New Roman" w:cs="Times New Roman" w:eastAsia="Times New Roman" w:hAnsi="Times New Roman"/>
          <w:sz w:val="22"/>
          <w:szCs w:val="22"/>
          <w:color w:val="auto"/>
        </w:rPr>
      </w:pPr>
    </w:p>
    <w:p>
      <w:pPr>
        <w:jc w:val="both"/>
        <w:ind w:left="200" w:right="219" w:firstLine="1953"/>
        <w:spacing w:after="0" w:line="250" w:lineRule="auto"/>
        <w:tabs>
          <w:tab w:leader="none" w:pos="2792"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Plan year, a Participant shall be credited with an annual plan credit equal to the product of the Participant's annual base salary for the immediately preceding Plan Year times 150%, divided by the difference between age 62 and the Participant's age in whole years. (Example: base salary is $150,000. Participant is 55 years old. Annual plan credit is $150,000*150% / (62-55) = $32,142.86)</w:t>
      </w:r>
    </w:p>
    <w:p>
      <w:pPr>
        <w:spacing w:after="0" w:line="221" w:lineRule="exact"/>
        <w:rPr>
          <w:rFonts w:ascii="Times New Roman" w:cs="Times New Roman" w:eastAsia="Times New Roman" w:hAnsi="Times New Roman"/>
          <w:sz w:val="22"/>
          <w:szCs w:val="22"/>
          <w:color w:val="auto"/>
        </w:rPr>
      </w:pPr>
    </w:p>
    <w:p>
      <w:pPr>
        <w:jc w:val="both"/>
        <w:ind w:left="200" w:right="219" w:firstLine="1953"/>
        <w:spacing w:after="0" w:line="250" w:lineRule="auto"/>
        <w:tabs>
          <w:tab w:leader="none" w:pos="2792"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a Participant separates from service for a reason other than death or disability before attaining age 60, the Participant's retirement benefit, if any, shall be reduced by 5/12ths of 1% of the amount determined under Section 3.2(B) for each full calendar month between the date of separation from service and the date the Participant would attain age 60.</w:t>
      </w:r>
    </w:p>
    <w:p>
      <w:pPr>
        <w:spacing w:after="0" w:line="21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u w:val="single" w:color="auto"/>
          <w:color w:val="auto"/>
        </w:rPr>
        <w:t>Timing of Benefit Payments.</w:t>
      </w:r>
    </w:p>
    <w:p>
      <w:pPr>
        <w:spacing w:after="0" w:line="264" w:lineRule="exact"/>
        <w:rPr>
          <w:sz w:val="20"/>
          <w:szCs w:val="20"/>
          <w:color w:val="auto"/>
        </w:rPr>
      </w:pPr>
    </w:p>
    <w:p>
      <w:pPr>
        <w:jc w:val="both"/>
        <w:ind w:left="200" w:right="239" w:firstLine="1305"/>
        <w:spacing w:after="0" w:line="275" w:lineRule="auto"/>
        <w:tabs>
          <w:tab w:leader="none" w:pos="2144"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Section 4.2, if the Participant separates from service as a result of death or disability, payment of the Participant's benefits will commence on the first day of the month immediately following the date of such separation from service.</w:t>
      </w:r>
    </w:p>
    <w:p>
      <w:pPr>
        <w:spacing w:after="0" w:line="195" w:lineRule="exact"/>
        <w:rPr>
          <w:rFonts w:ascii="Times New Roman" w:cs="Times New Roman" w:eastAsia="Times New Roman" w:hAnsi="Times New Roman"/>
          <w:sz w:val="21"/>
          <w:szCs w:val="21"/>
          <w:color w:val="auto"/>
        </w:rPr>
      </w:pPr>
    </w:p>
    <w:p>
      <w:pPr>
        <w:jc w:val="both"/>
        <w:ind w:left="200" w:right="219" w:firstLine="1305"/>
        <w:spacing w:after="0" w:line="252"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 4.2, if the Participant separates from service for any reason other than death or disability, payment of the Participant's benefits will commence not later than the first day of the third month immediately following the date of such separation from service.</w:t>
      </w:r>
    </w:p>
    <w:p>
      <w:pPr>
        <w:spacing w:after="0" w:line="216" w:lineRule="exact"/>
        <w:rPr>
          <w:sz w:val="20"/>
          <w:szCs w:val="20"/>
          <w:color w:val="auto"/>
        </w:rPr>
      </w:pPr>
    </w:p>
    <w:p>
      <w:pPr>
        <w:ind w:left="200" w:right="23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b w:val="1"/>
          <w:bCs w:val="1"/>
          <w:u w:val="single" w:color="auto"/>
          <w:color w:val="auto"/>
        </w:rPr>
        <w:t>Form of Benefit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in this Section 3.4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4.2, the Participant's benefits shall be paid in three equal annual installments.</w:t>
      </w:r>
    </w:p>
    <w:p>
      <w:pPr>
        <w:spacing w:after="0" w:line="194" w:lineRule="exact"/>
        <w:rPr>
          <w:sz w:val="20"/>
          <w:szCs w:val="20"/>
          <w:color w:val="auto"/>
        </w:rPr>
      </w:pPr>
    </w:p>
    <w:p>
      <w:pPr>
        <w:jc w:val="both"/>
        <w:ind w:left="200" w:right="219" w:firstLine="1305"/>
        <w:spacing w:after="0" w:line="252" w:lineRule="auto"/>
        <w:tabs>
          <w:tab w:leader="none" w:pos="21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Participant dies or becomes disabled after the Participant has separated from service, the Company has discretionary authority to pay any remaining payments to the Participant or his or her beneficiary, as applicable, in a single lump sum equal to the present value of the remaining payments.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27" w:name="page128"/>
    <w:bookmarkEnd w:id="127"/>
    <w:p>
      <w:pPr>
        <w:jc w:val="both"/>
        <w:ind w:left="200" w:right="219" w:firstLine="1305"/>
        <w:spacing w:after="0" w:line="257" w:lineRule="auto"/>
        <w:tabs>
          <w:tab w:leader="none" w:pos="21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to provide benefits under this Article 3 shall cease at the end of the three year installment period or upon payment of a lump sum to the Participant or his or her beneficiary.</w:t>
      </w:r>
    </w:p>
    <w:p>
      <w:pPr>
        <w:spacing w:after="0" w:line="209"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3.5 </w:t>
      </w:r>
      <w:r>
        <w:rPr>
          <w:rFonts w:ascii="Times New Roman" w:cs="Times New Roman" w:eastAsia="Times New Roman" w:hAnsi="Times New Roman"/>
          <w:sz w:val="21"/>
          <w:szCs w:val="21"/>
          <w:b w:val="1"/>
          <w:bCs w:val="1"/>
          <w:u w:val="single" w:color="auto"/>
          <w:color w:val="auto"/>
        </w:rPr>
        <w:t>Designation of Beneficiary.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Participant may designate a beneficiary to receive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benefit, if any, payable after the Participant's death on a form provided by or approved by the plan administrator. A married Participant must obtain the written consent of his or her spouse to designate a beneficiary other than the spouse. If a Participant designates his or her spouse as beneficiary and the Participant and Spouse are subsequently divorced, the judgment of divorce shall be considered to revoke the prior beneficiary designation of the spouse. If the Participant fails to designate a beneficiary, then the Plan will treat the Participant's spouse as the beneficiary. If no beneficiary survives the Participant, the Plan will treat the Participant's estate as the beneficiary.</w:t>
      </w:r>
    </w:p>
    <w:p>
      <w:pPr>
        <w:spacing w:after="0" w:line="20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u w:val="single" w:color="auto"/>
          <w:color w:val="auto"/>
        </w:rPr>
        <w:t>Conditions and Forfeiture.</w:t>
      </w:r>
    </w:p>
    <w:p>
      <w:pPr>
        <w:spacing w:after="0" w:line="278" w:lineRule="exact"/>
        <w:rPr>
          <w:sz w:val="20"/>
          <w:szCs w:val="20"/>
          <w:color w:val="auto"/>
        </w:rPr>
      </w:pPr>
    </w:p>
    <w:p>
      <w:pPr>
        <w:jc w:val="both"/>
        <w:ind w:left="200" w:right="219" w:firstLine="1305"/>
        <w:spacing w:after="0" w:line="257" w:lineRule="auto"/>
        <w:tabs>
          <w:tab w:leader="none" w:pos="21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receiving any benefits under this Plan, the Participant must sign and deliver to the Company a general release, including a covenant not to engage in any activity competitive with any business of the Company (the "Release").</w:t>
      </w:r>
    </w:p>
    <w:p>
      <w:pPr>
        <w:spacing w:after="0" w:line="213"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provisions of this Plan, any benefits payable to a Participant will be forfeited and the Company may require a Participant or beneficiary to repay to the Company an amount equal to the benefits previously paid to the Participant if Participant violates or breaches any terms of the Release.</w:t>
      </w:r>
    </w:p>
    <w:p>
      <w:pPr>
        <w:spacing w:after="0" w:line="219"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Plan, any benefits payable to a Participant will be forfeited if the Company terminates the Participant's employment for "Cause" as defined in Section 1.3.</w:t>
      </w:r>
    </w:p>
    <w:p>
      <w:pPr>
        <w:spacing w:after="0" w:line="213" w:lineRule="exact"/>
        <w:rPr>
          <w:rFonts w:ascii="Times New Roman" w:cs="Times New Roman" w:eastAsia="Times New Roman" w:hAnsi="Times New Roman"/>
          <w:sz w:val="22"/>
          <w:szCs w:val="22"/>
          <w:color w:val="auto"/>
        </w:rPr>
      </w:pPr>
    </w:p>
    <w:p>
      <w:pPr>
        <w:ind w:left="200" w:right="219" w:firstLine="1305"/>
        <w:spacing w:after="0" w:line="271" w:lineRule="auto"/>
        <w:tabs>
          <w:tab w:leader="none" w:pos="21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3.6 are in addition to, and not in lieu of, any remedies that the Company may have against the Participants or his or her beneficiary.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ARTICLE 4. </w:t>
      </w:r>
      <w:r>
        <w:rPr>
          <w:rFonts w:ascii="Times New Roman" w:cs="Times New Roman" w:eastAsia="Times New Roman" w:hAnsi="Times New Roman"/>
          <w:sz w:val="22"/>
          <w:szCs w:val="22"/>
          <w:b w:val="1"/>
          <w:bCs w:val="1"/>
          <w:u w:val="single" w:color="auto"/>
          <w:color w:val="auto"/>
        </w:rPr>
        <w:t>OTHER MATTERS</w:t>
      </w:r>
    </w:p>
    <w:p>
      <w:pPr>
        <w:spacing w:after="0" w:line="2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Amendment, Modification, Suspension, or Termination by Company.</w:t>
      </w:r>
    </w:p>
    <w:p>
      <w:pPr>
        <w:spacing w:after="0" w:line="264" w:lineRule="exact"/>
        <w:rPr>
          <w:sz w:val="20"/>
          <w:szCs w:val="20"/>
          <w:color w:val="auto"/>
        </w:rPr>
      </w:pPr>
    </w:p>
    <w:p>
      <w:pPr>
        <w:jc w:val="both"/>
        <w:ind w:left="200" w:right="219" w:firstLine="1305"/>
        <w:spacing w:after="0" w:line="259" w:lineRule="auto"/>
        <w:tabs>
          <w:tab w:leader="none" w:pos="2144"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reserves the right, by and through the Personnel and Compensation Committee of the Board of Directors (the "Committee") or its delegate, to amend or terminate this Plan in whole or in part, at any time, but such amendment or termination will not be effective unless the amendment or termination will not result in the imposition of the penalty tax and interest provisions under Section 409A(a)(1)(B) of the Internal Revenue Code (the "Code") and the amendment or termination is acknowledged or set forth in a statement signed by the Board of Directors, the Committee, or an appropriate individual or group as designated by the Board of Directors or the Committee. Absent an express delegation of authority from the Board of Directors or the Committee, no one has the authority to commit the Company to any benefit or benefits provision not provided for under this Plan or to change the eligibility criteria or other provisions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28" w:name="page129"/>
    <w:bookmarkEnd w:id="128"/>
    <w:p>
      <w:pPr>
        <w:jc w:val="both"/>
        <w:ind w:left="200" w:right="219"/>
        <w:spacing w:after="0" w:line="252" w:lineRule="auto"/>
        <w:rPr>
          <w:sz w:val="20"/>
          <w:szCs w:val="20"/>
          <w:color w:val="auto"/>
        </w:rPr>
      </w:pPr>
      <w:r>
        <w:rPr>
          <w:rFonts w:ascii="Times New Roman" w:cs="Times New Roman" w:eastAsia="Times New Roman" w:hAnsi="Times New Roman"/>
          <w:sz w:val="22"/>
          <w:szCs w:val="22"/>
          <w:color w:val="auto"/>
        </w:rPr>
        <w:t>of this Plan. Notwithstanding the above, no amendment or termination may reduce the benefits of Participants who are entitled to benefits under Section 3.1 of this Plan, including benefits being provided a surviving spouse, without the Participant's or surviving spouse's written permission, unless such amendment, modification, suspension or termination is required by law.</w:t>
      </w:r>
    </w:p>
    <w:p>
      <w:pPr>
        <w:spacing w:after="0" w:line="220" w:lineRule="exact"/>
        <w:rPr>
          <w:sz w:val="20"/>
          <w:szCs w:val="20"/>
          <w:color w:val="auto"/>
        </w:rPr>
      </w:pPr>
    </w:p>
    <w:p>
      <w:pPr>
        <w:jc w:val="both"/>
        <w:ind w:left="200" w:right="219" w:firstLine="1305"/>
        <w:spacing w:after="0" w:line="252" w:lineRule="auto"/>
        <w:tabs>
          <w:tab w:leader="none" w:pos="214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from time-to-time and in its sole discretion, adopt limited early retirement provisions to provide retirements (i) during a specified period of time, (ii) at a specified level of benefits, and (iii) for a Participant who has otherwise met the eligibility requirements of Section 3.1(A) except that the Participant has not yet attained age 55.</w:t>
      </w:r>
    </w:p>
    <w:p>
      <w:pPr>
        <w:spacing w:after="0" w:line="21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Special Rules.</w:t>
      </w:r>
    </w:p>
    <w:p>
      <w:pPr>
        <w:spacing w:after="0" w:line="264" w:lineRule="exact"/>
        <w:rPr>
          <w:sz w:val="20"/>
          <w:szCs w:val="20"/>
          <w:color w:val="auto"/>
        </w:rPr>
      </w:pPr>
    </w:p>
    <w:p>
      <w:pPr>
        <w:jc w:val="both"/>
        <w:ind w:left="200" w:right="219" w:firstLine="1305"/>
        <w:spacing w:after="0" w:line="250"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Plan, no elections, modifications or distributions will be allowed or implemented if they would cause a Participant to be subject to the penalty tax and interest provisions under Section 409A(a)(1)(B) of the Code, unless the Committee specifies in writing that such elections, modifications or distributions shall be made notwithstanding the impact of such tax (i.e. court order, adverse business conditions). This plan is intended to be interpreted in accordance with the requirements of Section 409A of the Internal Revenue Code and the regulations thereunder.</w:t>
      </w:r>
    </w:p>
    <w:p>
      <w:pPr>
        <w:spacing w:after="0" w:line="220" w:lineRule="exact"/>
        <w:rPr>
          <w:rFonts w:ascii="Times New Roman" w:cs="Times New Roman" w:eastAsia="Times New Roman" w:hAnsi="Times New Roman"/>
          <w:sz w:val="22"/>
          <w:szCs w:val="22"/>
          <w:color w:val="auto"/>
        </w:rPr>
      </w:pPr>
    </w:p>
    <w:p>
      <w:pPr>
        <w:jc w:val="both"/>
        <w:ind w:left="200" w:right="219" w:firstLine="1305"/>
        <w:spacing w:after="0" w:line="250"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the Plan, any Participant who is a "Specified Employee", as defined by Section 409A of the Code, will have a six month waiting period (or, if earlier, the date of death) before commencement of payment of any Plan benefits payable on account of a separation from service. During the six-month waiting period, all amounts payable under this Plan will accumulate without interest.</w:t>
      </w:r>
    </w:p>
    <w:p>
      <w:pPr>
        <w:spacing w:after="0" w:line="221"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separation from service the present value of all benefits under the Plan is less than the dollar limit under Section 402(g) of the Code as adjusted by the Secretary of the Treasury ($23,000 for 2024) such amount shall be paid in a lump sum within 90 days of such separation.</w:t>
      </w:r>
    </w:p>
    <w:p>
      <w:pPr>
        <w:spacing w:after="0" w:line="219"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the Plan to the contrary, under the provisions of Treasury Regulation Section 1.409A-3(j) benefits may be paid prior to the applicable payment date in the following events:</w:t>
      </w:r>
    </w:p>
    <w:p>
      <w:pPr>
        <w:spacing w:after="0" w:line="213"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comply with an ethics agreement with the federal government, or</w:t>
      </w:r>
    </w:p>
    <w:p>
      <w:pPr>
        <w:spacing w:after="0" w:line="39"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avoid a violation of any domestic or foreign ethics law or conflicts law;</w:t>
      </w:r>
    </w:p>
    <w:p>
      <w:pPr>
        <w:spacing w:after="0" w:line="236" w:lineRule="exact"/>
        <w:rPr>
          <w:rFonts w:ascii="Times New Roman" w:cs="Times New Roman" w:eastAsia="Times New Roman" w:hAnsi="Times New Roman"/>
          <w:sz w:val="21"/>
          <w:szCs w:val="21"/>
          <w:color w:val="auto"/>
        </w:rPr>
      </w:pPr>
    </w:p>
    <w:p>
      <w:pPr>
        <w:ind w:left="2800" w:hanging="647"/>
        <w:spacing w:after="0"/>
        <w:tabs>
          <w:tab w:leader="none" w:pos="280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satisfy any Federal Insurance Contributions Act (FICA) tax</w:t>
      </w:r>
    </w:p>
    <w:p>
      <w:pPr>
        <w:spacing w:after="0" w:line="27"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w:t>
      </w:r>
    </w:p>
    <w:p>
      <w:pPr>
        <w:spacing w:after="0" w:line="23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the Retired Executive an amount required to be included in</w:t>
      </w:r>
    </w:p>
    <w:p>
      <w:pPr>
        <w:spacing w:after="0" w:line="27"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due to a failure of the Plan to comply with Section 409A of the Code;</w:t>
      </w:r>
    </w:p>
    <w:p>
      <w:pPr>
        <w:spacing w:after="0" w:line="23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Plan;</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9" w:name="page130"/>
    <w:bookmarkEnd w:id="129"/>
    <w:p>
      <w:pPr>
        <w:ind w:left="2800" w:hanging="647"/>
        <w:spacing w:after="0"/>
        <w:tabs>
          <w:tab w:leader="none" w:pos="28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state, local or foreign taxes arising from participation in the</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Plan; and</w:t>
      </w:r>
    </w:p>
    <w:p>
      <w:pPr>
        <w:spacing w:after="0" w:line="236" w:lineRule="exact"/>
        <w:rPr>
          <w:sz w:val="20"/>
          <w:szCs w:val="20"/>
          <w:color w:val="auto"/>
        </w:rPr>
      </w:pPr>
    </w:p>
    <w:p>
      <w:pPr>
        <w:ind w:left="2160"/>
        <w:spacing w:after="0"/>
        <w:tabs>
          <w:tab w:leader="none" w:pos="2780" w:val="left"/>
        </w:tabs>
        <w:rPr>
          <w:sz w:val="20"/>
          <w:szCs w:val="20"/>
          <w:color w:val="auto"/>
        </w:rPr>
      </w:pPr>
      <w:r>
        <w:rPr>
          <w:rFonts w:ascii="Times New Roman" w:cs="Times New Roman" w:eastAsia="Times New Roman" w:hAnsi="Times New Roman"/>
          <w:sz w:val="22"/>
          <w:szCs w:val="22"/>
          <w:color w:val="auto"/>
        </w:rPr>
        <w:t>(6)</w:t>
      </w:r>
      <w:r>
        <w:rPr>
          <w:sz w:val="20"/>
          <w:szCs w:val="20"/>
          <w:color w:val="auto"/>
        </w:rPr>
        <w:tab/>
      </w:r>
      <w:r>
        <w:rPr>
          <w:rFonts w:ascii="Times New Roman" w:cs="Times New Roman" w:eastAsia="Times New Roman" w:hAnsi="Times New Roman"/>
          <w:sz w:val="22"/>
          <w:szCs w:val="22"/>
          <w:color w:val="auto"/>
        </w:rPr>
        <w:t>To settle a bona fide dispute as to a Participant's right to a Plan</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distribution.</w:t>
      </w:r>
    </w:p>
    <w:p>
      <w:pPr>
        <w:spacing w:after="0" w:line="23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u w:val="single" w:color="auto"/>
          <w:color w:val="auto"/>
        </w:rPr>
        <w:t>Claim Procedures.</w:t>
      </w:r>
    </w:p>
    <w:p>
      <w:pPr>
        <w:spacing w:after="0" w:line="264" w:lineRule="exact"/>
        <w:rPr>
          <w:sz w:val="20"/>
          <w:szCs w:val="20"/>
          <w:color w:val="auto"/>
        </w:rPr>
      </w:pPr>
    </w:p>
    <w:p>
      <w:pPr>
        <w:ind w:left="200" w:right="219" w:firstLine="1305"/>
        <w:spacing w:after="0" w:line="271" w:lineRule="auto"/>
        <w:tabs>
          <w:tab w:leader="none" w:pos="21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benefits will be determined under the following procedure regardless of whether the claimant is the Participant, a beneficiary, or any other person.</w:t>
      </w:r>
    </w:p>
    <w:p>
      <w:pPr>
        <w:spacing w:after="0" w:line="198"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claims must be submitted in writing to the plan administrator. The claimant must provide such documents and other information as the plan administrator may request in order to make a determination on the claim.</w:t>
      </w:r>
    </w:p>
    <w:p>
      <w:pPr>
        <w:spacing w:after="0" w:line="213"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will make an initial determination on the claim within a reasonable period of time, but not later than 90 days after receipt of the claim, unless matters beyond the control of the plan administrator require an extension of time. If the plan administrator determines that an extension of time is required, the plan administrator will provide the claimant with written notice of the extension, the reasons for the extension, and the date by which the plan administrator expects to make the initial claim determination. The extension may not be longer than an additional 90 days. The time periods will begin when the claim has been properly submitted to the plan administrator for approval, even if the submission does not include all of the information necessary to make a determination on the claim.</w:t>
      </w:r>
    </w:p>
    <w:p>
      <w:pPr>
        <w:spacing w:after="0" w:line="225"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initial claim determination is adverse, the claimant may obtain full and fair review of the claim and initial determination by submitting a written request for review to the plan administrator at UFP Industries, Inc., 2801 E. Beltline NE, Grand Rapids, MI 49525 within 60 days after the initial determination. The notice will include all of the following:</w:t>
      </w:r>
    </w:p>
    <w:p>
      <w:pPr>
        <w:spacing w:after="0" w:line="219"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reasons for the determination;</w:t>
      </w:r>
    </w:p>
    <w:p>
      <w:pPr>
        <w:spacing w:after="0" w:line="260"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reference to the provisions of this Agreement on which the</w:t>
      </w:r>
    </w:p>
    <w:p>
      <w:pPr>
        <w:spacing w:after="0" w:line="27"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determination is based;</w:t>
      </w:r>
    </w:p>
    <w:p>
      <w:pPr>
        <w:spacing w:after="0" w:line="236" w:lineRule="exact"/>
        <w:rPr>
          <w:rFonts w:ascii="Times New Roman" w:cs="Times New Roman" w:eastAsia="Times New Roman" w:hAnsi="Times New Roman"/>
          <w:sz w:val="22"/>
          <w:szCs w:val="22"/>
          <w:color w:val="auto"/>
        </w:rPr>
      </w:pPr>
    </w:p>
    <w:p>
      <w:pPr>
        <w:jc w:val="both"/>
        <w:ind w:left="200" w:right="219" w:firstLine="1953"/>
        <w:spacing w:after="0" w:line="257" w:lineRule="auto"/>
        <w:tabs>
          <w:tab w:leader="none" w:pos="2792"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additional documents or other information, if any, that might permit approval of the claim and an explanation of why the additional documents and other information are necessary; and</w:t>
      </w:r>
    </w:p>
    <w:p>
      <w:pPr>
        <w:spacing w:after="0" w:line="213" w:lineRule="exact"/>
        <w:rPr>
          <w:rFonts w:ascii="Times New Roman" w:cs="Times New Roman" w:eastAsia="Times New Roman" w:hAnsi="Times New Roman"/>
          <w:sz w:val="22"/>
          <w:szCs w:val="22"/>
          <w:color w:val="auto"/>
        </w:rPr>
      </w:pPr>
    </w:p>
    <w:p>
      <w:pPr>
        <w:jc w:val="both"/>
        <w:ind w:left="200" w:right="219" w:firstLine="1953"/>
        <w:spacing w:after="0" w:line="257" w:lineRule="auto"/>
        <w:tabs>
          <w:tab w:leader="none" w:pos="2792"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the claim review procedures and the time limits applicable to the review procedures, including a statement of the claimant's right to bring a civil action under Section 502(a) of ERISA following an adverse benefit determination on review.</w:t>
      </w:r>
    </w:p>
    <w:p>
      <w:pPr>
        <w:spacing w:after="0" w:line="213"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claimant has not received notice of the initial claim determination or notice of an extension of time within the initial 90-day period, the determination is deemed to be adverse.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30" w:name="page131"/>
    <w:bookmarkEnd w:id="130"/>
    <w:p>
      <w:pPr>
        <w:jc w:val="both"/>
        <w:ind w:left="200" w:right="219" w:firstLine="1305"/>
        <w:spacing w:after="0" w:line="257" w:lineRule="auto"/>
        <w:tabs>
          <w:tab w:leader="none" w:pos="21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initial claim determination is adverse, the claimant may request review of the determination by written application to the plan administrator within 60 days after the determination.</w:t>
      </w:r>
    </w:p>
    <w:p>
      <w:pPr>
        <w:spacing w:after="0" w:line="213"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claimant will have an opportunity to submit written comments, documents, and other information relevant to the claim. The claimant will be provided, upon request and free of charge, reasonable access to, and copies of, all documents, records, and other information relevant to the claim. The review will take into account all comments, documents, and other information submitted by the claimant relating to the claim, regardless of whether the information was submitted or considered in the initial benefit determination.</w:t>
      </w:r>
    </w:p>
    <w:p>
      <w:pPr>
        <w:spacing w:after="0" w:line="227" w:lineRule="exact"/>
        <w:rPr>
          <w:rFonts w:ascii="Times New Roman" w:cs="Times New Roman" w:eastAsia="Times New Roman" w:hAnsi="Times New Roman"/>
          <w:sz w:val="22"/>
          <w:szCs w:val="22"/>
          <w:color w:val="auto"/>
        </w:rPr>
      </w:pPr>
    </w:p>
    <w:p>
      <w:pPr>
        <w:jc w:val="both"/>
        <w:ind w:left="200" w:right="219" w:firstLine="1305"/>
        <w:spacing w:after="0" w:line="247" w:lineRule="auto"/>
        <w:tabs>
          <w:tab w:leader="none" w:pos="21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will make a determination on review within a reasonable period of time, but not later than 60 days after receipt of the application, unless special circumstances require an extension of time. If the plan administrator determines that an extension of time is required, the plan administrator will provide the claimant with written notice of the extension, the reasons for the extension, and the date by which the plan administrator expects to make a determination on review. The extension may not be longer than an additional 60 days. If a reason for the extension is the claimant's failure to provide documents or other information necessary to decide the claim, the period for making the benefit determination will be tolled from day when notice of the extension is sent to the claimant until the day when the claimant provides the documents and other information.</w:t>
      </w:r>
    </w:p>
    <w:p>
      <w:pPr>
        <w:spacing w:after="0" w:line="231" w:lineRule="exact"/>
        <w:rPr>
          <w:rFonts w:ascii="Times New Roman" w:cs="Times New Roman" w:eastAsia="Times New Roman" w:hAnsi="Times New Roman"/>
          <w:sz w:val="22"/>
          <w:szCs w:val="22"/>
          <w:color w:val="auto"/>
        </w:rPr>
      </w:pPr>
    </w:p>
    <w:p>
      <w:pPr>
        <w:ind w:left="200" w:right="219" w:firstLine="1305"/>
        <w:spacing w:after="0" w:line="271" w:lineRule="auto"/>
        <w:tabs>
          <w:tab w:leader="none" w:pos="21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determination remains adverse after review, the plan administrator will provide to the claimant a written notice including all of the following:</w:t>
      </w:r>
    </w:p>
    <w:p>
      <w:pPr>
        <w:spacing w:after="0" w:line="19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reasons for the determination;</w:t>
      </w:r>
    </w:p>
    <w:p>
      <w:pPr>
        <w:spacing w:after="0" w:line="260"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reference to the provisions of the Plan on which the determination</w:t>
      </w:r>
    </w:p>
    <w:p>
      <w:pPr>
        <w:spacing w:after="0" w:line="27"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based;</w:t>
      </w:r>
    </w:p>
    <w:p>
      <w:pPr>
        <w:spacing w:after="0" w:line="236" w:lineRule="exact"/>
        <w:rPr>
          <w:rFonts w:ascii="Times New Roman" w:cs="Times New Roman" w:eastAsia="Times New Roman" w:hAnsi="Times New Roman"/>
          <w:sz w:val="22"/>
          <w:szCs w:val="22"/>
          <w:color w:val="auto"/>
        </w:rPr>
      </w:pPr>
    </w:p>
    <w:p>
      <w:pPr>
        <w:jc w:val="both"/>
        <w:ind w:left="200" w:right="239" w:firstLine="1953"/>
        <w:spacing w:after="0" w:line="257" w:lineRule="auto"/>
        <w:tabs>
          <w:tab w:leader="none" w:pos="2792"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claimant is entitled to receive, upon request and free of charge, reasonable access to, and copies of, all documents, records, and other information relevant to the claim; and</w:t>
      </w:r>
    </w:p>
    <w:p>
      <w:pPr>
        <w:spacing w:after="0" w:line="213" w:lineRule="exact"/>
        <w:rPr>
          <w:rFonts w:ascii="Times New Roman" w:cs="Times New Roman" w:eastAsia="Times New Roman" w:hAnsi="Times New Roman"/>
          <w:sz w:val="22"/>
          <w:szCs w:val="22"/>
          <w:color w:val="auto"/>
        </w:rPr>
      </w:pPr>
    </w:p>
    <w:p>
      <w:pPr>
        <w:ind w:left="2840" w:hanging="687"/>
        <w:spacing w:after="0"/>
        <w:tabs>
          <w:tab w:leader="none" w:pos="284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of the claimant's right to bring a civil action under</w:t>
      </w:r>
    </w:p>
    <w:p>
      <w:pPr>
        <w:spacing w:after="0" w:line="27"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502(a) of ERISA.</w:t>
      </w:r>
    </w:p>
    <w:p>
      <w:pPr>
        <w:spacing w:after="0" w:line="236"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claim involves a determination of disability, and the determination of disability is not to be made by a third party (such as the Social Security Administration, or an insurance company under a disability insurance policy), the special rules in this subsection (g) apply.</w:t>
      </w:r>
    </w:p>
    <w:p>
      <w:pPr>
        <w:spacing w:after="0" w:line="219"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determination will be made within 45 days (rather than 90 days). This period may be extended for up to 30 days if the plan administrator determines that the extension is necessary due to matters beyond the control of the plan administrator and notifies the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31" w:name="page132"/>
    <w:bookmarkEnd w:id="131"/>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claimant, before the end of the initial 45-day period, of the circumstances requiring the extension of time and the date by which the plan administrator expects to make a determination. If, before the end of the first 30 day extension period, the plan administrator determines that, due to matters beyond the control of the plan administrator, a determination cannot be made within the first extension period, the period for making the determination may be extended for up to an additional 30 days if the plan administrator notifies the claimant, before the end of the first 30 day extension period, of the circumstances requiring the extension and the date as of which the plan administrator expects to make a determination. In the case of any extension under this paragraph (1), the notice of extension will specifically explain the standards for the determination of disability, the unresolved issues that prevent a determination on the claim, and the additional information needed to resolve those issues, and the claimant will be allowed at least 45 days to provide the specified information.</w:t>
      </w:r>
    </w:p>
    <w:p>
      <w:pPr>
        <w:spacing w:after="0" w:line="236" w:lineRule="exact"/>
        <w:rPr>
          <w:sz w:val="20"/>
          <w:szCs w:val="20"/>
          <w:color w:val="auto"/>
        </w:rPr>
      </w:pPr>
    </w:p>
    <w:p>
      <w:pPr>
        <w:jc w:val="both"/>
        <w:ind w:left="200" w:right="219" w:firstLine="1305"/>
        <w:spacing w:after="0" w:line="251" w:lineRule="auto"/>
        <w:tabs>
          <w:tab w:leader="none" w:pos="21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internal rule, guideline, protocol, or other similar criterion was relied upon in making the initial adverse determination, the notice of the determination will include either the specific rule, guideline, protocol, or other similar criterion, or a statement that such a rule, guideline, protocol, or other similar criterion was relied upon in making the adverse determination and that a copy of the rule, guideline, protocol, or other criterion will be provided free of charge to the claimant upon request.</w:t>
      </w:r>
    </w:p>
    <w:p>
      <w:pPr>
        <w:spacing w:after="0" w:line="221"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time for requesting review of an initial adverse benefit determination will be 180 days (rather than 90 days). The time for making a determination on review will be 45 days (rather than 60 days), and the time for any extension will be 45 days (rather than 60 days). A committee appointed by the plan administrator will review the initial adverse benefit determination. The committee will consist of three directors, officers, or employees who are neither an individual who made the initial adverse benefit determination nor a subordinate of that individual. The committee will have discretionary authority over the review, including the discretionary authority to interpret the terms and provisions of the Plan. The review will be conducted without deference to the initial adverse benefit determination. If the adverse determination under review was based in whole or in part on a medical judgment, including determinations with regard to whether a particular treatment, drug, or other item is experimental, investigational, or not medically necessary or appropriate, the committee will consult with a healthcare professional who has appropriate training and experience in the field of medicine involved in the medical judgment and who is neither an individual who was consulted in connection with the adverse determination that is under review nor the subordinate of any such individual. If the benefit determination remains adverse after review, the plan administrator will provide, upon request and free of charge, the identification of all medical or vocational experts whose advice was obtained on behalf of the plan in connection with the adverse determination, regardless of whether the advice was relied upon in making the determination.</w:t>
      </w:r>
    </w:p>
    <w:p>
      <w:pPr>
        <w:spacing w:after="0" w:line="243" w:lineRule="exact"/>
        <w:rPr>
          <w:rFonts w:ascii="Times New Roman" w:cs="Times New Roman" w:eastAsia="Times New Roman" w:hAnsi="Times New Roman"/>
          <w:sz w:val="22"/>
          <w:szCs w:val="22"/>
          <w:color w:val="auto"/>
        </w:rPr>
      </w:pPr>
    </w:p>
    <w:p>
      <w:pPr>
        <w:jc w:val="both"/>
        <w:ind w:left="200" w:right="219" w:firstLine="1305"/>
        <w:spacing w:after="0" w:line="250" w:lineRule="auto"/>
        <w:tabs>
          <w:tab w:leader="none" w:pos="21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claimant may not commence legal action regarding any claim (i) before the claims procedure has been exhausted, including proper submission of the claim to the plan administrator and proper request for review of any initial adverse determination, or (ii) more than two years after the final decision on review. Judicial review will be limited to review for abuse of discretion.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32" w:name="page133"/>
    <w:bookmarkEnd w:id="132"/>
    <w:p>
      <w:pPr>
        <w:ind w:left="200" w:right="21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4.4 </w:t>
      </w:r>
      <w:r>
        <w:rPr>
          <w:rFonts w:ascii="Times New Roman" w:cs="Times New Roman" w:eastAsia="Times New Roman" w:hAnsi="Times New Roman"/>
          <w:sz w:val="22"/>
          <w:szCs w:val="22"/>
          <w:b w:val="1"/>
          <w:bCs w:val="1"/>
          <w:u w:val="single" w:color="auto"/>
          <w:color w:val="auto"/>
        </w:rPr>
        <w:t>Service of Legal Process.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of legal process on the Company may be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2801 E. Beltline NE, Grand Rapids, MI 49525.</w:t>
      </w:r>
    </w:p>
    <w:p>
      <w:pPr>
        <w:spacing w:after="0" w:line="19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4.5</w:t>
      </w:r>
      <w:r>
        <w:rPr>
          <w:sz w:val="20"/>
          <w:szCs w:val="20"/>
          <w:color w:val="auto"/>
        </w:rPr>
        <w:tab/>
      </w:r>
      <w:r>
        <w:rPr>
          <w:rFonts w:ascii="Times New Roman" w:cs="Times New Roman" w:eastAsia="Times New Roman" w:hAnsi="Times New Roman"/>
          <w:sz w:val="21"/>
          <w:szCs w:val="21"/>
          <w:b w:val="1"/>
          <w:bCs w:val="1"/>
          <w:u w:val="single" w:color="auto"/>
          <w:color w:val="auto"/>
        </w:rPr>
        <w:t>Non-Assignability.</w:t>
      </w:r>
    </w:p>
    <w:p>
      <w:pPr>
        <w:spacing w:after="0" w:line="264" w:lineRule="exact"/>
        <w:rPr>
          <w:sz w:val="20"/>
          <w:szCs w:val="20"/>
          <w:color w:val="auto"/>
        </w:rPr>
      </w:pPr>
    </w:p>
    <w:p>
      <w:pPr>
        <w:jc w:val="both"/>
        <w:ind w:left="200" w:right="219" w:firstLine="1305"/>
        <w:spacing w:after="0" w:line="257" w:lineRule="auto"/>
        <w:tabs>
          <w:tab w:leader="none" w:pos="214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retirement benefits under this Plan are not subject to assignment or alienation in any manner, and are to be exempt, to the maximum extent permitted by law, from the claims of creditors (other than the creditors of the Company).</w:t>
      </w:r>
    </w:p>
    <w:p>
      <w:pPr>
        <w:spacing w:after="0" w:line="213"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assignment or alienation includes (but is not limited to) any sale, transfer or other disposition; any anticipation, pledge, security agreement or other method of securing payment or performance of an obligation; and any garnishment, execution, attachment, levy or other method of satisfying claims of creditors.</w:t>
      </w:r>
    </w:p>
    <w:p>
      <w:pPr>
        <w:spacing w:after="0" w:line="219" w:lineRule="exact"/>
        <w:rPr>
          <w:rFonts w:ascii="Times New Roman" w:cs="Times New Roman" w:eastAsia="Times New Roman" w:hAnsi="Times New Roman"/>
          <w:sz w:val="22"/>
          <w:szCs w:val="22"/>
          <w:color w:val="auto"/>
        </w:rPr>
      </w:pPr>
    </w:p>
    <w:p>
      <w:pPr>
        <w:jc w:val="both"/>
        <w:ind w:left="200" w:right="219" w:firstLine="1305"/>
        <w:spacing w:after="0" w:line="250" w:lineRule="auto"/>
        <w:tabs>
          <w:tab w:leader="none" w:pos="214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prohibition on assignment and alienation does not apply to claims of the Company. Notwithstanding any other provision in this Plan, the amount of any benefits paid to a Participant shall be reduced, in an amount up to $5,000 per year, as repayment of amounts that a Participant owes the Company or any subsidiary, for any reason, including but not limited to benefit overpayments, wage overpayments, and amounts due under all incentive compensation plans. The Participant will be relieved of liability in the amount of the reduction following the payment to the Company.</w:t>
      </w:r>
    </w:p>
    <w:p>
      <w:pPr>
        <w:spacing w:after="0" w:line="220" w:lineRule="exact"/>
        <w:rPr>
          <w:rFonts w:ascii="Times New Roman" w:cs="Times New Roman" w:eastAsia="Times New Roman" w:hAnsi="Times New Roman"/>
          <w:sz w:val="22"/>
          <w:szCs w:val="22"/>
          <w:color w:val="auto"/>
        </w:rPr>
      </w:pPr>
    </w:p>
    <w:p>
      <w:pPr>
        <w:jc w:val="both"/>
        <w:ind w:left="200" w:right="239" w:firstLine="1305"/>
        <w:spacing w:after="0" w:line="257" w:lineRule="auto"/>
        <w:tabs>
          <w:tab w:leader="none" w:pos="214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prohibition on assignment and alienation does not apply to tax withholding. All payments under the plan are subject to withholding of taxes as required or permitted by law.</w:t>
      </w:r>
    </w:p>
    <w:p>
      <w:pPr>
        <w:spacing w:after="0" w:line="209"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4.6 </w:t>
      </w:r>
      <w:r>
        <w:rPr>
          <w:rFonts w:ascii="Times New Roman" w:cs="Times New Roman" w:eastAsia="Times New Roman" w:hAnsi="Times New Roman"/>
          <w:sz w:val="22"/>
          <w:szCs w:val="22"/>
          <w:b w:val="1"/>
          <w:bCs w:val="1"/>
          <w:u w:val="single" w:color="auto"/>
          <w:color w:val="auto"/>
        </w:rPr>
        <w:t>No Fund or Segregated Assets.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does not require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establish any fund or segregate any assets for a Participant's benefit. The Company may accumulate a reserve of assets for the payment of benefits, but the Participants will have no interest in any such reserve, or any other assets of the Company, by virtue of this Plan other than his or her interest as a creditor with an unsecured claim for payment of a benefit according to the terms of this Plan.</w:t>
      </w:r>
    </w:p>
    <w:p>
      <w:pPr>
        <w:spacing w:after="0" w:line="200" w:lineRule="exact"/>
        <w:rPr>
          <w:sz w:val="20"/>
          <w:szCs w:val="20"/>
          <w:color w:val="auto"/>
        </w:rPr>
      </w:pPr>
    </w:p>
    <w:p>
      <w:pPr>
        <w:spacing w:after="0" w:line="278"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4.7 </w:t>
      </w:r>
      <w:r>
        <w:rPr>
          <w:rFonts w:ascii="Times New Roman" w:cs="Times New Roman" w:eastAsia="Times New Roman" w:hAnsi="Times New Roman"/>
          <w:sz w:val="22"/>
          <w:szCs w:val="22"/>
          <w:b w:val="1"/>
          <w:bCs w:val="1"/>
          <w:u w:val="single" w:color="auto"/>
          <w:color w:val="auto"/>
        </w:rPr>
        <w:t>No Right to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does not create any right to employment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 the Company's right to terminate a Participant's employment.</w:t>
      </w:r>
    </w:p>
    <w:p>
      <w:pPr>
        <w:spacing w:after="0" w:line="190"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4.8 </w:t>
      </w:r>
      <w:r>
        <w:rPr>
          <w:rFonts w:ascii="Times New Roman" w:cs="Times New Roman" w:eastAsia="Times New Roman" w:hAnsi="Times New Roman"/>
          <w:sz w:val="22"/>
          <w:szCs w:val="22"/>
          <w:b w:val="1"/>
          <w:bCs w:val="1"/>
          <w:u w:val="single" w:color="auto"/>
          <w:color w:val="auto"/>
        </w:rPr>
        <w:t>No Trust Relationship.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does not create any trust or similar relationship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Company and a Participant with respect to the benefits provided under this Plan or any asset of the Company. The Company has complete legal and beneficial ownership of all assets attributable to the deferred compensation benefit.</w:t>
      </w:r>
    </w:p>
    <w:p>
      <w:pPr>
        <w:spacing w:after="0" w:line="216"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4.9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 court of competent jurisdiction determines that any provision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is unenforceable, the court may modify the unenforceable provision so as to give effect to this Plan in a way that is consistent with the underlying intent of the Company. If such a modification is not permitted or possible, the court may sever the unenforceable provision from</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3" w:name="page134"/>
    <w:bookmarkEnd w:id="133"/>
    <w:p>
      <w:pPr>
        <w:jc w:val="both"/>
        <w:ind w:left="200" w:right="219"/>
        <w:spacing w:after="0" w:line="271" w:lineRule="auto"/>
        <w:rPr>
          <w:sz w:val="20"/>
          <w:szCs w:val="20"/>
          <w:color w:val="auto"/>
        </w:rPr>
      </w:pPr>
      <w:r>
        <w:rPr>
          <w:rFonts w:ascii="Times New Roman" w:cs="Times New Roman" w:eastAsia="Times New Roman" w:hAnsi="Times New Roman"/>
          <w:sz w:val="22"/>
          <w:szCs w:val="22"/>
          <w:color w:val="auto"/>
        </w:rPr>
        <w:t>this Plan, and give effect to the rest of the Plan in accordance with the remaining provisions, unless to do so would be fundamentally unfair to the Company.</w:t>
      </w:r>
    </w:p>
    <w:p>
      <w:pPr>
        <w:spacing w:after="0" w:line="194"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4.10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shall be governed by the laws of the State of Michigan,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 if principles of Michigan law regarding conflict of laws or choice of law would otherwise require or permit a court to apply the law of another jurisdiction, subject to preemption by the law of the United States of America (including any common law developed by federal courts under the applicable laws of the United States).</w:t>
      </w:r>
    </w:p>
    <w:p>
      <w:pPr>
        <w:spacing w:after="0" w:line="21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UFP INDUSTRIES, INC.</w:t>
      </w:r>
    </w:p>
    <w:p>
      <w:pPr>
        <w:spacing w:after="0" w:line="200" w:lineRule="exact"/>
        <w:rPr>
          <w:sz w:val="20"/>
          <w:szCs w:val="20"/>
          <w:color w:val="auto"/>
        </w:rPr>
      </w:pPr>
    </w:p>
    <w:p>
      <w:pPr>
        <w:spacing w:after="0" w:line="3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-13970</wp:posOffset>
            </wp:positionV>
            <wp:extent cx="16440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1644015" cy="8255"/>
                    </a:xfrm>
                    <a:prstGeom prst="rect">
                      <a:avLst/>
                    </a:prstGeom>
                    <a:noFill/>
                  </pic:spPr>
                </pic:pic>
              </a:graphicData>
            </a:graphic>
          </wp:anchor>
        </w:drawing>
      </w:r>
    </w:p>
    <w:p>
      <w:pPr>
        <w:spacing w:after="0" w:line="240" w:lineRule="exact"/>
        <w:rPr>
          <w:sz w:val="20"/>
          <w:szCs w:val="20"/>
          <w:color w:val="auto"/>
        </w:rPr>
      </w:pPr>
    </w:p>
    <w:p>
      <w:pPr>
        <w:ind w:left="4100"/>
        <w:spacing w:after="0"/>
        <w:tabs>
          <w:tab w:leader="none" w:pos="4720" w:val="left"/>
          <w:tab w:leader="none" w:pos="5360" w:val="left"/>
          <w:tab w:leader="none" w:pos="6020" w:val="left"/>
          <w:tab w:leader="none" w:pos="6660" w:val="left"/>
        </w:tabs>
        <w:rPr>
          <w:sz w:val="20"/>
          <w:szCs w:val="20"/>
          <w:color w:val="auto"/>
        </w:rPr>
      </w:pPr>
      <w:r>
        <w:rPr>
          <w:rFonts w:ascii="Times New Roman" w:cs="Times New Roman" w:eastAsia="Times New Roman" w:hAnsi="Times New Roman"/>
          <w:sz w:val="22"/>
          <w:szCs w:val="22"/>
          <w:color w:val="auto"/>
        </w:rPr>
        <w:t>Title:</w:t>
        <w:tab/>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-13970</wp:posOffset>
            </wp:positionV>
            <wp:extent cx="16433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1643380" cy="8890"/>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26318687.2</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4" w:name="page135"/>
    <w:bookmarkEnd w:id="134"/>
    <w:p>
      <w:pPr>
        <w:ind w:left="8461"/>
        <w:spacing w:after="0"/>
        <w:rPr>
          <w:sz w:val="20"/>
          <w:szCs w:val="20"/>
          <w:color w:val="auto"/>
        </w:rPr>
      </w:pPr>
      <w:r>
        <w:rPr>
          <w:rFonts w:ascii="Times New Roman" w:cs="Times New Roman" w:eastAsia="Times New Roman" w:hAnsi="Times New Roman"/>
          <w:sz w:val="17"/>
          <w:szCs w:val="17"/>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wp:posOffset>
            </wp:positionV>
            <wp:extent cx="5863590" cy="12001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5863590" cy="1200150"/>
                    </a:xfrm>
                    <a:prstGeom prst="rect">
                      <a:avLst/>
                    </a:prstGeom>
                    <a:noFill/>
                  </pic:spPr>
                </pic:pic>
              </a:graphicData>
            </a:graphic>
          </wp:anchor>
        </w:drawing>
      </w:r>
    </w:p>
    <w:p>
      <w:pPr>
        <w:sectPr>
          <w:pgSz w:w="11900" w:h="16838" w:orient="portrait"/>
          <w:cols w:equalWidth="0" w:num="1">
            <w:col w:w="9241"/>
          </w:cols>
          <w:pgMar w:left="1319" w:top="11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79"/>
        <w:spacing w:after="0"/>
        <w:rPr>
          <w:sz w:val="20"/>
          <w:szCs w:val="20"/>
          <w:color w:val="auto"/>
        </w:rPr>
      </w:pPr>
      <w:r>
        <w:rPr>
          <w:rFonts w:ascii="Arial" w:cs="Arial" w:eastAsia="Arial" w:hAnsi="Arial"/>
          <w:sz w:val="13"/>
          <w:szCs w:val="13"/>
          <w:color w:val="auto"/>
        </w:rPr>
        <w:t>Universal Forest</w:t>
      </w:r>
    </w:p>
    <w:p>
      <w:pPr>
        <w:spacing w:after="0" w:line="11" w:lineRule="exact"/>
        <w:rPr>
          <w:sz w:val="20"/>
          <w:szCs w:val="20"/>
          <w:color w:val="auto"/>
        </w:rPr>
      </w:pPr>
    </w:p>
    <w:p>
      <w:pPr>
        <w:jc w:val="center"/>
        <w:ind w:right="379"/>
        <w:spacing w:after="0"/>
        <w:rPr>
          <w:sz w:val="20"/>
          <w:szCs w:val="20"/>
          <w:color w:val="auto"/>
        </w:rPr>
      </w:pPr>
      <w:r>
        <w:rPr>
          <w:rFonts w:ascii="Arial" w:cs="Arial" w:eastAsia="Arial" w:hAnsi="Arial"/>
          <w:sz w:val="13"/>
          <w:szCs w:val="13"/>
          <w:color w:val="auto"/>
        </w:rPr>
        <w:t>Products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120"/>
        <w:spacing w:after="0"/>
        <w:rPr>
          <w:sz w:val="20"/>
          <w:szCs w:val="20"/>
          <w:color w:val="auto"/>
        </w:rPr>
      </w:pPr>
      <w:r>
        <w:rPr>
          <w:rFonts w:ascii="Arial" w:cs="Arial" w:eastAsia="Arial" w:hAnsi="Arial"/>
          <w:sz w:val="23"/>
          <w:szCs w:val="23"/>
          <w:b w:val="1"/>
          <w:bCs w:val="1"/>
          <w:color w:val="auto"/>
        </w:rPr>
        <w:t>PERSONNEL POLICY AND PROCEDURE MANUAL</w:t>
      </w:r>
    </w:p>
    <w:p>
      <w:pPr>
        <w:spacing w:after="0" w:line="200" w:lineRule="exact"/>
        <w:rPr>
          <w:sz w:val="20"/>
          <w:szCs w:val="20"/>
          <w:color w:val="auto"/>
        </w:rPr>
      </w:pPr>
    </w:p>
    <w:p>
      <w:pPr>
        <w:spacing w:after="0" w:line="399"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283738"/>
        </w:rPr>
        <w:t>Stock Trading Policy</w:t>
      </w:r>
    </w:p>
    <w:p>
      <w:pPr>
        <w:spacing w:after="0" w:line="37" w:lineRule="exact"/>
        <w:rPr>
          <w:sz w:val="20"/>
          <w:szCs w:val="20"/>
          <w:color w:val="auto"/>
        </w:rPr>
      </w:pPr>
    </w:p>
    <w:p>
      <w:pPr>
        <w:jc w:val="center"/>
        <w:ind w:right="1120"/>
        <w:spacing w:after="0"/>
        <w:rPr>
          <w:sz w:val="20"/>
          <w:szCs w:val="20"/>
          <w:color w:val="auto"/>
        </w:rPr>
      </w:pPr>
      <w:r>
        <w:rPr>
          <w:rFonts w:ascii="Arial" w:cs="Arial" w:eastAsia="Arial" w:hAnsi="Arial"/>
          <w:sz w:val="27"/>
          <w:szCs w:val="27"/>
          <w:color w:val="auto"/>
        </w:rPr>
        <w:t>(PPM 1300)</w:t>
      </w:r>
    </w:p>
    <w:p>
      <w:pPr>
        <w:spacing w:after="0" w:line="350" w:lineRule="exact"/>
        <w:rPr>
          <w:sz w:val="20"/>
          <w:szCs w:val="20"/>
          <w:color w:val="auto"/>
        </w:rPr>
      </w:pPr>
    </w:p>
    <w:p>
      <w:pPr>
        <w:sectPr>
          <w:pgSz w:w="11900" w:h="16838" w:orient="portrait"/>
          <w:cols w:equalWidth="0" w:num="2">
            <w:col w:w="1801" w:space="720"/>
            <w:col w:w="6720"/>
          </w:cols>
          <w:pgMar w:left="1319" w:top="117" w:right="1339" w:bottom="1440" w:gutter="0" w:footer="0" w:header="0"/>
          <w:type w:val="continuous"/>
        </w:sectPr>
      </w:pPr>
    </w:p>
    <w:p>
      <w:pPr>
        <w:spacing w:after="0" w:line="203" w:lineRule="exact"/>
        <w:rPr>
          <w:sz w:val="20"/>
          <w:szCs w:val="20"/>
          <w:color w:val="auto"/>
        </w:rPr>
      </w:pPr>
    </w:p>
    <w:p>
      <w:pPr>
        <w:ind w:left="1"/>
        <w:spacing w:after="0"/>
        <w:rPr>
          <w:sz w:val="20"/>
          <w:szCs w:val="20"/>
          <w:color w:val="auto"/>
        </w:rPr>
      </w:pPr>
      <w:r>
        <w:rPr>
          <w:rFonts w:ascii="Arial" w:cs="Arial" w:eastAsia="Arial" w:hAnsi="Arial"/>
          <w:sz w:val="22"/>
          <w:szCs w:val="22"/>
          <w:b w:val="1"/>
          <w:bCs w:val="1"/>
          <w:u w:val="single" w:color="auto"/>
          <w:color w:val="auto"/>
        </w:rPr>
        <w:t>Preventing Insider Trading</w:t>
      </w:r>
    </w:p>
    <w:p>
      <w:pPr>
        <w:spacing w:after="0" w:line="235" w:lineRule="exact"/>
        <w:rPr>
          <w:sz w:val="20"/>
          <w:szCs w:val="20"/>
          <w:color w:val="auto"/>
        </w:rPr>
      </w:pPr>
    </w:p>
    <w:p>
      <w:pPr>
        <w:jc w:val="both"/>
        <w:ind w:left="1"/>
        <w:spacing w:after="0" w:line="236" w:lineRule="auto"/>
        <w:rPr>
          <w:sz w:val="20"/>
          <w:szCs w:val="20"/>
          <w:color w:val="auto"/>
        </w:rPr>
      </w:pPr>
      <w:r>
        <w:rPr>
          <w:rFonts w:ascii="Arial" w:cs="Arial" w:eastAsia="Arial" w:hAnsi="Arial"/>
          <w:sz w:val="22"/>
          <w:szCs w:val="22"/>
          <w:color w:val="auto"/>
        </w:rPr>
        <w:t xml:space="preserve">As a member of the Board of Directors of UFP Industries, Inc. (a “Director”) or as an employee of UFP Industries, Inc. </w:t>
      </w:r>
      <w:r>
        <w:rPr>
          <w:rFonts w:ascii="Arial" w:cs="Arial" w:eastAsia="Arial" w:hAnsi="Arial"/>
          <w:sz w:val="22"/>
          <w:szCs w:val="22"/>
          <w:b w:val="1"/>
          <w:bCs w:val="1"/>
          <w:i w:val="1"/>
          <w:iCs w:val="1"/>
          <w:color w:val="4F81BD"/>
        </w:rPr>
        <w:t>and/or its subsidiaries and affiliates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4F81BD"/>
        </w:rPr>
        <w:t>collectively</w:t>
      </w:r>
      <w:r>
        <w:rPr>
          <w:rFonts w:ascii="Arial" w:cs="Arial" w:eastAsia="Arial" w:hAnsi="Arial"/>
          <w:sz w:val="22"/>
          <w:szCs w:val="22"/>
          <w:color w:val="auto"/>
        </w:rPr>
        <w:t xml:space="preserve"> the "Company") you may, from time to time, become aware of certain information and events about the Company not otherwise known by the public. The federal securities laws prohibit individuals with access to “Inside Information” from: (1) engaging in transactions in the Company’s securities without disclosing that Inside Information; or (2) divulging Inside Information to enable others to trade on such information.</w:t>
      </w:r>
    </w:p>
    <w:p>
      <w:pPr>
        <w:spacing w:after="0" w:line="203" w:lineRule="exact"/>
        <w:rPr>
          <w:sz w:val="20"/>
          <w:szCs w:val="20"/>
          <w:color w:val="auto"/>
        </w:rPr>
      </w:pPr>
    </w:p>
    <w:p>
      <w:pPr>
        <w:jc w:val="both"/>
        <w:ind w:left="161" w:hanging="161"/>
        <w:spacing w:after="0" w:line="244" w:lineRule="auto"/>
        <w:tabs>
          <w:tab w:leader="none" w:pos="161" w:val="left"/>
        </w:tabs>
        <w:numPr>
          <w:ilvl w:val="0"/>
          <w:numId w:val="133"/>
        </w:numPr>
        <w:rPr>
          <w:rFonts w:ascii="Times New Roman" w:cs="Times New Roman" w:eastAsia="Times New Roman" w:hAnsi="Times New Roman"/>
          <w:sz w:val="22"/>
          <w:szCs w:val="22"/>
          <w:color w:val="auto"/>
        </w:rPr>
      </w:pPr>
      <w:r>
        <w:rPr>
          <w:rFonts w:ascii="Arial" w:cs="Arial" w:eastAsia="Arial" w:hAnsi="Arial"/>
          <w:sz w:val="22"/>
          <w:szCs w:val="22"/>
          <w:color w:val="auto"/>
        </w:rPr>
        <w:t>“Inside Information” is generally considered to mean material information which has not been publicly disclosed, absorbed and evaluated. Information should be treated as material if it would affect a reasonable investor’s decision to buy or sell Company stock.</w:t>
      </w:r>
    </w:p>
    <w:p>
      <w:pPr>
        <w:spacing w:after="0" w:line="199" w:lineRule="exact"/>
        <w:rPr>
          <w:rFonts w:ascii="Times New Roman" w:cs="Times New Roman" w:eastAsia="Times New Roman" w:hAnsi="Times New Roman"/>
          <w:sz w:val="22"/>
          <w:szCs w:val="22"/>
          <w:color w:val="auto"/>
        </w:rPr>
      </w:pPr>
    </w:p>
    <w:p>
      <w:pPr>
        <w:ind w:left="161" w:hanging="161"/>
        <w:spacing w:after="0" w:line="258" w:lineRule="auto"/>
        <w:tabs>
          <w:tab w:leader="none" w:pos="161" w:val="left"/>
        </w:tabs>
        <w:numPr>
          <w:ilvl w:val="0"/>
          <w:numId w:val="133"/>
        </w:numPr>
        <w:rPr>
          <w:rFonts w:ascii="Times New Roman" w:cs="Times New Roman" w:eastAsia="Times New Roman" w:hAnsi="Times New Roman"/>
          <w:sz w:val="22"/>
          <w:szCs w:val="22"/>
          <w:color w:val="auto"/>
        </w:rPr>
      </w:pPr>
      <w:r>
        <w:rPr>
          <w:rFonts w:ascii="Arial" w:cs="Arial" w:eastAsia="Arial" w:hAnsi="Arial"/>
          <w:sz w:val="22"/>
          <w:szCs w:val="22"/>
          <w:color w:val="auto"/>
        </w:rPr>
        <w:t>If news or events about the Company to any extent motivates your thoughts of buying or selling the Company’s stock, that news should be considered material.</w:t>
      </w:r>
    </w:p>
    <w:p>
      <w:pPr>
        <w:spacing w:after="0" w:line="184" w:lineRule="exact"/>
        <w:rPr>
          <w:sz w:val="20"/>
          <w:szCs w:val="20"/>
          <w:color w:val="auto"/>
        </w:rPr>
      </w:pPr>
    </w:p>
    <w:p>
      <w:pPr>
        <w:jc w:val="both"/>
        <w:ind w:left="1"/>
        <w:spacing w:after="0" w:line="235" w:lineRule="auto"/>
        <w:rPr>
          <w:sz w:val="20"/>
          <w:szCs w:val="20"/>
          <w:color w:val="auto"/>
        </w:rPr>
      </w:pPr>
      <w:r>
        <w:rPr>
          <w:rFonts w:ascii="Arial" w:cs="Arial" w:eastAsia="Arial" w:hAnsi="Arial"/>
          <w:sz w:val="22"/>
          <w:szCs w:val="22"/>
          <w:color w:val="auto"/>
        </w:rPr>
        <w:t>If you buy or sell the Company’s securities while in possession of Inside Information, you may be subject to private lawsuits for damages or to civil or criminal proceedings by the Securities and Exchange Commission (“SEC”). Liability arising from such violations is often significant. For instance, the SEC is authorized to seek civil money damages of up to three times the profit gained or loss avoided through unlawful insider trading. These laws also apply to any information you may obtain about suppliers, customers, or other entities with whom the Company does business. You are under the same legal obligation, with respect to that information, to refrain from trading on Inside Information and from “tipping” others.</w:t>
      </w:r>
    </w:p>
    <w:p>
      <w:pPr>
        <w:spacing w:after="0" w:line="205" w:lineRule="exact"/>
        <w:rPr>
          <w:sz w:val="20"/>
          <w:szCs w:val="20"/>
          <w:color w:val="auto"/>
        </w:rPr>
      </w:pPr>
    </w:p>
    <w:p>
      <w:pPr>
        <w:jc w:val="both"/>
        <w:ind w:left="1"/>
        <w:spacing w:after="0" w:line="236" w:lineRule="auto"/>
        <w:rPr>
          <w:sz w:val="20"/>
          <w:szCs w:val="20"/>
          <w:color w:val="auto"/>
        </w:rPr>
      </w:pPr>
      <w:r>
        <w:rPr>
          <w:rFonts w:ascii="Arial" w:cs="Arial" w:eastAsia="Arial" w:hAnsi="Arial"/>
          <w:sz w:val="22"/>
          <w:szCs w:val="22"/>
          <w:color w:val="auto"/>
        </w:rPr>
        <w:t>The Company has designated the Company's General Counsel or, in the absence of General Counsel, the individual or individuals designated by General Counsel, each referred to as a "Monitor" for purposes of administering this Policy. To the extent any provision of this Policy imposes requirements more restrictive than allowed by applicable law, such requirement may be waived in any particular instance by a Monitor following consultation with outside legal counsel for the Company.</w:t>
      </w:r>
    </w:p>
    <w:p>
      <w:pPr>
        <w:spacing w:after="0" w:line="209" w:lineRule="exact"/>
        <w:rPr>
          <w:sz w:val="20"/>
          <w:szCs w:val="20"/>
          <w:color w:val="auto"/>
        </w:rPr>
      </w:pPr>
    </w:p>
    <w:p>
      <w:pPr>
        <w:jc w:val="both"/>
        <w:ind w:left="1"/>
        <w:spacing w:after="0" w:line="245" w:lineRule="auto"/>
        <w:rPr>
          <w:sz w:val="20"/>
          <w:szCs w:val="20"/>
          <w:color w:val="auto"/>
        </w:rPr>
      </w:pPr>
      <w:r>
        <w:rPr>
          <w:rFonts w:ascii="Arial" w:cs="Arial" w:eastAsia="Arial" w:hAnsi="Arial"/>
          <w:sz w:val="22"/>
          <w:szCs w:val="22"/>
          <w:color w:val="auto"/>
        </w:rPr>
        <w:t>Each director, officer and employee should take every reasonable effort to comply with the following prohibitions and guidelines to avoid liability and, equally important, the appearance of any impropriety.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485140</wp:posOffset>
            </wp:positionV>
            <wp:extent cx="588073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117" w:right="1339" w:bottom="1440" w:gutter="0" w:footer="0" w:header="0"/>
          <w:type w:val="continuous"/>
        </w:sectPr>
      </w:pPr>
    </w:p>
    <w:bookmarkStart w:id="135" w:name="page136"/>
    <w:bookmarkEnd w:id="135"/>
    <w:p>
      <w:pPr>
        <w:ind w:left="200"/>
        <w:spacing w:after="0"/>
        <w:rPr>
          <w:sz w:val="20"/>
          <w:szCs w:val="20"/>
          <w:color w:val="auto"/>
        </w:rPr>
      </w:pPr>
      <w:r>
        <w:rPr>
          <w:rFonts w:ascii="Arial" w:cs="Arial" w:eastAsia="Arial" w:hAnsi="Arial"/>
          <w:sz w:val="22"/>
          <w:szCs w:val="22"/>
          <w:b w:val="1"/>
          <w:bCs w:val="1"/>
          <w:u w:val="single" w:color="auto"/>
          <w:color w:val="auto"/>
        </w:rPr>
        <w:t>Disclosure Guidelines</w:t>
      </w:r>
    </w:p>
    <w:p>
      <w:pPr>
        <w:spacing w:after="0" w:line="235" w:lineRule="exact"/>
        <w:rPr>
          <w:sz w:val="20"/>
          <w:szCs w:val="20"/>
          <w:color w:val="auto"/>
        </w:rPr>
      </w:pPr>
    </w:p>
    <w:p>
      <w:pPr>
        <w:ind w:left="200" w:right="239"/>
        <w:spacing w:after="0" w:line="259" w:lineRule="auto"/>
        <w:rPr>
          <w:sz w:val="20"/>
          <w:szCs w:val="20"/>
          <w:color w:val="auto"/>
        </w:rPr>
      </w:pPr>
      <w:r>
        <w:rPr>
          <w:rFonts w:ascii="Arial" w:cs="Arial" w:eastAsia="Arial" w:hAnsi="Arial"/>
          <w:sz w:val="22"/>
          <w:szCs w:val="22"/>
          <w:color w:val="auto"/>
        </w:rPr>
        <w:t>In discussing matters pertaining to the Company, all employees and Directors must comply with the following parameters:</w:t>
      </w:r>
    </w:p>
    <w:p>
      <w:pPr>
        <w:spacing w:after="0" w:line="183" w:lineRule="exact"/>
        <w:rPr>
          <w:sz w:val="20"/>
          <w:szCs w:val="20"/>
          <w:color w:val="auto"/>
        </w:rPr>
      </w:pPr>
    </w:p>
    <w:p>
      <w:pPr>
        <w:ind w:left="860" w:hanging="651"/>
        <w:spacing w:after="0"/>
        <w:tabs>
          <w:tab w:leader="none" w:pos="8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Matters that you may discuss include the following:</w:t>
      </w:r>
    </w:p>
    <w:p>
      <w:pPr>
        <w:spacing w:after="0" w:line="233" w:lineRule="exact"/>
        <w:rPr>
          <w:rFonts w:ascii="Arial" w:cs="Arial" w:eastAsia="Arial" w:hAnsi="Arial"/>
          <w:sz w:val="22"/>
          <w:szCs w:val="22"/>
          <w:color w:val="auto"/>
        </w:rPr>
      </w:pPr>
    </w:p>
    <w:p>
      <w:pPr>
        <w:jc w:val="both"/>
        <w:ind w:left="1500" w:right="219" w:hanging="643"/>
        <w:spacing w:after="0" w:line="238" w:lineRule="auto"/>
        <w:tabs>
          <w:tab w:leader="none" w:pos="150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Information that has been published and widely disseminated, such as that contained in the Company's annual report to shareholders, reports on Form 8-K, Form 10-K and Form 10-Q, proxy statements and press releases, so long as you limit your discussions to the information that has been published and disseminated.</w:t>
      </w:r>
    </w:p>
    <w:p>
      <w:pPr>
        <w:spacing w:after="0" w:line="203" w:lineRule="exact"/>
        <w:rPr>
          <w:rFonts w:ascii="Arial" w:cs="Arial" w:eastAsia="Arial" w:hAnsi="Arial"/>
          <w:sz w:val="22"/>
          <w:szCs w:val="22"/>
          <w:color w:val="auto"/>
        </w:rPr>
      </w:pPr>
    </w:p>
    <w:p>
      <w:pPr>
        <w:ind w:left="1500" w:right="239" w:hanging="643"/>
        <w:spacing w:after="0" w:line="259" w:lineRule="auto"/>
        <w:tabs>
          <w:tab w:leader="none" w:pos="150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General industry and economic trends, to the extent they do not involve specific information about the Company.</w:t>
      </w:r>
    </w:p>
    <w:p>
      <w:pPr>
        <w:spacing w:after="0" w:line="183" w:lineRule="exact"/>
        <w:rPr>
          <w:rFonts w:ascii="Arial" w:cs="Arial" w:eastAsia="Arial" w:hAnsi="Arial"/>
          <w:sz w:val="22"/>
          <w:szCs w:val="22"/>
          <w:color w:val="auto"/>
        </w:rPr>
      </w:pPr>
    </w:p>
    <w:p>
      <w:pPr>
        <w:ind w:left="1500" w:right="219" w:hanging="643"/>
        <w:spacing w:after="0" w:line="259" w:lineRule="auto"/>
        <w:tabs>
          <w:tab w:leader="none" w:pos="150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Routine, immaterial, aspects of the Company's business involving products, plants, employees, customers and production.</w:t>
      </w:r>
    </w:p>
    <w:p>
      <w:pPr>
        <w:spacing w:after="0" w:line="183" w:lineRule="exact"/>
        <w:rPr>
          <w:sz w:val="20"/>
          <w:szCs w:val="20"/>
          <w:color w:val="auto"/>
        </w:rPr>
      </w:pPr>
    </w:p>
    <w:p>
      <w:pPr>
        <w:jc w:val="both"/>
        <w:ind w:left="860" w:right="219"/>
        <w:spacing w:after="0"/>
        <w:rPr>
          <w:sz w:val="20"/>
          <w:szCs w:val="20"/>
          <w:color w:val="auto"/>
        </w:rPr>
      </w:pPr>
      <w:r>
        <w:rPr>
          <w:rFonts w:ascii="Arial" w:cs="Arial" w:eastAsia="Arial" w:hAnsi="Arial"/>
          <w:sz w:val="22"/>
          <w:szCs w:val="22"/>
          <w:color w:val="auto"/>
        </w:rPr>
        <w:t>Requests and questions from investors, analysts, the press, or other outsiders should not be responded to, and should instead be referred a Monitor. Only a limited, specific number of Company personnel are authorized to speak on the Company's behalf.</w:t>
      </w:r>
    </w:p>
    <w:p>
      <w:pPr>
        <w:spacing w:after="0" w:line="203" w:lineRule="exact"/>
        <w:rPr>
          <w:sz w:val="20"/>
          <w:szCs w:val="20"/>
          <w:color w:val="auto"/>
        </w:rPr>
      </w:pPr>
    </w:p>
    <w:p>
      <w:pPr>
        <w:jc w:val="both"/>
        <w:ind w:left="860" w:right="219" w:hanging="651"/>
        <w:spacing w:after="0"/>
        <w:tabs>
          <w:tab w:leader="none" w:pos="86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You may not discuss outside the Company any Inside Information about the Company. Discussion of material nonpublic information with other Company personnel also be limited to the extent reasonably necessary in connection with your employment.</w:t>
      </w:r>
    </w:p>
    <w:p>
      <w:pPr>
        <w:spacing w:after="0" w:line="201" w:lineRule="exact"/>
        <w:rPr>
          <w:rFonts w:ascii="Arial" w:cs="Arial" w:eastAsia="Arial" w:hAnsi="Arial"/>
          <w:sz w:val="22"/>
          <w:szCs w:val="22"/>
          <w:color w:val="auto"/>
        </w:rPr>
      </w:pPr>
    </w:p>
    <w:p>
      <w:pPr>
        <w:jc w:val="both"/>
        <w:ind w:left="860" w:right="239" w:hanging="651"/>
        <w:spacing w:after="0"/>
        <w:tabs>
          <w:tab w:leader="none" w:pos="86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For example, matters that you </w:t>
      </w:r>
      <w:r>
        <w:rPr>
          <w:rFonts w:ascii="Arial" w:cs="Arial" w:eastAsia="Arial" w:hAnsi="Arial"/>
          <w:sz w:val="22"/>
          <w:szCs w:val="22"/>
          <w:b w:val="1"/>
          <w:bCs w:val="1"/>
          <w:color w:val="auto"/>
        </w:rPr>
        <w:t>may not</w:t>
      </w:r>
      <w:r>
        <w:rPr>
          <w:rFonts w:ascii="Arial" w:cs="Arial" w:eastAsia="Arial" w:hAnsi="Arial"/>
          <w:sz w:val="22"/>
          <w:szCs w:val="22"/>
          <w:color w:val="auto"/>
        </w:rPr>
        <w:t xml:space="preserve"> discuss outside the Company (including in any social media posts or other manner that is generally available to outsiders via the internet), except to the extent the Company has publicly announced and widely disseminated them, include any of the following:</w:t>
      </w:r>
    </w:p>
    <w:p>
      <w:pPr>
        <w:spacing w:after="0" w:line="205" w:lineRule="exact"/>
        <w:rPr>
          <w:rFonts w:ascii="Arial" w:cs="Arial" w:eastAsia="Arial" w:hAnsi="Arial"/>
          <w:sz w:val="22"/>
          <w:szCs w:val="22"/>
          <w:color w:val="auto"/>
        </w:rPr>
      </w:pPr>
    </w:p>
    <w:p>
      <w:pPr>
        <w:ind w:left="1500" w:right="219" w:hanging="643"/>
        <w:spacing w:after="0" w:line="259" w:lineRule="auto"/>
        <w:tabs>
          <w:tab w:leader="none" w:pos="150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Actual or projected sales, earnings, significant capital expenditures or significant borrowings.</w:t>
      </w:r>
    </w:p>
    <w:p>
      <w:pPr>
        <w:spacing w:after="0" w:line="183" w:lineRule="exact"/>
        <w:rPr>
          <w:rFonts w:ascii="Arial" w:cs="Arial" w:eastAsia="Arial" w:hAnsi="Arial"/>
          <w:sz w:val="22"/>
          <w:szCs w:val="22"/>
          <w:color w:val="auto"/>
        </w:rPr>
      </w:pPr>
    </w:p>
    <w:p>
      <w:pPr>
        <w:jc w:val="both"/>
        <w:ind w:left="1500" w:right="219" w:hanging="643"/>
        <w:spacing w:after="0" w:line="245" w:lineRule="auto"/>
        <w:tabs>
          <w:tab w:leader="none" w:pos="150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Any action or event that had or is likely to have a significant effect on the Company's anticipated annual sales or earnings or that may result in a special or extraordinary charge against earnings.</w:t>
      </w:r>
    </w:p>
    <w:p>
      <w:pPr>
        <w:spacing w:after="0" w:line="197" w:lineRule="exact"/>
        <w:rPr>
          <w:rFonts w:ascii="Arial" w:cs="Arial" w:eastAsia="Arial" w:hAnsi="Arial"/>
          <w:sz w:val="22"/>
          <w:szCs w:val="22"/>
          <w:color w:val="auto"/>
        </w:rPr>
      </w:pPr>
    </w:p>
    <w:p>
      <w:pPr>
        <w:jc w:val="both"/>
        <w:ind w:left="1500" w:right="219" w:hanging="643"/>
        <w:spacing w:after="0" w:line="235" w:lineRule="auto"/>
        <w:tabs>
          <w:tab w:leader="none" w:pos="150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Any non-routine action or event such as a proposed joint venture, merger, acquisition or disposition of shares or assets; or major new products; a change in control or a significant change in management; major financing; significant litigation; a significant change in capital investment plans; significant change in operation or financial circumstances; significant labor disputes; significant layoffs; a cybersecurity incident; a tender offer for another company's securities; and significant changes in the Company's asset values, products or lines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335915</wp:posOffset>
            </wp:positionV>
            <wp:extent cx="545211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1" w:right="1440" w:bottom="1440" w:gutter="0" w:footer="0" w:header="0"/>
        </w:sectPr>
      </w:pPr>
    </w:p>
    <w:bookmarkStart w:id="136" w:name="page137"/>
    <w:bookmarkEnd w:id="136"/>
    <w:p>
      <w:pPr>
        <w:jc w:val="both"/>
        <w:ind w:left="860" w:right="219"/>
        <w:spacing w:after="0" w:line="245" w:lineRule="auto"/>
        <w:rPr>
          <w:sz w:val="20"/>
          <w:szCs w:val="20"/>
          <w:color w:val="auto"/>
        </w:rPr>
      </w:pPr>
      <w:r>
        <w:rPr>
          <w:rFonts w:ascii="Arial" w:cs="Arial" w:eastAsia="Arial" w:hAnsi="Arial"/>
          <w:sz w:val="22"/>
          <w:szCs w:val="22"/>
          <w:color w:val="auto"/>
        </w:rPr>
        <w:t>As an additional reminder, any of the types of prohibited information described above that may come to your attention regarding other businesses because of the Company's relationship with that entity should not be publicly disclosed.</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Trading Prohibitions and Guidelines</w:t>
      </w:r>
    </w:p>
    <w:p>
      <w:pPr>
        <w:spacing w:after="0" w:line="235" w:lineRule="exact"/>
        <w:rPr>
          <w:sz w:val="20"/>
          <w:szCs w:val="20"/>
          <w:color w:val="auto"/>
        </w:rPr>
      </w:pPr>
    </w:p>
    <w:p>
      <w:pPr>
        <w:jc w:val="both"/>
        <w:ind w:left="200" w:right="219"/>
        <w:spacing w:after="0"/>
        <w:rPr>
          <w:sz w:val="20"/>
          <w:szCs w:val="20"/>
          <w:color w:val="auto"/>
        </w:rPr>
      </w:pPr>
      <w:r>
        <w:rPr>
          <w:rFonts w:ascii="Arial" w:cs="Arial" w:eastAsia="Arial" w:hAnsi="Arial"/>
          <w:sz w:val="22"/>
          <w:szCs w:val="22"/>
          <w:color w:val="auto"/>
        </w:rPr>
        <w:t>While investment in the Company’s stock by Directors and employees is encouraged, such transactions should be made with caution and, in some instances, with prior Company approval. Please refer to the following prohibitions and guidelines when dealing in the Company’s securities:</w:t>
      </w:r>
    </w:p>
    <w:p>
      <w:pPr>
        <w:spacing w:after="0" w:line="203" w:lineRule="exact"/>
        <w:rPr>
          <w:sz w:val="20"/>
          <w:szCs w:val="20"/>
          <w:color w:val="auto"/>
        </w:rPr>
      </w:pPr>
    </w:p>
    <w:p>
      <w:pPr>
        <w:jc w:val="both"/>
        <w:ind w:left="860" w:right="219" w:hanging="651"/>
        <w:spacing w:after="0" w:line="234" w:lineRule="auto"/>
        <w:tabs>
          <w:tab w:leader="none" w:pos="86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General – All Employees and Directors</w:t>
      </w:r>
      <w:r>
        <w:rPr>
          <w:rFonts w:ascii="Arial" w:cs="Arial" w:eastAsia="Arial" w:hAnsi="Arial"/>
          <w:sz w:val="22"/>
          <w:szCs w:val="22"/>
          <w:color w:val="auto"/>
        </w:rPr>
        <w:t xml:space="preserve">. Transactions involving the Company’s securities are </w:t>
      </w:r>
      <w:r>
        <w:rPr>
          <w:rFonts w:ascii="Arial" w:cs="Arial" w:eastAsia="Arial" w:hAnsi="Arial"/>
          <w:sz w:val="22"/>
          <w:szCs w:val="22"/>
          <w:b w:val="1"/>
          <w:bCs w:val="1"/>
          <w:color w:val="auto"/>
        </w:rPr>
        <w:t>prohibited</w:t>
      </w:r>
      <w:r>
        <w:rPr>
          <w:rFonts w:ascii="Arial" w:cs="Arial" w:eastAsia="Arial" w:hAnsi="Arial"/>
          <w:sz w:val="22"/>
          <w:szCs w:val="22"/>
          <w:color w:val="auto"/>
        </w:rPr>
        <w:t xml:space="preserve"> if you have knowledge of material information about the Company which has not been publicly disseminated and absorbed by the market. In general, information should be considered “material” if it could be expected that a reasonable investor would attach significance to the information in reaching an investment decision involving the Company’s securities. Determining whether information is material is subjective; accordingly, we urge you to discuss such issues with designated Company personnel. You are also prohibited from trading in the securities of any other public company if you possess material nonpublic information concerning that company that was obtained in the course of your employment.</w:t>
      </w:r>
    </w:p>
    <w:p>
      <w:pPr>
        <w:spacing w:after="0" w:line="202" w:lineRule="exact"/>
        <w:rPr>
          <w:rFonts w:ascii="Arial" w:cs="Arial" w:eastAsia="Arial" w:hAnsi="Arial"/>
          <w:sz w:val="22"/>
          <w:szCs w:val="22"/>
          <w:color w:val="auto"/>
        </w:rPr>
      </w:pPr>
    </w:p>
    <w:p>
      <w:pPr>
        <w:jc w:val="both"/>
        <w:ind w:left="860" w:right="219" w:hanging="651"/>
        <w:spacing w:after="0"/>
        <w:tabs>
          <w:tab w:leader="none" w:pos="86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Directors and Designated Officers</w:t>
      </w:r>
      <w:r>
        <w:rPr>
          <w:rFonts w:ascii="Arial" w:cs="Arial" w:eastAsia="Arial" w:hAnsi="Arial"/>
          <w:sz w:val="22"/>
          <w:szCs w:val="22"/>
          <w:color w:val="auto"/>
        </w:rPr>
        <w:t xml:space="preserve">. If you </w:t>
      </w:r>
      <w:r>
        <w:rPr>
          <w:rFonts w:ascii="Arial" w:cs="Arial" w:eastAsia="Arial" w:hAnsi="Arial"/>
          <w:sz w:val="22"/>
          <w:szCs w:val="22"/>
          <w:u w:val="single" w:color="auto"/>
          <w:color w:val="auto"/>
        </w:rPr>
        <w:t>are</w:t>
      </w:r>
      <w:r>
        <w:rPr>
          <w:rFonts w:ascii="Arial" w:cs="Arial" w:eastAsia="Arial" w:hAnsi="Arial"/>
          <w:sz w:val="22"/>
          <w:szCs w:val="22"/>
          <w:color w:val="auto"/>
        </w:rPr>
        <w:t xml:space="preserve"> a Director or Designated Officer (which includes executive officers, designated Section 16 officers and other employees designated by a Monitor as being likely to come into possession of Inside Information:</w:t>
      </w:r>
    </w:p>
    <w:p>
      <w:pPr>
        <w:spacing w:after="0" w:line="201" w:lineRule="exact"/>
        <w:rPr>
          <w:rFonts w:ascii="Arial" w:cs="Arial" w:eastAsia="Arial" w:hAnsi="Arial"/>
          <w:sz w:val="22"/>
          <w:szCs w:val="22"/>
          <w:color w:val="auto"/>
        </w:rPr>
      </w:pPr>
    </w:p>
    <w:p>
      <w:pPr>
        <w:ind w:left="1500" w:right="219" w:hanging="643"/>
        <w:spacing w:after="0" w:line="245" w:lineRule="auto"/>
        <w:tabs>
          <w:tab w:leader="none" w:pos="1500" w:val="left"/>
        </w:tabs>
        <w:numPr>
          <w:ilvl w:val="1"/>
          <w:numId w:val="136"/>
        </w:numPr>
        <w:rPr>
          <w:rFonts w:ascii="Arial" w:cs="Arial" w:eastAsia="Arial" w:hAnsi="Arial"/>
          <w:sz w:val="21"/>
          <w:szCs w:val="21"/>
          <w:color w:val="auto"/>
        </w:rPr>
      </w:pPr>
      <w:r>
        <w:rPr>
          <w:rFonts w:ascii="Arial" w:cs="Arial" w:eastAsia="Arial" w:hAnsi="Arial"/>
          <w:sz w:val="21"/>
          <w:szCs w:val="21"/>
          <w:u w:val="single" w:color="auto"/>
          <w:color w:val="auto"/>
        </w:rPr>
        <w:t>Blackout Periods</w:t>
      </w:r>
      <w:r>
        <w:rPr>
          <w:rFonts w:ascii="Arial" w:cs="Arial" w:eastAsia="Arial" w:hAnsi="Arial"/>
          <w:sz w:val="21"/>
          <w:szCs w:val="21"/>
          <w:color w:val="auto"/>
        </w:rPr>
        <w:t xml:space="preserve">. Transactions are </w:t>
      </w:r>
      <w:r>
        <w:rPr>
          <w:rFonts w:ascii="Arial" w:cs="Arial" w:eastAsia="Arial" w:hAnsi="Arial"/>
          <w:sz w:val="21"/>
          <w:szCs w:val="21"/>
          <w:b w:val="1"/>
          <w:bCs w:val="1"/>
          <w:color w:val="auto"/>
        </w:rPr>
        <w:t>prohibited</w:t>
      </w:r>
      <w:r>
        <w:rPr>
          <w:rFonts w:ascii="Arial" w:cs="Arial" w:eastAsia="Arial" w:hAnsi="Arial"/>
          <w:sz w:val="21"/>
          <w:szCs w:val="21"/>
          <w:color w:val="auto"/>
        </w:rPr>
        <w:t xml:space="preserve"> (1) during the 14 day period prior to the last day of each fiscal quarter and ending at the close of trading on the first full trading day immediately following the public release of quarterly and year-end earnings; and (2) during the first full trading day immediately following the date of the Company’s public release of any material information. Also, the Company may, from time to time, notify its directors and certain of its employees that purchases and sales of the Company’s stock are prohibited until further notice (together with the periods designated in (1) and (2) above, referred to as a “Blackout Period”). Following receipt of a notice of a Blackout Period, any outstanding and unfilled purchase or sale orders previously placed with brokers should be canceled immediately and no new orders should be placed.</w:t>
      </w:r>
    </w:p>
    <w:p>
      <w:pPr>
        <w:spacing w:after="0" w:line="202" w:lineRule="exact"/>
        <w:rPr>
          <w:rFonts w:ascii="Arial" w:cs="Arial" w:eastAsia="Arial" w:hAnsi="Arial"/>
          <w:sz w:val="21"/>
          <w:szCs w:val="21"/>
          <w:color w:val="auto"/>
        </w:rPr>
      </w:pPr>
    </w:p>
    <w:p>
      <w:pPr>
        <w:jc w:val="both"/>
        <w:ind w:left="1500" w:right="219" w:hanging="643"/>
        <w:spacing w:after="0" w:line="245" w:lineRule="auto"/>
        <w:tabs>
          <w:tab w:leader="none" w:pos="1500" w:val="left"/>
        </w:tabs>
        <w:numPr>
          <w:ilvl w:val="1"/>
          <w:numId w:val="136"/>
        </w:numPr>
        <w:rPr>
          <w:rFonts w:ascii="Arial" w:cs="Arial" w:eastAsia="Arial" w:hAnsi="Arial"/>
          <w:sz w:val="22"/>
          <w:szCs w:val="22"/>
          <w:color w:val="auto"/>
        </w:rPr>
      </w:pPr>
      <w:r>
        <w:rPr>
          <w:rFonts w:ascii="Arial" w:cs="Arial" w:eastAsia="Arial" w:hAnsi="Arial"/>
          <w:sz w:val="22"/>
          <w:szCs w:val="22"/>
          <w:u w:val="single" w:color="auto"/>
          <w:color w:val="auto"/>
        </w:rPr>
        <w:t>Pre-clearance</w:t>
      </w:r>
      <w:r>
        <w:rPr>
          <w:rFonts w:ascii="Arial" w:cs="Arial" w:eastAsia="Arial" w:hAnsi="Arial"/>
          <w:sz w:val="22"/>
          <w:szCs w:val="22"/>
          <w:color w:val="auto"/>
        </w:rPr>
        <w:t xml:space="preserve">. Transactions involving the Company’s securities are </w:t>
      </w:r>
      <w:r>
        <w:rPr>
          <w:rFonts w:ascii="Arial" w:cs="Arial" w:eastAsia="Arial" w:hAnsi="Arial"/>
          <w:sz w:val="22"/>
          <w:szCs w:val="22"/>
          <w:b w:val="1"/>
          <w:bCs w:val="1"/>
          <w:color w:val="auto"/>
        </w:rPr>
        <w:t xml:space="preserve">prohibited </w:t>
      </w:r>
      <w:r>
        <w:rPr>
          <w:rFonts w:ascii="Arial" w:cs="Arial" w:eastAsia="Arial" w:hAnsi="Arial"/>
          <w:sz w:val="22"/>
          <w:szCs w:val="22"/>
          <w:color w:val="auto"/>
        </w:rPr>
        <w:t>unless you first provide written notification, by e-mail, facsimile</w:t>
      </w:r>
      <w:r>
        <w:rPr>
          <w:rFonts w:ascii="Arial" w:cs="Arial" w:eastAsia="Arial" w:hAnsi="Arial"/>
          <w:sz w:val="22"/>
          <w:szCs w:val="22"/>
          <w:b w:val="1"/>
          <w:bCs w:val="1"/>
          <w:color w:val="auto"/>
        </w:rPr>
        <w:t xml:space="preserve"> </w:t>
      </w:r>
      <w:r>
        <w:rPr>
          <w:rFonts w:ascii="Arial" w:cs="Arial" w:eastAsia="Arial" w:hAnsi="Arial"/>
          <w:sz w:val="22"/>
          <w:szCs w:val="22"/>
          <w:color w:val="auto"/>
        </w:rPr>
        <w:t>or letter, of the proposed transaction to a Monitor.</w:t>
      </w:r>
    </w:p>
    <w:p>
      <w:pPr>
        <w:spacing w:after="0" w:line="197" w:lineRule="exact"/>
        <w:rPr>
          <w:rFonts w:ascii="Arial" w:cs="Arial" w:eastAsia="Arial" w:hAnsi="Arial"/>
          <w:sz w:val="22"/>
          <w:szCs w:val="22"/>
          <w:color w:val="auto"/>
        </w:rPr>
      </w:pPr>
    </w:p>
    <w:p>
      <w:pPr>
        <w:jc w:val="both"/>
        <w:ind w:left="860" w:right="239" w:hanging="651"/>
        <w:spacing w:after="0" w:line="245" w:lineRule="auto"/>
        <w:tabs>
          <w:tab w:leader="none" w:pos="86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Non-Directors and Non-Designated Officers</w:t>
      </w:r>
      <w:r>
        <w:rPr>
          <w:rFonts w:ascii="Arial" w:cs="Arial" w:eastAsia="Arial" w:hAnsi="Arial"/>
          <w:sz w:val="22"/>
          <w:szCs w:val="22"/>
          <w:color w:val="auto"/>
        </w:rPr>
        <w:t xml:space="preserve">. If you are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a Director or Designated Officer, during all other times you are not prohibited from trading in the Company’s securities, you may do so unless you have Inside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330835</wp:posOffset>
            </wp:positionV>
            <wp:extent cx="545211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66" w:right="1440" w:bottom="1440" w:gutter="0" w:footer="0" w:header="0"/>
        </w:sectPr>
      </w:pPr>
    </w:p>
    <w:bookmarkStart w:id="137" w:name="page138"/>
    <w:bookmarkEnd w:id="137"/>
    <w:p>
      <w:pPr>
        <w:jc w:val="both"/>
        <w:ind w:left="860" w:right="219"/>
        <w:spacing w:after="0" w:line="245" w:lineRule="auto"/>
        <w:rPr>
          <w:sz w:val="20"/>
          <w:szCs w:val="20"/>
          <w:color w:val="auto"/>
        </w:rPr>
      </w:pPr>
      <w:r>
        <w:rPr>
          <w:rFonts w:ascii="Arial" w:cs="Arial" w:eastAsia="Arial" w:hAnsi="Arial"/>
          <w:sz w:val="22"/>
          <w:szCs w:val="22"/>
          <w:color w:val="auto"/>
        </w:rPr>
        <w:t>However, we urge you to exercise a great deal of caution in this regard and, if you have any questions relating to the timing of any purchase or sale of Company stock, encourage you to contact a Monitor.</w:t>
      </w:r>
    </w:p>
    <w:p>
      <w:pPr>
        <w:spacing w:after="0" w:line="197" w:lineRule="exact"/>
        <w:rPr>
          <w:sz w:val="20"/>
          <w:szCs w:val="20"/>
          <w:color w:val="auto"/>
        </w:rPr>
      </w:pPr>
    </w:p>
    <w:p>
      <w:pPr>
        <w:ind w:left="860" w:right="219" w:hanging="651"/>
        <w:spacing w:after="0" w:line="236" w:lineRule="auto"/>
        <w:tabs>
          <w:tab w:leader="none" w:pos="8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purchase of Company securities under the Company's Employee Stock Purchase Plan or any 401(k) plan sponsored by the Company or any subsidiary, each pursuant to an existing election, is not prohibited during Blackout Periods. However, Directors and Designated Officers may not change their election or enrollment in the Company's Employee Stock Purchase Plan or any such 401(k) plan during a Blackout Period or otherwise during a time when such person is in possession of Inside Information.</w:t>
      </w:r>
    </w:p>
    <w:p>
      <w:pPr>
        <w:spacing w:after="0" w:line="201" w:lineRule="exact"/>
        <w:rPr>
          <w:sz w:val="20"/>
          <w:szCs w:val="20"/>
          <w:color w:val="auto"/>
        </w:rPr>
      </w:pPr>
    </w:p>
    <w:p>
      <w:pPr>
        <w:jc w:val="both"/>
        <w:ind w:left="200" w:right="219"/>
        <w:spacing w:after="0" w:line="272" w:lineRule="auto"/>
        <w:rPr>
          <w:sz w:val="20"/>
          <w:szCs w:val="20"/>
          <w:color w:val="auto"/>
        </w:rPr>
      </w:pPr>
      <w:r>
        <w:rPr>
          <w:rFonts w:ascii="Arial" w:cs="Arial" w:eastAsia="Arial" w:hAnsi="Arial"/>
          <w:sz w:val="22"/>
          <w:szCs w:val="22"/>
          <w:b w:val="1"/>
          <w:bCs w:val="1"/>
          <w:u w:val="single" w:color="auto"/>
          <w:color w:val="auto"/>
        </w:rPr>
        <w:t>Short-Swing Profit Liability – Additional Rules Applicable to Directors and Section 16 Officers</w:t>
      </w:r>
    </w:p>
    <w:p>
      <w:pPr>
        <w:spacing w:after="0" w:line="158"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22"/>
          <w:szCs w:val="22"/>
          <w:u w:val="single" w:color="auto"/>
          <w:color w:val="auto"/>
        </w:rPr>
        <w:t>Short-Swing Profit Recapture Rules</w:t>
      </w:r>
      <w:r>
        <w:rPr>
          <w:rFonts w:ascii="Arial" w:cs="Arial" w:eastAsia="Arial" w:hAnsi="Arial"/>
          <w:sz w:val="22"/>
          <w:szCs w:val="22"/>
          <w:color w:val="auto"/>
        </w:rPr>
        <w:t xml:space="preserve">. The federal securities laws provide that any profit realized by any “insider” from any combination of a purchase and sale or sale and purchase of any of the Company's securities within any six-month period is recoverable by the Company. Liability is imposed under these laws </w:t>
      </w:r>
      <w:r>
        <w:rPr>
          <w:rFonts w:ascii="Arial" w:cs="Arial" w:eastAsia="Arial" w:hAnsi="Arial"/>
          <w:sz w:val="22"/>
          <w:szCs w:val="22"/>
          <w:u w:val="single" w:color="auto"/>
          <w:color w:val="auto"/>
        </w:rPr>
        <w:t>regardless</w:t>
      </w:r>
      <w:r>
        <w:rPr>
          <w:rFonts w:ascii="Arial" w:cs="Arial" w:eastAsia="Arial" w:hAnsi="Arial"/>
          <w:sz w:val="22"/>
          <w:szCs w:val="22"/>
          <w:color w:val="auto"/>
        </w:rPr>
        <w:t xml:space="preserve"> of intent or possession or use of Inside Information. Insiders are considered to be each of our Directors, each of our Section 16 officers, and certain family members of our Directors and Section 16 officers. These laws require that insiders file reports of most transactions in the Company’s securities within two (2) business days of such transaction.</w:t>
      </w:r>
    </w:p>
    <w:p>
      <w:pPr>
        <w:spacing w:after="0" w:line="205" w:lineRule="exact"/>
        <w:rPr>
          <w:sz w:val="20"/>
          <w:szCs w:val="20"/>
          <w:color w:val="auto"/>
        </w:rPr>
      </w:pPr>
    </w:p>
    <w:p>
      <w:pPr>
        <w:jc w:val="both"/>
        <w:ind w:left="200" w:right="219"/>
        <w:spacing w:after="0" w:line="245" w:lineRule="auto"/>
        <w:rPr>
          <w:sz w:val="20"/>
          <w:szCs w:val="20"/>
          <w:color w:val="auto"/>
        </w:rPr>
      </w:pPr>
      <w:r>
        <w:rPr>
          <w:rFonts w:ascii="Arial" w:cs="Arial" w:eastAsia="Arial" w:hAnsi="Arial"/>
          <w:sz w:val="22"/>
          <w:szCs w:val="22"/>
          <w:color w:val="auto"/>
        </w:rPr>
        <w:t>In order to avoid liability to the Company under these rules and to assist in the timely filing of transaction report, the Company’s directors and executive officers are required to comply with the following:</w:t>
      </w:r>
    </w:p>
    <w:p>
      <w:pPr>
        <w:spacing w:after="0" w:line="197" w:lineRule="exact"/>
        <w:rPr>
          <w:sz w:val="20"/>
          <w:szCs w:val="20"/>
          <w:color w:val="auto"/>
        </w:rPr>
      </w:pPr>
    </w:p>
    <w:p>
      <w:pPr>
        <w:ind w:left="860" w:right="239" w:hanging="651"/>
        <w:spacing w:after="0" w:line="259" w:lineRule="auto"/>
        <w:tabs>
          <w:tab w:leader="none" w:pos="86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Pre-Transaction Review</w:t>
      </w:r>
      <w:r>
        <w:rPr>
          <w:rFonts w:ascii="Arial" w:cs="Arial" w:eastAsia="Arial" w:hAnsi="Arial"/>
          <w:sz w:val="22"/>
          <w:szCs w:val="22"/>
          <w:color w:val="auto"/>
        </w:rPr>
        <w:t xml:space="preserve">. As noted above, each Director and Designated Officer must obtain </w:t>
      </w:r>
      <w:r>
        <w:rPr>
          <w:rFonts w:ascii="Arial" w:cs="Arial" w:eastAsia="Arial" w:hAnsi="Arial"/>
          <w:sz w:val="22"/>
          <w:szCs w:val="22"/>
          <w:u w:val="single" w:color="auto"/>
          <w:color w:val="auto"/>
        </w:rPr>
        <w:t>prior</w:t>
      </w:r>
      <w:r>
        <w:rPr>
          <w:rFonts w:ascii="Arial" w:cs="Arial" w:eastAsia="Arial" w:hAnsi="Arial"/>
          <w:sz w:val="22"/>
          <w:szCs w:val="22"/>
          <w:color w:val="auto"/>
        </w:rPr>
        <w:t xml:space="preserve"> approval of all transactions involving the Company’s securities.</w:t>
      </w:r>
    </w:p>
    <w:p>
      <w:pPr>
        <w:spacing w:after="0" w:line="183" w:lineRule="exact"/>
        <w:rPr>
          <w:rFonts w:ascii="Arial" w:cs="Arial" w:eastAsia="Arial" w:hAnsi="Arial"/>
          <w:sz w:val="22"/>
          <w:szCs w:val="22"/>
          <w:color w:val="auto"/>
        </w:rPr>
      </w:pPr>
    </w:p>
    <w:p>
      <w:pPr>
        <w:jc w:val="both"/>
        <w:ind w:left="860" w:right="219" w:hanging="651"/>
        <w:spacing w:after="0" w:line="234" w:lineRule="auto"/>
        <w:tabs>
          <w:tab w:leader="none" w:pos="86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Preparation of Required Reports</w:t>
      </w:r>
      <w:r>
        <w:rPr>
          <w:rFonts w:ascii="Arial" w:cs="Arial" w:eastAsia="Arial" w:hAnsi="Arial"/>
          <w:sz w:val="22"/>
          <w:szCs w:val="22"/>
          <w:color w:val="auto"/>
        </w:rPr>
        <w:t>. While the Company will assist in the preparation and filing of Form 4 and 5 reports, the ultimate legal responsibility for the accuracy and filing of these reports remains with the Section 16 officer or Director. The Company will prepare a Form 4 or Form 5 report upon notification that you intend to buy or sell (or make any other transfer of) Company stock and that the transaction is approved. Transactions involving the gift of Company securities, while generally not subject to the short-swing profit liability rules, must be reported on a current basis or Form 4. The reports are sent to the SEC electronically and can be executed by the Company through a power of attorney.</w:t>
      </w:r>
    </w:p>
    <w:p>
      <w:pPr>
        <w:spacing w:after="0" w:line="210" w:lineRule="exact"/>
        <w:rPr>
          <w:rFonts w:ascii="Arial" w:cs="Arial" w:eastAsia="Arial" w:hAnsi="Arial"/>
          <w:sz w:val="22"/>
          <w:szCs w:val="22"/>
          <w:color w:val="auto"/>
        </w:rPr>
      </w:pPr>
    </w:p>
    <w:p>
      <w:pPr>
        <w:jc w:val="both"/>
        <w:ind w:left="860" w:right="219" w:hanging="651"/>
        <w:spacing w:after="0" w:line="245" w:lineRule="auto"/>
        <w:tabs>
          <w:tab w:leader="none" w:pos="86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Checklist</w:t>
      </w:r>
      <w:r>
        <w:rPr>
          <w:rFonts w:ascii="Arial" w:cs="Arial" w:eastAsia="Arial" w:hAnsi="Arial"/>
          <w:sz w:val="22"/>
          <w:szCs w:val="22"/>
          <w:color w:val="auto"/>
        </w:rPr>
        <w:t>. In addition to preclearing your transaction with the Company, before proceeding with the acquisition or disposition of any of the Company’s securities, please review the following checklist:</w:t>
      </w:r>
    </w:p>
    <w:p>
      <w:pPr>
        <w:spacing w:after="0" w:line="197" w:lineRule="exact"/>
        <w:rPr>
          <w:rFonts w:ascii="Arial" w:cs="Arial" w:eastAsia="Arial" w:hAnsi="Arial"/>
          <w:sz w:val="22"/>
          <w:szCs w:val="22"/>
          <w:color w:val="auto"/>
        </w:rPr>
      </w:pPr>
    </w:p>
    <w:p>
      <w:pPr>
        <w:ind w:left="1500" w:right="239" w:hanging="643"/>
        <w:spacing w:after="0" w:line="259" w:lineRule="auto"/>
        <w:tabs>
          <w:tab w:leader="none" w:pos="150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 xml:space="preserve">If a </w:t>
      </w:r>
      <w:r>
        <w:rPr>
          <w:rFonts w:ascii="Arial" w:cs="Arial" w:eastAsia="Arial" w:hAnsi="Arial"/>
          <w:sz w:val="22"/>
          <w:szCs w:val="22"/>
          <w:u w:val="single" w:color="auto"/>
          <w:color w:val="auto"/>
        </w:rPr>
        <w:t>sale is proposed</w:t>
      </w:r>
      <w:r>
        <w:rPr>
          <w:rFonts w:ascii="Arial" w:cs="Arial" w:eastAsia="Arial" w:hAnsi="Arial"/>
          <w:sz w:val="22"/>
          <w:szCs w:val="22"/>
          <w:color w:val="auto"/>
        </w:rPr>
        <w:t xml:space="preserve"> by you or any member of your immediate family, make sure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3" w:right="1440" w:bottom="1440" w:gutter="0" w:footer="0" w:header="0"/>
        </w:sectPr>
      </w:pPr>
    </w:p>
    <w:bookmarkStart w:id="138" w:name="page139"/>
    <w:bookmarkEnd w:id="138"/>
    <w:p>
      <w:pPr>
        <w:jc w:val="both"/>
        <w:ind w:left="2160" w:right="239" w:hanging="655"/>
        <w:spacing w:after="0" w:line="245" w:lineRule="auto"/>
        <w:tabs>
          <w:tab w:leader="none" w:pos="2160" w:val="left"/>
        </w:tabs>
        <w:numPr>
          <w:ilvl w:val="2"/>
          <w:numId w:val="139"/>
        </w:numPr>
        <w:rPr>
          <w:rFonts w:ascii="Arial" w:cs="Arial" w:eastAsia="Arial" w:hAnsi="Arial"/>
          <w:sz w:val="22"/>
          <w:szCs w:val="22"/>
          <w:color w:val="auto"/>
        </w:rPr>
      </w:pPr>
      <w:r>
        <w:rPr>
          <w:rFonts w:ascii="Arial" w:cs="Arial" w:eastAsia="Arial" w:hAnsi="Arial"/>
          <w:sz w:val="22"/>
          <w:szCs w:val="22"/>
          <w:color w:val="auto"/>
        </w:rPr>
        <w:t>Neither you nor any member of your immediate family has made any purchases of the Company’s stock (or securities convertible into the Company’s stock) within the past 6 months; and</w:t>
      </w:r>
    </w:p>
    <w:p>
      <w:pPr>
        <w:spacing w:after="0" w:line="197" w:lineRule="exact"/>
        <w:rPr>
          <w:rFonts w:ascii="Arial" w:cs="Arial" w:eastAsia="Arial" w:hAnsi="Arial"/>
          <w:sz w:val="22"/>
          <w:szCs w:val="22"/>
          <w:color w:val="auto"/>
        </w:rPr>
      </w:pPr>
    </w:p>
    <w:p>
      <w:pPr>
        <w:ind w:left="2160" w:right="219" w:hanging="655"/>
        <w:spacing w:after="0" w:line="259" w:lineRule="auto"/>
        <w:tabs>
          <w:tab w:leader="none" w:pos="2160" w:val="left"/>
        </w:tabs>
        <w:numPr>
          <w:ilvl w:val="2"/>
          <w:numId w:val="139"/>
        </w:numPr>
        <w:rPr>
          <w:rFonts w:ascii="Arial" w:cs="Arial" w:eastAsia="Arial" w:hAnsi="Arial"/>
          <w:sz w:val="22"/>
          <w:szCs w:val="22"/>
          <w:color w:val="auto"/>
        </w:rPr>
      </w:pPr>
      <w:r>
        <w:rPr>
          <w:rFonts w:ascii="Arial" w:cs="Arial" w:eastAsia="Arial" w:hAnsi="Arial"/>
          <w:sz w:val="22"/>
          <w:szCs w:val="22"/>
          <w:color w:val="auto"/>
        </w:rPr>
        <w:t>No purchases by you or any member of your immediate family are anticipated within the next 6 months.</w:t>
      </w:r>
    </w:p>
    <w:p>
      <w:pPr>
        <w:spacing w:after="0" w:line="183" w:lineRule="exact"/>
        <w:rPr>
          <w:rFonts w:ascii="Arial" w:cs="Arial" w:eastAsia="Arial" w:hAnsi="Arial"/>
          <w:sz w:val="22"/>
          <w:szCs w:val="22"/>
          <w:color w:val="auto"/>
        </w:rPr>
      </w:pPr>
    </w:p>
    <w:p>
      <w:pPr>
        <w:ind w:left="1500" w:right="239" w:hanging="643"/>
        <w:spacing w:after="0" w:line="259" w:lineRule="auto"/>
        <w:tabs>
          <w:tab w:leader="none" w:pos="150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 xml:space="preserve">If a </w:t>
      </w:r>
      <w:r>
        <w:rPr>
          <w:rFonts w:ascii="Arial" w:cs="Arial" w:eastAsia="Arial" w:hAnsi="Arial"/>
          <w:sz w:val="22"/>
          <w:szCs w:val="22"/>
          <w:u w:val="single" w:color="auto"/>
          <w:color w:val="auto"/>
        </w:rPr>
        <w:t>purchase is proposed</w:t>
      </w:r>
      <w:r>
        <w:rPr>
          <w:rFonts w:ascii="Arial" w:cs="Arial" w:eastAsia="Arial" w:hAnsi="Arial"/>
          <w:sz w:val="22"/>
          <w:szCs w:val="22"/>
          <w:color w:val="auto"/>
        </w:rPr>
        <w:t xml:space="preserve"> by you or any member of your immediate family, make sure that:</w:t>
      </w:r>
    </w:p>
    <w:p>
      <w:pPr>
        <w:spacing w:after="0" w:line="183" w:lineRule="exact"/>
        <w:rPr>
          <w:rFonts w:ascii="Arial" w:cs="Arial" w:eastAsia="Arial" w:hAnsi="Arial"/>
          <w:sz w:val="22"/>
          <w:szCs w:val="22"/>
          <w:color w:val="auto"/>
        </w:rPr>
      </w:pPr>
    </w:p>
    <w:p>
      <w:pPr>
        <w:jc w:val="both"/>
        <w:ind w:left="2160" w:right="239" w:hanging="655"/>
        <w:spacing w:after="0" w:line="245" w:lineRule="auto"/>
        <w:tabs>
          <w:tab w:leader="none" w:pos="2160" w:val="left"/>
        </w:tabs>
        <w:numPr>
          <w:ilvl w:val="2"/>
          <w:numId w:val="140"/>
        </w:numPr>
        <w:rPr>
          <w:rFonts w:ascii="Arial" w:cs="Arial" w:eastAsia="Arial" w:hAnsi="Arial"/>
          <w:sz w:val="22"/>
          <w:szCs w:val="22"/>
          <w:color w:val="auto"/>
        </w:rPr>
      </w:pPr>
      <w:r>
        <w:rPr>
          <w:rFonts w:ascii="Arial" w:cs="Arial" w:eastAsia="Arial" w:hAnsi="Arial"/>
          <w:sz w:val="22"/>
          <w:szCs w:val="22"/>
          <w:color w:val="auto"/>
        </w:rPr>
        <w:t>Neither you nor any member of your immediate family has made any sales of the Company’s stock (or securities convertible into the Company’s stock) within the past 6 months; and</w:t>
      </w:r>
    </w:p>
    <w:p>
      <w:pPr>
        <w:spacing w:after="0" w:line="197" w:lineRule="exact"/>
        <w:rPr>
          <w:rFonts w:ascii="Arial" w:cs="Arial" w:eastAsia="Arial" w:hAnsi="Arial"/>
          <w:sz w:val="22"/>
          <w:szCs w:val="22"/>
          <w:color w:val="auto"/>
        </w:rPr>
      </w:pPr>
    </w:p>
    <w:p>
      <w:pPr>
        <w:ind w:left="2160" w:right="239" w:hanging="655"/>
        <w:spacing w:after="0" w:line="259" w:lineRule="auto"/>
        <w:tabs>
          <w:tab w:leader="none" w:pos="2160" w:val="left"/>
        </w:tabs>
        <w:numPr>
          <w:ilvl w:val="2"/>
          <w:numId w:val="140"/>
        </w:numPr>
        <w:rPr>
          <w:rFonts w:ascii="Arial" w:cs="Arial" w:eastAsia="Arial" w:hAnsi="Arial"/>
          <w:sz w:val="22"/>
          <w:szCs w:val="22"/>
          <w:color w:val="auto"/>
        </w:rPr>
      </w:pPr>
      <w:r>
        <w:rPr>
          <w:rFonts w:ascii="Arial" w:cs="Arial" w:eastAsia="Arial" w:hAnsi="Arial"/>
          <w:sz w:val="22"/>
          <w:szCs w:val="22"/>
          <w:color w:val="auto"/>
        </w:rPr>
        <w:t>No sales are anticipated or required to be made within the next 6 months by you or any member of your immediate family.</w:t>
      </w:r>
    </w:p>
    <w:p>
      <w:pPr>
        <w:spacing w:after="0" w:line="183" w:lineRule="exact"/>
        <w:rPr>
          <w:rFonts w:ascii="Arial" w:cs="Arial" w:eastAsia="Arial" w:hAnsi="Arial"/>
          <w:sz w:val="22"/>
          <w:szCs w:val="22"/>
          <w:color w:val="auto"/>
        </w:rPr>
      </w:pPr>
    </w:p>
    <w:p>
      <w:pPr>
        <w:jc w:val="both"/>
        <w:ind w:left="860" w:right="219" w:hanging="651"/>
        <w:spacing w:after="0" w:line="236" w:lineRule="auto"/>
        <w:tabs>
          <w:tab w:leader="none" w:pos="860"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Rule 144 – Selling Company Stock</w:t>
      </w:r>
      <w:r>
        <w:rPr>
          <w:rFonts w:ascii="Arial" w:cs="Arial" w:eastAsia="Arial" w:hAnsi="Arial"/>
          <w:sz w:val="22"/>
          <w:szCs w:val="22"/>
          <w:color w:val="auto"/>
        </w:rPr>
        <w:t>. In addition, Directors and executive officers must comply with the requirements of Rule 144 when selling any Company securities. This will include the preparation and filing of Form 144, which must be filed with the SEC electronically. Your broker should be able to assist you in complying with the Rule 144 requirements. If not, the Company may be able to assist you; however, the officer or director is the person legally responsible for compliance with this rule.</w:t>
      </w:r>
    </w:p>
    <w:p>
      <w:pPr>
        <w:spacing w:after="0" w:line="202" w:lineRule="exact"/>
        <w:rPr>
          <w:rFonts w:ascii="Arial" w:cs="Arial" w:eastAsia="Arial" w:hAnsi="Arial"/>
          <w:sz w:val="22"/>
          <w:szCs w:val="22"/>
          <w:color w:val="auto"/>
        </w:rPr>
      </w:pPr>
    </w:p>
    <w:p>
      <w:pPr>
        <w:jc w:val="both"/>
        <w:ind w:left="860" w:right="219" w:hanging="651"/>
        <w:spacing w:after="0" w:line="236" w:lineRule="auto"/>
        <w:tabs>
          <w:tab w:leader="none" w:pos="860"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Notice of Sale Transactions</w:t>
      </w:r>
      <w:r>
        <w:rPr>
          <w:rFonts w:ascii="Arial" w:cs="Arial" w:eastAsia="Arial" w:hAnsi="Arial"/>
          <w:sz w:val="22"/>
          <w:szCs w:val="22"/>
          <w:color w:val="auto"/>
        </w:rPr>
        <w:t>. Sales of Company stock by Executive Officers and Directors often attract the attention of market observers who may mischaracterize the intent or reason for the sale of Company stock. Accordingly, to enhance internal communications, a Monitor may inform the Company's CEO and/or CFO of certain sale transactions in advance of such transactions, as well as the reason the shares are being sold (if known).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Rule 10b5-1 Plans</w:t>
      </w:r>
    </w:p>
    <w:p>
      <w:pPr>
        <w:spacing w:after="0" w:line="235" w:lineRule="exact"/>
        <w:rPr>
          <w:sz w:val="20"/>
          <w:szCs w:val="20"/>
          <w:color w:val="auto"/>
        </w:rPr>
      </w:pPr>
    </w:p>
    <w:p>
      <w:pPr>
        <w:jc w:val="both"/>
        <w:ind w:left="860" w:right="239" w:hanging="651"/>
        <w:spacing w:after="0" w:line="236" w:lineRule="auto"/>
        <w:tabs>
          <w:tab w:leader="none" w:pos="860"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Policy</w:t>
      </w:r>
      <w:r>
        <w:rPr>
          <w:rFonts w:ascii="Arial" w:cs="Arial" w:eastAsia="Arial" w:hAnsi="Arial"/>
          <w:sz w:val="22"/>
          <w:szCs w:val="22"/>
          <w:color w:val="auto"/>
        </w:rPr>
        <w:t>. Rule 10b5-1 under the Securities Exchange Act of 1934 provides an affirmative defense against a claim of insider trading if an insider's trades are made pursuant to a written plan that was adopted in good faith at a time when the insider was not aware of Inside Information. A Rule 10b5-1 plan (“10b5-1Plan”) is intended to allow the shareholder to trade in the Company's securities, while preventing the holder exercising discretion over how, when or whether to trade once the plan is adopted.</w:t>
      </w:r>
    </w:p>
    <w:p>
      <w:pPr>
        <w:spacing w:after="0" w:line="202" w:lineRule="exact"/>
        <w:rPr>
          <w:rFonts w:ascii="Arial" w:cs="Arial" w:eastAsia="Arial" w:hAnsi="Arial"/>
          <w:sz w:val="22"/>
          <w:szCs w:val="22"/>
          <w:color w:val="auto"/>
        </w:rPr>
      </w:pPr>
    </w:p>
    <w:p>
      <w:pPr>
        <w:jc w:val="both"/>
        <w:ind w:left="860" w:right="219"/>
        <w:spacing w:after="0" w:line="238" w:lineRule="auto"/>
        <w:rPr>
          <w:rFonts w:ascii="Arial" w:cs="Arial" w:eastAsia="Arial" w:hAnsi="Arial"/>
          <w:sz w:val="22"/>
          <w:szCs w:val="22"/>
          <w:color w:val="auto"/>
        </w:rPr>
      </w:pPr>
      <w:r>
        <w:rPr>
          <w:rFonts w:ascii="Arial" w:cs="Arial" w:eastAsia="Arial" w:hAnsi="Arial"/>
          <w:sz w:val="22"/>
          <w:szCs w:val="22"/>
          <w:color w:val="auto"/>
        </w:rPr>
        <w:t>The Company's Directors and Designated Officers may make trades pursuant to a 10b5-1 Plan provided that (i) such plan meets the requirements of Rule 10b5-1, (ii) such plan was adopted at a time when the individual would otherwise have been able to trade under this Policy, and (iii) adoption of the plan was expressly authorized by a Monitor prior to entering into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3" w:right="1440" w:bottom="1440" w:gutter="0" w:footer="0" w:header="0"/>
        </w:sectPr>
      </w:pPr>
    </w:p>
    <w:bookmarkStart w:id="139" w:name="page140"/>
    <w:bookmarkEnd w:id="139"/>
    <w:p>
      <w:pPr>
        <w:jc w:val="both"/>
        <w:ind w:left="860" w:right="219"/>
        <w:spacing w:after="0" w:line="262" w:lineRule="auto"/>
        <w:rPr>
          <w:sz w:val="20"/>
          <w:szCs w:val="20"/>
          <w:color w:val="auto"/>
        </w:rPr>
      </w:pPr>
      <w:r>
        <w:rPr>
          <w:rFonts w:ascii="Arial" w:cs="Arial" w:eastAsia="Arial" w:hAnsi="Arial"/>
          <w:sz w:val="21"/>
          <w:szCs w:val="21"/>
          <w:color w:val="auto"/>
        </w:rPr>
        <w:t>Please be aware that a trade made pursuant to a 10b5-1 Plan must be reported on a Form 4 within 2 business days after the trade. As a result, trades made pursuant to 10b5-1 Plans must still be reported to a Monitor on the date of any such trade.</w:t>
      </w:r>
    </w:p>
    <w:p>
      <w:pPr>
        <w:spacing w:after="0" w:line="181" w:lineRule="exact"/>
        <w:rPr>
          <w:sz w:val="20"/>
          <w:szCs w:val="20"/>
          <w:color w:val="auto"/>
        </w:rPr>
      </w:pPr>
    </w:p>
    <w:p>
      <w:pPr>
        <w:ind w:left="860" w:hanging="651"/>
        <w:spacing w:after="0"/>
        <w:tabs>
          <w:tab w:leader="none" w:pos="860"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Restrictions on Use of 10b5-1 Plans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500" w:right="219" w:hanging="643"/>
        <w:spacing w:after="0" w:line="245" w:lineRule="auto"/>
        <w:tabs>
          <w:tab w:leader="none" w:pos="150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10b5-1 Plans may only be established during an open trading window and will require certification by the Director or Designated Officer that s/he is not in possession of Inside Information.</w:t>
      </w:r>
    </w:p>
    <w:p>
      <w:pPr>
        <w:spacing w:after="0" w:line="197" w:lineRule="exact"/>
        <w:rPr>
          <w:rFonts w:ascii="Arial" w:cs="Arial" w:eastAsia="Arial" w:hAnsi="Arial"/>
          <w:sz w:val="22"/>
          <w:szCs w:val="22"/>
          <w:color w:val="auto"/>
        </w:rPr>
      </w:pPr>
    </w:p>
    <w:p>
      <w:pPr>
        <w:jc w:val="both"/>
        <w:ind w:left="1500" w:right="239" w:hanging="643"/>
        <w:spacing w:after="0" w:line="245" w:lineRule="auto"/>
        <w:tabs>
          <w:tab w:leader="none" w:pos="150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All 10b5-1 Plans must set up a trading schedule in advance. 10b5-1 Plans must not include any provisions that delegate discretion to a broker on trading decisions.</w:t>
      </w:r>
    </w:p>
    <w:p>
      <w:pPr>
        <w:spacing w:after="0" w:line="197" w:lineRule="exact"/>
        <w:rPr>
          <w:rFonts w:ascii="Arial" w:cs="Arial" w:eastAsia="Arial" w:hAnsi="Arial"/>
          <w:sz w:val="22"/>
          <w:szCs w:val="22"/>
          <w:color w:val="auto"/>
        </w:rPr>
      </w:pPr>
    </w:p>
    <w:p>
      <w:pPr>
        <w:ind w:left="1500" w:right="219" w:hanging="643"/>
        <w:spacing w:after="0" w:line="259" w:lineRule="auto"/>
        <w:tabs>
          <w:tab w:leader="none" w:pos="150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The term of a 10b5-1 Plan must be a minimum of 6 months in duration, up to a maximum of 2 years.</w:t>
      </w:r>
    </w:p>
    <w:p>
      <w:pPr>
        <w:spacing w:after="0" w:line="183" w:lineRule="exact"/>
        <w:rPr>
          <w:rFonts w:ascii="Arial" w:cs="Arial" w:eastAsia="Arial" w:hAnsi="Arial"/>
          <w:sz w:val="22"/>
          <w:szCs w:val="22"/>
          <w:color w:val="auto"/>
        </w:rPr>
      </w:pPr>
    </w:p>
    <w:p>
      <w:pPr>
        <w:jc w:val="both"/>
        <w:ind w:left="1500" w:right="239" w:hanging="643"/>
        <w:spacing w:after="0"/>
        <w:tabs>
          <w:tab w:leader="none" w:pos="150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10b5-1 Plans may not be modified or suspended, other than during open trading windows. Additionally, any proposed change, suspension or termination of a plan is subject to prior review and approval by the Company's General Counsel.</w:t>
      </w:r>
    </w:p>
    <w:p>
      <w:pPr>
        <w:spacing w:after="0" w:line="203" w:lineRule="exact"/>
        <w:rPr>
          <w:rFonts w:ascii="Arial" w:cs="Arial" w:eastAsia="Arial" w:hAnsi="Arial"/>
          <w:sz w:val="22"/>
          <w:szCs w:val="22"/>
          <w:color w:val="auto"/>
        </w:rPr>
      </w:pPr>
    </w:p>
    <w:p>
      <w:pPr>
        <w:jc w:val="both"/>
        <w:ind w:left="1500" w:right="219" w:hanging="643"/>
        <w:spacing w:after="0" w:line="234" w:lineRule="auto"/>
        <w:tabs>
          <w:tab w:leader="none" w:pos="150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When establishing or amending a 10b5-1 Plan by the Director or Designated Officer, no purchases or sales may occur until expiration of a cooling-off period ending on the later of 90 days after the adoption or modification of the plan, and 2 business days following the disclosure of the Company's financial results on Form 10-Q or Form 10-K for the completed fiscal quarter in which the plan was adopted or modified; provided, however, that in no event shall the required cooling-off period exceed 120 days. If any employee of the Company other than a Designated Officer establishes or amends a 10b5-1 Plan, no purchases or sales may occur until the expiration of a cooling off-period ending at least 30 days after the adoption or modification of the plan.</w:t>
      </w:r>
    </w:p>
    <w:p>
      <w:pPr>
        <w:spacing w:after="0" w:line="202" w:lineRule="exact"/>
        <w:rPr>
          <w:rFonts w:ascii="Arial" w:cs="Arial" w:eastAsia="Arial" w:hAnsi="Arial"/>
          <w:sz w:val="22"/>
          <w:szCs w:val="22"/>
          <w:color w:val="auto"/>
        </w:rPr>
      </w:pPr>
    </w:p>
    <w:p>
      <w:pPr>
        <w:jc w:val="both"/>
        <w:ind w:left="1500" w:right="239" w:hanging="643"/>
        <w:spacing w:after="0" w:line="245" w:lineRule="auto"/>
        <w:tabs>
          <w:tab w:leader="none" w:pos="150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No individual may adopt more than one 10b5-1 Plan at a time, except as specifically permitted by Rule 10b5-1 and approved by the General Counsel.</w:t>
      </w:r>
    </w:p>
    <w:p>
      <w:pPr>
        <w:spacing w:after="0" w:line="197" w:lineRule="exact"/>
        <w:rPr>
          <w:rFonts w:ascii="Arial" w:cs="Arial" w:eastAsia="Arial" w:hAnsi="Arial"/>
          <w:sz w:val="22"/>
          <w:szCs w:val="22"/>
          <w:color w:val="auto"/>
        </w:rPr>
      </w:pPr>
    </w:p>
    <w:p>
      <w:pPr>
        <w:jc w:val="both"/>
        <w:ind w:left="1500" w:right="239" w:hanging="643"/>
        <w:spacing w:after="0" w:line="245" w:lineRule="auto"/>
        <w:tabs>
          <w:tab w:leader="none" w:pos="150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No 10b5-1 Plan may be adopted, except as specifically permitted by 10b5-1, unless it meets the 12 month limitation on single transaction plans set forth in 10b5-1.</w:t>
      </w:r>
    </w:p>
    <w:p>
      <w:pPr>
        <w:spacing w:after="0" w:line="197" w:lineRule="exact"/>
        <w:rPr>
          <w:rFonts w:ascii="Arial" w:cs="Arial" w:eastAsia="Arial" w:hAnsi="Arial"/>
          <w:sz w:val="22"/>
          <w:szCs w:val="22"/>
          <w:color w:val="auto"/>
        </w:rPr>
      </w:pPr>
    </w:p>
    <w:p>
      <w:pPr>
        <w:jc w:val="both"/>
        <w:ind w:left="1500" w:right="239" w:hanging="643"/>
        <w:spacing w:after="0" w:line="245" w:lineRule="auto"/>
        <w:tabs>
          <w:tab w:leader="none" w:pos="150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For 10b5-1 Plans providing for sale of the Company's securities, a Form 144 must be electronically filed with the SEC at the time the 10b5-1 Plan is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793750</wp:posOffset>
            </wp:positionV>
            <wp:extent cx="545211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3" w:right="1440" w:bottom="1440" w:gutter="0" w:footer="0" w:header="0"/>
        </w:sectPr>
      </w:pPr>
    </w:p>
    <w:bookmarkStart w:id="140" w:name="page141"/>
    <w:bookmarkEnd w:id="140"/>
    <w:p>
      <w:pPr>
        <w:ind w:left="200"/>
        <w:spacing w:after="0"/>
        <w:rPr>
          <w:sz w:val="20"/>
          <w:szCs w:val="20"/>
          <w:color w:val="auto"/>
        </w:rPr>
      </w:pPr>
      <w:r>
        <w:rPr>
          <w:rFonts w:ascii="Arial" w:cs="Arial" w:eastAsia="Arial" w:hAnsi="Arial"/>
          <w:sz w:val="21"/>
          <w:szCs w:val="21"/>
          <w:color w:val="auto"/>
        </w:rPr>
        <w:t>Approved – October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360680</wp:posOffset>
            </wp:positionV>
            <wp:extent cx="545211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3" w:right="1440" w:bottom="1440" w:gutter="0" w:footer="0" w:header="0"/>
        </w:sectPr>
      </w:pPr>
    </w:p>
    <w:bookmarkStart w:id="141" w:name="page142"/>
    <w:bookmarkEnd w:id="141"/>
    <w:tbl>
      <w:tblPr>
        <w:tblLayout w:type="fixed"/>
        <w:tblInd w:w="40" w:type="dxa"/>
        <w:tblCellMar>
          <w:top w:w="0" w:type="dxa"/>
          <w:left w:w="0" w:type="dxa"/>
          <w:bottom w:w="0" w:type="dxa"/>
          <w:right w:w="0" w:type="dxa"/>
        </w:tblCellMar>
      </w:tblPr>
      <w:tr>
        <w:trPr>
          <w:trHeight w:val="253"/>
        </w:trPr>
        <w:tc>
          <w:tcPr>
            <w:tcW w:w="1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580" w:type="dxa"/>
            <w:vAlign w:val="bottom"/>
            <w:gridSpan w:val="3"/>
          </w:tcPr>
          <w:p>
            <w:pPr>
              <w:ind w:left="780"/>
              <w:spacing w:after="0"/>
              <w:rPr>
                <w:sz w:val="20"/>
                <w:szCs w:val="20"/>
                <w:color w:val="auto"/>
              </w:rPr>
            </w:pPr>
            <w:r>
              <w:rPr>
                <w:rFonts w:ascii="Times New Roman" w:cs="Times New Roman" w:eastAsia="Times New Roman" w:hAnsi="Times New Roman"/>
                <w:sz w:val="22"/>
                <w:szCs w:val="22"/>
                <w:b w:val="1"/>
                <w:bCs w:val="1"/>
                <w:color w:val="auto"/>
              </w:rPr>
              <w:t>EXHIBIT 21</w:t>
            </w:r>
          </w:p>
        </w:tc>
      </w:tr>
      <w:tr>
        <w:trPr>
          <w:trHeight w:val="198"/>
        </w:trPr>
        <w:tc>
          <w:tcPr>
            <w:tcW w:w="7960" w:type="dxa"/>
            <w:vAlign w:val="bottom"/>
            <w:gridSpan w:val="5"/>
          </w:tcPr>
          <w:p>
            <w:pPr>
              <w:ind w:left="1980"/>
              <w:spacing w:after="0" w:line="198" w:lineRule="exact"/>
              <w:rPr>
                <w:sz w:val="20"/>
                <w:szCs w:val="20"/>
                <w:color w:val="auto"/>
              </w:rPr>
            </w:pPr>
            <w:r>
              <w:rPr>
                <w:rFonts w:ascii="Times New Roman" w:cs="Times New Roman" w:eastAsia="Times New Roman" w:hAnsi="Times New Roman"/>
                <w:sz w:val="18"/>
                <w:szCs w:val="18"/>
                <w:b w:val="1"/>
                <w:bCs w:val="1"/>
                <w:color w:val="auto"/>
              </w:rPr>
              <w:t>LIST OF REGISTRANT'S SUBSIDIARIES AND AFFILIATES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50"/>
        </w:trPr>
        <w:tc>
          <w:tcPr>
            <w:tcW w:w="198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2940" w:type="dxa"/>
            <w:vAlign w:val="bottom"/>
            <w:tcBorders>
              <w:top w:val="single" w:sz="8" w:color="auto"/>
            </w:tcBorders>
          </w:tcPr>
          <w:p>
            <w:pPr>
              <w:spacing w:after="0"/>
              <w:rPr>
                <w:sz w:val="21"/>
                <w:szCs w:val="21"/>
                <w:color w:val="auto"/>
              </w:rPr>
            </w:pPr>
          </w:p>
        </w:tc>
        <w:tc>
          <w:tcPr>
            <w:tcW w:w="1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11032 Tidewater Trail, LLC</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Delaware</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Elizabeth City,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1955 Brokerage, LLC</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Michigan</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Empaques, S. de R.L. de C.V.</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Mexico</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234 Springs Rd., LLC</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Delaware</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Factory Built,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2875 Needmore Rd. LLC</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Delaware</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Financial Services, Inc.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621 Hall St., LLC</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Delaware</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Franklinton,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 Mfg. S. de R.L. de C.V.</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Mexico</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Gear,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Advantage Label &amp; Packaging, Inc.</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Michigan</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Global Holdings Limited</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Aljoma Holding Company, LLC</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Michigan</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Grandview,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Ardellis Insurance Ltd.</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Bermuda</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Granger,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Deckorators, Inc.</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Michigan</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Haleyville,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Dempsey Wood Products, LLC</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Michigan</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Hamilton,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Eovations, LLC</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Michigan</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Hampton Holding Company,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Ficus Pax Pvt Ltd</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India</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Harrisonville,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Forestal Universal SA de CV</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Mexico</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Hillsboro,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Idaho Western, Inc.</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Idaho</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Industries, Inc.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idX (China) Display System Co. Ltd.</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International Employment Services,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idX (India) Display Private Ltd.</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India</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International,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idX Amsterdam B.V.</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Netherlands</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Janesville,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idX Asia Fixtures Limited</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Lansing,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idX Asia Trading Ltd</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Londonderry,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idX Corporation</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Delaware</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Magna,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idX Corporation London Limited</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Kingdom</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McMinnville,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idX Display System (Shanghai) Co. Ltd.</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Mexico Embalaje y Distribution S. de R.L. de C.V.</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Mexico</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idX Mexico S. de R.L. de C.V.</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Mexico</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Middle East Packaging FZE</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United Arab Emirates</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Innov8 Fund I, LLC</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Michigan</w:t>
            </w:r>
          </w:p>
        </w:tc>
        <w:tc>
          <w:tcPr>
            <w:tcW w:w="55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Middle East Wood Trading- Sole Proprietorship L.L.C.United Arab Emirates</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Job Service Middle East, LLC</w:t>
            </w:r>
          </w:p>
        </w:tc>
        <w:tc>
          <w:tcPr>
            <w:tcW w:w="5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United Arab EmiratesUFP Milwaukee,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Landura, LLC</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Texas</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Minneota,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Norpal S. de R.L. de C.V.</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Mexico</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Morristown,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Atlantic Framing, LLC</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Michigan</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Moultrie,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P1 Catawba Development Company, LLCNorth Carolina</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NAC,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PalletOne Manufacturing of Texas, LLC</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Delaware</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New London,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PalletOne of Florida, Inc.</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Florida</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New Waverly,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PalletOne of Indiana Transportation, LLC Indiana</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Orlando,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PalletOne of NE Texas, LP</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Texas</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Packaging,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PalletOne of Texas Holdings, Inc.</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Delaware</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Palets y Embalajes, S.L.</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Spain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PalletOne, Inc.</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Delaware</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Palm Beach,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Formulation Solutions, LLC Illinois</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Protective Packaging,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Pinelli Universal Chile S.A.</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Mexico</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Purchasing, Inc.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Pinelli Universal S. de R.L. de C.V.</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Mexico</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Rancho Cucamonga,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Pinelli Universal TKT S. de R.L. de C.V.</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Mexico</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Ranson,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 Distribution, LLC</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Puerto Rico</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Real Estate,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Prowood, LLC</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Michigan</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Retail,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Shawnlee Construction, LLC</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Michigan</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Riverside,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Shepardville Construction, LLC</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Michigan</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RMS,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SunOne Logistics, LLC</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Georgia</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Rockingham,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SunOne Transport, LLC</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Alabama</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Rockwell,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UBEECO Group Pty Ltd</w:t>
            </w: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Australia</w:t>
            </w: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Saginaw, LLC</w:t>
            </w:r>
          </w:p>
        </w:tc>
        <w:tc>
          <w:tcPr>
            <w:tcW w:w="1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210"/>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Tresstar, LLC</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Michigan</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UFP Salisbury,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Michigan</w:t>
            </w:r>
          </w:p>
        </w:tc>
      </w:tr>
      <w:tr>
        <w:trPr>
          <w:trHeight w:val="553"/>
        </w:trPr>
        <w:tc>
          <w:tcPr>
            <w:tcW w:w="1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9560"/>
          </w:cols>
          <w:pgMar w:left="1440" w:top="107" w:right="899" w:bottom="1440" w:gutter="0" w:footer="0" w:header="0"/>
        </w:sectPr>
      </w:pPr>
    </w:p>
    <w:bookmarkStart w:id="142" w:name="page143"/>
    <w:bookmarkEnd w:id="14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Triangle Systems, Inc.</w:t>
            </w: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New York</w:t>
            </w:r>
          </w:p>
        </w:tc>
        <w:tc>
          <w:tcPr>
            <w:tcW w:w="3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UFP Schertz, LLC</w:t>
            </w:r>
          </w:p>
        </w:tc>
        <w:tc>
          <w:tcPr>
            <w:tcW w:w="1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U.F.P. Mexico Holdings S. de R.L. de C.V.Mexico</w:t>
            </w:r>
          </w:p>
        </w:tc>
        <w:tc>
          <w:tcPr>
            <w:tcW w:w="3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UFP Site Built, LLC</w:t>
            </w:r>
          </w:p>
        </w:tc>
        <w:tc>
          <w:tcPr>
            <w:tcW w:w="1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Ashburn, LLC</w:t>
            </w: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UFP Structural Packaging, LLC</w:t>
            </w:r>
          </w:p>
        </w:tc>
        <w:tc>
          <w:tcPr>
            <w:tcW w:w="1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UFP Atlantic Division, LLC</w:t>
            </w: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UFP Tampa, LLC</w:t>
            </w:r>
          </w:p>
        </w:tc>
        <w:tc>
          <w:tcPr>
            <w:tcW w:w="1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Auburndale, LLC</w:t>
            </w: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UFP Thomaston, LLC</w:t>
            </w:r>
          </w:p>
        </w:tc>
        <w:tc>
          <w:tcPr>
            <w:tcW w:w="1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UFP Australia Pty Ltd</w:t>
            </w: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Australia</w:t>
            </w:r>
          </w:p>
        </w:tc>
        <w:tc>
          <w:tcPr>
            <w:tcW w:w="3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UFP Thornton, LLC</w:t>
            </w:r>
          </w:p>
        </w:tc>
        <w:tc>
          <w:tcPr>
            <w:tcW w:w="1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Australia Real Estate Pty Ltd</w:t>
            </w: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Australia</w:t>
            </w:r>
          </w:p>
        </w:tc>
        <w:tc>
          <w:tcPr>
            <w:tcW w:w="3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UFP Transportation, Inc.</w:t>
            </w:r>
          </w:p>
        </w:tc>
        <w:tc>
          <w:tcPr>
            <w:tcW w:w="1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UFP Belchertown, LLC</w:t>
            </w: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UFP Union City, LLC</w:t>
            </w:r>
          </w:p>
        </w:tc>
        <w:tc>
          <w:tcPr>
            <w:tcW w:w="1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Berlin, LLC</w:t>
            </w: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UFP Ventures II, Inc.</w:t>
            </w:r>
          </w:p>
        </w:tc>
        <w:tc>
          <w:tcPr>
            <w:tcW w:w="1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UFP Blanchester, LLC</w:t>
            </w: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UFP Warranty Corporation</w:t>
            </w:r>
          </w:p>
        </w:tc>
        <w:tc>
          <w:tcPr>
            <w:tcW w:w="1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Burnsville, LLC</w:t>
            </w: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UFP Warrens, LLC</w:t>
            </w:r>
          </w:p>
        </w:tc>
        <w:tc>
          <w:tcPr>
            <w:tcW w:w="1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UFP Canada, Inc.</w:t>
            </w: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Canada</w:t>
            </w:r>
          </w:p>
        </w:tc>
        <w:tc>
          <w:tcPr>
            <w:tcW w:w="3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UFP Washington, LLC</w:t>
            </w:r>
          </w:p>
        </w:tc>
        <w:tc>
          <w:tcPr>
            <w:tcW w:w="1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Chandler, LLC</w:t>
            </w: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UFP Western Division, Inc.</w:t>
            </w:r>
          </w:p>
        </w:tc>
        <w:tc>
          <w:tcPr>
            <w:tcW w:w="1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UFP Chicago, LLC</w:t>
            </w: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UFP White Bear Lake, LLC</w:t>
            </w:r>
          </w:p>
        </w:tc>
        <w:tc>
          <w:tcPr>
            <w:tcW w:w="1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Concrete Forming Solutions, Inc.</w:t>
            </w: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UFP Windsor, LLC</w:t>
            </w:r>
          </w:p>
        </w:tc>
        <w:tc>
          <w:tcPr>
            <w:tcW w:w="1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UFP Construction, LLC</w:t>
            </w: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UFP Woodburn, LLC</w:t>
            </w:r>
          </w:p>
        </w:tc>
        <w:tc>
          <w:tcPr>
            <w:tcW w:w="1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Corrugated, LLC</w:t>
            </w: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Ultra Aluminum Manufacturing, Inc.</w:t>
            </w:r>
          </w:p>
        </w:tc>
        <w:tc>
          <w:tcPr>
            <w:tcW w:w="1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UFP Craft and Hobby, LLC</w:t>
            </w: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United Lumber &amp; Reman, LLC</w:t>
            </w:r>
          </w:p>
        </w:tc>
        <w:tc>
          <w:tcPr>
            <w:tcW w:w="1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Alabama</w:t>
            </w:r>
          </w:p>
        </w:tc>
        <w:tc>
          <w:tcPr>
            <w:tcW w:w="920" w:type="dxa"/>
            <w:vAlign w:val="bottom"/>
          </w:tcPr>
          <w:p>
            <w:pPr>
              <w:spacing w:after="0"/>
              <w:rPr>
                <w:sz w:val="17"/>
                <w:szCs w:val="17"/>
                <w:color w:val="auto"/>
              </w:rPr>
            </w:pPr>
          </w:p>
        </w:tc>
      </w:tr>
      <w:tr>
        <w:trPr>
          <w:trHeight w:val="20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Dallas, LLC</w:t>
            </w: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4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Universal Forest Products de Mexico S.A. de C.V. Mexico</w:t>
            </w:r>
          </w:p>
        </w:tc>
        <w:tc>
          <w:tcPr>
            <w:tcW w:w="920" w:type="dxa"/>
            <w:vAlign w:val="bottom"/>
          </w:tcPr>
          <w:p>
            <w:pPr>
              <w:spacing w:after="0"/>
              <w:rPr>
                <w:sz w:val="17"/>
                <w:szCs w:val="17"/>
                <w:color w:val="auto"/>
              </w:rPr>
            </w:pP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UFP Distribution, LLC</w:t>
            </w: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Universal Forest Products Texas, LLC</w:t>
            </w:r>
          </w:p>
        </w:tc>
        <w:tc>
          <w:tcPr>
            <w:tcW w:w="1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Eastern Division, Inc.</w:t>
            </w: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Universal Showcase ULC</w:t>
            </w:r>
          </w:p>
        </w:tc>
        <w:tc>
          <w:tcPr>
            <w:tcW w:w="1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Canada</w:t>
            </w:r>
          </w:p>
        </w:tc>
        <w:tc>
          <w:tcPr>
            <w:tcW w:w="920" w:type="dxa"/>
            <w:vAlign w:val="bottom"/>
          </w:tcPr>
          <w:p>
            <w:pPr>
              <w:spacing w:after="0"/>
              <w:rPr>
                <w:sz w:val="17"/>
                <w:szCs w:val="17"/>
                <w:color w:val="auto"/>
              </w:rPr>
            </w:pP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UFP Eatonton, LLC</w:t>
            </w: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Wadpack Pvt. Ltd</w:t>
            </w:r>
          </w:p>
        </w:tc>
        <w:tc>
          <w:tcPr>
            <w:tcW w:w="1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India</w:t>
            </w:r>
          </w:p>
        </w:tc>
        <w:tc>
          <w:tcPr>
            <w:tcW w:w="920" w:type="dxa"/>
            <w:vAlign w:val="bottom"/>
          </w:tcPr>
          <w:p>
            <w:pPr>
              <w:spacing w:after="0"/>
              <w:rPr>
                <w:sz w:val="17"/>
                <w:szCs w:val="17"/>
                <w:color w:val="auto"/>
              </w:rPr>
            </w:pPr>
          </w:p>
        </w:tc>
      </w:tr>
      <w:tr>
        <w:trPr>
          <w:trHeight w:val="20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Edge, LLC</w:t>
            </w: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c>
          <w:tcPr>
            <w:tcW w:w="3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Yard &amp; Home, LLC</w:t>
            </w:r>
          </w:p>
        </w:tc>
        <w:tc>
          <w:tcPr>
            <w:tcW w:w="1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777"/>
        </w:trPr>
        <w:tc>
          <w:tcPr>
            <w:tcW w:w="2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0" w:right="1440" w:bottom="1440" w:gutter="0" w:footer="0" w:header="0"/>
        </w:sectPr>
      </w:pPr>
    </w:p>
    <w:bookmarkStart w:id="143" w:name="page144"/>
    <w:bookmarkEnd w:id="14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333-60630, 333-150345, 333-156596, 333-84632, 333-255902 and 333-274461 on Form S-8 of our reports dated February 26, 2025, relating to the consolidated financial statements of UFP Industries, Inc. and subsidiaries (the “Company”), and the effectiveness of the Company’s internal control over financial reporting appearing in this Annual Report on Form 10-K for the year ended December 28, 2024.</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660400</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4" w:name="page145"/>
    <w:bookmarkEnd w:id="14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William D. Schwartz, Jr., certify that:</w:t>
      </w:r>
    </w:p>
    <w:p>
      <w:pPr>
        <w:spacing w:after="0" w:line="171" w:lineRule="exact"/>
        <w:rPr>
          <w:sz w:val="20"/>
          <w:szCs w:val="20"/>
          <w:color w:val="auto"/>
        </w:rPr>
      </w:pPr>
    </w:p>
    <w:p>
      <w:pPr>
        <w:ind w:left="680" w:hanging="630"/>
        <w:spacing w:after="0"/>
        <w:tabs>
          <w:tab w:leader="none" w:pos="6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UFP Industries, Inc.;</w:t>
      </w:r>
    </w:p>
    <w:p>
      <w:pPr>
        <w:spacing w:after="0" w:line="171"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68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68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700" w:right="239" w:hanging="650"/>
        <w:spacing w:after="0" w:line="266" w:lineRule="auto"/>
        <w:tabs>
          <w:tab w:leader="none" w:pos="67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40" w:right="79" w:hanging="642"/>
        <w:spacing w:after="0" w:line="261" w:lineRule="auto"/>
        <w:tabs>
          <w:tab w:leader="none" w:pos="131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Times New Roman" w:cs="Times New Roman" w:eastAsia="Times New Roman" w:hAnsi="Times New Roman"/>
          <w:sz w:val="18"/>
          <w:szCs w:val="18"/>
          <w:color w:val="auto"/>
        </w:rPr>
      </w:pPr>
    </w:p>
    <w:p>
      <w:pPr>
        <w:ind w:left="1340" w:right="199" w:hanging="642"/>
        <w:spacing w:after="0" w:line="261" w:lineRule="auto"/>
        <w:tabs>
          <w:tab w:leader="none" w:pos="132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1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40" w:right="139" w:hanging="642"/>
        <w:spacing w:after="0" w:line="261" w:lineRule="auto"/>
        <w:tabs>
          <w:tab w:leader="none" w:pos="132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jc w:val="both"/>
        <w:ind w:left="700" w:right="559" w:hanging="650"/>
        <w:spacing w:after="0" w:line="266" w:lineRule="auto"/>
        <w:tabs>
          <w:tab w:leader="none" w:pos="67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40" w:right="359" w:hanging="642"/>
        <w:spacing w:after="0" w:line="266" w:lineRule="auto"/>
        <w:tabs>
          <w:tab w:leader="none" w:pos="130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40" w:right="119" w:hanging="642"/>
        <w:spacing w:after="0" w:line="282" w:lineRule="auto"/>
        <w:tabs>
          <w:tab w:leader="none" w:pos="131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2025</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D. Schwartz, Jr.</w:t>
            </w:r>
          </w:p>
        </w:tc>
      </w:tr>
      <w:tr>
        <w:trPr>
          <w:trHeight w:val="191"/>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70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3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D. Schwartz, Jr.</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92"/>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45" w:name="page146"/>
    <w:bookmarkEnd w:id="14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185" w:lineRule="exact"/>
        <w:rPr>
          <w:sz w:val="20"/>
          <w:szCs w:val="20"/>
          <w:color w:val="auto"/>
        </w:rPr>
      </w:pPr>
    </w:p>
    <w:p>
      <w:pPr>
        <w:ind w:left="680" w:hanging="630"/>
        <w:spacing w:after="0"/>
        <w:tabs>
          <w:tab w:leader="none" w:pos="6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UFP Industries, Inc.;</w:t>
      </w:r>
    </w:p>
    <w:p>
      <w:pPr>
        <w:spacing w:after="0" w:line="198"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68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68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39" w:hanging="650"/>
        <w:spacing w:after="0" w:line="266" w:lineRule="auto"/>
        <w:tabs>
          <w:tab w:leader="none" w:pos="67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40" w:right="79" w:hanging="642"/>
        <w:spacing w:after="0" w:line="261" w:lineRule="auto"/>
        <w:tabs>
          <w:tab w:leader="none" w:pos="131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40" w:right="199" w:hanging="642"/>
        <w:spacing w:after="0" w:line="261" w:lineRule="auto"/>
        <w:tabs>
          <w:tab w:leader="none" w:pos="132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1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340" w:right="139" w:hanging="642"/>
        <w:spacing w:after="0" w:line="261" w:lineRule="auto"/>
        <w:tabs>
          <w:tab w:leader="none" w:pos="132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jc w:val="both"/>
        <w:ind w:left="700" w:right="559" w:hanging="650"/>
        <w:spacing w:after="0" w:line="266" w:lineRule="auto"/>
        <w:tabs>
          <w:tab w:leader="none" w:pos="67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40" w:right="359" w:hanging="642"/>
        <w:spacing w:after="0" w:line="266" w:lineRule="auto"/>
        <w:tabs>
          <w:tab w:leader="none" w:pos="130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340" w:right="119" w:hanging="642"/>
        <w:spacing w:after="0" w:line="282" w:lineRule="auto"/>
        <w:tabs>
          <w:tab w:leader="none" w:pos="131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2025</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191"/>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1019"/>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6" w:name="page147"/>
    <w:bookmarkEnd w:id="14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 William D. Schwartz, Jr., Chief Executive Officer of UFP Industries, Inc., certify, to the best of my knowledge and belief, pursuant to Section 906 of the Sarbanes-Oxley Act of 2002 (18 U.S.C. 1350) that:</w:t>
      </w:r>
    </w:p>
    <w:p>
      <w:pPr>
        <w:spacing w:after="0" w:line="162" w:lineRule="exact"/>
        <w:rPr>
          <w:sz w:val="20"/>
          <w:szCs w:val="20"/>
          <w:color w:val="auto"/>
        </w:rPr>
      </w:pPr>
    </w:p>
    <w:p>
      <w:pPr>
        <w:ind w:left="60" w:right="79" w:firstLine="638"/>
        <w:spacing w:after="0" w:line="282" w:lineRule="auto"/>
        <w:tabs>
          <w:tab w:leader="none" w:pos="132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on Form 10-K for the year ended December 28, 2024, which this statement accompanies, fully complies with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42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on Form 10-K for the period ended December 28, 2024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43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26, 2025</w:t>
            </w:r>
          </w:p>
        </w:tc>
        <w:tc>
          <w:tcPr>
            <w:tcW w:w="4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By: /s/ William D. Schwartz, Jr.</w:t>
            </w:r>
          </w:p>
        </w:tc>
      </w:tr>
      <w:tr>
        <w:trPr>
          <w:trHeight w:val="191"/>
        </w:trPr>
        <w:tc>
          <w:tcPr>
            <w:tcW w:w="580" w:type="dxa"/>
            <w:vAlign w:val="bottom"/>
          </w:tcPr>
          <w:p>
            <w:pPr>
              <w:spacing w:after="0"/>
              <w:rPr>
                <w:sz w:val="16"/>
                <w:szCs w:val="16"/>
                <w:color w:val="auto"/>
              </w:rPr>
            </w:pPr>
          </w:p>
        </w:tc>
        <w:tc>
          <w:tcPr>
            <w:tcW w:w="348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3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D. Schwartz, Jr.</w:t>
            </w:r>
          </w:p>
        </w:tc>
      </w:tr>
      <w:tr>
        <w:trPr>
          <w:trHeight w:val="216"/>
        </w:trPr>
        <w:tc>
          <w:tcPr>
            <w:tcW w:w="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Its:  Chief Executive Officer and</w:t>
            </w:r>
          </w:p>
        </w:tc>
      </w:tr>
      <w:tr>
        <w:trPr>
          <w:trHeight w:val="234"/>
        </w:trPr>
        <w:tc>
          <w:tcPr>
            <w:tcW w:w="5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7" w:name="page148"/>
    <w:bookmarkEnd w:id="14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UFP Industries, Inc., certify, to the best of my knowledge and belief, pursuant to Section 906 of the Sarbanes-Oxley Act of 2002 (18 U.S.C. 1350) that:</w:t>
      </w:r>
    </w:p>
    <w:p>
      <w:pPr>
        <w:spacing w:after="0" w:line="162" w:lineRule="exact"/>
        <w:rPr>
          <w:sz w:val="20"/>
          <w:szCs w:val="20"/>
          <w:color w:val="auto"/>
        </w:rPr>
      </w:pPr>
    </w:p>
    <w:p>
      <w:pPr>
        <w:ind w:left="60" w:right="59" w:firstLine="638"/>
        <w:spacing w:after="0" w:line="282" w:lineRule="auto"/>
        <w:tabs>
          <w:tab w:leader="none" w:pos="142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on Form 10-K for the period ended December 28, 2024, which this statement accompanies, fully complies with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42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on Form 10-K for the period ended December 28, 2024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8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432"/>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26, 2025</w:t>
            </w:r>
          </w:p>
        </w:tc>
        <w:tc>
          <w:tcPr>
            <w:tcW w:w="48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191"/>
        </w:trPr>
        <w:tc>
          <w:tcPr>
            <w:tcW w:w="480" w:type="dxa"/>
            <w:vAlign w:val="bottom"/>
          </w:tcPr>
          <w:p>
            <w:pPr>
              <w:spacing w:after="0"/>
              <w:rPr>
                <w:sz w:val="16"/>
                <w:szCs w:val="16"/>
                <w:color w:val="auto"/>
              </w:rPr>
            </w:pPr>
          </w:p>
        </w:tc>
        <w:tc>
          <w:tcPr>
            <w:tcW w:w="356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3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16"/>
        </w:trPr>
        <w:tc>
          <w:tcPr>
            <w:tcW w:w="4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8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Its: Chief Financial Officer,</w:t>
            </w:r>
          </w:p>
        </w:tc>
      </w:tr>
      <w:tr>
        <w:trPr>
          <w:trHeight w:val="216"/>
        </w:trPr>
        <w:tc>
          <w:tcPr>
            <w:tcW w:w="4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1."/>
      <w:numFmt w:val="decimal"/>
      <w:start w:val="1"/>
    </w:lvl>
  </w:abstractNum>
  <w:abstractNum w:abstractNumId="3">
    <w:nsid w:val="51D9C564"/>
    <w:multiLevelType w:val="hybridMultilevel"/>
    <w:lvl w:ilvl="0">
      <w:lvlJc w:val="left"/>
      <w:lvlText w:val="%1."/>
      <w:numFmt w:val="decimal"/>
      <w:start w:val="2"/>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1)"/>
      <w:numFmt w:val="lowerLetter"/>
      <w:start w:val="1"/>
    </w:lvl>
  </w:abstractNum>
  <w:abstractNum w:abstractNumId="7">
    <w:nsid w:val="42963E5A"/>
    <w:multiLevelType w:val="hybridMultilevel"/>
    <w:lvl w:ilvl="0">
      <w:lvlJc w:val="left"/>
      <w:lvlText w:val="(%1)"/>
      <w:numFmt w:val="lowerLetter"/>
      <w:start w:val="2"/>
    </w:lvl>
  </w:abstractNum>
  <w:abstractNum w:abstractNumId="8">
    <w:nsid w:val="A0382C5"/>
    <w:multiLevelType w:val="hybridMultilevel"/>
    <w:lvl w:ilvl="0">
      <w:lvlJc w:val="left"/>
      <w:lvlText w:val="(%1)"/>
      <w:numFmt w:val="decimal"/>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lvl w:ilvl="1">
      <w:lvlJc w:val="left"/>
      <w:lvlText w:val="●"/>
      <w:numFmt w:val="bullet"/>
      <w:start w:val="1"/>
    </w:lvl>
  </w:abstractNum>
  <w:abstractNum w:abstractNumId="15">
    <w:nsid w:val="6A5EE64"/>
    <w:multiLevelType w:val="hybridMultilevel"/>
    <w:lvl w:ilvl="0">
      <w:lvlJc w:val="left"/>
      <w:lvlText w:val="●"/>
      <w:numFmt w:val="bullet"/>
      <w:start w:val="1"/>
    </w:lvl>
    <w:lvl w:ilvl="1">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lvl w:ilvl="1">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1."/>
      <w:numFmt w:val="upperLetter"/>
      <w:start w:val="1"/>
    </w:lvl>
  </w:abstractNum>
  <w:abstractNum w:abstractNumId="30">
    <w:nsid w:val="3222E7CD"/>
    <w:multiLevelType w:val="hybridMultilevel"/>
    <w:lvl w:ilvl="0">
      <w:lvlJc w:val="left"/>
      <w:lvlText w:val="(%1)"/>
      <w:numFmt w:val="lowerRoman"/>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1."/>
      <w:numFmt w:val="upperLetter"/>
      <w:start w:val="2"/>
    </w:lvl>
  </w:abstractNum>
  <w:abstractNum w:abstractNumId="34">
    <w:nsid w:val="46B7D447"/>
    <w:multiLevelType w:val="hybridMultilevel"/>
    <w:lvl w:ilvl="0">
      <w:lvlJc w:val="left"/>
      <w:lvlText w:val="%1."/>
      <w:numFmt w:val="upperLetter"/>
      <w:start w:val="3"/>
    </w:lvl>
  </w:abstractNum>
  <w:abstractNum w:abstractNumId="35">
    <w:nsid w:val="4A2AC315"/>
    <w:multiLevelType w:val="hybridMultilevel"/>
    <w:lvl w:ilvl="0">
      <w:lvlJc w:val="left"/>
      <w:lvlText w:val="%1."/>
      <w:numFmt w:val="upperLetter"/>
      <w:start w:val="4"/>
    </w:lvl>
  </w:abstractNum>
  <w:abstractNum w:abstractNumId="36">
    <w:nsid w:val="39EE015C"/>
    <w:multiLevelType w:val="hybridMultilevel"/>
    <w:lvl w:ilvl="0">
      <w:lvlJc w:val="left"/>
      <w:lvlText w:val="%1."/>
      <w:numFmt w:val="upperLetter"/>
      <w:start w:val="5"/>
    </w:lvl>
  </w:abstractNum>
  <w:abstractNum w:abstractNumId="37">
    <w:nsid w:val="57FC4FBB"/>
    <w:multiLevelType w:val="hybridMultilevel"/>
    <w:lvl w:ilvl="0">
      <w:lvlJc w:val="left"/>
      <w:lvlText w:val="%1."/>
      <w:numFmt w:val="upperLetter"/>
      <w:start w:val="6"/>
    </w:lvl>
  </w:abstractNum>
  <w:abstractNum w:abstractNumId="38">
    <w:nsid w:val="CC1016F"/>
    <w:multiLevelType w:val="hybridMultilevel"/>
    <w:lvl w:ilvl="0">
      <w:lvlJc w:val="left"/>
      <w:lvlText w:val="%1."/>
      <w:numFmt w:val="upperLetter"/>
      <w:start w:val="7"/>
    </w:lvl>
  </w:abstractNum>
  <w:abstractNum w:abstractNumId="39">
    <w:nsid w:val="43F18422"/>
    <w:multiLevelType w:val="hybridMultilevel"/>
    <w:lvl w:ilvl="0">
      <w:lvlJc w:val="left"/>
      <w:lvlText w:val="%1."/>
      <w:numFmt w:val="upperLetter"/>
      <w:start w:val="8"/>
    </w:lvl>
  </w:abstractNum>
  <w:abstractNum w:abstractNumId="40">
    <w:nsid w:val="60EF0119"/>
    <w:multiLevelType w:val="hybridMultilevel"/>
    <w:lvl w:ilvl="0">
      <w:lvlJc w:val="left"/>
      <w:lvlText w:val="%1."/>
      <w:numFmt w:val="upperLetter"/>
      <w:start w:val="9"/>
    </w:lvl>
  </w:abstractNum>
  <w:abstractNum w:abstractNumId="41">
    <w:nsid w:val="26F324BA"/>
    <w:multiLevelType w:val="hybridMultilevel"/>
    <w:lvl w:ilvl="0">
      <w:lvlJc w:val="left"/>
      <w:lvlText w:val="%1."/>
      <w:numFmt w:val="upperLetter"/>
      <w:start w:val="10"/>
    </w:lvl>
  </w:abstractNum>
  <w:abstractNum w:abstractNumId="42">
    <w:nsid w:val="7F01579B"/>
    <w:multiLevelType w:val="hybridMultilevel"/>
    <w:lvl w:ilvl="0">
      <w:lvlJc w:val="left"/>
      <w:lvlText w:val="%1."/>
      <w:numFmt w:val="upperLetter"/>
      <w:start w:val="11"/>
    </w:lvl>
  </w:abstractNum>
  <w:abstractNum w:abstractNumId="43">
    <w:nsid w:val="49DA307D"/>
    <w:multiLevelType w:val="hybridMultilevel"/>
    <w:lvl w:ilvl="0">
      <w:lvlJc w:val="left"/>
      <w:lvlText w:val="%1."/>
      <w:numFmt w:val="upperLetter"/>
      <w:start w:val="12"/>
    </w:lvl>
  </w:abstractNum>
  <w:abstractNum w:abstractNumId="44">
    <w:nsid w:val="7055A5F5"/>
    <w:multiLevelType w:val="hybridMultilevel"/>
    <w:lvl w:ilvl="0">
      <w:lvlJc w:val="left"/>
      <w:lvlText w:val="%1."/>
      <w:numFmt w:val="upperLetter"/>
      <w:start w:val="13"/>
    </w:lvl>
  </w:abstractNum>
  <w:abstractNum w:abstractNumId="45">
    <w:nsid w:val="5FB8370B"/>
    <w:multiLevelType w:val="hybridMultilevel"/>
    <w:lvl w:ilvl="0">
      <w:lvlJc w:val="left"/>
      <w:lvlText w:val="(%1)"/>
      <w:numFmt w:val="decimal"/>
      <w:start w:val="1"/>
    </w:lvl>
  </w:abstractNum>
  <w:abstractNum w:abstractNumId="46">
    <w:nsid w:val="50801EE1"/>
    <w:multiLevelType w:val="hybridMultilevel"/>
    <w:lvl w:ilvl="0">
      <w:lvlJc w:val="left"/>
      <w:lvlText w:val="%1."/>
      <w:numFmt w:val="upperLetter"/>
      <w:start w:val="14"/>
    </w:lvl>
  </w:abstractNum>
  <w:abstractNum w:abstractNumId="47">
    <w:nsid w:val="488AC1A"/>
    <w:multiLevelType w:val="hybridMultilevel"/>
    <w:lvl w:ilvl="0">
      <w:lvlJc w:val="left"/>
      <w:lvlText w:val="%1."/>
      <w:numFmt w:val="upperLetter"/>
      <w:start w:val="15"/>
    </w:lvl>
  </w:abstractNum>
  <w:abstractNum w:abstractNumId="48">
    <w:nsid w:val="5FB8011C"/>
    <w:multiLevelType w:val="hybridMultilevel"/>
    <w:lvl w:ilvl="0">
      <w:lvlJc w:val="left"/>
      <w:lvlText w:val="(%1)"/>
      <w:numFmt w:val="decimal"/>
      <w:start w:val="1"/>
    </w:lvl>
  </w:abstractNum>
  <w:abstractNum w:abstractNumId="49">
    <w:nsid w:val="6AA78F7F"/>
    <w:multiLevelType w:val="hybridMultilevel"/>
    <w:lvl w:ilvl="0">
      <w:lvlJc w:val="left"/>
      <w:lvlText w:val="(%1)"/>
      <w:numFmt w:val="lowerLetter"/>
      <w:start w:val="1"/>
    </w:lvl>
    <w:lvl w:ilvl="1">
      <w:lvlJc w:val="left"/>
      <w:lvlText w:val="%2."/>
      <w:numFmt w:val="decimal"/>
      <w:start w:val="2"/>
    </w:lvl>
  </w:abstractNum>
  <w:abstractNum w:abstractNumId="50">
    <w:nsid w:val="7672BD23"/>
    <w:multiLevelType w:val="hybridMultilevel"/>
    <w:lvl w:ilvl="0">
      <w:lvlJc w:val="left"/>
      <w:lvlText w:val="3"/>
      <w:numFmt w:val="bullet"/>
      <w:start w:val="1"/>
    </w:lvl>
    <w:lvl w:ilvl="1">
      <w:lvlJc w:val="left"/>
      <w:lvlText w:val="(%2)"/>
      <w:numFmt w:val="lowerLetter"/>
      <w:start w:val="1"/>
    </w:lvl>
  </w:abstractNum>
  <w:abstractNum w:abstractNumId="51">
    <w:nsid w:val="6FC75AF8"/>
    <w:multiLevelType w:val="hybridMultilevel"/>
    <w:lvl w:ilvl="0">
      <w:lvlJc w:val="left"/>
      <w:lvlText w:val="4"/>
      <w:numFmt w:val="bullet"/>
      <w:start w:val="1"/>
    </w:lvl>
    <w:lvl w:ilvl="1">
      <w:lvlJc w:val="left"/>
      <w:lvlText w:val="(%2)"/>
      <w:numFmt w:val="lowerLetter"/>
      <w:start w:val="1"/>
    </w:lvl>
  </w:abstractNum>
  <w:abstractNum w:abstractNumId="52">
    <w:nsid w:val="6A5F702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3">
    <w:nsid w:val="7D5E18F8"/>
    <w:multiLevelType w:val="hybridMultilevel"/>
    <w:lvl w:ilvl="0">
      <w:lvlJc w:val="left"/>
      <w:lvlText w:val="%1"/>
      <w:numFmt w:val="decimal"/>
      <w:start w:val="19"/>
    </w:lvl>
  </w:abstractNum>
  <w:abstractNum w:abstractNumId="54">
    <w:nsid w:val="5F3534A4"/>
    <w:multiLevelType w:val="hybridMultilevel"/>
    <w:lvl w:ilvl="0">
      <w:lvlJc w:val="left"/>
      <w:lvlText w:val="%1"/>
      <w:numFmt w:val="decimal"/>
      <w:start w:val="21"/>
    </w:lvl>
  </w:abstractNum>
  <w:abstractNum w:abstractNumId="55">
    <w:nsid w:val="73A1821B"/>
    <w:multiLevelType w:val="hybridMultilevel"/>
    <w:lvl w:ilvl="0">
      <w:lvlJc w:val="left"/>
      <w:lvlText w:val="%1"/>
      <w:numFmt w:val="decimal"/>
      <w:start w:val="23"/>
    </w:lvl>
  </w:abstractNum>
  <w:abstractNum w:abstractNumId="56">
    <w:nsid w:val="7DE67713"/>
    <w:multiLevelType w:val="hybridMultilevel"/>
    <w:lvl w:ilvl="0">
      <w:lvlJc w:val="left"/>
      <w:lvlText w:val="%1"/>
      <w:numFmt w:val="decimal"/>
      <w:start w:val="31"/>
    </w:lvl>
    <w:lvl w:ilvl="1">
      <w:lvlJc w:val="left"/>
      <w:lvlText w:val="(%2)"/>
      <w:numFmt w:val="lowerLetter"/>
      <w:start w:val="1"/>
    </w:lvl>
  </w:abstractNum>
  <w:abstractNum w:abstractNumId="57">
    <w:nsid w:val="555C55B5"/>
    <w:multiLevelType w:val="hybridMultilevel"/>
    <w:lvl w:ilvl="0">
      <w:lvlJc w:val="left"/>
      <w:lvlText w:val="%1"/>
      <w:numFmt w:val="decimal"/>
      <w:start w:val="97"/>
    </w:lvl>
  </w:abstractNum>
  <w:abstractNum w:abstractNumId="58">
    <w:nsid w:val="3FA62ACA"/>
    <w:multiLevelType w:val="hybridMultilevel"/>
    <w:lvl w:ilvl="0">
      <w:lvlJc w:val="left"/>
      <w:lvlText w:val="*"/>
      <w:numFmt w:val="bullet"/>
      <w:start w:val="1"/>
    </w:lvl>
    <w:lvl w:ilvl="1">
      <w:lvlJc w:val="left"/>
      <w:lvlText w:val="%2"/>
      <w:numFmt w:val="decimal"/>
      <w:start w:val="104"/>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1)"/>
      <w:numFmt w:val="lowerLetter"/>
      <w:start w:val="1"/>
    </w:lvl>
    <w:lvl w:ilvl="1">
      <w:lvlJc w:val="left"/>
      <w:lvlText w:val="(%2)"/>
      <w:numFmt w:val="decimal"/>
      <w:start w:val="1"/>
    </w:lvl>
  </w:abstractNum>
  <w:abstractNum w:abstractNumId="61">
    <w:nsid w:val="71C91298"/>
    <w:multiLevelType w:val="hybridMultilevel"/>
    <w:lvl w:ilvl="0">
      <w:lvlJc w:val="left"/>
      <w:lvlText w:val="(%1)"/>
      <w:numFmt w:val="lowerLetter"/>
      <w:start w:val="8"/>
    </w:lvl>
    <w:lvl w:ilvl="1">
      <w:lvlJc w:val="left"/>
      <w:lvlText w:val="(%2)"/>
      <w:numFmt w:val="decimal"/>
      <w:start w:val="1"/>
    </w:lvl>
  </w:abstractNum>
  <w:abstractNum w:abstractNumId="62">
    <w:nsid w:val="9DAF632"/>
    <w:multiLevelType w:val="hybridMultilevel"/>
    <w:lvl w:ilvl="0">
      <w:lvlJc w:val="left"/>
      <w:lvlText w:val="(%1)"/>
      <w:numFmt w:val="lowerLetter"/>
      <w:start w:val="13"/>
    </w:lvl>
    <w:lvl w:ilvl="1">
      <w:lvlJc w:val="left"/>
      <w:lvlText w:val="(%2)"/>
      <w:numFmt w:val="decimal"/>
      <w:start w:val="1"/>
    </w:lvl>
  </w:abstractNum>
  <w:abstractNum w:abstractNumId="63">
    <w:nsid w:val="53299938"/>
    <w:multiLevelType w:val="hybridMultilevel"/>
    <w:lvl w:ilvl="0">
      <w:lvlJc w:val="left"/>
      <w:lvlText w:val="(%1)"/>
      <w:numFmt w:val="lowerLetter"/>
      <w:start w:val="17"/>
    </w:lvl>
  </w:abstractNum>
  <w:abstractNum w:abstractNumId="64">
    <w:nsid w:val="1FBFE8E0"/>
    <w:multiLevelType w:val="hybridMultilevel"/>
    <w:lvl w:ilvl="0">
      <w:lvlJc w:val="left"/>
      <w:lvlText w:val="%1"/>
      <w:numFmt w:val="lowerLetter"/>
      <w:start w:val="1"/>
    </w:lvl>
    <w:lvl w:ilvl="1">
      <w:lvlJc w:val="left"/>
      <w:lvlText w:val="(%2)"/>
      <w:numFmt w:val="decimal"/>
      <w:start w:val="1"/>
    </w:lvl>
  </w:abstractNum>
  <w:abstractNum w:abstractNumId="65">
    <w:nsid w:val="5092CA79"/>
    <w:multiLevelType w:val="hybridMultilevel"/>
    <w:lvl w:ilvl="0">
      <w:lvlJc w:val="left"/>
      <w:lvlText w:val="(%1)"/>
      <w:numFmt w:val="lowerLetter"/>
      <w:start w:val="22"/>
    </w:lvl>
    <w:lvl w:ilvl="1">
      <w:lvlJc w:val="left"/>
      <w:lvlText w:val="(%2)"/>
      <w:numFmt w:val="decimal"/>
      <w:start w:val="1"/>
    </w:lvl>
  </w:abstractNum>
  <w:abstractNum w:abstractNumId="66">
    <w:nsid w:val="1D545C4D"/>
    <w:multiLevelType w:val="hybridMultilevel"/>
    <w:lvl w:ilvl="0">
      <w:lvlJc w:val="left"/>
      <w:lvlText w:val="(%1)"/>
      <w:numFmt w:val="lowerLetter"/>
      <w:start w:val="24"/>
    </w:lvl>
    <w:lvl w:ilvl="1">
      <w:lvlJc w:val="left"/>
      <w:lvlText w:val="(%2)"/>
      <w:numFmt w:val="decimal"/>
      <w:start w:val="1"/>
    </w:lvl>
  </w:abstractNum>
  <w:abstractNum w:abstractNumId="67">
    <w:nsid w:val="59ADEA3D"/>
    <w:multiLevelType w:val="hybridMultilevel"/>
    <w:lvl w:ilvl="0">
      <w:lvlJc w:val="left"/>
      <w:lvlText w:val="(%1)"/>
      <w:numFmt w:val="lowerLetter"/>
      <w:start w:val="27"/>
    </w:lvl>
  </w:abstractNum>
  <w:abstractNum w:abstractNumId="68">
    <w:nsid w:val="288F1A34"/>
    <w:multiLevelType w:val="hybridMultilevel"/>
    <w:lvl w:ilvl="0">
      <w:lvlJc w:val="left"/>
      <w:lvlText w:val="(%1)"/>
      <w:numFmt w:val="lowerLetter"/>
      <w:start w:val="1"/>
    </w:lvl>
  </w:abstractNum>
  <w:abstractNum w:abstractNumId="69">
    <w:nsid w:val="2A155DBC"/>
    <w:multiLevelType w:val="hybridMultilevel"/>
    <w:lvl w:ilvl="0">
      <w:lvlJc w:val="left"/>
      <w:lvlText w:val="(%1)"/>
      <w:numFmt w:val="lowerLetter"/>
      <w:start w:val="2"/>
    </w:lvl>
    <w:lvl w:ilvl="1">
      <w:lvlJc w:val="left"/>
      <w:lvlText w:val="(%2)"/>
      <w:numFmt w:val="decimal"/>
      <w:start w:val="1"/>
    </w:lvl>
  </w:abstractNum>
  <w:abstractNum w:abstractNumId="70">
    <w:nsid w:val="1D9F6E5F"/>
    <w:multiLevelType w:val="hybridMultilevel"/>
    <w:lvl w:ilvl="0">
      <w:lvlJc w:val="left"/>
      <w:lvlText w:val="(%1)"/>
      <w:numFmt w:val="lowerLetter"/>
      <w:start w:val="5"/>
    </w:lvl>
    <w:lvl w:ilvl="1">
      <w:lvlJc w:val="left"/>
      <w:lvlText w:val="(%2)"/>
      <w:numFmt w:val="decimal"/>
      <w:start w:val="1"/>
    </w:lvl>
  </w:abstractNum>
  <w:abstractNum w:abstractNumId="71">
    <w:nsid w:val="97E1B4E"/>
    <w:multiLevelType w:val="hybridMultilevel"/>
    <w:lvl w:ilvl="0">
      <w:lvlJc w:val="left"/>
      <w:lvlText w:val="(%1)"/>
      <w:numFmt w:val="lowerLetter"/>
      <w:start w:val="7"/>
    </w:lvl>
  </w:abstractNum>
  <w:abstractNum w:abstractNumId="72">
    <w:nsid w:val="51088277"/>
    <w:multiLevelType w:val="hybridMultilevel"/>
    <w:lvl w:ilvl="0">
      <w:lvlJc w:val="left"/>
      <w:lvlText w:val="(%1)"/>
      <w:numFmt w:val="lowerLetter"/>
      <w:start w:val="1"/>
    </w:lvl>
  </w:abstractNum>
  <w:abstractNum w:abstractNumId="73">
    <w:nsid w:val="1CA0C5FA"/>
    <w:multiLevelType w:val="hybridMultilevel"/>
    <w:lvl w:ilvl="0">
      <w:lvlJc w:val="left"/>
      <w:lvlText w:val="(%1)"/>
      <w:numFmt w:val="lowerLetter"/>
      <w:start w:val="1"/>
    </w:lvl>
    <w:lvl w:ilvl="1">
      <w:lvlJc w:val="left"/>
      <w:lvlText w:val="(%2)"/>
      <w:numFmt w:val="decimal"/>
      <w:start w:val="1"/>
    </w:lvl>
  </w:abstractNum>
  <w:abstractNum w:abstractNumId="74">
    <w:nsid w:val="53584BCB"/>
    <w:multiLevelType w:val="hybridMultilevel"/>
    <w:lvl w:ilvl="0">
      <w:lvlJc w:val="left"/>
      <w:lvlText w:val="(%1)"/>
      <w:numFmt w:val="decimal"/>
      <w:start w:val="2"/>
    </w:lvl>
  </w:abstractNum>
  <w:abstractNum w:abstractNumId="75">
    <w:nsid w:val="415E286C"/>
    <w:multiLevelType w:val="hybridMultilevel"/>
    <w:lvl w:ilvl="0">
      <w:lvlJc w:val="left"/>
      <w:lvlText w:val="(%1)"/>
      <w:numFmt w:val="lowerLetter"/>
      <w:start w:val="2"/>
    </w:lvl>
    <w:lvl w:ilvl="1">
      <w:lvlJc w:val="left"/>
      <w:lvlText w:val="(%2)"/>
      <w:numFmt w:val="decimal"/>
      <w:start w:val="1"/>
    </w:lvl>
  </w:abstractNum>
  <w:abstractNum w:abstractNumId="76">
    <w:nsid w:val="7C58FD05"/>
    <w:multiLevelType w:val="hybridMultilevel"/>
    <w:lvl w:ilvl="0">
      <w:lvlJc w:val="left"/>
      <w:lvlText w:val="(%1)"/>
      <w:numFmt w:val="decimal"/>
      <w:start w:val="3"/>
    </w:lvl>
  </w:abstractNum>
  <w:abstractNum w:abstractNumId="77">
    <w:nsid w:val="23D86AAC"/>
    <w:multiLevelType w:val="hybridMultilevel"/>
    <w:lvl w:ilvl="0">
      <w:lvlJc w:val="left"/>
      <w:lvlText w:val="(%1)"/>
      <w:numFmt w:val="lowerLetter"/>
      <w:start w:val="4"/>
    </w:lvl>
  </w:abstractNum>
  <w:abstractNum w:abstractNumId="78">
    <w:nsid w:val="45E6D486"/>
    <w:multiLevelType w:val="hybridMultilevel"/>
    <w:lvl w:ilvl="0">
      <w:lvlJc w:val="left"/>
      <w:lvlText w:val="(%1)"/>
      <w:numFmt w:val="lowerLetter"/>
      <w:start w:val="1"/>
    </w:lvl>
  </w:abstractNum>
  <w:abstractNum w:abstractNumId="79">
    <w:nsid w:val="5C10FE21"/>
    <w:multiLevelType w:val="hybridMultilevel"/>
    <w:lvl w:ilvl="0">
      <w:lvlJc w:val="left"/>
      <w:lvlText w:val="(%1)"/>
      <w:numFmt w:val="lowerLetter"/>
      <w:start w:val="4"/>
    </w:lvl>
  </w:abstractNum>
  <w:abstractNum w:abstractNumId="80">
    <w:nsid w:val="E7FFA2B"/>
    <w:multiLevelType w:val="hybridMultilevel"/>
    <w:lvl w:ilvl="0">
      <w:lvlJc w:val="left"/>
      <w:lvlText w:val="(%1)"/>
      <w:numFmt w:val="lowerLetter"/>
      <w:start w:val="1"/>
    </w:lvl>
    <w:lvl w:ilvl="1">
      <w:lvlJc w:val="left"/>
      <w:lvlText w:val="(%2)"/>
      <w:numFmt w:val="decimal"/>
      <w:start w:val="1"/>
    </w:lvl>
  </w:abstractNum>
  <w:abstractNum w:abstractNumId="81">
    <w:nsid w:val="3C5991AA"/>
    <w:multiLevelType w:val="hybridMultilevel"/>
    <w:lvl w:ilvl="0">
      <w:lvlJc w:val="left"/>
      <w:lvlText w:val="(%1)"/>
      <w:numFmt w:val="lowerLetter"/>
      <w:start w:val="3"/>
    </w:lvl>
    <w:lvl w:ilvl="1">
      <w:lvlJc w:val="left"/>
      <w:lvlText w:val="(%2)"/>
      <w:numFmt w:val="decimal"/>
      <w:start w:val="1"/>
    </w:lvl>
  </w:abstractNum>
  <w:abstractNum w:abstractNumId="82">
    <w:nsid w:val="4BD8591A"/>
    <w:multiLevelType w:val="hybridMultilevel"/>
    <w:lvl w:ilvl="0">
      <w:lvlJc w:val="left"/>
      <w:lvlText w:val="(%1)"/>
      <w:numFmt w:val="decimal"/>
      <w:start w:val="1"/>
    </w:lvl>
  </w:abstractNum>
  <w:abstractNum w:abstractNumId="83">
    <w:nsid w:val="78DF6A55"/>
    <w:multiLevelType w:val="hybridMultilevel"/>
    <w:lvl w:ilvl="0">
      <w:lvlJc w:val="left"/>
      <w:lvlText w:val="(%1)"/>
      <w:numFmt w:val="lowerLetter"/>
      <w:start w:val="1"/>
    </w:lvl>
  </w:abstractNum>
  <w:abstractNum w:abstractNumId="84">
    <w:nsid w:val="39B7AAA2"/>
    <w:multiLevelType w:val="hybridMultilevel"/>
    <w:lvl w:ilvl="0">
      <w:lvlJc w:val="left"/>
      <w:lvlText w:val="(%1)"/>
      <w:numFmt w:val="lowerLetter"/>
      <w:start w:val="1"/>
    </w:lvl>
  </w:abstractNum>
  <w:abstractNum w:abstractNumId="85">
    <w:nsid w:val="2B0D8DBE"/>
    <w:multiLevelType w:val="hybridMultilevel"/>
    <w:lvl w:ilvl="0">
      <w:lvlJc w:val="left"/>
      <w:lvlText w:val="(%1)"/>
      <w:numFmt w:val="lowerLetter"/>
      <w:start w:val="5"/>
    </w:lvl>
  </w:abstractNum>
  <w:abstractNum w:abstractNumId="86">
    <w:nsid w:val="6C80EC70"/>
    <w:multiLevelType w:val="hybridMultilevel"/>
    <w:lvl w:ilvl="0">
      <w:lvlJc w:val="left"/>
      <w:lvlText w:val="(%1)"/>
      <w:numFmt w:val="lowerLetter"/>
      <w:start w:val="1"/>
    </w:lvl>
  </w:abstractNum>
  <w:abstractNum w:abstractNumId="87">
    <w:nsid w:val="379E21B5"/>
    <w:multiLevelType w:val="hybridMultilevel"/>
    <w:lvl w:ilvl="0">
      <w:lvlJc w:val="left"/>
      <w:lvlText w:val="(%1)"/>
      <w:numFmt w:val="lowerLetter"/>
      <w:start w:val="2"/>
    </w:lvl>
  </w:abstractNum>
  <w:abstractNum w:abstractNumId="88">
    <w:nsid w:val="69E373"/>
    <w:multiLevelType w:val="hybridMultilevel"/>
    <w:lvl w:ilvl="0">
      <w:lvlJc w:val="left"/>
      <w:lvlText w:val="(%1)"/>
      <w:numFmt w:val="decimal"/>
      <w:start w:val="1"/>
    </w:lvl>
  </w:abstractNum>
  <w:abstractNum w:abstractNumId="89">
    <w:nsid w:val="2C27173B"/>
    <w:multiLevelType w:val="hybridMultilevel"/>
    <w:lvl w:ilvl="0">
      <w:lvlJc w:val="left"/>
      <w:lvlText w:val="(%1)"/>
      <w:numFmt w:val="lowerLetter"/>
      <w:start w:val="1"/>
    </w:lvl>
  </w:abstractNum>
  <w:abstractNum w:abstractNumId="90">
    <w:nsid w:val="4C9B0904"/>
    <w:multiLevelType w:val="hybridMultilevel"/>
    <w:lvl w:ilvl="0">
      <w:lvlJc w:val="left"/>
      <w:lvlText w:val="(%1)"/>
      <w:numFmt w:val="lowerLetter"/>
      <w:start w:val="1"/>
    </w:lvl>
  </w:abstractNum>
  <w:abstractNum w:abstractNumId="91">
    <w:nsid w:val="6AA7B75C"/>
    <w:multiLevelType w:val="hybridMultilevel"/>
    <w:lvl w:ilvl="0">
      <w:lvlJc w:val="left"/>
      <w:lvlText w:val="(%1)"/>
      <w:numFmt w:val="lowerLetter"/>
      <w:start w:val="1"/>
    </w:lvl>
  </w:abstractNum>
  <w:abstractNum w:abstractNumId="92">
    <w:nsid w:val="1DF029D3"/>
    <w:multiLevelType w:val="hybridMultilevel"/>
    <w:lvl w:ilvl="0">
      <w:lvlJc w:val="left"/>
      <w:lvlText w:val="(%1)"/>
      <w:numFmt w:val="lowerLetter"/>
      <w:start w:val="1"/>
    </w:lvl>
  </w:abstractNum>
  <w:abstractNum w:abstractNumId="93">
    <w:nsid w:val="5675FF36"/>
    <w:multiLevelType w:val="hybridMultilevel"/>
    <w:lvl w:ilvl="0">
      <w:lvlJc w:val="left"/>
      <w:lvlText w:val="(%1)"/>
      <w:numFmt w:val="lowerLetter"/>
      <w:start w:val="2"/>
    </w:lvl>
  </w:abstractNum>
  <w:abstractNum w:abstractNumId="94">
    <w:nsid w:val="3DD15094"/>
    <w:multiLevelType w:val="hybridMultilevel"/>
    <w:lvl w:ilvl="0">
      <w:lvlJc w:val="left"/>
      <w:lvlText w:val="(%1)"/>
      <w:numFmt w:val="lowerLetter"/>
      <w:start w:val="1"/>
    </w:lvl>
  </w:abstractNum>
  <w:abstractNum w:abstractNumId="95">
    <w:nsid w:val="3DB012B3"/>
    <w:multiLevelType w:val="hybridMultilevel"/>
    <w:lvl w:ilvl="0">
      <w:lvlJc w:val="left"/>
      <w:lvlText w:val="(%1)"/>
      <w:numFmt w:val="lowerLetter"/>
      <w:start w:val="1"/>
    </w:lvl>
  </w:abstractNum>
  <w:abstractNum w:abstractNumId="96">
    <w:nsid w:val="2708C9AF"/>
    <w:multiLevelType w:val="hybridMultilevel"/>
    <w:lvl w:ilvl="0">
      <w:lvlJc w:val="left"/>
      <w:lvlText w:val="(%1)"/>
      <w:numFmt w:val="lowerLetter"/>
      <w:start w:val="2"/>
    </w:lvl>
  </w:abstractNum>
  <w:abstractNum w:abstractNumId="97">
    <w:nsid w:val="5B25ACE2"/>
    <w:multiLevelType w:val="hybridMultilevel"/>
    <w:lvl w:ilvl="0">
      <w:lvlJc w:val="left"/>
      <w:lvlText w:val="(%1)"/>
      <w:numFmt w:val="lowerLetter"/>
      <w:start w:val="1"/>
    </w:lvl>
    <w:lvl w:ilvl="1">
      <w:lvlJc w:val="left"/>
      <w:lvlText w:val="(%2)"/>
      <w:numFmt w:val="decimal"/>
      <w:start w:val="1"/>
    </w:lvl>
  </w:abstractNum>
  <w:abstractNum w:abstractNumId="98">
    <w:nsid w:val="175DFCF0"/>
    <w:multiLevelType w:val="hybridMultilevel"/>
    <w:lvl w:ilvl="0">
      <w:lvlJc w:val="left"/>
      <w:lvlText w:val="(%1)"/>
      <w:numFmt w:val="lowerLetter"/>
      <w:start w:val="1"/>
    </w:lvl>
  </w:abstractNum>
  <w:abstractNum w:abstractNumId="99">
    <w:nsid w:val="4F97E3E4"/>
    <w:multiLevelType w:val="hybridMultilevel"/>
    <w:lvl w:ilvl="0">
      <w:lvlJc w:val="left"/>
      <w:lvlText w:val="(%1)"/>
      <w:numFmt w:val="lowerLetter"/>
      <w:start w:val="2"/>
    </w:lvl>
  </w:abstractNum>
  <w:abstractNum w:abstractNumId="100">
    <w:nsid w:val="53B0A9E"/>
    <w:multiLevelType w:val="hybridMultilevel"/>
    <w:lvl w:ilvl="0">
      <w:lvlJc w:val="left"/>
      <w:lvlText w:val="(%1)"/>
      <w:numFmt w:val="lowerLetter"/>
      <w:start w:val="1"/>
    </w:lvl>
  </w:abstractNum>
  <w:abstractNum w:abstractNumId="101">
    <w:nsid w:val="34FD6B4F"/>
    <w:multiLevelType w:val="hybridMultilevel"/>
    <w:lvl w:ilvl="0">
      <w:lvlJc w:val="left"/>
      <w:lvlText w:val="(%1)"/>
      <w:numFmt w:val="lowerLetter"/>
      <w:start w:val="1"/>
    </w:lvl>
  </w:abstractNum>
  <w:abstractNum w:abstractNumId="102">
    <w:nsid w:val="5915FF32"/>
    <w:multiLevelType w:val="hybridMultilevel"/>
    <w:lvl w:ilvl="0">
      <w:lvlJc w:val="left"/>
      <w:lvlText w:val="(%1)"/>
      <w:numFmt w:val="lowerLetter"/>
      <w:start w:val="1"/>
    </w:lvl>
  </w:abstractNum>
  <w:abstractNum w:abstractNumId="103">
    <w:nsid w:val="56438D15"/>
    <w:multiLevelType w:val="hybridMultilevel"/>
    <w:lvl w:ilvl="0">
      <w:lvlJc w:val="left"/>
      <w:lvlText w:val="(%1)"/>
      <w:numFmt w:val="lowerLetter"/>
      <w:start w:val="1"/>
    </w:lvl>
  </w:abstractNum>
  <w:abstractNum w:abstractNumId="104">
    <w:nsid w:val="519E3149"/>
    <w:multiLevelType w:val="hybridMultilevel"/>
    <w:lvl w:ilvl="0">
      <w:lvlJc w:val="left"/>
      <w:lvlText w:val="(%1)"/>
      <w:numFmt w:val="lowerLetter"/>
      <w:start w:val="3"/>
    </w:lvl>
  </w:abstractNum>
  <w:abstractNum w:abstractNumId="105">
    <w:nsid w:val="2C6E4AFD"/>
    <w:multiLevelType w:val="hybridMultilevel"/>
    <w:lvl w:ilvl="0">
      <w:lvlJc w:val="left"/>
      <w:lvlText w:val="(%1)"/>
      <w:numFmt w:val="lowerLetter"/>
      <w:start w:val="1"/>
    </w:lvl>
  </w:abstractNum>
  <w:abstractNum w:abstractNumId="106">
    <w:nsid w:val="17A1B582"/>
    <w:multiLevelType w:val="hybridMultilevel"/>
    <w:lvl w:ilvl="0">
      <w:lvlJc w:val="left"/>
      <w:lvlText w:val="(%1)"/>
      <w:numFmt w:val="lowerLetter"/>
      <w:start w:val="1"/>
    </w:lvl>
  </w:abstractNum>
  <w:abstractNum w:abstractNumId="107">
    <w:nsid w:val="4DF72E4E"/>
    <w:multiLevelType w:val="hybridMultilevel"/>
    <w:lvl w:ilvl="0">
      <w:lvlJc w:val="left"/>
      <w:lvlText w:val="(%1)"/>
      <w:numFmt w:val="lowerLetter"/>
      <w:start w:val="3"/>
    </w:lvl>
  </w:abstractNum>
  <w:abstractNum w:abstractNumId="108">
    <w:nsid w:val="5046B5A9"/>
    <w:multiLevelType w:val="hybridMultilevel"/>
    <w:lvl w:ilvl="0">
      <w:lvlJc w:val="left"/>
      <w:lvlText w:val="(%1)"/>
      <w:numFmt w:val="lowerLetter"/>
      <w:start w:val="2"/>
    </w:lvl>
  </w:abstractNum>
  <w:abstractNum w:abstractNumId="109">
    <w:nsid w:val="5D888A08"/>
    <w:multiLevelType w:val="hybridMultilevel"/>
    <w:lvl w:ilvl="0">
      <w:lvlJc w:val="left"/>
      <w:lvlText w:val="(%1)"/>
      <w:numFmt w:val="lowerLetter"/>
      <w:start w:val="1"/>
    </w:lvl>
  </w:abstractNum>
  <w:abstractNum w:abstractNumId="110">
    <w:nsid w:val="2A082C70"/>
    <w:multiLevelType w:val="hybridMultilevel"/>
    <w:lvl w:ilvl="0">
      <w:lvlJc w:val="left"/>
      <w:lvlText w:val="(%1)"/>
      <w:numFmt w:val="lowerLetter"/>
      <w:start w:val="6"/>
    </w:lvl>
  </w:abstractNum>
  <w:abstractNum w:abstractNumId="111">
    <w:nsid w:val="5EC6AFD4"/>
    <w:multiLevelType w:val="hybridMultilevel"/>
    <w:lvl w:ilvl="0">
      <w:lvlJc w:val="left"/>
      <w:lvlText w:val="*"/>
      <w:numFmt w:val="bullet"/>
      <w:start w:val="1"/>
    </w:lvl>
  </w:abstractNum>
  <w:abstractNum w:abstractNumId="112">
    <w:nsid w:val="19E21BB2"/>
    <w:multiLevelType w:val="hybridMultilevel"/>
    <w:lvl w:ilvl="0">
      <w:lvlJc w:val="left"/>
      <w:lvlText w:val="(%1)"/>
      <w:numFmt w:val="upperLetter"/>
      <w:start w:val="1"/>
    </w:lvl>
  </w:abstractNum>
  <w:abstractNum w:abstractNumId="113">
    <w:nsid w:val="75E0858A"/>
    <w:multiLevelType w:val="hybridMultilevel"/>
    <w:lvl w:ilvl="0">
      <w:lvlJc w:val="left"/>
      <w:lvlText w:val="(%1)"/>
      <w:numFmt w:val="upperLetter"/>
      <w:start w:val="5"/>
    </w:lvl>
  </w:abstractNum>
  <w:abstractNum w:abstractNumId="114">
    <w:nsid w:val="57A61A29"/>
    <w:multiLevelType w:val="hybridMultilevel"/>
    <w:lvl w:ilvl="0">
      <w:lvlJc w:val="left"/>
      <w:lvlText w:val="%1"/>
      <w:numFmt w:val="upperLetter"/>
      <w:start w:val="1"/>
    </w:lvl>
    <w:lvl w:ilvl="1">
      <w:lvlJc w:val="left"/>
      <w:lvlText w:val="(%2)"/>
      <w:numFmt w:val="decimal"/>
      <w:start w:val="1"/>
    </w:lvl>
  </w:abstractNum>
  <w:abstractNum w:abstractNumId="115">
    <w:nsid w:val="5399C654"/>
    <w:multiLevelType w:val="hybridMultilevel"/>
    <w:lvl w:ilvl="0">
      <w:lvlJc w:val="left"/>
      <w:lvlText w:val="(%1)"/>
      <w:numFmt w:val="upperLetter"/>
      <w:start w:val="3"/>
    </w:lvl>
    <w:lvl w:ilvl="1">
      <w:lvlJc w:val="left"/>
      <w:lvlText w:val="%2"/>
      <w:numFmt w:val="decimal"/>
      <w:start w:val="1"/>
    </w:lvl>
  </w:abstractNum>
  <w:abstractNum w:abstractNumId="116">
    <w:nsid w:val="20EE1348"/>
    <w:multiLevelType w:val="hybridMultilevel"/>
    <w:lvl w:ilvl="0">
      <w:lvlJc w:val="left"/>
      <w:lvlText w:val="(%1)"/>
      <w:numFmt w:val="upperLetter"/>
      <w:start w:val="4"/>
    </w:lvl>
  </w:abstractNum>
  <w:abstractNum w:abstractNumId="117">
    <w:nsid w:val="4427069A"/>
    <w:multiLevelType w:val="hybridMultilevel"/>
    <w:lvl w:ilvl="0">
      <w:lvlJc w:val="left"/>
      <w:lvlText w:val="(%1)"/>
      <w:numFmt w:val="upperLetter"/>
      <w:start w:val="1"/>
    </w:lvl>
  </w:abstractNum>
  <w:abstractNum w:abstractNumId="118">
    <w:nsid w:val="B37E80A"/>
    <w:multiLevelType w:val="hybridMultilevel"/>
    <w:lvl w:ilvl="0">
      <w:lvlJc w:val="left"/>
      <w:lvlText w:val="(%1)"/>
      <w:numFmt w:val="upperLetter"/>
      <w:start w:val="1"/>
    </w:lvl>
  </w:abstractNum>
  <w:abstractNum w:abstractNumId="119">
    <w:nsid w:val="2157F6BC"/>
    <w:multiLevelType w:val="hybridMultilevel"/>
    <w:lvl w:ilvl="0">
      <w:lvlJc w:val="left"/>
      <w:lvlText w:val="(%1)"/>
      <w:numFmt w:val="upperLetter"/>
      <w:start w:val="1"/>
    </w:lvl>
    <w:lvl w:ilvl="1">
      <w:lvlJc w:val="left"/>
      <w:lvlText w:val="(%2)"/>
      <w:numFmt w:val="decimal"/>
      <w:start w:val="1"/>
    </w:lvl>
  </w:abstractNum>
  <w:abstractNum w:abstractNumId="120">
    <w:nsid w:val="704E1DD5"/>
    <w:multiLevelType w:val="hybridMultilevel"/>
    <w:lvl w:ilvl="0">
      <w:lvlJc w:val="left"/>
      <w:lvlText w:val="(%1)"/>
      <w:numFmt w:val="upperLetter"/>
      <w:start w:val="1"/>
    </w:lvl>
  </w:abstractNum>
  <w:abstractNum w:abstractNumId="121">
    <w:nsid w:val="57D2F10E"/>
    <w:multiLevelType w:val="hybridMultilevel"/>
    <w:lvl w:ilvl="0">
      <w:lvlJc w:val="left"/>
      <w:lvlText w:val="(%1)"/>
      <w:numFmt w:val="upperLetter"/>
      <w:start w:val="1"/>
    </w:lvl>
  </w:abstractNum>
  <w:abstractNum w:abstractNumId="122">
    <w:nsid w:val="BFFAE18"/>
    <w:multiLevelType w:val="hybridMultilevel"/>
    <w:lvl w:ilvl="0">
      <w:lvlJc w:val="left"/>
      <w:lvlText w:val="(%1)"/>
      <w:numFmt w:val="upperLetter"/>
      <w:start w:val="2"/>
    </w:lvl>
  </w:abstractNum>
  <w:abstractNum w:abstractNumId="123">
    <w:nsid w:val="E3E47A8"/>
    <w:multiLevelType w:val="hybridMultilevel"/>
    <w:lvl w:ilvl="0">
      <w:lvlJc w:val="left"/>
      <w:lvlText w:val="(%1)"/>
      <w:numFmt w:val="upperLetter"/>
      <w:start w:val="1"/>
    </w:lvl>
  </w:abstractNum>
  <w:abstractNum w:abstractNumId="124">
    <w:nsid w:val="2E48F044"/>
    <w:multiLevelType w:val="hybridMultilevel"/>
    <w:lvl w:ilvl="0">
      <w:lvlJc w:val="left"/>
      <w:lvlText w:val="(%1)"/>
      <w:numFmt w:val="upperLetter"/>
      <w:start w:val="1"/>
    </w:lvl>
  </w:abstractNum>
  <w:abstractNum w:abstractNumId="125">
    <w:nsid w:val="49D0FEAC"/>
    <w:multiLevelType w:val="hybridMultilevel"/>
    <w:lvl w:ilvl="0">
      <w:lvlJc w:val="left"/>
      <w:lvlText w:val="(%1)"/>
      <w:numFmt w:val="upperLetter"/>
      <w:start w:val="2"/>
    </w:lvl>
  </w:abstractNum>
  <w:abstractNum w:abstractNumId="126">
    <w:nsid w:val="4BEE5A5B"/>
    <w:multiLevelType w:val="hybridMultilevel"/>
    <w:lvl w:ilvl="0">
      <w:lvlJc w:val="left"/>
      <w:lvlText w:val="(%1)"/>
      <w:numFmt w:val="upperLetter"/>
      <w:start w:val="1"/>
    </w:lvl>
    <w:lvl w:ilvl="1">
      <w:lvlJc w:val="left"/>
      <w:lvlText w:val="(%2)"/>
      <w:numFmt w:val="decimal"/>
      <w:start w:val="1"/>
    </w:lvl>
  </w:abstractNum>
  <w:abstractNum w:abstractNumId="127">
    <w:nsid w:val="5551B9F3"/>
    <w:multiLevelType w:val="hybridMultilevel"/>
    <w:lvl w:ilvl="0">
      <w:lvlJc w:val="left"/>
      <w:lvlText w:val="(%1)"/>
      <w:numFmt w:val="decimal"/>
      <w:start w:val="5"/>
    </w:lvl>
  </w:abstractNum>
  <w:abstractNum w:abstractNumId="128">
    <w:nsid w:val="24F6AB8E"/>
    <w:multiLevelType w:val="hybridMultilevel"/>
    <w:lvl w:ilvl="0">
      <w:lvlJc w:val="left"/>
      <w:lvlText w:val="(%1)"/>
      <w:numFmt w:val="upperLetter"/>
      <w:start w:val="1"/>
    </w:lvl>
    <w:lvl w:ilvl="1">
      <w:lvlJc w:val="left"/>
      <w:lvlText w:val="(%2)"/>
      <w:numFmt w:val="decimal"/>
      <w:start w:val="1"/>
    </w:lvl>
  </w:abstractNum>
  <w:abstractNum w:abstractNumId="129">
    <w:nsid w:val="634C574C"/>
    <w:multiLevelType w:val="hybridMultilevel"/>
    <w:lvl w:ilvl="0">
      <w:lvlJc w:val="left"/>
      <w:lvlText w:val="(%1)"/>
      <w:numFmt w:val="upperLetter"/>
      <w:start w:val="6"/>
    </w:lvl>
    <w:lvl w:ilvl="1">
      <w:lvlJc w:val="left"/>
      <w:lvlText w:val="(%2)"/>
      <w:numFmt w:val="decimal"/>
      <w:start w:val="1"/>
    </w:lvl>
  </w:abstractNum>
  <w:abstractNum w:abstractNumId="130">
    <w:nsid w:val="24E99DD7"/>
    <w:multiLevelType w:val="hybridMultilevel"/>
    <w:lvl w:ilvl="0">
      <w:lvlJc w:val="left"/>
      <w:lvlText w:val="(%1)"/>
      <w:numFmt w:val="upperLetter"/>
      <w:start w:val="12"/>
    </w:lvl>
  </w:abstractNum>
  <w:abstractNum w:abstractNumId="131">
    <w:nsid w:val="2A31B62D"/>
    <w:multiLevelType w:val="hybridMultilevel"/>
    <w:lvl w:ilvl="0">
      <w:lvlJc w:val="left"/>
      <w:lvlText w:val="(%1)"/>
      <w:numFmt w:val="upperLetter"/>
      <w:start w:val="1"/>
    </w:lvl>
  </w:abstractNum>
  <w:abstractNum w:abstractNumId="132">
    <w:nsid w:val="1849C29B"/>
    <w:multiLevelType w:val="hybridMultilevel"/>
    <w:lvl w:ilvl="0">
      <w:lvlJc w:val="left"/>
      <w:lvlText w:val="●"/>
      <w:numFmt w:val="bullet"/>
      <w:start w:val="1"/>
    </w:lvl>
  </w:abstractNum>
  <w:abstractNum w:abstractNumId="133">
    <w:nsid w:val="7DFF9D09"/>
    <w:multiLevelType w:val="hybridMultilevel"/>
    <w:lvl w:ilvl="0">
      <w:lvlJc w:val="left"/>
      <w:lvlText w:val="%1."/>
      <w:numFmt w:val="decimal"/>
      <w:start w:val="1"/>
    </w:lvl>
    <w:lvl w:ilvl="1">
      <w:lvlJc w:val="left"/>
      <w:lvlText w:val="(%2)"/>
      <w:numFmt w:val="lowerLetter"/>
      <w:start w:val="1"/>
    </w:lvl>
  </w:abstractNum>
  <w:abstractNum w:abstractNumId="134">
    <w:nsid w:val="754342"/>
    <w:multiLevelType w:val="hybridMultilevel"/>
    <w:lvl w:ilvl="0">
      <w:lvlJc w:val="left"/>
      <w:lvlText w:val="%1."/>
      <w:numFmt w:val="decimal"/>
      <w:start w:val="2"/>
    </w:lvl>
    <w:lvl w:ilvl="1">
      <w:lvlJc w:val="left"/>
      <w:lvlText w:val="(%2)"/>
      <w:numFmt w:val="lowerLetter"/>
      <w:start w:val="1"/>
    </w:lvl>
  </w:abstractNum>
  <w:abstractNum w:abstractNumId="135">
    <w:nsid w:val="69E7F3E5"/>
    <w:multiLevelType w:val="hybridMultilevel"/>
    <w:lvl w:ilvl="0">
      <w:lvlJc w:val="left"/>
      <w:lvlText w:val="%1."/>
      <w:numFmt w:val="decimal"/>
      <w:start w:val="1"/>
    </w:lvl>
    <w:lvl w:ilvl="1">
      <w:lvlJc w:val="left"/>
      <w:lvlText w:val="(%2)"/>
      <w:numFmt w:val="lowerLetter"/>
      <w:start w:val="1"/>
    </w:lvl>
  </w:abstractNum>
  <w:abstractNum w:abstractNumId="136">
    <w:nsid w:val="2A6DE806"/>
    <w:multiLevelType w:val="hybridMultilevel"/>
    <w:lvl w:ilvl="0">
      <w:lvlJc w:val="left"/>
      <w:lvlText w:val="%1."/>
      <w:numFmt w:val="decimal"/>
      <w:start w:val="4"/>
    </w:lvl>
  </w:abstractNum>
  <w:abstractNum w:abstractNumId="137">
    <w:nsid w:val="1816F8C4"/>
    <w:multiLevelType w:val="hybridMultilevel"/>
    <w:lvl w:ilvl="0">
      <w:lvlJc w:val="left"/>
      <w:lvlText w:val="%1."/>
      <w:numFmt w:val="decimal"/>
      <w:start w:val="1"/>
    </w:lvl>
    <w:lvl w:ilvl="1">
      <w:lvlJc w:val="left"/>
      <w:lvlText w:val="(%2)"/>
      <w:numFmt w:val="lowerLetter"/>
      <w:start w:val="1"/>
    </w:lvl>
  </w:abstractNum>
  <w:abstractNum w:abstractNumId="138">
    <w:nsid w:val="37DF22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9">
    <w:nsid w:val="7AB49DA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0">
    <w:nsid w:val="759F82C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1">
    <w:nsid w:val="61E74EA3"/>
    <w:multiLevelType w:val="hybridMultilevel"/>
    <w:lvl w:ilvl="0">
      <w:lvlJc w:val="left"/>
      <w:lvlText w:val="%1."/>
      <w:numFmt w:val="decimal"/>
      <w:start w:val="1"/>
    </w:lvl>
  </w:abstractNum>
  <w:abstractNum w:abstractNumId="142">
    <w:nsid w:val="597B4D84"/>
    <w:multiLevelType w:val="hybridMultilevel"/>
    <w:lvl w:ilvl="0">
      <w:lvlJc w:val="left"/>
      <w:lvlText w:val="%1."/>
      <w:numFmt w:val="decimal"/>
      <w:start w:val="2"/>
    </w:lvl>
    <w:lvl w:ilvl="1">
      <w:lvlJc w:val="left"/>
      <w:lvlText w:val="(%2)"/>
      <w:numFmt w:val="lowerLetter"/>
      <w:start w:val="1"/>
    </w:lvl>
  </w:abstractNum>
  <w:abstractNum w:abstractNumId="143">
    <w:nsid w:val="F819E7F"/>
    <w:multiLevelType w:val="hybridMultilevel"/>
    <w:lvl w:ilvl="0">
      <w:lvlJc w:val="left"/>
      <w:lvlText w:val="%1."/>
      <w:numFmt w:val="decimal"/>
      <w:start w:val="1"/>
    </w:lvl>
    <w:lvl w:ilvl="1">
      <w:lvlJc w:val="left"/>
      <w:lvlText w:val="%2."/>
      <w:numFmt w:val="lowerLetter"/>
      <w:start w:val="1"/>
    </w:lvl>
  </w:abstractNum>
  <w:abstractNum w:abstractNumId="144">
    <w:nsid w:val="57C7D42D"/>
    <w:multiLevelType w:val="hybridMultilevel"/>
    <w:lvl w:ilvl="0">
      <w:lvlJc w:val="left"/>
      <w:lvlText w:val="%1."/>
      <w:numFmt w:val="decimal"/>
      <w:start w:val="1"/>
    </w:lvl>
    <w:lvl w:ilvl="1">
      <w:lvlJc w:val="left"/>
      <w:lvlText w:val="%2."/>
      <w:numFmt w:val="lowerLetter"/>
      <w:start w:val="1"/>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91" Type="http://schemas.openxmlformats.org/officeDocument/2006/relationships/hyperlink" Target="https://www.sec.gov/Archives/edgar/data/912767/000155837024007280/ufpi-20240330xex3da.htm" TargetMode="External"/><Relationship Id="rId92" Type="http://schemas.openxmlformats.org/officeDocument/2006/relationships/hyperlink" Target="http://www.sec.gov/Archives/edgar/data/912767/000091276717000007/ufpi-20161231xexhibit3b.htm" TargetMode="External"/><Relationship Id="rId93" Type="http://schemas.openxmlformats.org/officeDocument/2006/relationships/hyperlink" Target="https://www.sec.gov/Archives/edgar/data/912767/000091276718000029/ufpi-20181102xex10.htm" TargetMode="External"/><Relationship Id="rId94" Type="http://schemas.openxmlformats.org/officeDocument/2006/relationships/hyperlink" Target="https://www.sec.gov/Archives/edgar/data/912767/000155837021005886/ufpi-20210327xex10da.htm" TargetMode="External"/><Relationship Id="rId95" Type="http://schemas.openxmlformats.org/officeDocument/2006/relationships/hyperlink" Target="https://www.sec.gov/Archives/edgar/data/912767/000091276722000041/ufpi-20221206xex10.htm" TargetMode="External"/><Relationship Id="rId96" Type="http://schemas.openxmlformats.org/officeDocument/2006/relationships/hyperlink" Target="https://www.sec.gov/Archives/edgar/data/912767/000155837024001963/ufpi-20231230xex10daiii.htm" TargetMode="External"/><Relationship Id="rId97" Type="http://schemas.openxmlformats.org/officeDocument/2006/relationships/hyperlink" Target="https://www.sec.gov/Archives/edgar/data/912767/000155837024001963/ufpi-20231230xex10de.htm" TargetMode="External"/><Relationship Id="rId98" Type="http://schemas.openxmlformats.org/officeDocument/2006/relationships/hyperlink" Target="https://www.sec.gov/Archives/edgar/data/912767/000155837024001963/ufpi-20231230xex10df.htm" TargetMode="External"/><Relationship Id="rId99" Type="http://schemas.openxmlformats.org/officeDocument/2006/relationships/hyperlink" Target="https://www.sec.gov/Archives/edgar/data/912767/000155837024001963/ufpi-20231230xex10dg.htm" TargetMode="External"/><Relationship Id="rId100" Type="http://schemas.openxmlformats.org/officeDocument/2006/relationships/hyperlink" Target="https://www.sec.gov/Archives/edgar/data/912767/000155837024001963/ufpi-20231230xex10dh.htm" TargetMode="External"/><Relationship Id="rId101" Type="http://schemas.openxmlformats.org/officeDocument/2006/relationships/hyperlink" Target="https://www.sec.gov/Archives/edgar/data/912767/000155837024001963/ufpi-20231230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2025-02-26T14:41:56Z</dcterms:created>
  <dcterms:modified xsi:type="dcterms:W3CDTF">2025-02-26T14:41:56Z</dcterms:modified>
</cp:coreProperties>
</file>