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29, 2024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800"/>
        <w:spacing w:after="0" w:line="26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color w:val="auto"/>
                <w:w w:val="97"/>
              </w:rPr>
              <w:t>Class</w:t>
            </w:r>
          </w:p>
        </w:tc>
        <w:tc>
          <w:tcPr>
            <w:tcW w:w="50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Outstanding as of June 29, 2024</w:t>
            </w: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180" w:type="dxa"/>
            <w:vAlign w:val="bottom"/>
          </w:tcPr>
          <w:p>
            <w:pPr>
              <w:spacing w:after="0"/>
              <w:rPr>
                <w:sz w:val="20"/>
                <w:szCs w:val="20"/>
                <w:color w:val="auto"/>
              </w:rPr>
            </w:pPr>
          </w:p>
        </w:tc>
        <w:tc>
          <w:tcPr>
            <w:tcW w:w="40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60,918,541</w:t>
            </w:r>
          </w:p>
        </w:tc>
        <w:tc>
          <w:tcPr>
            <w:tcW w:w="1060" w:type="dxa"/>
            <w:vAlign w:val="bottom"/>
          </w:tcPr>
          <w:p>
            <w:pPr>
              <w:spacing w:after="0"/>
              <w:rPr>
                <w:sz w:val="20"/>
                <w:szCs w:val="20"/>
                <w:color w:val="auto"/>
              </w:rPr>
            </w:pPr>
          </w:p>
        </w:tc>
      </w:tr>
      <w:tr>
        <w:trPr>
          <w:trHeight w:val="340"/>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6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Title of Each Class</w:t>
            </w:r>
          </w:p>
        </w:tc>
        <w:tc>
          <w:tcPr>
            <w:tcW w:w="18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680" w:type="dxa"/>
            <w:vAlign w:val="bottom"/>
            <w:tcBorders>
              <w:bottom w:val="single" w:sz="8" w:color="auto"/>
            </w:tcBorders>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18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200" w:type="dxa"/>
            <w:vAlign w:val="bottom"/>
            <w:tcBorders>
              <w:bottom w:val="single" w:sz="8" w:color="auto"/>
            </w:tcBorders>
            <w:gridSpan w:val="2"/>
          </w:tcPr>
          <w:p>
            <w:pPr>
              <w:spacing w:after="0"/>
              <w:rPr>
                <w:sz w:val="18"/>
                <w:szCs w:val="18"/>
                <w:color w:val="auto"/>
              </w:rPr>
            </w:pPr>
          </w:p>
        </w:tc>
        <w:tc>
          <w:tcPr>
            <w:tcW w:w="506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1000" w:type="dxa"/>
            <w:vAlign w:val="bottom"/>
            <w:tcBorders>
              <w:left w:val="single" w:sz="8" w:color="auto"/>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June 29, 2024, December 30, 2023 and</w:t>
            </w: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July 1, 2023</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and Six Months Ended June 29, 2024 and July 1, 2023</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4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Six</w:t>
            </w:r>
          </w:p>
        </w:tc>
        <w:tc>
          <w:tcPr>
            <w:tcW w:w="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June 29, 2024 and July 1, 2023</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June 29, 2024 and July 1, 2023</w:t>
            </w:r>
          </w:p>
        </w:tc>
        <w:tc>
          <w:tcPr>
            <w:tcW w:w="60" w:type="dxa"/>
            <w:vAlign w:val="bottom"/>
            <w:tcBorders>
              <w:top w:val="single" w:sz="8" w:color="CCEEFF"/>
            </w:tcBorders>
            <w:gridSpan w:val="3"/>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1,041,341</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702,148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36,740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724,921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802,300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334,300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290,942</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486,887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684,813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727,788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821,187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36,486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2,554,029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2,502,089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2,415,058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124,903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103,774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101,292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335,448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336,313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162,358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1,638,880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1,559,304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(819,383)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(782,727)</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(729,468)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819,497</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776,577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718,014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4,138,494</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4,017,797</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3,843,943</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263,318</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203,055</w:t>
            </w:r>
          </w:p>
        </w:tc>
        <w:tc>
          <w:tcPr>
            <w:tcW w:w="220" w:type="dxa"/>
            <w:vAlign w:val="bottom"/>
          </w:tcPr>
          <w:p>
            <w:pPr>
              <w:spacing w:after="0"/>
              <w:rPr>
                <w:sz w:val="12"/>
                <w:szCs w:val="12"/>
                <w:color w:val="auto"/>
              </w:rPr>
            </w:pPr>
          </w:p>
        </w:tc>
        <w:tc>
          <w:tcPr>
            <w:tcW w:w="18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264,408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183,910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80,506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43,754</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42,900</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588,388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567,976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556,004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232,979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233,534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274,821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102,872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45,248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33,027</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36,137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1,002,053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967,577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1,002,174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38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18,931</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20,030</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38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38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60,919</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61,621</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61,865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60,918,541, 61,621,004, and 61,865,006</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371,771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354,702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335,494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2,670,086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2,582,332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2,408,314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3,096,811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2,999,761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2,803,383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20,699</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31,614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3,117,510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3,030,190</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2,834,997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4,138,494</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4,017,797</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3,843,943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5"/>
                <w:szCs w:val="15"/>
                <w:color w:val="auto"/>
              </w:rPr>
            </w:pPr>
          </w:p>
        </w:tc>
        <w:tc>
          <w:tcPr>
            <w:tcW w:w="202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2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tcPr>
          <w:p>
            <w:pPr>
              <w:jc w:val="right"/>
              <w:ind w:right="115"/>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73"/>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ind w:right="115"/>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73"/>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200" w:type="dxa"/>
            <w:vAlign w:val="bottom"/>
          </w:tcPr>
          <w:p>
            <w:pPr>
              <w:spacing w:after="0"/>
              <w:rPr>
                <w:sz w:val="10"/>
                <w:szCs w:val="10"/>
                <w:color w:val="auto"/>
              </w:rPr>
            </w:pPr>
          </w:p>
        </w:tc>
      </w:tr>
      <w:tr>
        <w:trPr>
          <w:trHeight w:val="180"/>
        </w:trPr>
        <w:tc>
          <w:tcPr>
            <w:tcW w:w="4320" w:type="dxa"/>
            <w:vAlign w:val="bottom"/>
          </w:tcPr>
          <w:p>
            <w:pPr>
              <w:spacing w:after="0"/>
              <w:rPr>
                <w:sz w:val="15"/>
                <w:szCs w:val="15"/>
                <w:color w:val="auto"/>
              </w:rPr>
            </w:pPr>
          </w:p>
        </w:tc>
        <w:tc>
          <w:tcPr>
            <w:tcW w:w="110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$ 1,901,959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$ 2,043,918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$ 3,540,925</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$ 3,866,394</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1,539,216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1,643,851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2,852,104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3,107,998</w:t>
            </w:r>
          </w:p>
        </w:tc>
        <w:tc>
          <w:tcPr>
            <w:tcW w:w="200" w:type="dxa"/>
            <w:vAlign w:val="bottom"/>
          </w:tcPr>
          <w:p>
            <w:pPr>
              <w:spacing w:after="0"/>
              <w:rPr>
                <w:sz w:val="19"/>
                <w:szCs w:val="19"/>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400,067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758,396</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204,703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399,386</w:t>
            </w:r>
          </w:p>
        </w:tc>
        <w:tc>
          <w:tcPr>
            <w:tcW w:w="200" w:type="dxa"/>
            <w:vAlign w:val="bottom"/>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LOSSES (GAINS), NET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00" w:type="dxa"/>
            <w:vAlign w:val="bottom"/>
            <w:shd w:val="clear" w:color="auto" w:fill="CCEEFF"/>
          </w:tcPr>
          <w:p>
            <w:pPr>
              <w:spacing w:after="0"/>
              <w:rPr>
                <w:sz w:val="20"/>
                <w:szCs w:val="20"/>
                <w:color w:val="auto"/>
              </w:rPr>
            </w:pPr>
          </w:p>
        </w:tc>
      </w:tr>
      <w:tr>
        <w:trPr>
          <w:trHeight w:val="203"/>
        </w:trPr>
        <w:tc>
          <w:tcPr>
            <w:tcW w:w="4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159,034</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193,497</w:t>
            </w:r>
          </w:p>
        </w:tc>
        <w:tc>
          <w:tcPr>
            <w:tcW w:w="1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292,857</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355,205</w:t>
            </w:r>
          </w:p>
        </w:tc>
        <w:tc>
          <w:tcPr>
            <w:tcW w:w="200" w:type="dxa"/>
            <w:vAlign w:val="bottom"/>
            <w:tcBorders>
              <w:top w:val="single" w:sz="8" w:color="CCEEFF"/>
            </w:tcBorders>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200" w:type="dxa"/>
            <w:vAlign w:val="bottom"/>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shd w:val="clear" w:color="auto" w:fill="CCEEFF"/>
          </w:tcPr>
          <w:p>
            <w:pPr>
              <w:spacing w:after="0"/>
              <w:rPr>
                <w:sz w:val="20"/>
                <w:szCs w:val="20"/>
                <w:color w:val="auto"/>
              </w:rPr>
            </w:pPr>
          </w:p>
        </w:tc>
      </w:tr>
      <w:tr>
        <w:trPr>
          <w:trHeight w:val="210"/>
        </w:trPr>
        <w:tc>
          <w:tcPr>
            <w:tcW w:w="43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(9,406)</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(4,025)</w:t>
            </w:r>
          </w:p>
        </w:tc>
        <w:tc>
          <w:tcPr>
            <w:tcW w:w="14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(22,169)</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(6,866)</w:t>
            </w:r>
          </w:p>
        </w:tc>
        <w:tc>
          <w:tcPr>
            <w:tcW w:w="200" w:type="dxa"/>
            <w:vAlign w:val="bottom"/>
            <w:tcBorders>
              <w:top w:val="single" w:sz="8" w:color="CCEEFF"/>
              <w:bottom w:val="single" w:sz="8" w:color="CCEEFF"/>
            </w:tcBorders>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315,026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362,071</w:t>
            </w:r>
          </w:p>
        </w:tc>
        <w:tc>
          <w:tcPr>
            <w:tcW w:w="20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85,705</w:t>
            </w:r>
          </w:p>
        </w:tc>
        <w:tc>
          <w:tcPr>
            <w:tcW w:w="200" w:type="dxa"/>
            <w:vAlign w:val="bottom"/>
          </w:tcPr>
          <w:p>
            <w:pPr>
              <w:spacing w:after="0"/>
              <w:rPr>
                <w:sz w:val="19"/>
                <w:szCs w:val="19"/>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276,366</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019"/>
          </w:cols>
          <w:pgMar w:left="1440" w:top="540" w:right="1440" w:bottom="1440" w:gutter="0" w:footer="0" w:header="0"/>
        </w:sectPr>
      </w:pPr>
    </w:p>
    <w:p>
      <w:pPr>
        <w:ind w:left="60" w:right="640"/>
        <w:spacing w:after="0" w:line="260" w:lineRule="auto"/>
        <w:rPr>
          <w:sz w:val="20"/>
          <w:szCs w:val="20"/>
          <w:color w:val="auto"/>
        </w:rPr>
      </w:pPr>
      <w:r>
        <w:rPr>
          <w:rFonts w:ascii="Times New Roman" w:cs="Times New Roman" w:eastAsia="Times New Roman" w:hAnsi="Times New Roman"/>
          <w:sz w:val="16"/>
          <w:szCs w:val="16"/>
          <w:color w:val="auto"/>
        </w:rPr>
        <w:t>NET (EARNINGS) LOSS ATTRIBUTABLE TO NONCONTROLLING INTEREST</w:t>
      </w:r>
    </w:p>
    <w:p>
      <w:pPr>
        <w:ind w:left="60"/>
        <w:spacing w:after="0" w:line="288" w:lineRule="auto"/>
        <w:rPr>
          <w:sz w:val="20"/>
          <w:szCs w:val="20"/>
          <w:color w:val="auto"/>
        </w:rPr>
      </w:pPr>
      <w:r>
        <w:rPr>
          <w:rFonts w:ascii="Times New Roman" w:cs="Times New Roman" w:eastAsia="Times New Roman" w:hAnsi="Times New Roman"/>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left="540"/>
        <w:spacing w:after="0"/>
        <w:tabs>
          <w:tab w:leader="none" w:pos="1720" w:val="left"/>
          <w:tab w:leader="none" w:pos="2680" w:val="left"/>
          <w:tab w:leader="none" w:pos="3860" w:val="left"/>
        </w:tabs>
        <w:rPr>
          <w:sz w:val="20"/>
          <w:szCs w:val="20"/>
          <w:color w:val="auto"/>
        </w:rPr>
      </w:pPr>
      <w:r>
        <w:rPr>
          <w:rFonts w:ascii="Times New Roman" w:cs="Times New Roman" w:eastAsia="Times New Roman" w:hAnsi="Times New Roman"/>
          <w:sz w:val="18"/>
          <w:szCs w:val="18"/>
          <w:color w:val="auto"/>
        </w:rPr>
        <w:t>(302)</w:t>
      </w:r>
      <w:r>
        <w:rPr>
          <w:sz w:val="20"/>
          <w:szCs w:val="20"/>
          <w:color w:val="auto"/>
        </w:rPr>
        <w:tab/>
      </w: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7"/>
          <w:szCs w:val="17"/>
          <w:color w:val="auto"/>
        </w:rPr>
        <w:t>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17145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100" w:val="left"/>
          <w:tab w:leader="none" w:pos="1380" w:val="left"/>
          <w:tab w:leader="none" w:pos="2160" w:val="left"/>
          <w:tab w:leader="none" w:pos="2440" w:val="left"/>
          <w:tab w:leader="none" w:pos="3260" w:val="left"/>
          <w:tab w:leader="none" w:pos="3540" w:val="left"/>
        </w:tabs>
        <w:rPr>
          <w:sz w:val="20"/>
          <w:szCs w:val="20"/>
          <w:color w:val="auto"/>
        </w:rPr>
      </w:pPr>
      <w:r>
        <w:rPr>
          <w:rFonts w:ascii="Times New Roman" w:cs="Times New Roman" w:eastAsia="Times New Roman" w:hAnsi="Times New Roman"/>
          <w:sz w:val="18"/>
          <w:szCs w:val="18"/>
          <w:u w:val="single" w:color="auto"/>
          <w:color w:val="auto"/>
        </w:rPr>
        <w:t>$</w:t>
        <w:tab/>
        <w:t>125,930</w:t>
        <w:tab/>
        <w:t>$</w:t>
        <w:tab/>
        <w:t>150,761</w:t>
        <w:tab/>
        <w:t>$</w:t>
        <w:tab/>
        <w:t>246,721</w:t>
        <w:tab/>
        <w:t>$</w:t>
      </w:r>
      <w:r>
        <w:rPr>
          <w:sz w:val="20"/>
          <w:szCs w:val="20"/>
          <w:color w:val="auto"/>
        </w:rPr>
        <w:tab/>
      </w:r>
      <w:r>
        <w:rPr>
          <w:rFonts w:ascii="Times New Roman" w:cs="Times New Roman" w:eastAsia="Times New Roman" w:hAnsi="Times New Roman"/>
          <w:sz w:val="17"/>
          <w:szCs w:val="17"/>
          <w:u w:val="single" w:color="auto"/>
          <w:color w:val="auto"/>
        </w:rPr>
        <w:t>276,830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266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3900" w:space="660"/>
            <w:col w:w="4459"/>
          </w:cols>
          <w:pgMar w:left="1440" w:top="540"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ATTRIBUTABLE TO</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w:t>
            </w: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vMerge w:val="continue"/>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120,272</w:t>
            </w: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153,545</w:t>
            </w: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239,650</w:t>
            </w: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4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9019"/>
          </w:cols>
          <w:pgMar w:left="1440" w:top="540" w:right="1440" w:bottom="1440" w:gutter="0" w:footer="0" w:header="0"/>
        </w:sectPr>
      </w:pPr>
    </w:p>
    <w:p>
      <w:pPr>
        <w:spacing w:after="0" w:line="9" w:lineRule="exact"/>
        <w:rPr>
          <w:sz w:val="20"/>
          <w:szCs w:val="20"/>
          <w:color w:val="auto"/>
        </w:rPr>
      </w:pPr>
    </w:p>
    <w:p>
      <w:pPr>
        <w:ind w:left="60"/>
        <w:spacing w:after="0" w:line="248" w:lineRule="auto"/>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70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vMerge w:val="continue"/>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70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00" w:space="320"/>
            <w:col w:w="6099"/>
          </w:cols>
          <w:pgMar w:left="1440" w:top="540"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$ 61,621</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$ 354,702</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$ 2,582,332</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1,106</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30,429</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120,791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6,251 shares under employee stock</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369,012 shares under stock grant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76,927 shares under deferred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319,295 shares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7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on March 30, 2024</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$ 61,754</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$ 362,231</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$ 2,664,081</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28,336</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$ 3,116,095</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19,383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125,930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126,582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8,573 shares under employee stock</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29,460 shares under stock grant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9,841 shares under deferred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883,232 shares</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(99,681)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(100,564)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29, 2024</w:t>
            </w: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$ 60,919</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$ 371,771</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$ 2,670,086</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(5,965)</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28"/>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20,699</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$ 3,117,510</w:t>
            </w: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18,931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CONTINUED (Unaudited)</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data)</w:t>
            </w: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7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31, 2022</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$ 61,618</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$ 294,029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$ 2,217,410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(9,075)</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32,841</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$ 2,596,823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6,880</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125,756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$0.25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10,140 shares under employee</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824,669 shares under stock grant</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93,165 shares under deferred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450,597 shares</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April 1, 2023</w:t>
            </w: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$ 62,096</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$ 325,730</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$ 2,293,025</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(5,074)</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29,864</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$ 2,705,641</w:t>
            </w: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6,801</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150,817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$0.25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9,253 shares under employee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1,503 shares under stock</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programs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11,686 shares under deferred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250,000 shares</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July 1, 2023</w:t>
            </w: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$ 61,865</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$ 335,494</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$ 2,408,314</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(2,290)</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31,614</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$ 2,834,997</w:t>
            </w: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6,772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6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June 29,</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July 1,</w:t>
            </w:r>
          </w:p>
        </w:tc>
        <w:tc>
          <w:tcPr>
            <w:tcW w:w="0" w:type="dxa"/>
            <w:vAlign w:val="bottom"/>
          </w:tcPr>
          <w:p>
            <w:pPr>
              <w:spacing w:after="0"/>
              <w:rPr>
                <w:sz w:val="1"/>
                <w:szCs w:val="1"/>
                <w:color w:val="auto"/>
              </w:rPr>
            </w:pPr>
          </w:p>
        </w:tc>
      </w:tr>
      <w:tr>
        <w:trPr>
          <w:trHeight w:val="180"/>
        </w:trPr>
        <w:tc>
          <w:tcPr>
            <w:tcW w:w="62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247,331</w:t>
            </w:r>
          </w:p>
        </w:tc>
        <w:tc>
          <w:tcPr>
            <w:tcW w:w="3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276,366</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used in operating activities: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60,643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52,786</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10,371</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17,875</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49"/>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on investments and other</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loss of investee</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(gain) on sale, disposition and impairment of assets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(176,839)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(183,717)</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41,684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154,413</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56,899</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(25,723)</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(63,142)</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239,078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321,064</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(106,585)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(84,981)</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(14,747)</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11,486</w:t>
            </w:r>
          </w:p>
        </w:tc>
        <w:tc>
          <w:tcPr>
            <w:tcW w:w="0" w:type="dxa"/>
            <w:vAlign w:val="bottom"/>
          </w:tcPr>
          <w:p>
            <w:pPr>
              <w:spacing w:after="0"/>
              <w:rPr>
                <w:sz w:val="1"/>
                <w:szCs w:val="1"/>
                <w:color w:val="auto"/>
              </w:rPr>
            </w:pPr>
          </w:p>
        </w:tc>
      </w:tr>
      <w:tr>
        <w:trPr>
          <w:trHeight w:val="155"/>
        </w:trPr>
        <w:tc>
          <w:tcPr>
            <w:tcW w:w="62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(7,674)</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(85,310)</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11,026</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(11,869)</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(6,179)</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(40,660)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(31,149)</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0" w:type="dxa"/>
            <w:vAlign w:val="bottom"/>
          </w:tcPr>
          <w:p>
            <w:pPr>
              <w:spacing w:after="0"/>
              <w:rPr>
                <w:sz w:val="1"/>
                <w:szCs w:val="1"/>
                <w:color w:val="auto"/>
              </w:rPr>
            </w:pPr>
          </w:p>
        </w:tc>
      </w:tr>
      <w:tr>
        <w:trPr>
          <w:trHeight w:val="149"/>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(119,362)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(55,484)</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36"/>
        </w:trPr>
        <w:tc>
          <w:tcPr>
            <w:tcW w:w="6240" w:type="dxa"/>
            <w:vAlign w:val="bottom"/>
          </w:tcPr>
          <w:p>
            <w:pPr>
              <w:ind w:left="100"/>
              <w:spacing w:after="0" w:line="136"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(196,468)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(97,047)</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(3,726)</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4,579</w:t>
            </w:r>
          </w:p>
        </w:tc>
        <w:tc>
          <w:tcPr>
            <w:tcW w:w="0" w:type="dxa"/>
            <w:vAlign w:val="bottom"/>
          </w:tcPr>
          <w:p>
            <w:pPr>
              <w:spacing w:after="0"/>
              <w:rPr>
                <w:sz w:val="1"/>
                <w:szCs w:val="1"/>
                <w:color w:val="auto"/>
              </w:rPr>
            </w:pPr>
          </w:p>
        </w:tc>
      </w:tr>
      <w:tr>
        <w:trPr>
          <w:trHeight w:val="135"/>
        </w:trPr>
        <w:tc>
          <w:tcPr>
            <w:tcW w:w="62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(80,154)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143,286</w:t>
            </w:r>
          </w:p>
        </w:tc>
        <w:tc>
          <w:tcPr>
            <w:tcW w:w="0" w:type="dxa"/>
            <w:vAlign w:val="bottom"/>
          </w:tcPr>
          <w:p>
            <w:pPr>
              <w:spacing w:after="0"/>
              <w:rPr>
                <w:sz w:val="1"/>
                <w:szCs w:val="1"/>
                <w:color w:val="auto"/>
              </w:rPr>
            </w:pPr>
          </w:p>
        </w:tc>
      </w:tr>
      <w:tr>
        <w:trPr>
          <w:trHeight w:val="169"/>
        </w:trPr>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175"/>
        </w:trPr>
        <w:tc>
          <w:tcPr>
            <w:tcW w:w="6240" w:type="dxa"/>
            <w:vAlign w:val="bottom"/>
            <w:tcBorders>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1,042,102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702,909</w:t>
            </w: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6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82"/>
        </w:trPr>
        <w:tc>
          <w:tcPr>
            <w:tcW w:w="62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6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0" w:type="dxa"/>
            <w:vAlign w:val="bottom"/>
          </w:tcPr>
          <w:p>
            <w:pPr>
              <w:spacing w:after="0"/>
              <w:rPr>
                <w:sz w:val="1"/>
                <w:szCs w:val="1"/>
                <w:color w:val="auto"/>
              </w:rPr>
            </w:pPr>
          </w:p>
        </w:tc>
      </w:tr>
      <w:tr>
        <w:trPr>
          <w:trHeight w:val="129"/>
        </w:trPr>
        <w:tc>
          <w:tcPr>
            <w:tcW w:w="62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1,041,341</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702,148</w:t>
            </w:r>
          </w:p>
        </w:tc>
        <w:tc>
          <w:tcPr>
            <w:tcW w:w="0" w:type="dxa"/>
            <w:vAlign w:val="bottom"/>
          </w:tcPr>
          <w:p>
            <w:pPr>
              <w:spacing w:after="0"/>
              <w:rPr>
                <w:sz w:val="1"/>
                <w:szCs w:val="1"/>
                <w:color w:val="auto"/>
              </w:rPr>
            </w:pPr>
          </w:p>
        </w:tc>
      </w:tr>
      <w:tr>
        <w:trPr>
          <w:trHeight w:val="149"/>
        </w:trPr>
        <w:tc>
          <w:tcPr>
            <w:tcW w:w="62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6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6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1,042,102</w:t>
            </w: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702,909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INFORMATION:</w:t>
            </w: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6,317</w:t>
            </w:r>
          </w:p>
        </w:tc>
        <w:tc>
          <w:tcPr>
            <w:tcW w:w="34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6,345</w:t>
            </w:r>
          </w:p>
        </w:tc>
        <w:tc>
          <w:tcPr>
            <w:tcW w:w="0" w:type="dxa"/>
            <w:vAlign w:val="bottom"/>
          </w:tcPr>
          <w:p>
            <w:pPr>
              <w:spacing w:after="0"/>
              <w:rPr>
                <w:sz w:val="1"/>
                <w:szCs w:val="1"/>
                <w:color w:val="auto"/>
              </w:rPr>
            </w:pPr>
          </w:p>
        </w:tc>
      </w:tr>
      <w:tr>
        <w:trPr>
          <w:trHeight w:val="149"/>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65,572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66,329</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3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148"/>
        </w:trPr>
        <w:tc>
          <w:tcPr>
            <w:tcW w:w="6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w:t>
            </w:r>
          </w:p>
        </w:tc>
        <w:tc>
          <w:tcPr>
            <w:tcW w:w="34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June 29, 2024, the carrying value of our investment in Dempsey is $58.9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30, 2023.</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July 1, 2023 balances in the accompanying unaudited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spacing w:after="0" w:line="194"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operating segments, we are currently evaluating the impact of adopting this guidance on the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9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88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2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$ 250,775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$ 261,727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$ 492,800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$ 498,933</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29,607</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24,088</w:t>
            </w: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39,279</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26,911</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0" w:type="dxa"/>
            <w:vAlign w:val="bottom"/>
          </w:tcPr>
          <w:p>
            <w:pPr>
              <w:spacing w:after="0"/>
              <w:rPr>
                <w:sz w:val="1"/>
                <w:szCs w:val="1"/>
                <w:color w:val="auto"/>
              </w:rPr>
            </w:pPr>
          </w:p>
        </w:tc>
      </w:tr>
      <w:tr>
        <w:trPr>
          <w:trHeight w:val="181"/>
        </w:trPr>
        <w:tc>
          <w:tcPr>
            <w:tcW w:w="14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31"/>
        </w:trPr>
        <w:tc>
          <w:tcPr>
            <w:tcW w:w="1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15,456</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0" w:type="dxa"/>
            <w:vAlign w:val="bottom"/>
          </w:tcPr>
          <w:p>
            <w:pPr>
              <w:spacing w:after="0"/>
              <w:rPr>
                <w:sz w:val="1"/>
                <w:szCs w:val="1"/>
                <w:color w:val="auto"/>
              </w:rPr>
            </w:pPr>
          </w:p>
        </w:tc>
      </w:tr>
      <w:tr>
        <w:trPr>
          <w:trHeight w:val="218"/>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$ 288,984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$ 350,467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$ 528,994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$ 568,655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June 29, 2024, listed in the table above, $261.4 million of money market funds are held in Cash and Cash Equivalents, $36.7 million of mutual funds, equity securities, and alternative investments are held in Investments, $22.0 million of equity securities are held in Other Assets, $0.1 million of money market and mutual funds are held in Other Assets for our deferred compensation plan, and $30.0 million of fixed income funds and $0.3 million of money market funds are held in Restricted Investments. As of December 30, 2023, $498.5 million of money market funds were held in Cash and Cash Equivalents, $34.8 million of mutual funds, equity securities, and alternative investments were held in Investments, $10.5 million of equity securities were held in Other Assets, $0.1 million of money market and mutual funds were held in Other Assets for our deferred compensation plan, and $24.4 million of fixed income funds and $0.4 million of money market funds were held in Restricted Investments.</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$66.7 million and $59.2 million as of June 29, 2024 and December 30, 2023, respectively, which has been included in the aforementioned table of total investments. This portfolio consists of domestic and international equity securities, alternative investments, and fixed income bonds.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124"/>
        </w:trPr>
        <w:tc>
          <w:tcPr>
            <w:tcW w:w="3880" w:type="dxa"/>
            <w:vAlign w:val="bottom"/>
          </w:tcPr>
          <w:p>
            <w:pPr>
              <w:spacing w:after="0"/>
              <w:rPr>
                <w:sz w:val="10"/>
                <w:szCs w:val="10"/>
                <w:color w:val="auto"/>
              </w:rPr>
            </w:pPr>
          </w:p>
        </w:tc>
        <w:tc>
          <w:tcPr>
            <w:tcW w:w="7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0"/>
                <w:szCs w:val="10"/>
                <w:color w:val="auto"/>
              </w:rPr>
            </w:pP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8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4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$ 31,067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$ 29,607</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$ 25,514</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$ 24,088</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03"/>
        </w:trPr>
        <w:tc>
          <w:tcPr>
            <w:tcW w:w="38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$ 61,268</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5,423</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$ 66,691</w:t>
            </w:r>
          </w:p>
        </w:tc>
        <w:tc>
          <w:tcPr>
            <w:tcW w:w="140" w:type="dxa"/>
            <w:vAlign w:val="bottom"/>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$ 54,940</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4,237</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$ 59,177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$5.4 million and $4.2 million as of June 29, 2024 and December 30, 2023, respectively. Carrying amounts above are recorded in the Investments and Restricted Investments line items within the balance sheet as of June 29, 2024 and December 30, 2023.</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540" w:type="dxa"/>
            <w:vAlign w:val="bottom"/>
          </w:tcPr>
          <w:p>
            <w:pPr>
              <w:spacing w:after="0"/>
              <w:rPr>
                <w:sz w:val="15"/>
                <w:szCs w:val="15"/>
                <w:color w:val="auto"/>
              </w:rPr>
            </w:pPr>
          </w:p>
        </w:tc>
        <w:tc>
          <w:tcPr>
            <w:tcW w:w="218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Borders>
              <w:bottom w:val="single" w:sz="8" w:color="auto"/>
            </w:tcBorders>
          </w:tcPr>
          <w:p>
            <w:pPr>
              <w:spacing w:after="0"/>
              <w:rPr>
                <w:sz w:val="15"/>
                <w:szCs w:val="15"/>
                <w:color w:val="auto"/>
              </w:rPr>
            </w:pPr>
          </w:p>
        </w:tc>
      </w:tr>
      <w:tr>
        <w:trPr>
          <w:trHeight w:val="220"/>
        </w:trPr>
        <w:tc>
          <w:tcPr>
            <w:tcW w:w="2540" w:type="dxa"/>
            <w:vAlign w:val="bottom"/>
          </w:tcPr>
          <w:p>
            <w:pPr>
              <w:spacing w:after="0"/>
              <w:rPr>
                <w:sz w:val="19"/>
                <w:szCs w:val="19"/>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860" w:type="dxa"/>
            <w:vAlign w:val="bottom"/>
          </w:tcPr>
          <w:p>
            <w:pPr>
              <w:spacing w:after="0"/>
              <w:rPr>
                <w:sz w:val="19"/>
                <w:szCs w:val="19"/>
                <w:color w:val="auto"/>
              </w:rPr>
            </w:pPr>
          </w:p>
        </w:tc>
      </w:tr>
      <w:tr>
        <w:trPr>
          <w:trHeight w:val="192"/>
        </w:trPr>
        <w:tc>
          <w:tcPr>
            <w:tcW w:w="2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$ 1,857,264</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$ 2,006,319</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3,462,099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3,790,775</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44,695</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37,599</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2,043,918</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3,866,394</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2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80"/>
        </w:trPr>
        <w:tc>
          <w:tcPr>
            <w:tcW w:w="4380" w:type="dxa"/>
            <w:vAlign w:val="bottom"/>
          </w:tcPr>
          <w:p>
            <w:pPr>
              <w:spacing w:after="0"/>
              <w:rPr>
                <w:sz w:val="15"/>
                <w:szCs w:val="15"/>
                <w:color w:val="auto"/>
              </w:rPr>
            </w:pPr>
          </w:p>
        </w:tc>
        <w:tc>
          <w:tcPr>
            <w:tcW w:w="230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16"/>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7,227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3,266</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4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4"/>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13"/>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4"/>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33"/>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8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121,149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143,173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237,037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263,734</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59,035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59,626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59,107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59,787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59,159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60,544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59,213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60,672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79" w:firstLine="492"/>
        <w:spacing w:after="0" w:line="266" w:lineRule="auto"/>
        <w:rPr>
          <w:sz w:val="20"/>
          <w:szCs w:val="20"/>
          <w:color w:val="auto"/>
        </w:rPr>
      </w:pPr>
      <w:r>
        <w:rPr>
          <w:rFonts w:ascii="Times New Roman" w:cs="Times New Roman" w:eastAsia="Times New Roman" w:hAnsi="Times New Roman"/>
          <w:sz w:val="18"/>
          <w:szCs w:val="18"/>
          <w:color w:val="auto"/>
        </w:rPr>
        <w:t>In addition, on June 29, 2024,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June 29, 2024, we had outstanding purchase commitments on commenced capital projects of approximately $109.7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74" w:lineRule="auto"/>
        <w:rPr>
          <w:sz w:val="20"/>
          <w:szCs w:val="20"/>
          <w:color w:val="auto"/>
        </w:rPr>
      </w:pPr>
      <w:r>
        <w:rPr>
          <w:rFonts w:ascii="Times New Roman" w:cs="Times New Roman" w:eastAsia="Times New Roman" w:hAnsi="Times New Roman"/>
          <w:sz w:val="17"/>
          <w:szCs w:val="17"/>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June 29, 2024, we had approximately $23.4 million in outstanding payment and performance bonds for open projects. We had approximately $6.9 million in payment and performance bonds outstanding for completed projects which are still under warranty.</w:t>
      </w:r>
    </w:p>
    <w:p>
      <w:pPr>
        <w:spacing w:after="0" w:line="17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June 29, 2024, we had outstanding letters of credit totaling $43.8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June 29, 2024, we have irrevocable letters of credit outstanding totaling approximately $40.4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second quarter of 2024 which would require us to recognize a liability on our balance sheet.</w:t>
      </w:r>
    </w:p>
    <w:p>
      <w:pPr>
        <w:spacing w:after="0" w:line="158" w:lineRule="exact"/>
        <w:rPr>
          <w:sz w:val="20"/>
          <w:szCs w:val="20"/>
          <w:color w:val="auto"/>
        </w:rPr>
      </w:pPr>
    </w:p>
    <w:p>
      <w:pPr>
        <w:ind w:left="500" w:hanging="450"/>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business combination since the end of the second quarter of 2023, which was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right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4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$52,841</w:t>
            </w:r>
          </w:p>
        </w:tc>
        <w:tc>
          <w:tcPr>
            <w:tcW w:w="14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4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September 20, 2023</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consideration for 80%</w:t>
            </w:r>
          </w:p>
        </w:tc>
        <w:tc>
          <w:tcPr>
            <w:tcW w:w="140" w:type="dxa"/>
            <w:vAlign w:val="bottom"/>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43,785</w:t>
            </w:r>
          </w:p>
        </w:tc>
        <w:tc>
          <w:tcPr>
            <w:tcW w:w="160" w:type="dxa"/>
            <w:vAlign w:val="bottom"/>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vMerge w:val="restart"/>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86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International</w:t>
            </w:r>
          </w:p>
        </w:tc>
        <w:tc>
          <w:tcPr>
            <w:tcW w:w="0" w:type="dxa"/>
            <w:vAlign w:val="bottom"/>
          </w:tcPr>
          <w:p>
            <w:pPr>
              <w:spacing w:after="0"/>
              <w:rPr>
                <w:sz w:val="1"/>
                <w:szCs w:val="1"/>
                <w:color w:val="auto"/>
              </w:rPr>
            </w:pPr>
          </w:p>
        </w:tc>
      </w:tr>
      <w:tr>
        <w:trPr>
          <w:trHeight w:val="102"/>
        </w:trPr>
        <w:tc>
          <w:tcPr>
            <w:tcW w:w="2560" w:type="dxa"/>
            <w:vAlign w:val="bottom"/>
            <w:tcBorders>
              <w:left w:val="single" w:sz="8" w:color="auto"/>
              <w:right w:val="single" w:sz="8" w:color="auto"/>
            </w:tcBorders>
            <w:shd w:val="clear" w:color="auto" w:fill="CCEBFF"/>
          </w:tcPr>
          <w:p>
            <w:pPr>
              <w:spacing w:after="0"/>
              <w:rPr>
                <w:sz w:val="8"/>
                <w:szCs w:val="8"/>
                <w:color w:val="auto"/>
              </w:rPr>
            </w:pPr>
          </w:p>
        </w:tc>
        <w:tc>
          <w:tcPr>
            <w:tcW w:w="1440" w:type="dxa"/>
            <w:vAlign w:val="bottom"/>
            <w:tcBorders>
              <w:right w:val="single" w:sz="8" w:color="auto"/>
            </w:tcBorders>
            <w:vMerge w:val="continue"/>
            <w:shd w:val="clear" w:color="auto" w:fill="CCEBFF"/>
          </w:tcPr>
          <w:p>
            <w:pPr>
              <w:spacing w:after="0"/>
              <w:rPr>
                <w:sz w:val="8"/>
                <w:szCs w:val="8"/>
                <w:color w:val="auto"/>
              </w:rPr>
            </w:pPr>
          </w:p>
        </w:tc>
        <w:tc>
          <w:tcPr>
            <w:tcW w:w="1760" w:type="dxa"/>
            <w:vAlign w:val="bottom"/>
            <w:tcBorders>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stock purchase, net of</w:t>
            </w:r>
          </w:p>
        </w:tc>
        <w:tc>
          <w:tcPr>
            <w:tcW w:w="140" w:type="dxa"/>
            <w:vAlign w:val="bottom"/>
            <w:vMerge w:val="continue"/>
            <w:shd w:val="clear" w:color="auto" w:fill="CCEBFF"/>
          </w:tcPr>
          <w:p>
            <w:pPr>
              <w:spacing w:after="0"/>
              <w:rPr>
                <w:sz w:val="8"/>
                <w:szCs w:val="8"/>
                <w:color w:val="auto"/>
              </w:rPr>
            </w:pPr>
          </w:p>
        </w:tc>
        <w:tc>
          <w:tcPr>
            <w:tcW w:w="1020" w:type="dxa"/>
            <w:vAlign w:val="bottom"/>
            <w:tcBorders>
              <w:right w:val="single" w:sz="8" w:color="auto"/>
            </w:tcBorders>
            <w:vMerge w:val="continue"/>
            <w:shd w:val="clear" w:color="auto" w:fill="CCEBFF"/>
          </w:tcPr>
          <w:p>
            <w:pPr>
              <w:spacing w:after="0"/>
              <w:rPr>
                <w:sz w:val="8"/>
                <w:szCs w:val="8"/>
                <w:color w:val="auto"/>
              </w:rPr>
            </w:pPr>
          </w:p>
        </w:tc>
        <w:tc>
          <w:tcPr>
            <w:tcW w:w="160" w:type="dxa"/>
            <w:vAlign w:val="bottom"/>
            <w:vMerge w:val="continue"/>
            <w:shd w:val="clear" w:color="auto" w:fill="CCEBFF"/>
          </w:tcPr>
          <w:p>
            <w:pPr>
              <w:spacing w:after="0"/>
              <w:rPr>
                <w:sz w:val="8"/>
                <w:szCs w:val="8"/>
                <w:color w:val="auto"/>
              </w:rPr>
            </w:pPr>
          </w:p>
        </w:tc>
        <w:tc>
          <w:tcPr>
            <w:tcW w:w="980" w:type="dxa"/>
            <w:vAlign w:val="bottom"/>
            <w:tcBorders>
              <w:right w:val="single" w:sz="8" w:color="auto"/>
            </w:tcBorders>
            <w:vMerge w:val="continue"/>
            <w:shd w:val="clear" w:color="auto" w:fill="CCEBFF"/>
          </w:tcPr>
          <w:p>
            <w:pPr>
              <w:spacing w:after="0"/>
              <w:rPr>
                <w:sz w:val="8"/>
                <w:szCs w:val="8"/>
                <w:color w:val="auto"/>
              </w:rPr>
            </w:pPr>
          </w:p>
        </w:tc>
        <w:tc>
          <w:tcPr>
            <w:tcW w:w="860" w:type="dxa"/>
            <w:vAlign w:val="bottom"/>
            <w:tcBorders>
              <w:right w:val="single" w:sz="8" w:color="auto"/>
            </w:tcBorders>
            <w:vMerge w:val="continue"/>
            <w:shd w:val="clear" w:color="auto" w:fill="CCEB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560" w:type="dxa"/>
            <w:vAlign w:val="bottom"/>
            <w:tcBorders>
              <w:left w:val="single" w:sz="8" w:color="auto"/>
              <w:right w:val="single" w:sz="8" w:color="auto"/>
            </w:tcBorders>
            <w:shd w:val="clear" w:color="auto" w:fill="CCEBFF"/>
          </w:tcPr>
          <w:p>
            <w:pPr>
              <w:spacing w:after="0"/>
              <w:rPr>
                <w:sz w:val="8"/>
                <w:szCs w:val="8"/>
                <w:color w:val="auto"/>
              </w:rPr>
            </w:pPr>
          </w:p>
        </w:tc>
        <w:tc>
          <w:tcPr>
            <w:tcW w:w="1440" w:type="dxa"/>
            <w:vAlign w:val="bottom"/>
            <w:tcBorders>
              <w:right w:val="single" w:sz="8" w:color="auto"/>
            </w:tcBorders>
            <w:shd w:val="clear" w:color="auto" w:fill="CCEBFF"/>
          </w:tcPr>
          <w:p>
            <w:pPr>
              <w:spacing w:after="0"/>
              <w:rPr>
                <w:sz w:val="8"/>
                <w:szCs w:val="8"/>
                <w:color w:val="auto"/>
              </w:rPr>
            </w:pPr>
          </w:p>
        </w:tc>
        <w:tc>
          <w:tcPr>
            <w:tcW w:w="1760" w:type="dxa"/>
            <w:vAlign w:val="bottom"/>
            <w:tcBorders>
              <w:right w:val="single" w:sz="8" w:color="auto"/>
            </w:tcBorders>
            <w:vMerge w:val="continue"/>
            <w:shd w:val="clear" w:color="auto" w:fill="CCEBFF"/>
          </w:tcPr>
          <w:p>
            <w:pPr>
              <w:spacing w:after="0"/>
              <w:rPr>
                <w:sz w:val="8"/>
                <w:szCs w:val="8"/>
                <w:color w:val="auto"/>
              </w:rPr>
            </w:pPr>
          </w:p>
        </w:tc>
        <w:tc>
          <w:tcPr>
            <w:tcW w:w="140" w:type="dxa"/>
            <w:vAlign w:val="bottom"/>
            <w:shd w:val="clear" w:color="auto" w:fill="CCEBFF"/>
          </w:tcPr>
          <w:p>
            <w:pPr>
              <w:spacing w:after="0"/>
              <w:rPr>
                <w:sz w:val="8"/>
                <w:szCs w:val="8"/>
                <w:color w:val="auto"/>
              </w:rPr>
            </w:pPr>
          </w:p>
        </w:tc>
        <w:tc>
          <w:tcPr>
            <w:tcW w:w="1020" w:type="dxa"/>
            <w:vAlign w:val="bottom"/>
            <w:tcBorders>
              <w:right w:val="single" w:sz="8" w:color="auto"/>
            </w:tcBorders>
            <w:shd w:val="clear" w:color="auto" w:fill="CCEBFF"/>
          </w:tcPr>
          <w:p>
            <w:pPr>
              <w:spacing w:after="0"/>
              <w:rPr>
                <w:sz w:val="8"/>
                <w:szCs w:val="8"/>
                <w:color w:val="auto"/>
              </w:rPr>
            </w:pPr>
          </w:p>
        </w:tc>
        <w:tc>
          <w:tcPr>
            <w:tcW w:w="160" w:type="dxa"/>
            <w:vAlign w:val="bottom"/>
            <w:shd w:val="clear" w:color="auto" w:fill="CCEBFF"/>
          </w:tcPr>
          <w:p>
            <w:pPr>
              <w:spacing w:after="0"/>
              <w:rPr>
                <w:sz w:val="8"/>
                <w:szCs w:val="8"/>
                <w:color w:val="auto"/>
              </w:rPr>
            </w:pPr>
          </w:p>
        </w:tc>
        <w:tc>
          <w:tcPr>
            <w:tcW w:w="980" w:type="dxa"/>
            <w:vAlign w:val="bottom"/>
            <w:tcBorders>
              <w:right w:val="single" w:sz="8" w:color="auto"/>
            </w:tcBorders>
            <w:shd w:val="clear" w:color="auto" w:fill="CCEBFF"/>
          </w:tcPr>
          <w:p>
            <w:pPr>
              <w:spacing w:after="0"/>
              <w:rPr>
                <w:sz w:val="8"/>
                <w:szCs w:val="8"/>
                <w:color w:val="auto"/>
              </w:rPr>
            </w:pPr>
          </w:p>
        </w:tc>
        <w:tc>
          <w:tcPr>
            <w:tcW w:w="860" w:type="dxa"/>
            <w:vAlign w:val="bottom"/>
            <w:tcBorders>
              <w:right w:val="single" w:sz="8" w:color="auto"/>
            </w:tcBorders>
            <w:shd w:val="clear" w:color="auto" w:fill="CCEB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UFP Palets y Embalajes SL (UFP</w:t>
            </w:r>
          </w:p>
        </w:tc>
        <w:tc>
          <w:tcPr>
            <w:tcW w:w="144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acquired cash</w:t>
            </w:r>
          </w:p>
        </w:tc>
        <w:tc>
          <w:tcPr>
            <w:tcW w:w="14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60" w:type="dxa"/>
            <w:vAlign w:val="bottom"/>
            <w:tcBorders>
              <w:right w:val="single" w:sz="8" w:color="auto"/>
            </w:tcBorders>
            <w:gridSpan w:val="7"/>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Headquartered in Castellón, Spain, UFP Palets (formerly known as Palets Suller Group) is the</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Palets)</w:t>
            </w: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market leader in machine-built wood pallets, serving the region's large ceramic tile industry. The</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6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company had trailing 12-month sales of approximately $38 million through August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purchase accounting valuation of the UFP Palets investment is yet to be finalized. In aggregate, investments completed since the end of the second quarter of 2023 and not consolidated with other operations contributed approximately $10.7 million in net sales and $1.2 million in operating losses during the first six months of 2024.</w:t>
      </w:r>
    </w:p>
    <w:p>
      <w:pPr>
        <w:spacing w:after="0" w:line="1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business combination mentioned above was not significant to our operating results and thus pro forma results for 2024 and 2023 are not presented.</w:t>
      </w:r>
    </w:p>
    <w:p>
      <w:pPr>
        <w:spacing w:after="0" w:line="158"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4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0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3"/>
                <w:szCs w:val="13"/>
                <w:color w:val="auto"/>
              </w:rPr>
            </w:pPr>
          </w:p>
        </w:tc>
        <w:tc>
          <w:tcPr>
            <w:tcW w:w="78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84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$ 809,067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$ 435,204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574,547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26,275</w:t>
            </w:r>
          </w:p>
        </w:tc>
        <w:tc>
          <w:tcPr>
            <w:tcW w:w="10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18,797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(195,229)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2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52,011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159,034</w:t>
            </w:r>
          </w:p>
        </w:tc>
      </w:tr>
      <w:tr>
        <w:trPr>
          <w:trHeight w:val="412"/>
        </w:trPr>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July 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56"/>
        </w:trPr>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4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3"/>
                <w:szCs w:val="13"/>
                <w:color w:val="auto"/>
              </w:rPr>
            </w:pPr>
          </w:p>
        </w:tc>
        <w:tc>
          <w:tcPr>
            <w:tcW w:w="84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$ 938,630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$ 488,100</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550,464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2,043,918</w:t>
            </w: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198,518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0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23,554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(318,528)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56,864</w:t>
            </w:r>
          </w:p>
        </w:tc>
        <w:tc>
          <w:tcPr>
            <w:tcW w:w="102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61,959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193,497</w:t>
            </w:r>
          </w:p>
        </w:tc>
      </w:tr>
    </w:tbl>
    <w:p>
      <w:pPr>
        <w:spacing w:after="0" w:line="85"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Note: As of December 31, 2023, our Pinelli Universal entity was transferred to our Retail segment from our International segment (grouped in All Other) due to changes in our management structure. Prior year figures have been updated to reflect the change for comparability purposes in every applicable table in this filing.</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6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5"/>
        </w:trPr>
        <w:tc>
          <w:tcPr>
            <w:tcW w:w="2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3"/>
                <w:szCs w:val="13"/>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60" w:type="dxa"/>
            <w:vAlign w:val="bottom"/>
          </w:tcPr>
          <w:p>
            <w:pPr>
              <w:spacing w:after="0"/>
              <w:rPr>
                <w:sz w:val="13"/>
                <w:szCs w:val="13"/>
                <w:color w:val="auto"/>
              </w:rPr>
            </w:pP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3"/>
                <w:szCs w:val="13"/>
                <w:color w:val="auto"/>
              </w:rPr>
            </w:pPr>
          </w:p>
        </w:tc>
        <w:tc>
          <w:tcPr>
            <w:tcW w:w="9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$ 1,437,832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$ 859,622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$ 1,092,443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$ 148,417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r>
      <w:tr>
        <w:trPr>
          <w:trHeight w:val="21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47,201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38,832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151,312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(366,793)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60,762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97,353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292,857</w:t>
            </w:r>
          </w:p>
        </w:tc>
      </w:tr>
      <w:tr>
        <w:trPr>
          <w:trHeight w:val="385"/>
        </w:trPr>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55"/>
        </w:trPr>
        <w:tc>
          <w:tcPr>
            <w:tcW w:w="2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3"/>
                <w:szCs w:val="13"/>
                <w:color w:val="auto"/>
              </w:rPr>
            </w:pPr>
          </w:p>
        </w:tc>
        <w:tc>
          <w:tcPr>
            <w:tcW w:w="9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60" w:type="dxa"/>
            <w:vAlign w:val="bottom"/>
          </w:tcPr>
          <w:p>
            <w:pPr>
              <w:spacing w:after="0"/>
              <w:rPr>
                <w:sz w:val="13"/>
                <w:szCs w:val="13"/>
                <w:color w:val="auto"/>
              </w:rPr>
            </w:pPr>
          </w:p>
        </w:tc>
        <w:tc>
          <w:tcPr>
            <w:tcW w:w="10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3"/>
                <w:szCs w:val="13"/>
                <w:color w:val="auto"/>
              </w:rPr>
            </w:pPr>
          </w:p>
        </w:tc>
        <w:tc>
          <w:tcPr>
            <w:tcW w:w="94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$ 1,699,924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$ 974,661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$ 1,066,057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$ 123,387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3,866,394</w:t>
            </w:r>
          </w:p>
        </w:tc>
      </w:tr>
      <w:tr>
        <w:trPr>
          <w:trHeight w:val="216"/>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421,843</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41,026</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152,967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(665,226)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100,469</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355,205</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June 29, 2024, and December 30,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0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$ 84,204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336,313</w:t>
            </w:r>
          </w:p>
        </w:tc>
        <w:tc>
          <w:tcPr>
            <w:tcW w:w="20" w:type="dxa"/>
            <w:vAlign w:val="bottom"/>
          </w:tcPr>
          <w:p>
            <w:pPr>
              <w:spacing w:after="0"/>
              <w:rPr>
                <w:sz w:val="18"/>
                <w:szCs w:val="18"/>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tcPr>
          <w:p>
            <w:pPr>
              <w:spacing w:after="0"/>
              <w:rPr>
                <w:sz w:val="19"/>
                <w:szCs w:val="19"/>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 w:type="dxa"/>
            <w:vAlign w:val="bottom"/>
          </w:tcPr>
          <w:p>
            <w:pPr>
              <w:spacing w:after="0"/>
              <w:rPr>
                <w:sz w:val="19"/>
                <w:szCs w:val="19"/>
                <w:color w:val="auto"/>
              </w:rPr>
            </w:pPr>
          </w:p>
        </w:tc>
      </w:tr>
      <w:tr>
        <w:trPr>
          <w:trHeight w:val="216"/>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29,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335,448</w:t>
            </w:r>
          </w:p>
        </w:tc>
        <w:tc>
          <w:tcPr>
            <w:tcW w:w="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8"/>
        </w:trPr>
        <w:tc>
          <w:tcPr>
            <w:tcW w:w="3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June 29, 2024, and December 30, 2023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Total Assets by Segment</w:t>
            </w: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12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14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596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916,574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828,798</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798,623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316,481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r>
      <w:tr>
        <w:trPr>
          <w:trHeight w:val="236"/>
        </w:trPr>
        <w:tc>
          <w:tcPr>
            <w:tcW w:w="5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1,415,132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1,452,133</w:t>
            </w: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596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4,138,494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4,017,797</w:t>
            </w:r>
          </w:p>
        </w:tc>
        <w:tc>
          <w:tcPr>
            <w:tcW w:w="1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(in thousands) by business unit for each segment for the three and six months ended June 29, 2024, and July 1, 2023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1"/>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July 1,</w:t>
            </w: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29,</w:t>
            </w:r>
          </w:p>
        </w:tc>
        <w:tc>
          <w:tcPr>
            <w:tcW w:w="140" w:type="dxa"/>
            <w:vAlign w:val="bottom"/>
          </w:tcPr>
          <w:p>
            <w:pPr>
              <w:spacing w:after="0"/>
              <w:rPr>
                <w:sz w:val="16"/>
                <w:szCs w:val="16"/>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80"/>
        </w:trPr>
        <w:tc>
          <w:tcPr>
            <w:tcW w:w="4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46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173,841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181,119</w:t>
            </w: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1,445,287</w:t>
            </w: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72,768</w:t>
            </w:r>
          </w:p>
        </w:tc>
      </w:tr>
      <w:tr>
        <w:trPr>
          <w:trHeight w:val="236"/>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03"/>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Retail</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809,067</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938,630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1,437,832</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1,699,924</w:t>
            </w: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658,760</w:t>
            </w: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274,507</w:t>
            </w:r>
          </w:p>
        </w:tc>
      </w:tr>
      <w:tr>
        <w:trPr>
          <w:trHeight w:val="236"/>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41,394</w:t>
            </w:r>
          </w:p>
        </w:tc>
      </w:tr>
      <w:tr>
        <w:trPr>
          <w:trHeight w:val="203"/>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Packaging</w:t>
            </w: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435,204</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488,100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859,622</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974,661</w:t>
            </w: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347,637</w:t>
            </w: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469,562</w:t>
            </w: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138,665</w:t>
            </w:r>
          </w:p>
        </w:tc>
      </w:tr>
      <w:tr>
        <w:trPr>
          <w:trHeight w:val="223"/>
        </w:trPr>
        <w:tc>
          <w:tcPr>
            <w:tcW w:w="4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110,193</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Construction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1,066,057</w:t>
            </w: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123,387</w:t>
            </w: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3"/>
        </w:trPr>
        <w:tc>
          <w:tcPr>
            <w:tcW w:w="4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2,043,918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3,866,394</w:t>
            </w: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60" w:hanging="510"/>
        <w:spacing w:after="0"/>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25.1% in the second quarter of 2024 compared to 23.7% in the same period of 2023 and was 21.5% in the first six months of 2024 compared to 23.7% for the same period in 2023. The increase in our effective tax rate for the second quarter was primarily due to the impact of certain compensation expense which is not deductible. The decrease in our effective tax rate for the first six months of 2024 was primarily due to an increase in our tax deduction from stock-based compensation accounted for as a permanent difference.</w:t>
      </w:r>
    </w:p>
    <w:p>
      <w:pPr>
        <w:spacing w:after="0" w:line="200" w:lineRule="exact"/>
        <w:rPr>
          <w:sz w:val="20"/>
          <w:szCs w:val="20"/>
          <w:color w:val="auto"/>
        </w:rPr>
      </w:pPr>
    </w:p>
    <w:p>
      <w:pPr>
        <w:spacing w:after="0" w:line="213" w:lineRule="exact"/>
        <w:rPr>
          <w:sz w:val="20"/>
          <w:szCs w:val="20"/>
          <w:color w:val="auto"/>
        </w:rPr>
      </w:pPr>
    </w:p>
    <w:p>
      <w:pPr>
        <w:ind w:left="480" w:hanging="430"/>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41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six months of 2024 and 2023 (in thousands, except average share price):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112.29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2024, we repurchased 1,202,527 shares of our common stock at an average share price of $114.09.</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87.02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85.89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86.12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85.16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539" w:firstLine="492"/>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2023, we repurchased approximately 700,597 shares of our common stock at an average share price of $79.20.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There was no lower of cost or net realizable value adjustment to inventory as of June 29, 2024 and a $0.8 million adjustment as of July 1, 2023.</w:t>
      </w:r>
    </w:p>
    <w:p>
      <w:pPr>
        <w:spacing w:after="0" w:line="183" w:lineRule="exact"/>
        <w:rPr>
          <w:sz w:val="20"/>
          <w:szCs w:val="20"/>
          <w:color w:val="auto"/>
        </w:rPr>
      </w:pPr>
    </w:p>
    <w:p>
      <w:pPr>
        <w:ind w:left="560" w:hanging="510"/>
        <w:spacing w:after="0"/>
        <w:tabs>
          <w:tab w:leader="none" w:pos="5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Subsequent to our reporting date, we repurchased 197,417 shares for $21.8 million, at an average share price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 For more information about UFP Industries, Inc., or its affiliated operations, go to www.ufpi.com.</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 We are pleased to present this overview of the second quarter of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second quarter of 2024 include the following highlights:</w:t>
      </w:r>
    </w:p>
    <w:p>
      <w:pPr>
        <w:spacing w:after="0" w:line="225" w:lineRule="exact"/>
        <w:rPr>
          <w:sz w:val="20"/>
          <w:szCs w:val="20"/>
          <w:color w:val="auto"/>
        </w:rPr>
      </w:pPr>
    </w:p>
    <w:p>
      <w:pPr>
        <w:jc w:val="both"/>
        <w:ind w:left="880" w:right="79" w:hanging="317"/>
        <w:spacing w:after="0" w:line="25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7% compared to the second quarter of 2023, which was comprised of a 6% decrease in selling prices and a 1% decrease in unit sales. The overall decrease in our selling prices is primarily due to lower lumber prices and a more competitive pricing environment in certain of our business units. Unit sales declines consisted of 7% in our retail segment and 3% in our packaging segment, offset by an 8% increase in our construction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$37 million, or 9.3%, compared to the same period of the prior year. By segment, gross profits decreased by $35 million in Packaging and $12 million in Construction, while Retail experienced a $4 million increase in gross profits. The overall decrease in our gross profits is primarily due to the decline in unit sales and unfavorable cost variances resulting from fixed manufacturing costs, and more competitive pricing in certain business units.</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3"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$34 million, or 17.8%, compared to the second quarter of 2023. The overall decrease is a result of the decline in gross profits mentioned above offset by a decrease in selling, general, and administrative (“SG&amp;A”) expenses. Our SG&amp;A declined primarily due to our incentive compensation plans which are tied to profitability and return on investment. Our decremental operating margin was 24.3%, which is calculated by dividing our decrease in operating profits by our decrease in net sales. In other words, for every dollar decrease in sales from the second quarter of 2023 to the second quarter of 2024, our operating profits decreased 24.3 cents. The decremental operating margin provides investors additional visibility into expected operating profits during periods of declining sales and pricing. In a declining business cycle, the Company’s management uses this metric to evaluate a change in its profitability resulting from a reduction in sales volume while considering the impact of product pricing changes, changes in product sales mix, its ratio of variable and fixed costs, and anticipated cost saving measures, among other factors.</w:t>
      </w:r>
    </w:p>
    <w:p>
      <w:pPr>
        <w:spacing w:after="0" w:line="191"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was $239 million in the first six months of 2024 compared to $321 million during the first six months of 2023. The $82 million decline is primarily due to an increase in our investment in net working capital since year end, which was $64 million higher in 2024 compared to 2023.</w:t>
      </w:r>
    </w:p>
    <w:p>
      <w:pPr>
        <w:spacing w:after="0" w:line="175"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June 2024 was $1.0 billion compared to $702 million at the end of June 2023. Our unused borrowing capacity under revolving credit facilities and a shelf agreement with certain lenders along with our cash resulted in total liquidity of approximately $2.3 billion at the end of the second quarter of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average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percentage change</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5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96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4"/>
                <w:szCs w:val="14"/>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average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percentage change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Lower overall lumber prices in 2024 compared to 2023 is primarily due to increased supply of SYP lumber in the U.S. while end market demand has remained soft. A change in lumber prices impacts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38.9% and 39.0% of our sales in the first six months of 2024 and 2023,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5"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4"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22% of our total net sales in the first six months of 2024.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19% of our total purchases for the first six months of 2024 were transacted under these programs. (</w:t>
      </w:r>
      <w:r>
        <w:rPr>
          <w:rFonts w:ascii="Times New Roman" w:cs="Times New Roman" w:eastAsia="Times New Roman" w:hAnsi="Times New Roman"/>
          <w:sz w:val="18"/>
          <w:szCs w:val="18"/>
          <w:i w:val="1"/>
          <w:iCs w:val="1"/>
          <w:color w:val="auto"/>
        </w:rPr>
        <w:t>Please refer to the “Risk Factors” section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completed one business acquisition in fiscal 2023. The annual historical sales attributable to this acquisition is approximately $38 million. This business combination was not significant to our quarterly results individually or in aggregate and thus pro forma results for 2024 and 2023 are not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400" w:type="dxa"/>
            <w:vAlign w:val="bottom"/>
          </w:tcPr>
          <w:p>
            <w:pPr>
              <w:spacing w:after="0"/>
              <w:rPr>
                <w:sz w:val="15"/>
                <w:szCs w:val="15"/>
                <w:color w:val="auto"/>
              </w:rPr>
            </w:pPr>
          </w:p>
        </w:tc>
        <w:tc>
          <w:tcPr>
            <w:tcW w:w="1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5400" w:type="dxa"/>
            <w:vAlign w:val="bottom"/>
          </w:tcPr>
          <w:p>
            <w:pPr>
              <w:spacing w:after="0"/>
              <w:rPr>
                <w:sz w:val="10"/>
                <w:szCs w:val="10"/>
                <w:color w:val="auto"/>
              </w:rPr>
            </w:pPr>
          </w:p>
        </w:tc>
        <w:tc>
          <w:tcPr>
            <w:tcW w:w="7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960" w:type="dxa"/>
            <w:vAlign w:val="bottom"/>
            <w:gridSpan w:val="2"/>
          </w:tcPr>
          <w:p>
            <w:pPr>
              <w:jc w:val="right"/>
              <w:ind w:right="390"/>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880" w:type="dxa"/>
            <w:vAlign w:val="bottom"/>
            <w:gridSpan w:val="2"/>
          </w:tcPr>
          <w:p>
            <w:pPr>
              <w:jc w:val="right"/>
              <w:ind w:right="21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880" w:type="dxa"/>
            <w:vAlign w:val="bottom"/>
            <w:gridSpan w:val="2"/>
          </w:tcPr>
          <w:p>
            <w:pPr>
              <w:jc w:val="right"/>
              <w:ind w:right="250"/>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80"/>
        </w:trPr>
        <w:tc>
          <w:tcPr>
            <w:tcW w:w="54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40" w:type="dxa"/>
            <w:vAlign w:val="bottom"/>
            <w:tcBorders>
              <w:bottom w:val="single" w:sz="8" w:color="CCEEFF"/>
            </w:tcBorders>
          </w:tcPr>
          <w:p>
            <w:pPr>
              <w:spacing w:after="0"/>
              <w:rPr>
                <w:sz w:val="18"/>
                <w:szCs w:val="18"/>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7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7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960" w:type="dxa"/>
            <w:vAlign w:val="bottom"/>
            <w:tcBorders>
              <w:bottom w:val="single" w:sz="8" w:color="auto"/>
            </w:tcBorders>
          </w:tcPr>
          <w:p>
            <w:pPr>
              <w:spacing w:after="0"/>
              <w:rPr>
                <w:sz w:val="15"/>
                <w:szCs w:val="15"/>
                <w:color w:val="auto"/>
              </w:rPr>
            </w:pPr>
          </w:p>
        </w:tc>
      </w:tr>
      <w:tr>
        <w:trPr>
          <w:trHeight w:val="155"/>
        </w:trPr>
        <w:tc>
          <w:tcPr>
            <w:tcW w:w="4740" w:type="dxa"/>
            <w:vAlign w:val="bottom"/>
          </w:tcPr>
          <w:p>
            <w:pPr>
              <w:spacing w:after="0"/>
              <w:rPr>
                <w:sz w:val="13"/>
                <w:szCs w:val="13"/>
                <w:color w:val="auto"/>
              </w:rPr>
            </w:pPr>
          </w:p>
        </w:tc>
        <w:tc>
          <w:tcPr>
            <w:tcW w:w="2100" w:type="dxa"/>
            <w:vAlign w:val="bottom"/>
            <w:gridSpan w:val="4"/>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60" w:type="dxa"/>
            <w:vAlign w:val="bottom"/>
            <w:gridSpan w:val="3"/>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37"/>
        </w:trPr>
        <w:tc>
          <w:tcPr>
            <w:tcW w:w="4740" w:type="dxa"/>
            <w:vAlign w:val="bottom"/>
          </w:tcPr>
          <w:p>
            <w:pPr>
              <w:spacing w:after="0"/>
              <w:rPr>
                <w:sz w:val="11"/>
                <w:szCs w:val="11"/>
                <w:color w:val="auto"/>
              </w:rPr>
            </w:pPr>
          </w:p>
        </w:tc>
        <w:tc>
          <w:tcPr>
            <w:tcW w:w="1020" w:type="dxa"/>
            <w:vAlign w:val="bottom"/>
            <w:tcBorders>
              <w:top w:val="single" w:sz="8" w:color="auto"/>
            </w:tcBorders>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June 29,</w:t>
            </w:r>
          </w:p>
        </w:tc>
        <w:tc>
          <w:tcPr>
            <w:tcW w:w="940" w:type="dxa"/>
            <w:vAlign w:val="bottom"/>
            <w:tcBorders>
              <w:top w:val="single" w:sz="8" w:color="auto"/>
            </w:tcBorders>
          </w:tcPr>
          <w:p>
            <w:pPr>
              <w:jc w:val="right"/>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July 1,</w:t>
            </w:r>
          </w:p>
        </w:tc>
        <w:tc>
          <w:tcPr>
            <w:tcW w:w="140" w:type="dxa"/>
            <w:vAlign w:val="bottom"/>
          </w:tcPr>
          <w:p>
            <w:pPr>
              <w:spacing w:after="0"/>
              <w:rPr>
                <w:sz w:val="11"/>
                <w:szCs w:val="11"/>
                <w:color w:val="auto"/>
              </w:rPr>
            </w:pPr>
          </w:p>
        </w:tc>
        <w:tc>
          <w:tcPr>
            <w:tcW w:w="1100" w:type="dxa"/>
            <w:vAlign w:val="bottom"/>
            <w:tcBorders>
              <w:top w:val="single" w:sz="8" w:color="auto"/>
            </w:tcBorders>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June 29,</w:t>
            </w:r>
          </w:p>
        </w:tc>
        <w:tc>
          <w:tcPr>
            <w:tcW w:w="960" w:type="dxa"/>
            <w:vAlign w:val="bottom"/>
            <w:tcBorders>
              <w:top w:val="single" w:sz="8" w:color="auto"/>
            </w:tcBorders>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80"/>
        </w:trPr>
        <w:tc>
          <w:tcPr>
            <w:tcW w:w="47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9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9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8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8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20"/>
                <w:szCs w:val="20"/>
                <w:color w:val="auto"/>
              </w:rPr>
            </w:pPr>
          </w:p>
        </w:tc>
        <w:tc>
          <w:tcPr>
            <w:tcW w:w="94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0"/>
                <w:szCs w:val="20"/>
                <w:color w:val="auto"/>
              </w:rPr>
            </w:pPr>
          </w:p>
        </w:tc>
        <w:tc>
          <w:tcPr>
            <w:tcW w:w="96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0"/>
                <w:szCs w:val="20"/>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(34.8)</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attributable to SG&amp;A costs within our Packaging, Construction, and Corporate segments.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24"/>
        </w:trPr>
        <w:tc>
          <w:tcPr>
            <w:tcW w:w="35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7"/>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5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37"/>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20" w:type="dxa"/>
            <w:vAlign w:val="bottom"/>
          </w:tcPr>
          <w:p>
            <w:pPr>
              <w:spacing w:after="0"/>
              <w:rPr>
                <w:sz w:val="10"/>
                <w:szCs w:val="10"/>
                <w:color w:val="auto"/>
              </w:rPr>
            </w:pPr>
          </w:p>
        </w:tc>
      </w:tr>
      <w:tr>
        <w:trPr>
          <w:trHeight w:val="180"/>
        </w:trPr>
        <w:tc>
          <w:tcPr>
            <w:tcW w:w="3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400,067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758,396</w:t>
            </w:r>
          </w:p>
        </w:tc>
        <w:tc>
          <w:tcPr>
            <w:tcW w:w="20" w:type="dxa"/>
            <w:vAlign w:val="bottom"/>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203,155</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204,703</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395,214</w:t>
            </w:r>
          </w:p>
        </w:tc>
        <w:tc>
          <w:tcPr>
            <w:tcW w:w="1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399,386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8"/>
                <w:szCs w:val="18"/>
                <w:color w:val="auto"/>
              </w:rPr>
            </w:pPr>
          </w:p>
        </w:tc>
      </w:tr>
      <w:tr>
        <w:trPr>
          <w:trHeight w:val="864"/>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435,204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1,901,959</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(5,165)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1,539,216</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362,743</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203,155</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(2,166)</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59,783</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29,516</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52,011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10,228</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159,034</w:t>
            </w: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1, 2023</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2,043,918</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815,808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1,643,851</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400,067</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204,703</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60,211</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56,864</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61,959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6,786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7,677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1,437,832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3,540,925</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(11,459)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2,852,104</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688,821</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(3,048)</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395,214</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105,763</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60,762</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97,353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11,369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17,610</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292,857</w:t>
            </w:r>
          </w:p>
        </w:tc>
      </w:tr>
      <w:tr>
        <w:trPr>
          <w:trHeight w:val="385"/>
        </w:trPr>
        <w:tc>
          <w:tcPr>
            <w:tcW w:w="2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1, 2023</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1,699,924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1,066,057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3,866,394</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1,481,798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3,107,998</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758,396</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(11,339)</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399,386</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100,469</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111,596</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116,207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15,315</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355,205</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7"/>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0" w:type="dxa"/>
            <w:vAlign w:val="bottom"/>
          </w:tcPr>
          <w:p>
            <w:pPr>
              <w:spacing w:after="0"/>
              <w:rPr>
                <w:sz w:val="24"/>
                <w:szCs w:val="24"/>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July 1, 2023</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0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20" w:type="dxa"/>
            <w:vAlign w:val="bottom"/>
          </w:tcPr>
          <w:p>
            <w:pPr>
              <w:spacing w:after="0"/>
              <w:rPr>
                <w:sz w:val="24"/>
                <w:szCs w:val="24"/>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7"/>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Six Months Ended July 1, 2023</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w:t>
      </w:r>
    </w:p>
    <w:p>
      <w:pPr>
        <w:spacing w:after="0" w:line="182" w:lineRule="exact"/>
        <w:rPr>
          <w:rFonts w:ascii="Times New Roman" w:cs="Times New Roman" w:eastAsia="Times New Roman" w:hAnsi="Times New Roman"/>
          <w:sz w:val="18"/>
          <w:szCs w:val="18"/>
          <w:color w:val="auto"/>
        </w:rPr>
      </w:pPr>
    </w:p>
    <w:p>
      <w:pPr>
        <w:ind w:left="6720" w:hanging="178"/>
        <w:spacing w:after="0"/>
        <w:tabs>
          <w:tab w:leader="none" w:pos="6720"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7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17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Units</w:t>
            </w:r>
          </w:p>
        </w:tc>
        <w:tc>
          <w:tcPr>
            <w:tcW w:w="240" w:type="dxa"/>
            <w:vAlign w:val="bottom"/>
            <w:vMerge w:val="restart"/>
          </w:tcPr>
          <w:p>
            <w:pPr>
              <w:spacing w:after="0"/>
              <w:rPr>
                <w:sz w:val="12"/>
                <w:szCs w:val="12"/>
                <w:color w:val="auto"/>
              </w:rPr>
            </w:pPr>
          </w:p>
        </w:tc>
        <w:tc>
          <w:tcPr>
            <w:tcW w:w="100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2024 versus Second quarter 2023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2024 versus Year-to-date 2023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20" w:right="2679" w:hanging="4370"/>
        <w:spacing w:after="0" w:line="783"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380" w:right="79" w:hanging="330"/>
        <w:spacing w:after="0" w:line="253"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81% of our sales consist of products we manufacture at our locations, while 19% of our sales consist of products manufactured by suppliers that we inventory and distribute to customers.</w:t>
      </w:r>
    </w:p>
    <w:p>
      <w:pPr>
        <w:spacing w:after="0" w:line="190" w:lineRule="exact"/>
        <w:rPr>
          <w:sz w:val="20"/>
          <w:szCs w:val="20"/>
          <w:color w:val="auto"/>
        </w:rPr>
      </w:pPr>
    </w:p>
    <w:p>
      <w:pPr>
        <w:jc w:val="both"/>
        <w:ind w:left="38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2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29, 2024</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July 1, 2023</w:t>
            </w:r>
          </w:p>
        </w:tc>
      </w:tr>
      <w:tr>
        <w:trPr>
          <w:trHeight w:val="169"/>
        </w:trPr>
        <w:tc>
          <w:tcPr>
            <w:tcW w:w="3820" w:type="dxa"/>
            <w:vAlign w:val="bottom"/>
          </w:tcPr>
          <w:p>
            <w:pPr>
              <w:spacing w:after="0"/>
              <w:rPr>
                <w:sz w:val="14"/>
                <w:szCs w:val="14"/>
                <w:color w:val="auto"/>
              </w:rPr>
            </w:pPr>
          </w:p>
        </w:tc>
        <w:tc>
          <w:tcPr>
            <w:tcW w:w="12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20" w:type="dxa"/>
            <w:vAlign w:val="bottom"/>
          </w:tcPr>
          <w:p>
            <w:pPr>
              <w:spacing w:after="0"/>
              <w:rPr>
                <w:sz w:val="14"/>
                <w:szCs w:val="14"/>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20" w:type="dxa"/>
            <w:vAlign w:val="bottom"/>
          </w:tcPr>
          <w:p>
            <w:pPr>
              <w:spacing w:after="0"/>
              <w:rPr>
                <w:sz w:val="20"/>
                <w:szCs w:val="20"/>
                <w:color w:val="auto"/>
              </w:rPr>
            </w:pPr>
          </w:p>
        </w:tc>
      </w:tr>
      <w:tr>
        <w:trPr>
          <w:trHeight w:val="353"/>
        </w:trPr>
        <w:tc>
          <w:tcPr>
            <w:tcW w:w="3820" w:type="dxa"/>
            <w:vAlign w:val="bottom"/>
          </w:tcPr>
          <w:p>
            <w:pPr>
              <w:spacing w:after="0"/>
              <w:rPr>
                <w:sz w:val="24"/>
                <w:szCs w:val="24"/>
                <w:color w:val="auto"/>
              </w:rPr>
            </w:pPr>
          </w:p>
        </w:tc>
        <w:tc>
          <w:tcPr>
            <w:tcW w:w="25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29, 2024</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 July 1, 2023</w:t>
            </w:r>
          </w:p>
        </w:tc>
      </w:tr>
      <w:tr>
        <w:trPr>
          <w:trHeight w:val="169"/>
        </w:trPr>
        <w:tc>
          <w:tcPr>
            <w:tcW w:w="3820" w:type="dxa"/>
            <w:vAlign w:val="bottom"/>
          </w:tcPr>
          <w:p>
            <w:pPr>
              <w:spacing w:after="0"/>
              <w:rPr>
                <w:sz w:val="14"/>
                <w:szCs w:val="14"/>
                <w:color w:val="auto"/>
              </w:rPr>
            </w:pPr>
          </w:p>
        </w:tc>
        <w:tc>
          <w:tcPr>
            <w:tcW w:w="12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20" w:type="dxa"/>
            <w:vAlign w:val="bottom"/>
          </w:tcPr>
          <w:p>
            <w:pPr>
              <w:spacing w:after="0"/>
              <w:rPr>
                <w:sz w:val="14"/>
                <w:szCs w:val="14"/>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20" w:type="dxa"/>
            <w:vAlign w:val="bottom"/>
          </w:tcPr>
          <w:p>
            <w:pPr>
              <w:spacing w:after="0"/>
              <w:rPr>
                <w:sz w:val="14"/>
                <w:szCs w:val="14"/>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20" w:type="dxa"/>
            <w:vAlign w:val="bottom"/>
            <w:shd w:val="clear" w:color="auto" w:fill="CCEEFF"/>
          </w:tcPr>
          <w:p>
            <w:pPr>
              <w:spacing w:after="0"/>
              <w:rPr>
                <w:sz w:val="18"/>
                <w:szCs w:val="18"/>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120" w:type="dxa"/>
            <w:vAlign w:val="bottom"/>
          </w:tcPr>
          <w:p>
            <w:pPr>
              <w:spacing w:after="0"/>
              <w:rPr>
                <w:sz w:val="20"/>
                <w:szCs w:val="20"/>
                <w:color w:val="auto"/>
              </w:rPr>
            </w:pPr>
          </w:p>
        </w:tc>
      </w:tr>
    </w:tbl>
    <w:p>
      <w:pPr>
        <w:spacing w:after="0" w:line="134"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59"/>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flat in the second quarter and first six months of 2024 compared to 2023. Our overall unit sales of commodity-based products decreased approximately 2% in the second quarter and approximately 4% in the first six months of 2024 compared to the same period last year.</w:t>
      </w:r>
    </w:p>
    <w:p>
      <w:pPr>
        <w:spacing w:after="0" w:line="176" w:lineRule="exact"/>
        <w:rPr>
          <w:sz w:val="20"/>
          <w:szCs w:val="20"/>
          <w:color w:val="auto"/>
        </w:rPr>
      </w:pPr>
    </w:p>
    <w:p>
      <w:pPr>
        <w:jc w:val="both"/>
        <w:ind w:left="380" w:right="79" w:hanging="330"/>
        <w:spacing w:after="0" w:line="254"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second quarter and first six months of 2024 decreased 12% and 10% respectively, primarily due to a decline in unit sales in our structural packaging business unit. Approximately $96.9 million of new product sales for the first six months of 2023, while still sold, were sunset in 2024 and excluded from the table below because they no longer meet the definition above. Our short-term goal is to achieve annual new product sales of at least $510 million in 2024. For the first six months of 2024, new product sales totaled $260 million. Our long-term goal is for new products to comprise at least 10% of our total net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new product sales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2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24"/>
        </w:trPr>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35"/>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tcPr>
          <w:p>
            <w:pPr>
              <w:ind w:left="380"/>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0"/>
                <w:szCs w:val="10"/>
                <w:color w:val="auto"/>
              </w:rPr>
            </w:pPr>
          </w:p>
        </w:tc>
      </w:tr>
      <w:tr>
        <w:trPr>
          <w:trHeight w:val="180"/>
        </w:trPr>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1420" w:type="dxa"/>
            <w:vAlign w:val="bottom"/>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64,285</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68,090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8"/>
                <w:szCs w:val="18"/>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r>
      <w:tr>
        <w:trPr>
          <w:trHeight w:val="216"/>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133,573</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27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24"/>
        </w:trPr>
        <w:tc>
          <w:tcPr>
            <w:tcW w:w="2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35"/>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20" w:type="dxa"/>
            <w:vAlign w:val="bottom"/>
          </w:tcPr>
          <w:p>
            <w:pPr>
              <w:spacing w:after="0"/>
              <w:rPr>
                <w:sz w:val="10"/>
                <w:szCs w:val="10"/>
                <w:color w:val="auto"/>
              </w:rPr>
            </w:pPr>
          </w:p>
        </w:tc>
        <w:tc>
          <w:tcPr>
            <w:tcW w:w="10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3"/>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0"/>
                <w:szCs w:val="10"/>
                <w:color w:val="auto"/>
              </w:rPr>
            </w:pPr>
          </w:p>
        </w:tc>
      </w:tr>
      <w:tr>
        <w:trPr>
          <w:trHeight w:val="180"/>
        </w:trPr>
        <w:tc>
          <w:tcPr>
            <w:tcW w:w="27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tcPr>
          <w:p>
            <w:pPr>
              <w:spacing w:after="0"/>
              <w:rPr>
                <w:sz w:val="18"/>
                <w:szCs w:val="18"/>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100"/>
        <w:spacing w:after="0" w:line="254" w:lineRule="auto"/>
        <w:rPr>
          <w:sz w:val="20"/>
          <w:szCs w:val="20"/>
          <w:color w:val="auto"/>
        </w:rPr>
      </w:pPr>
      <w:r>
        <w:rPr>
          <w:rFonts w:ascii="Times New Roman" w:cs="Times New Roman" w:eastAsia="Times New Roman" w:hAnsi="Times New Roman"/>
          <w:sz w:val="18"/>
          <w:szCs w:val="18"/>
          <w:color w:val="auto"/>
        </w:rPr>
        <w:t>Net sales in the second quarter of 2024 decreased by 14% compared to the same period of 2023 due to a 7% decline in selling prices, a 2% decrease due to the transfer of certain sales to the Construction and Packaging segments, and a 5% decline in units. Unit changes within this segment consisted of decreases of 2% in Deckorators, 4% in UFP Edge, and 6% in ProWood. Our selling prices of variable-priced products declined due to lower lumber prices. The selling prices of these products are indexed to the lumber market at the time they are shipped. Additionally, our unit sales to big box customers, which we believe are more closely correlated with repair and remodel activity, decreased approximately 5%, while unit sales to independent retailers, which we believe are more closely correlated to new housing starts, increased approximately 1%.Within our Deckorators business unit, our sales of wood-plastic composite decking, mineral-based-composite decking (sold under our new Surestone tradename) and railing systems increased 5%.</w:t>
      </w:r>
    </w:p>
    <w:p>
      <w:pPr>
        <w:spacing w:after="0" w:line="188" w:lineRule="exact"/>
        <w:rPr>
          <w:sz w:val="20"/>
          <w:szCs w:val="20"/>
          <w:color w:val="auto"/>
        </w:rPr>
      </w:pPr>
    </w:p>
    <w:p>
      <w:pPr>
        <w:jc w:val="both"/>
        <w:ind w:left="60" w:right="100"/>
        <w:spacing w:after="0" w:line="282" w:lineRule="auto"/>
        <w:rPr>
          <w:sz w:val="20"/>
          <w:szCs w:val="20"/>
          <w:color w:val="auto"/>
        </w:rPr>
      </w:pPr>
      <w:r>
        <w:rPr>
          <w:rFonts w:ascii="Times New Roman" w:cs="Times New Roman" w:eastAsia="Times New Roman" w:hAnsi="Times New Roman"/>
          <w:sz w:val="18"/>
          <w:szCs w:val="18"/>
          <w:color w:val="auto"/>
        </w:rPr>
        <w:t>Gross profits increased by $3.9 million, or 3.2% to $126.8 million for the second quarter of 2024 compared to the same period last year. The increase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720" w:right="120" w:hanging="319"/>
        <w:spacing w:after="0" w:line="258"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business unit increased by $1.7 million, in spite of the transfer of certain sales to the Construction and Packaging segments and a sequential decline in lumber prices during the quarter. The products sold by this business unit consist primarily of pressure treated lumber sold at a variable price indexed to the lumber market at the time they are shipped. The improvement in profitability is primarily due to better inventory management, SKU rationalization, and various operational improvements.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increased by $1.5 million due to operational improvements.</w:t>
      </w:r>
    </w:p>
    <w:p>
      <w:pPr>
        <w:spacing w:after="0" w:line="225" w:lineRule="exact"/>
        <w:rPr>
          <w:rFonts w:ascii="Times New Roman" w:cs="Times New Roman" w:eastAsia="Times New Roman" w:hAnsi="Times New Roman"/>
          <w:sz w:val="18"/>
          <w:szCs w:val="18"/>
          <w:color w:val="auto"/>
        </w:rPr>
      </w:pPr>
    </w:p>
    <w:p>
      <w:pPr>
        <w:ind w:left="720" w:right="120"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UFP Edge business unit increased by $0.8 million, in spite of the transfer of certain sales to the Construction segment. The increase is also primarily due to operational improvements.</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40" w:right="1399"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increased by approximately $3.6 million, or 5.8%, in the second quarter of 2024 compared to the same period of 2023. Accrued bonus expense, which varies with the overall profitability of the segment and return on investment, increased approximately $3.2 million from the second quarter of 2023 and totaled approximately $18.7 million for the quarter. Modest increases in salaries, wages, and benefits were offset by decreases in sales incentive compensation and travel related expenses.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decreased in the second quarter of 2024 compared to 2023 by $0.4 million, or 1.0%, as a result of the factors mentioned above.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first six months of 2024 decreased by 15% compared to the same period of 2023, due to a 6% decrease in selling prices, a 2% decrease due to the transfer of certain sales to the Construction and Packaging segments, and a 7% decline in units. Our selling prices of variable-priced products declined due to lower lumber prices. The selling prices of these products are indexed to the lumber market at the time they are shipped. Additionally, unit sales to big box customers decreased approximately 7%, while unit sales to independent retailers decreased approximately 8%. Within our Deckorators business unit, our sales of wood-plastic composite decking, mineral-based-composite decking and railing systems increased 7%.</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increased by $9.8 million, or 4.5% to $227.9 million for the first six months of 2024 compared to the same period last year. Our increase in gross profit was attributable to the following:</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ProWood business unit increased $8.2 million in spite of the transfer of certain sales to the Construction and Packaging segments and a sequential decline in lumber prices in the second quarter. The products sold by this unit consists primarily of pressure treated lumber sold at a variable price indexed to the lumber market at the time they are shipped. The improvement in profitability is primarily due to better inventory management, SKU rationalization, and various operational improvements.</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increased by $3.3 million due to operational improvements.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UFP Edge business unit increased by $1.8 million in spite of the transfer of certain sales to the Construction segment. The increase is also primarily due to operational improvements.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increased by approximately $5.3 million, or 4.6%, in the first six months of 2024 compared to the same period of 2023. Accrued bonus expense, which varies with the overall profitability of the segment and return on investment, increased approximately $5.8 million and totaled approximately $32.7 million for the first six months of 2024. Modest increases in salaries, wages, and benefits were offset by decreases in sales incentive compensation and travel related expenses.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increased in the first six months of 2024 compared to 2023 by $5.3 million, or 5.3%, as a result of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second quarter of 2024 decreased 11% compared to the same period of 2023, due to an 8% decrease in selling prices and a 6% decrease in unit sales, partially offset by a 3% increase due to the transfer of sales from the Retail segment. Unit changes consist of decreases of 12% in structural packaging and 11% in protective packaging, primarily due to a decline in demand. These declines were partially offset by 10% unit growth in PalletOne, which sells machine-built pallets, due to market share gains. The decline in prices is due to competitive price pressure as well as lower lumber costs.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decreased by $34.6 million, or 29.2%, for the second quarter of 2024 compared to the same period last year.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gross profit was attributable to the following:</w:t>
      </w:r>
    </w:p>
    <w:p>
      <w:pPr>
        <w:spacing w:after="0" w:line="207" w:lineRule="exact"/>
        <w:rPr>
          <w:sz w:val="20"/>
          <w:szCs w:val="20"/>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$25.0 million, in spite of the transfer of certain sales from the Retail segment. The decline in gross profit is attributable to competitive price pressure due to lower demand as well as lower unit sales and resulting unfavorable cost variances due to fixed manufacturing costs.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$7.7 million primarily due to competitive price pressure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$1.9 million due to a decline in unit sales.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$8.4 million, or 13.7%, in the second quarter of 2024 compared to the same period of 2023. Accrued bonus expense, which varies with the overall profitability of the segment and return on investment, decreased approximately $5.4 million relative to the second quarter of 2023, and totaled $10.7 million for the quarter. The remaining decrease was primarily due to a decrease in sales incentive compensation of $3.0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second quarter of 2024 compared to 2023 by $27.3 million, or 48.1%, due to the factors discussed above.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2024 decreased 12% compared to the same period of 2023, due to a 9% decrease in selling prices and a 6% decrease in unit sales, partially offset by a 3% increase due to the transfer of sales from the Retail segment. Unit changes consist of decreases of 11% in structural packaging and 12% in protective packaging, primarily due to a decline in demand. These declines were partially offset by 10% unit growth in PalletOne, which sells machine-built pallets, due to market share gains. The decline in prices is due to competitive price pressure as well as lower lumber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decreased by $70.0 million, or 29.3%, for the first six months of 2024 compared to the same period last year.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gross profits was attributable to the following.</w:t>
      </w:r>
    </w:p>
    <w:p>
      <w:pPr>
        <w:spacing w:after="0" w:line="207" w:lineRule="exact"/>
        <w:rPr>
          <w:sz w:val="20"/>
          <w:szCs w:val="20"/>
          <w:color w:val="auto"/>
        </w:rPr>
      </w:pPr>
    </w:p>
    <w:p>
      <w:pPr>
        <w:jc w:val="both"/>
        <w:ind w:left="720" w:right="7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$50.5 million, in spite of the transfer of certain sales from the Retail segment. The decline in gross profit is attributable to competitive price pressure due to lower demand as well as lower unit sales and resulting unfavorable cost variances due to fixed manufacturing costs.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$16.9 million primarily due to competitive price pressure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$2.6 million due to a decline in unit sales.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$20.7 million, or 16.2%, in the first six months of 2024 compared to the same period of 2023. Accrued bonus expense, which varies with the overall profitability of the segment and return on investment, decreased approximately $10.6 million, and totaled $21.3 million for the six months of 2024. Additionally, our sales incentive compensation decreased by $5.4 million and earnout compensation decreased by $3.7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first six months of 2024 compared to 2023 by $50.8 million, or 45.6%, due to the factors discussed above.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second quarter of 2024 increased 4% compared to the same period of 2023 and consists of a unit increase of 7% and an increase due to the transfer of certain sales from the Retail segment of 1%, partially offset by a 4% decrease in selling prices. Unit changes within this segment consist of increases of 19% in factory-built, primarily due to an increase in industry production, and 4% in site-built, primarily due to market share gains from capacity expansion and new products. These increases were partially offset by unit declines of 10% in concrete forming due to lower demand. As of June 29, 2024 and July 1, 2023, we estimate that our backlog of orders in our site-built construction business unit were $81.9 million and $112.6 million, respectively. The decline in pricing was primarily due to competitive price pressure.</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$11.6 million, or 8.5%, in the second quarter of 2024 compared to the same period of 2023. The decrease in our gross profit was comprised of the following:</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$12.8 million primarily due to competitive price pressure and a decline in margins on multi-family construction projects. This decrease was partially offset by an increase in gross profit at our light gauge metal facility.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decreased by $2.7 million due to lower unit sales and a decline in selling prices in spite of the transfer of sales from the Retail segment.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decreases were offset by an increase in the gross profit in factory-built of $3.4 million primarily due to increased unit sales, favorable cost variances resulting from fixed manufacturing costs, as well as the transfer of sales from the Retail segment.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$0.8 million, or 1.0%, in the second quarter of 2024 compared to the same period of 2023. Decreases in sales incentive compensation of $1.4 million, earnout expense of $1.0 million, and $0.7 million in accrued bonus expense, which totaled $16.2 million for the quarter, were partially offset by increases in wages and benefits of $3.0 million.</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second quarter of 2024 compared to 2023 by $9.9 million, or 16.1%, due to the factors mentioned above.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first six months of 2024 increased 2% compared to the same period of 2023 and consist of a unit increase of 8% and a 1% increase due to the transfer of certain sales from the Retail segment, partially offset by a 7% decrease in selling prices. Unit changes within this segment consist of increases of 16% in factory-built, primarily due to an increase in industry production, and 10% in site-built, primarily due to market share gains resulting from capacity expansion and new products. These increases were partially offset by unit declines of 8% in commercial construction and 11% in concrete forming due to lower demand.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decreased by $19.0 million, or 7.3%, for the first six months of 2024 compared to the same period of 2023.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our gross profit was comprised of the following:</w:t>
      </w:r>
    </w:p>
    <w:p>
      <w:pPr>
        <w:spacing w:after="0" w:line="207" w:lineRule="exact"/>
        <w:rPr>
          <w:sz w:val="20"/>
          <w:szCs w:val="20"/>
          <w:color w:val="auto"/>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$16.3 million primarily due to competitive price pressure and a decline in margins on multi-family construction projects. This decrease was partially offset by an increase in gross profit at our light gauge metal facility.</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decreased by $5.4 million due to lower unit sales and a decline in selling prices in spite of the transfer of sales from the Retail segment.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$1.4 million as a result of lower unit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decreases were offset by an increase in the gross profit in factory-built of $5.7 million as a result of increased unit sales, favorable cost variances resulting from fixed manufacturing costs, as well as the transfer of sales from the Retail segment.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increased by approximately $1.0 million, or 0.7%, in the first six months of 2024 compared to the same period of 2023. Increases in wages and benefits of $4.5 million, professional fees of $2.1 million, and travel expenses of $0.5 million, were partially offset by decreases in sales incentive compensation of $2.4 million, earnout compensation of $1.0 million, and accrued bonus expense of $1.2 million. Accrued bonus expenses, which varies with the overall profitability and return on investment of the segments, totaled $30.4 million for the first six months of 2024.</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first six months of 2024 compared to 2023 by $18.9 million, or 16.2%,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25.1% in the second quarter of 2024 compared to 23.7% in the same period of 2023 and was 21.5% in the first six months of 2024 compared to 23.7% for the same period in 2023. The increase in our effective tax rate for the second quarter was primarily due to the impact of certain compensation expense which is not deductible. The decrease in our effective tax rate for the first six months of 2024 was primarily due to an increase in our tax deduction from stock-based compensation accounted for as a permanent difference.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35"/>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14"/>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1,122,256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1,042,102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702,909</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7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decreased to 56 days from 63 days during the second quarter of 2024 and decreased to 59 days from 62 days during the first six months of 2024 compared to the prior year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5660" w:type="dxa"/>
            <w:vAlign w:val="bottom"/>
          </w:tcPr>
          <w:p>
            <w:pPr>
              <w:spacing w:after="0"/>
              <w:rPr>
                <w:sz w:val="10"/>
                <w:szCs w:val="10"/>
                <w:color w:val="auto"/>
              </w:rPr>
            </w:pPr>
          </w:p>
        </w:tc>
        <w:tc>
          <w:tcPr>
            <w:tcW w:w="78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620" w:type="dxa"/>
            <w:vAlign w:val="bottom"/>
            <w:tcBorders>
              <w:top w:val="single" w:sz="8" w:color="auto"/>
            </w:tcBorders>
          </w:tcPr>
          <w:p>
            <w:pPr>
              <w:jc w:val="right"/>
              <w:ind w:right="16"/>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200" w:type="dxa"/>
            <w:vAlign w:val="bottom"/>
          </w:tcPr>
          <w:p>
            <w:pPr>
              <w:spacing w:after="0"/>
              <w:rPr>
                <w:sz w:val="10"/>
                <w:szCs w:val="10"/>
                <w:color w:val="auto"/>
              </w:rPr>
            </w:pPr>
          </w:p>
        </w:tc>
        <w:tc>
          <w:tcPr>
            <w:tcW w:w="800" w:type="dxa"/>
            <w:vAlign w:val="bottom"/>
            <w:tcBorders>
              <w:top w:val="single" w:sz="8" w:color="auto"/>
            </w:tcBorders>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June 29,</w:t>
            </w:r>
          </w:p>
        </w:tc>
        <w:tc>
          <w:tcPr>
            <w:tcW w:w="660" w:type="dxa"/>
            <w:vAlign w:val="bottom"/>
            <w:tcBorders>
              <w:top w:val="single" w:sz="8" w:color="auto"/>
            </w:tcBorders>
          </w:tcPr>
          <w:p>
            <w:pPr>
              <w:jc w:val="right"/>
              <w:ind w:right="36"/>
              <w:spacing w:after="0" w:line="124" w:lineRule="exact"/>
              <w:rPr>
                <w:sz w:val="20"/>
                <w:szCs w:val="20"/>
                <w:color w:val="auto"/>
              </w:rPr>
            </w:pPr>
            <w:r>
              <w:rPr>
                <w:rFonts w:ascii="Times New Roman" w:cs="Times New Roman" w:eastAsia="Times New Roman" w:hAnsi="Times New Roman"/>
                <w:sz w:val="14"/>
                <w:szCs w:val="14"/>
                <w:b w:val="1"/>
                <w:bCs w:val="1"/>
                <w:color w:val="auto"/>
              </w:rPr>
              <w:t>July 1,</w:t>
            </w:r>
          </w:p>
        </w:tc>
        <w:tc>
          <w:tcPr>
            <w:tcW w:w="180" w:type="dxa"/>
            <w:vAlign w:val="bottom"/>
          </w:tcPr>
          <w:p>
            <w:pPr>
              <w:spacing w:after="0"/>
              <w:rPr>
                <w:sz w:val="10"/>
                <w:szCs w:val="10"/>
                <w:color w:val="auto"/>
              </w:rPr>
            </w:pPr>
          </w:p>
        </w:tc>
      </w:tr>
      <w:tr>
        <w:trPr>
          <w:trHeight w:val="180"/>
        </w:trPr>
        <w:tc>
          <w:tcPr>
            <w:tcW w:w="56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r>
      <w:tr>
        <w:trPr>
          <w:trHeight w:val="203"/>
        </w:trPr>
        <w:tc>
          <w:tcPr>
            <w:tcW w:w="56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w:t>
            </w: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top w:val="single" w:sz="8" w:color="CCEEFF"/>
            </w:tcBorders>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decrease in our days supply of inventory for the quarter and first six months of 2024 is due to improvements in inventory turns in our Construction and Packaging segments. The decrease in our days of sales outstanding is primarily due to improvements in our Construction segment. We continue to focus on past due account balances with customers, and the percentage of our accounts receivable that are current was 94% at the end of the second quarter of 2024 and 2023.</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first six months of 2024, our cash flows from operations were $239 million and were comprised of net earnings of $247 million, $92 million of non-cash expenses, and a $100 million decrease in working capital since the end of December 2023. Our cash flows from operations decreased by $82 million compared to the same period of last year primarily due to an increase in our investment in net working capital since year end, which was $64 million higher in 2024 compared to 2023.</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Purchases of property, plant, and equipment of $107 million comprised most of our cash used in investing activities during the first six months of 2024. Net purchases of investments totaled $7.1 million. Total proceeds from the sales of property, plant, and equipment were $2.3 million. Outstanding purchase commitments on existing capital projects totaled approximately $110 million on June 29, 2024. Capital spending primarily consists of several projects to expand capacity to manufacture new and value-added products, primarily in our Packaging segment and Site-Built, Deckorators and ProWood business units, achieve efficiencies through automation in all segments, make improvements to a number of facilities, and increase our transportation capacity (tractors, trailers). We intend to fund capital expenditures and purchase commitments through our operating cash flows for the balance of the year.</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primarily consisted of:</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1,202,527 shares of our common stock for $137.2 million for the year at an average price of $114.09 per share. Of this amount, 154,196 shares were repurchased in order to settle tax withholding obligations of long-term stock incentive plan participants’ awards which vested in February. The shares were purchased at an average price of $115.69 per share, totaling $17.8 million.</w:t>
      </w:r>
    </w:p>
    <w:p>
      <w:pPr>
        <w:sectPr>
          <w:pgSz w:w="11900" w:h="16838" w:orient="portrait"/>
          <w:cols w:equalWidth="0" w:num="1">
            <w:col w:w="9019"/>
          </w:cols>
          <w:pgMar w:left="1440" w:top="540"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760" w:hanging="31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six months of 2024 were $40.7 million ($0.33 per share).</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 of $4.8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$9.4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 on behalf of an investee of $6.3 million.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29, 2024, we had $3.6 million outstanding on our $750 million revolving credit facility, and we had approximately $709 million in remaining availability after considering $37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29,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second quarter of 2024, we had approximately $2.3 billion in total liquidity, consisting of our cash, remaining availability under our revolving credit facility, and a shelf agreement with certain lenders providing up to $535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financial goals include:</w:t>
      </w:r>
    </w:p>
    <w:p>
      <w:pPr>
        <w:spacing w:after="0" w:line="117" w:lineRule="exact"/>
        <w:rPr>
          <w:sz w:val="20"/>
          <w:szCs w:val="20"/>
          <w:color w:val="auto"/>
        </w:rPr>
      </w:pPr>
    </w:p>
    <w:p>
      <w:pPr>
        <w:ind w:left="720" w:right="33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7-10%. We anticipate smaller tuck in acquisitions will continue to contribute toward this goal;</w:t>
      </w:r>
    </w:p>
    <w:p>
      <w:pPr>
        <w:spacing w:after="0" w:line="53"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adjusted EBITDA margin by continuing to enhance our capabilities and grow our portfolio and sales of value-added products and by achieving operating improvements;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cost of capital;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We believe effectively executing our strategies will allow us to achieve long-term goals in the future. However, demand in the markets we serve has contracted, which will impact our results and vary depending on the severity and duration of this cycle. The following factors should be considered when evaluating our future results:</w:t>
      </w:r>
    </w:p>
    <w:p>
      <w:pPr>
        <w:spacing w:after="0" w:line="68" w:lineRule="exact"/>
        <w:rPr>
          <w:sz w:val="20"/>
          <w:szCs w:val="20"/>
          <w:color w:val="auto"/>
        </w:rPr>
      </w:pPr>
    </w:p>
    <w:p>
      <w:pPr>
        <w:ind w:left="720" w:right="4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Lumber prices, which impact our cost of goods sold and selling prices, have normalized due to additional capacity added by sawmills and demand falling from peak levels. We anticipate lumber prices will remain at lower levels until there is a substantial change in the balance of supply and demand.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720" w:right="139" w:hanging="319"/>
        <w:spacing w:after="0" w:line="258"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41% of our net sales for the first six months of 2024. When evaluating future demand for the segment, we analyze data such as the same-store sales growth of national home improvement retailers and forecasts of home remodeling activity. Based on this data, we currently anticipate market demand for our products to be down mid-single digits for the balance of 2024. We anticipate market share gains will help offset some of the impact of weaker demand.</w:t>
      </w:r>
    </w:p>
    <w:p>
      <w:pPr>
        <w:spacing w:after="0" w:line="75"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24% of our net sales for the first six months of 2024. When evaluating future demand, we consider a variety of metrics, including the Purchasing Managers Index (PMI), durable goods manufacturing, and U.S. real GDP. We currently believe overall demand for our products in the markets we serve to be down mid to high-single digits for the balance of 2024. We anticipate market share gains will help offset some of the impact of weaker demand.</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31% of our net sales for the first six months of 2024.</w:t>
      </w:r>
    </w:p>
    <w:p>
      <w:pPr>
        <w:spacing w:after="0" w:line="117" w:lineRule="exact"/>
        <w:rPr>
          <w:rFonts w:ascii="Times New Roman" w:cs="Times New Roman" w:eastAsia="Times New Roman" w:hAnsi="Times New Roman"/>
          <w:sz w:val="18"/>
          <w:szCs w:val="18"/>
          <w:color w:val="auto"/>
        </w:rPr>
      </w:pPr>
    </w:p>
    <w:p>
      <w:pPr>
        <w:ind w:left="1380" w:right="99" w:hanging="331"/>
        <w:spacing w:after="0" w:line="261" w:lineRule="auto"/>
        <w:tabs>
          <w:tab w:leader="none" w:pos="1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13% of our net sales for the first six months of 2024. Approximately one-third of site-built customers are multifamily builders. Independent forecasts of housing starts have recently been revised downward and generally range from a low to a mid-single digit decline. We anticipate market share gains will help offset some of the impact of weaker demand.</w:t>
      </w:r>
    </w:p>
    <w:p>
      <w:pPr>
        <w:spacing w:after="0" w:line="71" w:lineRule="exact"/>
        <w:rPr>
          <w:rFonts w:ascii="Times New Roman" w:cs="Times New Roman" w:eastAsia="Times New Roman" w:hAnsi="Times New Roman"/>
          <w:sz w:val="18"/>
          <w:szCs w:val="18"/>
          <w:color w:val="auto"/>
        </w:rPr>
      </w:pPr>
    </w:p>
    <w:p>
      <w:pPr>
        <w:ind w:left="1380" w:right="119" w:hanging="331"/>
        <w:spacing w:after="0" w:line="254" w:lineRule="auto"/>
        <w:tabs>
          <w:tab w:leader="none" w:pos="1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12% of our net sales for the first six months of 2024. When evaluating future demand, we analyze data from production and shipments of manufactured housing. Early in the year, the National Association of Home Builders and John Burns Real Estate Consulting forecast the manufactured home shipments in 2024 to be flat to slightly up. Manufactured housing is expected to continue to benefit from broader economic trends, including demand for affordable housing options, and we expect market demand for our products that serve manufactured housing to be up mid- to high-single digits in the second half 2024. We anticipate market share gains will contribute to unit growth.</w:t>
      </w:r>
    </w:p>
    <w:p>
      <w:pPr>
        <w:spacing w:after="0" w:line="83" w:lineRule="exact"/>
        <w:rPr>
          <w:rFonts w:ascii="Times New Roman" w:cs="Times New Roman" w:eastAsia="Times New Roman" w:hAnsi="Times New Roman"/>
          <w:sz w:val="18"/>
          <w:szCs w:val="18"/>
          <w:color w:val="auto"/>
        </w:rPr>
      </w:pPr>
    </w:p>
    <w:p>
      <w:pPr>
        <w:ind w:left="1380" w:right="179" w:hanging="331"/>
        <w:spacing w:after="0" w:line="261" w:lineRule="auto"/>
        <w:tabs>
          <w:tab w:leader="none" w:pos="13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6% of our net sales for the first six months of 2024. When evaluating future demand, we analyze data from non-residential construction spending. We currently anticipate overall demand in these business units to be flat to slightly down for the balance of 2024.</w:t>
      </w:r>
    </w:p>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68" w:lineRule="exact"/>
        <w:rPr>
          <w:sz w:val="20"/>
          <w:szCs w:val="20"/>
          <w:color w:val="auto"/>
        </w:rPr>
      </w:pPr>
    </w:p>
    <w:p>
      <w:pPr>
        <w:ind w:left="720" w:right="479" w:hanging="319"/>
        <w:spacing w:after="0" w:line="258"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24, 2024, our board approved a quarterly cash dividend of $0.33 per share, which represents a 10% increase from the third quarter of 2023. This dividend is payable on September 16, 2024, to shareholders of record on September 2, 2024. We continue to consider our payout ratio and yield when determining the appropriate dividend rate and have a long-term objective of increasing our dividend in line with our earnings growth.</w:t>
      </w:r>
    </w:p>
    <w:p>
      <w:pPr>
        <w:spacing w:after="0" w:line="75"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24, 2024, our board authorized the repurchase of up to $200 million worth of our shares through July 31, 2025. This share authorization supersedes and replaces our prior share repurchase authorizations. Our objective is to repurchase our stock at sufficient amounts to offset issuances under our share-based compensation plans. In addition, we will opportunistically buy shares when the price trades at pre-determined levels.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720" w:right="79" w:hanging="319"/>
        <w:spacing w:after="0" w:line="258"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2024 is $250-$300 million, which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and take advantage of automation opportunities, expand our transportation capacity, and drive strategies that have strong long-term growth potential for new and value-added products.</w:t>
      </w:r>
    </w:p>
    <w:p>
      <w:pPr>
        <w:spacing w:after="0" w:line="7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29, 2024,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June 29,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6"/>
                <w:szCs w:val="16"/>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w:t>
            </w:r>
          </w:p>
        </w:tc>
        <w:tc>
          <w:tcPr>
            <w:tcW w:w="160" w:type="dxa"/>
            <w:vAlign w:val="bottom"/>
          </w:tcPr>
          <w:p>
            <w:pPr>
              <w:spacing w:after="0"/>
              <w:rPr>
                <w:sz w:val="16"/>
                <w:szCs w:val="16"/>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w:t>
            </w:r>
          </w:p>
        </w:tc>
        <w:tc>
          <w:tcPr>
            <w:tcW w:w="16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10"/>
        </w:trPr>
        <w:tc>
          <w:tcPr>
            <w:tcW w:w="52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 May 4, 2024</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476,924</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$ 114.18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476,924</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$ 82,245,706</w:t>
            </w:r>
          </w:p>
        </w:tc>
      </w:tr>
      <w:tr>
        <w:trPr>
          <w:trHeight w:val="216"/>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May 5</w:t>
            </w:r>
          </w:p>
        </w:tc>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June 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79,700,092</w:t>
            </w:r>
          </w:p>
        </w:tc>
      </w:tr>
      <w:tr>
        <w:trPr>
          <w:trHeight w:val="216"/>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June 2</w:t>
            </w:r>
          </w:p>
        </w:tc>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- 29, 2024</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384,178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36,136,539</w:t>
            </w:r>
          </w:p>
        </w:tc>
      </w:tr>
      <w:tr>
        <w:trPr>
          <w:trHeight w:val="108"/>
        </w:trPr>
        <w:tc>
          <w:tcPr>
            <w:tcW w:w="50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and effective as of July 24, 2024, our board authorized the repurchase of up to $200 million worth of shares of our common stock through the period ending July 31, 2025, which supersedes and replaces prior authorizations.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During the quarter ended June 29, 2024,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August 7,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17145</wp:posOffset>
            </wp:positionV>
            <wp:extent cx="25374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17145</wp:posOffset>
            </wp:positionV>
            <wp:extent cx="25374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500" w:space="720"/>
            <w:col w:w="4799"/>
          </w:cols>
          <w:pgMar w:left="1440" w:top="540"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August 7,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0"/>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August 7,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0"/>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6"/>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OF THE BOARD AND 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Chairman of the Board and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29, 2024,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June 29, 2024,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29, 2024,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June 29, 2024,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upperLetter"/>
      <w:start w:val="1"/>
    </w:lvl>
  </w:abstractNum>
  <w:abstractNum w:abstractNumId="3">
    <w:nsid w:val="4353D0CD"/>
    <w:multiLevelType w:val="hybridMultilevel"/>
    <w:lvl w:ilvl="0">
      <w:lvlJc w:val="left"/>
      <w:lvlText w:val="(%1)"/>
      <w:numFmt w:val="lowerRoman"/>
      <w:start w:val="1"/>
    </w:lvl>
  </w:abstractNum>
  <w:abstractNum w:abstractNumId="4">
    <w:nsid w:val="B03E0C6"/>
    <w:multiLevelType w:val="hybridMultilevel"/>
    <w:lvl w:ilvl="0">
      <w:lvlJc w:val="left"/>
      <w:lvlText w:val="%1."/>
      <w:numFmt w:val="upperLetter"/>
      <w:start w:val="2"/>
    </w:lvl>
  </w:abstractNum>
  <w:abstractNum w:abstractNumId="5">
    <w:nsid w:val="189A769B"/>
    <w:multiLevelType w:val="hybridMultilevel"/>
    <w:lvl w:ilvl="0">
      <w:lvlJc w:val="left"/>
      <w:lvlText w:val="%1."/>
      <w:numFmt w:val="upperLetter"/>
      <w:start w:val="3"/>
    </w:lvl>
  </w:abstractNum>
  <w:abstractNum w:abstractNumId="6">
    <w:nsid w:val="54E49EB4"/>
    <w:multiLevelType w:val="hybridMultilevel"/>
    <w:lvl w:ilvl="0">
      <w:lvlJc w:val="left"/>
      <w:lvlText w:val="%1."/>
      <w:numFmt w:val="upperLetter"/>
      <w:start w:val="4"/>
    </w:lvl>
  </w:abstractNum>
  <w:abstractNum w:abstractNumId="7">
    <w:nsid w:val="71F32454"/>
    <w:multiLevelType w:val="hybridMultilevel"/>
    <w:lvl w:ilvl="0">
      <w:lvlJc w:val="left"/>
      <w:lvlText w:val="%1."/>
      <w:numFmt w:val="upperLetter"/>
      <w:start w:val="5"/>
    </w:lvl>
  </w:abstractNum>
  <w:abstractNum w:abstractNumId="8">
    <w:nsid w:val="2CA88611"/>
    <w:multiLevelType w:val="hybridMultilevel"/>
    <w:lvl w:ilvl="0">
      <w:lvlJc w:val="left"/>
      <w:lvlText w:val="%1."/>
      <w:numFmt w:val="upperLetter"/>
      <w:start w:val="6"/>
    </w:lvl>
  </w:abstractNum>
  <w:abstractNum w:abstractNumId="9">
    <w:nsid w:val="836C40E"/>
    <w:multiLevelType w:val="hybridMultilevel"/>
    <w:lvl w:ilvl="0">
      <w:lvlJc w:val="left"/>
      <w:lvlText w:val="%1."/>
      <w:numFmt w:val="upperLetter"/>
      <w:start w:val="7"/>
    </w:lvl>
  </w:abstractNum>
  <w:abstractNum w:abstractNumId="10">
    <w:nsid w:val="2901D82"/>
    <w:multiLevelType w:val="hybridMultilevel"/>
    <w:lvl w:ilvl="0">
      <w:lvlJc w:val="left"/>
      <w:lvlText w:val="%1."/>
      <w:numFmt w:val="upperLetter"/>
      <w:start w:val="8"/>
    </w:lvl>
  </w:abstractNum>
  <w:abstractNum w:abstractNumId="11">
    <w:nsid w:val="3A95F874"/>
    <w:multiLevelType w:val="hybridMultilevel"/>
    <w:lvl w:ilvl="0">
      <w:lvlJc w:val="left"/>
      <w:lvlText w:val="%1."/>
      <w:numFmt w:val="upperLetter"/>
      <w:start w:val="9"/>
    </w:lvl>
  </w:abstractNum>
  <w:abstractNum w:abstractNumId="12">
    <w:nsid w:val="8138641"/>
    <w:multiLevelType w:val="hybridMultilevel"/>
    <w:lvl w:ilvl="0">
      <w:lvlJc w:val="left"/>
      <w:lvlText w:val="%1."/>
      <w:numFmt w:val="upperLetter"/>
      <w:start w:val="10"/>
    </w:lvl>
  </w:abstractNum>
  <w:abstractNum w:abstractNumId="13">
    <w:nsid w:val="1E7FF521"/>
    <w:multiLevelType w:val="hybridMultilevel"/>
    <w:lvl w:ilvl="0">
      <w:lvlJc w:val="left"/>
      <w:lvlText w:val="%1."/>
      <w:numFmt w:val="upperLetter"/>
      <w:start w:val="1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lvl w:ilvl="1">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lvl w:ilvl="1">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31"/>
    </w:lvl>
    <w:lvl w:ilvl="1">
      <w:lvlJc w:val="left"/>
      <w:lvlText w:val="(%2)"/>
      <w:numFmt w:val="lowerLetter"/>
      <w:start w:val="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2024-08-07T12:22:23Z</dcterms:created>
  <dcterms:modified xsi:type="dcterms:W3CDTF">2024-08-07T12:22:23Z</dcterms:modified>
</cp:coreProperties>
</file>