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7" w:lineRule="exact"/>
        <w:rPr>
          <w:sz w:val="24"/>
          <w:szCs w:val="24"/>
          <w:color w:val="auto"/>
        </w:rPr>
      </w:pPr>
    </w:p>
    <w:p>
      <w:pPr>
        <w:jc w:val="center"/>
        <w:ind w:right="-9"/>
        <w:spacing w:after="0"/>
        <w:rPr>
          <w:sz w:val="20"/>
          <w:szCs w:val="20"/>
          <w:color w:val="auto"/>
        </w:rPr>
      </w:pPr>
      <w:r>
        <w:rPr>
          <w:rFonts w:ascii="Arial" w:cs="Arial" w:eastAsia="Arial" w:hAnsi="Arial"/>
          <w:sz w:val="20"/>
          <w:szCs w:val="20"/>
          <w:color w:val="auto"/>
        </w:rPr>
        <w:t>Washington, D.C. 20549</w:t>
      </w:r>
    </w:p>
    <w:p>
      <w:pPr>
        <w:spacing w:after="0" w:line="81"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FORM 10-K</w:t>
      </w:r>
    </w:p>
    <w:p>
      <w:pPr>
        <w:spacing w:after="0" w:line="126" w:lineRule="exact"/>
        <w:rPr>
          <w:sz w:val="24"/>
          <w:szCs w:val="24"/>
          <w:color w:val="auto"/>
        </w:rPr>
      </w:pPr>
    </w:p>
    <w:p>
      <w:pPr>
        <w:ind w:left="650" w:right="360" w:hanging="650"/>
        <w:spacing w:after="0" w:line="253" w:lineRule="auto"/>
        <w:tabs>
          <w:tab w:leader="none" w:pos="65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u w:val="single" w:color="auto"/>
          <w:color w:val="auto"/>
        </w:rPr>
        <w:t>December 25, 2021</w:t>
      </w:r>
      <w:r>
        <w:rPr>
          <w:rFonts w:ascii="Arial" w:cs="Arial" w:eastAsia="Arial" w:hAnsi="Arial"/>
          <w:sz w:val="16"/>
          <w:szCs w:val="16"/>
          <w:color w:val="auto"/>
        </w:rPr>
        <w:t>.</w:t>
      </w:r>
    </w:p>
    <w:p>
      <w:pPr>
        <w:spacing w:after="0" w:line="93"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OR</w:t>
      </w:r>
    </w:p>
    <w:p>
      <w:pPr>
        <w:spacing w:after="0" w:line="127" w:lineRule="exact"/>
        <w:rPr>
          <w:sz w:val="24"/>
          <w:szCs w:val="24"/>
          <w:color w:val="auto"/>
        </w:rPr>
      </w:pPr>
    </w:p>
    <w:p>
      <w:pPr>
        <w:ind w:left="650" w:right="100" w:hanging="650"/>
        <w:spacing w:after="0" w:line="253" w:lineRule="auto"/>
        <w:tabs>
          <w:tab w:leader="none" w:pos="65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of ____ to _____.</w:t>
      </w:r>
    </w:p>
    <w:p>
      <w:pPr>
        <w:spacing w:after="0" w:line="93" w:lineRule="exact"/>
        <w:rPr>
          <w:sz w:val="24"/>
          <w:szCs w:val="24"/>
          <w:color w:val="auto"/>
        </w:rPr>
      </w:pPr>
    </w:p>
    <w:p>
      <w:pPr>
        <w:ind w:left="10"/>
        <w:spacing w:after="0"/>
        <w:rPr>
          <w:sz w:val="20"/>
          <w:szCs w:val="20"/>
          <w:color w:val="auto"/>
        </w:rPr>
      </w:pPr>
      <w:r>
        <w:rPr>
          <w:rFonts w:ascii="Arial" w:cs="Arial" w:eastAsia="Arial" w:hAnsi="Arial"/>
          <w:sz w:val="16"/>
          <w:szCs w:val="16"/>
          <w:color w:val="auto"/>
        </w:rPr>
        <w:t>Commission File No.: 0-22684</w:t>
      </w:r>
    </w:p>
    <w:p>
      <w:pPr>
        <w:spacing w:after="0" w:line="109"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UFP INDUSTRIES, INC.</w:t>
      </w:r>
    </w:p>
    <w:p>
      <w:pPr>
        <w:spacing w:after="0" w:line="3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230"/>
          </w:cols>
          <w:pgMar w:left="830" w:top="850" w:right="839" w:bottom="1440" w:gutter="0" w:footer="0" w:header="0"/>
        </w:sectPr>
      </w:pPr>
    </w:p>
    <w:p>
      <w:pPr>
        <w:spacing w:after="0" w:line="109" w:lineRule="exact"/>
        <w:rPr>
          <w:sz w:val="24"/>
          <w:szCs w:val="24"/>
          <w:color w:val="auto"/>
        </w:rPr>
      </w:pPr>
    </w:p>
    <w:p>
      <w:pPr>
        <w:jc w:val="center"/>
        <w:ind w:right="730"/>
        <w:spacing w:after="0"/>
        <w:rPr>
          <w:sz w:val="20"/>
          <w:szCs w:val="20"/>
          <w:color w:val="auto"/>
        </w:rPr>
      </w:pPr>
      <w:r>
        <w:rPr>
          <w:rFonts w:ascii="Arial" w:cs="Arial" w:eastAsia="Arial" w:hAnsi="Arial"/>
          <w:sz w:val="16"/>
          <w:szCs w:val="16"/>
          <w:b w:val="1"/>
          <w:bCs w:val="1"/>
          <w:color w:val="auto"/>
        </w:rPr>
        <w:t>Michigan</w:t>
      </w:r>
    </w:p>
    <w:p>
      <w:pPr>
        <w:spacing w:after="0" w:line="10" w:lineRule="exact"/>
        <w:rPr>
          <w:sz w:val="24"/>
          <w:szCs w:val="24"/>
          <w:color w:val="auto"/>
        </w:rPr>
      </w:pPr>
    </w:p>
    <w:p>
      <w:pPr>
        <w:jc w:val="center"/>
        <w:ind w:right="73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38-1465835</w:t>
      </w:r>
    </w:p>
    <w:p>
      <w:pPr>
        <w:spacing w:after="0" w:line="10" w:lineRule="exact"/>
        <w:rPr>
          <w:sz w:val="24"/>
          <w:szCs w:val="24"/>
          <w:color w:val="auto"/>
        </w:rPr>
      </w:pPr>
    </w:p>
    <w:p>
      <w:pPr>
        <w:jc w:val="center"/>
        <w:ind w:right="1300"/>
        <w:spacing w:after="0"/>
        <w:rPr>
          <w:sz w:val="20"/>
          <w:szCs w:val="20"/>
          <w:color w:val="auto"/>
        </w:rPr>
      </w:pPr>
      <w:r>
        <w:rPr>
          <w:rFonts w:ascii="Arial" w:cs="Arial" w:eastAsia="Arial" w:hAnsi="Arial"/>
          <w:sz w:val="15"/>
          <w:szCs w:val="15"/>
          <w:color w:val="auto"/>
        </w:rPr>
        <w:t>(I.R.S. Employer Identification No.)</w:t>
      </w:r>
    </w:p>
    <w:p>
      <w:pPr>
        <w:spacing w:after="0" w:line="80" w:lineRule="exact"/>
        <w:rPr>
          <w:sz w:val="24"/>
          <w:szCs w:val="24"/>
          <w:color w:val="auto"/>
        </w:rPr>
      </w:pPr>
    </w:p>
    <w:p>
      <w:pPr>
        <w:sectPr>
          <w:pgSz w:w="11900" w:h="16838" w:orient="portrait"/>
          <w:cols w:equalWidth="0" w:num="2">
            <w:col w:w="5870" w:space="720"/>
            <w:col w:w="3640"/>
          </w:cols>
          <w:pgMar w:left="830" w:top="850" w:right="839" w:bottom="1440" w:gutter="0" w:footer="0" w:header="0"/>
          <w:type w:val="continuous"/>
        </w:sectPr>
      </w:pPr>
    </w:p>
    <w:p>
      <w:pPr>
        <w:jc w:val="center"/>
        <w:ind w:right="1550"/>
        <w:spacing w:after="0"/>
        <w:rPr>
          <w:sz w:val="20"/>
          <w:szCs w:val="20"/>
          <w:color w:val="auto"/>
        </w:rPr>
      </w:pPr>
      <w:r>
        <w:rPr>
          <w:rFonts w:ascii="Arial" w:cs="Arial" w:eastAsia="Arial" w:hAnsi="Arial"/>
          <w:sz w:val="14"/>
          <w:szCs w:val="14"/>
          <w:b w:val="1"/>
          <w:bCs w:val="1"/>
          <w:color w:val="auto"/>
        </w:rPr>
        <w:t>2801 East Beltline, N.E., Grand Rapids, Michigan</w:t>
      </w:r>
    </w:p>
    <w:p>
      <w:pPr>
        <w:spacing w:after="0" w:line="33" w:lineRule="exact"/>
        <w:rPr>
          <w:sz w:val="24"/>
          <w:szCs w:val="24"/>
          <w:color w:val="auto"/>
        </w:rPr>
      </w:pPr>
    </w:p>
    <w:p>
      <w:pPr>
        <w:jc w:val="center"/>
        <w:ind w:right="155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49525</w:t>
      </w:r>
    </w:p>
    <w:p>
      <w:pPr>
        <w:spacing w:after="0" w:line="10" w:lineRule="exact"/>
        <w:rPr>
          <w:sz w:val="24"/>
          <w:szCs w:val="24"/>
          <w:color w:val="auto"/>
        </w:rPr>
      </w:pPr>
    </w:p>
    <w:p>
      <w:pPr>
        <w:jc w:val="center"/>
        <w:ind w:right="2120"/>
        <w:spacing w:after="0"/>
        <w:rPr>
          <w:sz w:val="20"/>
          <w:szCs w:val="20"/>
          <w:color w:val="auto"/>
        </w:rPr>
      </w:pPr>
      <w:r>
        <w:rPr>
          <w:rFonts w:ascii="Arial" w:cs="Arial" w:eastAsia="Arial" w:hAnsi="Arial"/>
          <w:sz w:val="14"/>
          <w:szCs w:val="14"/>
          <w:color w:val="auto"/>
        </w:rPr>
        <w:t>(Zip Code)</w:t>
      </w:r>
    </w:p>
    <w:p>
      <w:pPr>
        <w:spacing w:after="0" w:line="117" w:lineRule="exact"/>
        <w:rPr>
          <w:sz w:val="24"/>
          <w:szCs w:val="24"/>
          <w:color w:val="auto"/>
        </w:rPr>
      </w:pPr>
    </w:p>
    <w:p>
      <w:pPr>
        <w:sectPr>
          <w:pgSz w:w="11900" w:h="16838" w:orient="portrait"/>
          <w:cols w:equalWidth="0" w:num="2">
            <w:col w:w="6690" w:space="720"/>
            <w:col w:w="2820"/>
          </w:cols>
          <w:pgMar w:left="830" w:top="850" w:right="839" w:bottom="1440" w:gutter="0" w:footer="0" w:header="0"/>
          <w:type w:val="continuous"/>
        </w:sectPr>
      </w:pPr>
    </w:p>
    <w:p>
      <w:pPr>
        <w:ind w:left="1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(616) 364-6161</w:t>
      </w:r>
    </w:p>
    <w:p>
      <w:pPr>
        <w:spacing w:after="0" w:line="154"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0230"/>
          </w:cols>
          <w:pgMar w:left="830" w:top="850" w:right="839" w:bottom="1440" w:gutter="0" w:footer="0" w:header="0"/>
          <w:type w:val="continuous"/>
        </w:sectPr>
      </w:pPr>
    </w:p>
    <w:p>
      <w:pPr>
        <w:spacing w:after="0" w:line="140" w:lineRule="exact"/>
        <w:rPr>
          <w:sz w:val="24"/>
          <w:szCs w:val="24"/>
          <w:color w:val="auto"/>
        </w:rPr>
      </w:pPr>
    </w:p>
    <w:p>
      <w:pPr>
        <w:jc w:val="center"/>
        <w:ind w:right="290"/>
        <w:spacing w:after="0"/>
        <w:rPr>
          <w:sz w:val="20"/>
          <w:szCs w:val="20"/>
          <w:color w:val="auto"/>
        </w:rPr>
      </w:pPr>
      <w:r>
        <w:rPr>
          <w:rFonts w:ascii="Arial" w:cs="Arial" w:eastAsia="Arial" w:hAnsi="Arial"/>
          <w:sz w:val="16"/>
          <w:szCs w:val="16"/>
          <w:color w:val="auto"/>
        </w:rPr>
        <w:t>Title of Each Class</w:t>
      </w:r>
    </w:p>
    <w:p>
      <w:pPr>
        <w:spacing w:after="0" w:line="22" w:lineRule="exact"/>
        <w:rPr>
          <w:sz w:val="24"/>
          <w:szCs w:val="24"/>
          <w:color w:val="auto"/>
        </w:rPr>
      </w:pPr>
    </w:p>
    <w:p>
      <w:pPr>
        <w:jc w:val="center"/>
        <w:ind w:right="290"/>
        <w:spacing w:after="0"/>
        <w:rPr>
          <w:sz w:val="20"/>
          <w:szCs w:val="20"/>
          <w:color w:val="auto"/>
        </w:rPr>
      </w:pPr>
      <w:r>
        <w:rPr>
          <w:rFonts w:ascii="Arial" w:cs="Arial" w:eastAsia="Arial" w:hAnsi="Arial"/>
          <w:sz w:val="14"/>
          <w:szCs w:val="14"/>
          <w:b w:val="1"/>
          <w:bCs w:val="1"/>
          <w:color w:val="auto"/>
        </w:rPr>
        <w:t>Common Stock, $1 par value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660"/>
        <w:spacing w:after="0"/>
        <w:rPr>
          <w:sz w:val="20"/>
          <w:szCs w:val="20"/>
          <w:color w:val="auto"/>
        </w:rPr>
      </w:pPr>
      <w:r>
        <w:rPr>
          <w:rFonts w:ascii="Arial" w:cs="Arial" w:eastAsia="Arial" w:hAnsi="Arial"/>
          <w:sz w:val="15"/>
          <w:szCs w:val="15"/>
          <w:color w:val="auto"/>
        </w:rPr>
        <w:t>Trading Symbol</w:t>
      </w:r>
    </w:p>
    <w:p>
      <w:pPr>
        <w:spacing w:after="0" w:line="34" w:lineRule="exact"/>
        <w:rPr>
          <w:sz w:val="24"/>
          <w:szCs w:val="24"/>
          <w:color w:val="auto"/>
        </w:rPr>
      </w:pPr>
    </w:p>
    <w:p>
      <w:pPr>
        <w:jc w:val="center"/>
        <w:ind w:right="660"/>
        <w:spacing w:after="0"/>
        <w:rPr>
          <w:sz w:val="20"/>
          <w:szCs w:val="20"/>
          <w:color w:val="auto"/>
        </w:rPr>
      </w:pPr>
      <w:r>
        <w:rPr>
          <w:rFonts w:ascii="Arial" w:cs="Arial" w:eastAsia="Arial" w:hAnsi="Arial"/>
          <w:sz w:val="16"/>
          <w:szCs w:val="16"/>
          <w:b w:val="1"/>
          <w:bCs w:val="1"/>
          <w:color w:val="auto"/>
        </w:rPr>
        <w:t>UFPI</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60"/>
        <w:spacing w:after="0"/>
        <w:rPr>
          <w:sz w:val="20"/>
          <w:szCs w:val="20"/>
          <w:color w:val="auto"/>
        </w:rPr>
      </w:pPr>
      <w:r>
        <w:rPr>
          <w:rFonts w:ascii="Arial" w:cs="Arial" w:eastAsia="Arial" w:hAnsi="Arial"/>
          <w:sz w:val="14"/>
          <w:szCs w:val="14"/>
          <w:color w:val="auto"/>
        </w:rPr>
        <w:t>Name of Each Exchange on Which Registered</w:t>
      </w:r>
    </w:p>
    <w:p>
      <w:pPr>
        <w:spacing w:after="0" w:line="45"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The NASDAQ Global Select Market</w:t>
      </w:r>
    </w:p>
    <w:p>
      <w:pPr>
        <w:spacing w:after="0" w:line="93" w:lineRule="exact"/>
        <w:rPr>
          <w:sz w:val="24"/>
          <w:szCs w:val="24"/>
          <w:color w:val="auto"/>
        </w:rPr>
      </w:pPr>
    </w:p>
    <w:p>
      <w:pPr>
        <w:sectPr>
          <w:pgSz w:w="11900" w:h="16838" w:orient="portrait"/>
          <w:cols w:equalWidth="0" w:num="3">
            <w:col w:w="3710" w:space="720"/>
            <w:col w:w="1720" w:space="720"/>
            <w:col w:w="3360"/>
          </w:cols>
          <w:pgMar w:left="830" w:top="850" w:right="839" w:bottom="1440" w:gutter="0" w:footer="0" w:header="0"/>
          <w:type w:val="continuous"/>
        </w:sectPr>
      </w:pPr>
    </w:p>
    <w:p>
      <w:pPr>
        <w:spacing w:after="0" w:line="30" w:lineRule="exact"/>
        <w:rPr>
          <w:sz w:val="24"/>
          <w:szCs w:val="24"/>
          <w:color w:val="auto"/>
        </w:rPr>
      </w:pPr>
    </w:p>
    <w:p>
      <w:pPr>
        <w:ind w:left="1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Arial" w:cs="Arial" w:eastAsia="Arial" w:hAnsi="Arial"/>
          <w:sz w:val="15"/>
          <w:szCs w:val="15"/>
          <w:color w:val="auto"/>
        </w:rPr>
        <w:t xml:space="preserve">Yes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No</w:t>
      </w:r>
    </w:p>
    <w:p>
      <w:pPr>
        <w:spacing w:after="0" w:line="126" w:lineRule="exact"/>
        <w:rPr>
          <w:sz w:val="24"/>
          <w:szCs w:val="24"/>
          <w:color w:val="auto"/>
        </w:rPr>
      </w:pPr>
    </w:p>
    <w:p>
      <w:pPr>
        <w:sectPr>
          <w:pgSz w:w="11900" w:h="16838" w:orient="portrait"/>
          <w:cols w:equalWidth="0" w:num="3">
            <w:col w:w="7610" w:space="120"/>
            <w:col w:w="460" w:space="480"/>
            <w:col w:w="1560"/>
          </w:cols>
          <w:pgMar w:left="830" w:top="850" w:right="839" w:bottom="1440" w:gutter="0" w:footer="0" w:header="0"/>
          <w:type w:val="continuous"/>
        </w:sectPr>
      </w:pPr>
    </w:p>
    <w:p>
      <w:pPr>
        <w:spacing w:after="0" w:line="30" w:lineRule="exact"/>
        <w:rPr>
          <w:sz w:val="24"/>
          <w:szCs w:val="24"/>
          <w:color w:val="auto"/>
        </w:rPr>
      </w:pPr>
    </w:p>
    <w:p>
      <w:pPr>
        <w:ind w:left="1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pacing w:after="0" w:line="126" w:lineRule="exact"/>
        <w:rPr>
          <w:sz w:val="24"/>
          <w:szCs w:val="24"/>
          <w:color w:val="auto"/>
        </w:rPr>
      </w:pPr>
    </w:p>
    <w:p>
      <w:pPr>
        <w:sectPr>
          <w:pgSz w:w="11900" w:h="16838" w:orient="portrait"/>
          <w:cols w:equalWidth="0" w:num="3">
            <w:col w:w="7750" w:space="120"/>
            <w:col w:w="420" w:space="480"/>
            <w:col w:w="1460"/>
          </w:cols>
          <w:pgMar w:left="830" w:top="850" w:right="839" w:bottom="1440" w:gutter="0" w:footer="0" w:header="0"/>
          <w:type w:val="continuous"/>
        </w:sect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87" w:lineRule="exact"/>
        <w:rPr>
          <w:sz w:val="24"/>
          <w:szCs w:val="24"/>
          <w:color w:val="auto"/>
        </w:rPr>
      </w:pPr>
    </w:p>
    <w:p>
      <w:pPr>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87"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250"/>
        <w:spacing w:after="0" w:line="215" w:lineRule="exact"/>
        <w:tabs>
          <w:tab w:leader="none" w:pos="2650" w:val="left"/>
          <w:tab w:leader="none" w:pos="4910" w:val="left"/>
          <w:tab w:leader="none" w:pos="7550" w:val="left"/>
        </w:tabs>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Arial" w:cs="Arial" w:eastAsia="Arial" w:hAnsi="Arial"/>
          <w:sz w:val="15"/>
          <w:szCs w:val="15"/>
          <w:color w:val="auto"/>
        </w:rPr>
        <w:t xml:space="preserve">Smaller Reporting Company </w:t>
      </w:r>
      <w:r>
        <w:rPr>
          <w:rFonts w:ascii="Arial Unicode MS" w:cs="Arial Unicode MS" w:eastAsia="Arial Unicode MS" w:hAnsi="Arial Unicode MS"/>
          <w:sz w:val="15"/>
          <w:szCs w:val="15"/>
          <w:color w:val="auto"/>
        </w:rPr>
        <w:t>☐</w:t>
      </w:r>
    </w:p>
    <w:p>
      <w:pPr>
        <w:spacing w:after="0" w:line="191" w:lineRule="exact"/>
        <w:rPr>
          <w:sz w:val="24"/>
          <w:szCs w:val="24"/>
          <w:color w:val="auto"/>
        </w:rPr>
      </w:pPr>
    </w:p>
    <w:p>
      <w:pPr>
        <w:ind w:left="11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194" w:lineRule="exact"/>
        <w:rPr>
          <w:sz w:val="24"/>
          <w:szCs w:val="24"/>
          <w:color w:val="auto"/>
        </w:rPr>
      </w:pPr>
    </w:p>
    <w:p>
      <w:pPr>
        <w:ind w:left="10" w:right="2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00" w:lineRule="exact"/>
        <w:rPr>
          <w:sz w:val="24"/>
          <w:szCs w:val="24"/>
          <w:color w:val="auto"/>
        </w:rPr>
      </w:pPr>
    </w:p>
    <w:p>
      <w:pPr>
        <w:jc w:val="both"/>
        <w:ind w:left="10"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57" w:lineRule="exact"/>
        <w:rPr>
          <w:sz w:val="24"/>
          <w:szCs w:val="24"/>
          <w:color w:val="auto"/>
        </w:rPr>
      </w:pPr>
    </w:p>
    <w:p>
      <w:pPr>
        <w:ind w:left="10"/>
        <w:spacing w:after="0" w:line="215" w:lineRule="exact"/>
        <w:tabs>
          <w:tab w:leader="none" w:pos="769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pacing w:after="0" w:line="126" w:lineRule="exact"/>
        <w:rPr>
          <w:sz w:val="24"/>
          <w:szCs w:val="24"/>
          <w:color w:val="auto"/>
        </w:rPr>
      </w:pPr>
    </w:p>
    <w:p>
      <w:pPr>
        <w:jc w:val="both"/>
        <w:ind w:left="10"/>
        <w:spacing w:after="0" w:line="328" w:lineRule="auto"/>
        <w:rPr>
          <w:sz w:val="20"/>
          <w:szCs w:val="20"/>
          <w:color w:val="auto"/>
        </w:rPr>
      </w:pPr>
      <w:r>
        <w:rPr>
          <w:rFonts w:ascii="Arial" w:cs="Arial" w:eastAsia="Arial" w:hAnsi="Arial"/>
          <w:sz w:val="15"/>
          <w:szCs w:val="15"/>
          <w:color w:val="auto"/>
        </w:rPr>
        <w:t>The aggregate market value of the common stock held by non-affiliates of the registrant (i.e. excluding shares held by executive officers, directors, and control persons as defined in Rule 405, 17 CFR 230.405) on June 25, 2021 was $4,240,620,108 computed at the closing price of $72.73 on that date.</w:t>
      </w:r>
    </w:p>
    <w:p>
      <w:pPr>
        <w:spacing w:after="0" w:line="42" w:lineRule="exact"/>
        <w:rPr>
          <w:sz w:val="24"/>
          <w:szCs w:val="24"/>
          <w:color w:val="auto"/>
        </w:rPr>
      </w:pPr>
    </w:p>
    <w:p>
      <w:pPr>
        <w:ind w:left="10"/>
        <w:spacing w:after="0"/>
        <w:rPr>
          <w:sz w:val="20"/>
          <w:szCs w:val="20"/>
          <w:color w:val="auto"/>
        </w:rPr>
      </w:pPr>
      <w:r>
        <w:rPr>
          <w:rFonts w:ascii="Arial" w:cs="Arial" w:eastAsia="Arial" w:hAnsi="Arial"/>
          <w:sz w:val="16"/>
          <w:szCs w:val="16"/>
          <w:color w:val="auto"/>
        </w:rPr>
        <w:t>As of January 30, 2022, 61,905,218 shares of the registrant’s common stock, $1 par value, were outstanding.</w:t>
      </w:r>
    </w:p>
    <w:p>
      <w:pPr>
        <w:spacing w:after="0" w:line="127" w:lineRule="exact"/>
        <w:rPr>
          <w:sz w:val="24"/>
          <w:szCs w:val="24"/>
          <w:color w:val="auto"/>
        </w:rPr>
      </w:pPr>
    </w:p>
    <w:p>
      <w:pPr>
        <w:ind w:left="10"/>
        <w:spacing w:after="0"/>
        <w:rPr>
          <w:sz w:val="20"/>
          <w:szCs w:val="20"/>
          <w:color w:val="auto"/>
        </w:rPr>
      </w:pPr>
      <w:r>
        <w:rPr>
          <w:rFonts w:ascii="Arial" w:cs="Arial" w:eastAsia="Arial" w:hAnsi="Arial"/>
          <w:sz w:val="16"/>
          <w:szCs w:val="16"/>
          <w:color w:val="auto"/>
        </w:rPr>
        <w:t>Documents incorporated by reference:</w:t>
      </w:r>
    </w:p>
    <w:p>
      <w:pPr>
        <w:spacing w:after="0" w:line="127" w:lineRule="exact"/>
        <w:rPr>
          <w:sz w:val="24"/>
          <w:szCs w:val="24"/>
          <w:color w:val="auto"/>
        </w:rPr>
      </w:pPr>
    </w:p>
    <w:p>
      <w:pPr>
        <w:ind w:left="530" w:right="20" w:hanging="327"/>
        <w:spacing w:after="0" w:line="293" w:lineRule="auto"/>
        <w:tabs>
          <w:tab w:leader="none" w:pos="53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portions of the registrant’s Annual Report to Shareholders for the fiscal year ended December 25, 2021 are incorporated by reference into Part I and II of this Report.</w:t>
      </w:r>
    </w:p>
    <w:p>
      <w:pPr>
        <w:spacing w:after="0" w:line="63" w:lineRule="exact"/>
        <w:rPr>
          <w:rFonts w:ascii="Arial" w:cs="Arial" w:eastAsia="Arial" w:hAnsi="Arial"/>
          <w:sz w:val="16"/>
          <w:szCs w:val="16"/>
          <w:color w:val="auto"/>
        </w:rPr>
      </w:pPr>
    </w:p>
    <w:p>
      <w:pPr>
        <w:ind w:left="530" w:right="20" w:hanging="327"/>
        <w:spacing w:after="0" w:line="293" w:lineRule="auto"/>
        <w:tabs>
          <w:tab w:leader="none" w:pos="53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portions of the registrant’s Proxy Statement for its 2022 Annual Meeting of Shareholders are incorporated by reference into Part III of this Report.</w:t>
      </w:r>
    </w:p>
    <w:p>
      <w:pPr>
        <w:spacing w:after="0" w:line="64"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Exhibit Index located on page E-16.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626745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198120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850"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20"/>
          </w:tcPr>
          <w:p>
            <w:pPr>
              <w:jc w:val="center"/>
              <w:ind w:right="2440"/>
              <w:spacing w:after="0"/>
              <w:rPr>
                <w:sz w:val="20"/>
                <w:szCs w:val="20"/>
                <w:color w:val="auto"/>
              </w:rPr>
            </w:pPr>
            <w:r>
              <w:rPr>
                <w:rFonts w:ascii="Arial" w:cs="Arial" w:eastAsia="Arial" w:hAnsi="Arial"/>
                <w:sz w:val="18"/>
                <w:szCs w:val="18"/>
                <w:b w:val="1"/>
                <w:bCs w:val="1"/>
                <w:color w:val="auto"/>
                <w:w w:val="99"/>
              </w:rPr>
              <w:t>ANNUAL REPORT ON FORM 10-K</w:t>
            </w:r>
          </w:p>
        </w:tc>
        <w:tc>
          <w:tcPr>
            <w:tcW w:w="4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540" w:type="dxa"/>
            <w:vAlign w:val="bottom"/>
            <w:gridSpan w:val="20"/>
          </w:tcPr>
          <w:p>
            <w:pPr>
              <w:jc w:val="center"/>
              <w:ind w:right="2460"/>
              <w:spacing w:after="0"/>
              <w:rPr>
                <w:sz w:val="20"/>
                <w:szCs w:val="20"/>
                <w:color w:val="auto"/>
              </w:rPr>
            </w:pPr>
            <w:r>
              <w:rPr>
                <w:rFonts w:ascii="Arial" w:cs="Arial" w:eastAsia="Arial" w:hAnsi="Arial"/>
                <w:sz w:val="18"/>
                <w:szCs w:val="18"/>
                <w:b w:val="1"/>
                <w:bCs w:val="1"/>
                <w:color w:val="auto"/>
                <w:w w:val="96"/>
              </w:rPr>
              <w:t>DECEMBER 25, 2021</w:t>
            </w:r>
          </w:p>
        </w:tc>
        <w:tc>
          <w:tcPr>
            <w:tcW w:w="4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540" w:type="dxa"/>
            <w:vAlign w:val="bottom"/>
            <w:gridSpan w:val="20"/>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14"/>
          </w:tcPr>
          <w:p>
            <w:pPr>
              <w:jc w:val="center"/>
              <w:ind w:right="366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3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370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0"/>
              </w:rPr>
            </w:pPr>
            <w:hyperlink w:anchor="page6">
              <w:r>
                <w:rPr>
                  <w:rFonts w:ascii="Arial" w:cs="Arial" w:eastAsia="Arial" w:hAnsi="Arial"/>
                  <w:sz w:val="18"/>
                  <w:szCs w:val="18"/>
                  <w:color w:val="0000EE"/>
                  <w:w w:val="80"/>
                </w:rPr>
                <w:t>Item 1A.</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0"/>
              </w:rPr>
            </w:pPr>
            <w:hyperlink w:anchor="page8">
              <w:r>
                <w:rPr>
                  <w:rFonts w:ascii="Arial" w:cs="Arial" w:eastAsia="Arial" w:hAnsi="Arial"/>
                  <w:sz w:val="18"/>
                  <w:szCs w:val="18"/>
                  <w:color w:val="0000EE"/>
                  <w:w w:val="80"/>
                </w:rPr>
                <w:t>Item 1B.</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Unresolved Staff Comments.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Item 2.</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Properties.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3.</w:t>
              </w:r>
            </w:hyperlink>
          </w:p>
        </w:tc>
        <w:tc>
          <w:tcPr>
            <w:tcW w:w="7620" w:type="dxa"/>
            <w:vAlign w:val="bottom"/>
            <w:gridSpan w:val="2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Legal Proceedings.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4.</w:t>
              </w:r>
            </w:hyperlink>
          </w:p>
        </w:tc>
        <w:tc>
          <w:tcPr>
            <w:tcW w:w="7620" w:type="dxa"/>
            <w:vAlign w:val="bottom"/>
            <w:gridSpan w:val="2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Mine Safety Disclosures.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40" w:type="dxa"/>
            <w:vAlign w:val="bottom"/>
            <w:gridSpan w:val="3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Additional item: Executive Officers of the Registrant.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w:t>
              </w:r>
            </w:hyperlink>
          </w:p>
        </w:tc>
        <w:tc>
          <w:tcPr>
            <w:tcW w:w="366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5.</w:t>
              </w:r>
            </w:hyperlink>
          </w:p>
        </w:tc>
        <w:tc>
          <w:tcPr>
            <w:tcW w:w="7620" w:type="dxa"/>
            <w:vAlign w:val="bottom"/>
            <w:gridSpan w:val="28"/>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Market for Registrant’s Common Equity, Related Shareholder Matters and Issuer Purchases of Equity</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Securities.</w:t>
              </w:r>
            </w:hyperlink>
          </w:p>
        </w:tc>
        <w:tc>
          <w:tcPr>
            <w:tcW w:w="6840" w:type="dxa"/>
            <w:vAlign w:val="bottom"/>
            <w:gridSpan w:val="25"/>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6.</w:t>
              </w:r>
            </w:hyperlink>
          </w:p>
        </w:tc>
        <w:tc>
          <w:tcPr>
            <w:tcW w:w="7620" w:type="dxa"/>
            <w:vAlign w:val="bottom"/>
            <w:gridSpan w:val="2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Selected Financial Data.</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7.</w:t>
              </w:r>
            </w:hyperlink>
          </w:p>
        </w:tc>
        <w:tc>
          <w:tcPr>
            <w:tcW w:w="7620" w:type="dxa"/>
            <w:vAlign w:val="bottom"/>
            <w:gridSpan w:val="2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0"/>
              </w:rPr>
            </w:pPr>
            <w:hyperlink w:anchor="page12">
              <w:r>
                <w:rPr>
                  <w:rFonts w:ascii="Arial" w:cs="Arial" w:eastAsia="Arial" w:hAnsi="Arial"/>
                  <w:sz w:val="18"/>
                  <w:szCs w:val="18"/>
                  <w:color w:val="0000EE"/>
                  <w:w w:val="80"/>
                </w:rPr>
                <w:t>Item 7A.</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Quantitative and Qualitative Disclosures About Market Risk.</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Item 8.</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Financial Statements and Supplementary Data.</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9.</w:t>
              </w:r>
            </w:hyperlink>
          </w:p>
        </w:tc>
        <w:tc>
          <w:tcPr>
            <w:tcW w:w="7620" w:type="dxa"/>
            <w:vAlign w:val="bottom"/>
            <w:gridSpan w:val="2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Changes In and Disagreements with Accountants on Accounting and Financial Disclosure.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0"/>
              </w:rPr>
            </w:pPr>
            <w:hyperlink w:anchor="page13">
              <w:r>
                <w:rPr>
                  <w:rFonts w:ascii="Arial" w:cs="Arial" w:eastAsia="Arial" w:hAnsi="Arial"/>
                  <w:sz w:val="18"/>
                  <w:szCs w:val="18"/>
                  <w:color w:val="0000EE"/>
                  <w:w w:val="80"/>
                </w:rPr>
                <w:t>Item 9A.</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0"/>
              </w:rPr>
            </w:pPr>
            <w:hyperlink w:anchor="page14">
              <w:r>
                <w:rPr>
                  <w:rFonts w:ascii="Arial" w:cs="Arial" w:eastAsia="Arial" w:hAnsi="Arial"/>
                  <w:sz w:val="18"/>
                  <w:szCs w:val="18"/>
                  <w:color w:val="0000EE"/>
                  <w:w w:val="80"/>
                </w:rPr>
                <w:t>Item 9B.</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Other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III</w:t>
              </w:r>
            </w:hyperlink>
          </w:p>
        </w:tc>
        <w:tc>
          <w:tcPr>
            <w:tcW w:w="362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14">
              <w:r>
                <w:rPr>
                  <w:rFonts w:ascii="Arial" w:cs="Arial" w:eastAsia="Arial" w:hAnsi="Arial"/>
                  <w:sz w:val="18"/>
                  <w:szCs w:val="18"/>
                  <w:color w:val="0000EE"/>
                  <w:w w:val="82"/>
                </w:rPr>
                <w:t>Item 10.</w:t>
              </w:r>
            </w:hyperlink>
          </w:p>
        </w:tc>
        <w:tc>
          <w:tcPr>
            <w:tcW w:w="240" w:type="dxa"/>
            <w:vAlign w:val="bottom"/>
          </w:tcPr>
          <w:p>
            <w:pPr>
              <w:spacing w:after="0"/>
              <w:rPr>
                <w:sz w:val="24"/>
                <w:szCs w:val="24"/>
                <w:color w:val="auto"/>
              </w:rPr>
            </w:pPr>
          </w:p>
        </w:tc>
        <w:tc>
          <w:tcPr>
            <w:tcW w:w="7620" w:type="dxa"/>
            <w:vAlign w:val="bottom"/>
            <w:gridSpan w:val="2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Directors, Executive Officers and Corporate Governance.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4">
              <w:r>
                <w:rPr>
                  <w:rFonts w:ascii="Arial" w:cs="Arial" w:eastAsia="Arial" w:hAnsi="Arial"/>
                  <w:sz w:val="18"/>
                  <w:szCs w:val="18"/>
                  <w:color w:val="0000EE"/>
                  <w:w w:val="82"/>
                </w:rPr>
                <w:t>Item 11.</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Executive Compensation.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4">
              <w:r>
                <w:rPr>
                  <w:rFonts w:ascii="Arial" w:cs="Arial" w:eastAsia="Arial" w:hAnsi="Arial"/>
                  <w:sz w:val="18"/>
                  <w:szCs w:val="18"/>
                  <w:color w:val="0000EE"/>
                  <w:w w:val="82"/>
                </w:rPr>
                <w:t>Item 12.</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Security Ownership of Certain Beneficial Owners and Management and Related Shareholder Matters.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5">
              <w:r>
                <w:rPr>
                  <w:rFonts w:ascii="Arial" w:cs="Arial" w:eastAsia="Arial" w:hAnsi="Arial"/>
                  <w:sz w:val="18"/>
                  <w:szCs w:val="18"/>
                  <w:color w:val="0000EE"/>
                  <w:w w:val="82"/>
                </w:rPr>
                <w:t>Item 13.</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Certain Relationships and Related Transactions, and Director Independence.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5">
              <w:r>
                <w:rPr>
                  <w:rFonts w:ascii="Arial" w:cs="Arial" w:eastAsia="Arial" w:hAnsi="Arial"/>
                  <w:sz w:val="18"/>
                  <w:szCs w:val="18"/>
                  <w:color w:val="0000EE"/>
                  <w:w w:val="82"/>
                </w:rPr>
                <w:t>Item 14.</w:t>
              </w:r>
            </w:hyperlink>
          </w:p>
        </w:tc>
        <w:tc>
          <w:tcPr>
            <w:tcW w:w="240" w:type="dxa"/>
            <w:vAlign w:val="bottom"/>
          </w:tcPr>
          <w:p>
            <w:pPr>
              <w:spacing w:after="0"/>
              <w:rPr>
                <w:sz w:val="17"/>
                <w:szCs w:val="17"/>
                <w:color w:val="auto"/>
              </w:rPr>
            </w:pPr>
          </w:p>
        </w:tc>
        <w:tc>
          <w:tcPr>
            <w:tcW w:w="7620" w:type="dxa"/>
            <w:vAlign w:val="bottom"/>
            <w:gridSpan w:val="2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Principal Accountant Fees and Services.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16"/>
          </w:tcPr>
          <w:p>
            <w:pPr>
              <w:jc w:val="center"/>
              <w:ind w:right="3640"/>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IV</w:t>
              </w:r>
            </w:hyperlink>
          </w:p>
        </w:tc>
        <w:tc>
          <w:tcPr>
            <w:tcW w:w="4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15">
              <w:r>
                <w:rPr>
                  <w:rFonts w:ascii="Arial" w:cs="Arial" w:eastAsia="Arial" w:hAnsi="Arial"/>
                  <w:sz w:val="18"/>
                  <w:szCs w:val="18"/>
                  <w:color w:val="0000EE"/>
                  <w:w w:val="82"/>
                </w:rPr>
                <w:t>Item 15.</w:t>
              </w:r>
            </w:hyperlink>
          </w:p>
        </w:tc>
        <w:tc>
          <w:tcPr>
            <w:tcW w:w="240" w:type="dxa"/>
            <w:vAlign w:val="bottom"/>
          </w:tcPr>
          <w:p>
            <w:pPr>
              <w:spacing w:after="0"/>
              <w:rPr>
                <w:sz w:val="24"/>
                <w:szCs w:val="24"/>
                <w:color w:val="auto"/>
              </w:rPr>
            </w:pPr>
          </w:p>
        </w:tc>
        <w:tc>
          <w:tcPr>
            <w:tcW w:w="3280" w:type="dxa"/>
            <w:vAlign w:val="bottom"/>
            <w:gridSpan w:val="13"/>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Exhibits,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36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898"/>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Borders>
              <w:top w:val="single" w:sz="8" w:color="0000EE"/>
            </w:tcBorders>
            <w:gridSpan w:val="9"/>
          </w:tcPr>
          <w:p>
            <w:pPr>
              <w:spacing w:after="0"/>
              <w:rPr>
                <w:sz w:val="24"/>
                <w:szCs w:val="24"/>
                <w:color w:val="auto"/>
              </w:rPr>
            </w:pPr>
          </w:p>
        </w:tc>
        <w:tc>
          <w:tcPr>
            <w:tcW w:w="980" w:type="dxa"/>
            <w:vAlign w:val="bottom"/>
            <w:gridSpan w:val="7"/>
          </w:tcPr>
          <w:p>
            <w:pPr>
              <w:jc w:val="center"/>
              <w:ind w:left="290"/>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General Development of the Business.</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UFP Industries, Inc. (“we” or “our”) is a holding company with subsidiaries throughout North America, Europe, Asia, and Australia that supply products primarily manufactured from wood, wood and non-wood composites, and other materials to three markets: retail, industrial, and construction. We are headquartered in Grand Rapids, Michigan. For more information about UFP Industries, Inc., or our affiliated operations, go to www.ufpi.com.</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Information relating to current developments in our business is incorporated by reference from our Annual Report to Shareholders for the fiscal year ended December 25, 2021 ("2021 Annual Report") under the caption "Management’s Discussion and Analysis of Financial Condition and Results of Operations." Selected portions of the 2021 Annual Report are filed as Exhibit 13 with this Form 10-K Report.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Financial Information About Segments.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4"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color w:val="auto"/>
        </w:rPr>
        <w:t>Our business segments consist of UFP Retail Solutions, UFP Industrial and UFP Construction and align with the markets we serve. We manage the operations of our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the Company’s International segment, which comprises our Mexico, Canada, Europe, Asia and Australia operations and sales and buying offices in other parts of the world. Our International segment and Ardellis (our insurance captive) are referred to as “All Other” throughout this report. The Corporate segment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Corporate.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Narrative Description of Business.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design, manufacture and market wood and wood-alternative products, primarily used to enhance outdoor living environments, for national home centers and other retailers; roof trusses, structural lumber and panels, and other products for the manufactured housing industry; engineered wood components for residential and commercial construction, customized interior fixtures, millwork, and casework used in a variety of retail, commercial and other structures; and structural wood packaging, other packing materials, and OEM components for various industries. Each of our segments, Retail, Industrial and Construction, are discussed in the paragraphs that follow.</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u w:val="single" w:color="auto"/>
          <w:color w:val="auto"/>
        </w:rPr>
        <w:t>Retail segment</w:t>
      </w:r>
      <w:r>
        <w:rPr>
          <w:rFonts w:ascii="Arial" w:cs="Arial" w:eastAsia="Arial" w:hAnsi="Arial"/>
          <w:sz w:val="17"/>
          <w:szCs w:val="17"/>
          <w:color w:val="auto"/>
        </w:rPr>
        <w:t>. The customers comprising this segment are national home center retailers, retail-oriented regional lumberyards and contractor-oriented lumberyards. Generally, terms of sale are established for annual or bi-annual periods, and orders are placed with our regional facilities in accordance with established terms. Our two largest customers, The Home Depot and Lowes, accounted for approximately 16% and 10%, respectively, of our total net sales in fiscal 2021, 24% and 4%, respectively, in 2020, and 19% and 4%, respectively, in 2019.</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supply customers in this segment from many of our locations. These regional facilities are able to supply mixed truckloads of products which can be delivered to customers with rapid turnaround from receipt of an order. Freight costs are a factor in the ability to competitively service this market, especially with treated wood products because of their heavier weight. The proximity of our regional facilities to the various outlets of these customers is a factor when developing and establishing annual sales programs.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3" w:name="page4"/>
    <w:bookmarkEnd w:id="3"/>
    <w:p>
      <w:pPr>
        <w:jc w:val="both"/>
        <w:ind w:left="60" w:right="59"/>
        <w:spacing w:after="0" w:line="271" w:lineRule="auto"/>
        <w:rPr>
          <w:sz w:val="20"/>
          <w:szCs w:val="20"/>
          <w:color w:val="auto"/>
        </w:rPr>
      </w:pPr>
      <w:r>
        <w:rPr>
          <w:rFonts w:ascii="Arial" w:cs="Arial" w:eastAsia="Arial" w:hAnsi="Arial"/>
          <w:sz w:val="17"/>
          <w:szCs w:val="17"/>
          <w:color w:val="auto"/>
        </w:rPr>
        <w:t>The products offered to customers in this segment include dimensional lumber (both preserved and unpreserved) and various "value-added products," some of which are sold under our trademarks. In addition to our conventional lumber products, we offer a large portfolio of outdoor living products, including wood and wood composite decking and related accessories, decorative lawn and garden products and craft and hobby products. Products sold to this segment include those sold under the following trademarks: ProWood, ProWood FR, Deckorators, UFP-Edge, Outdoor Essentials, Dimensions, and Handprint. These product categories also comprise the business units within our retail segment. We estimate we produce approximately 27% of all treated wood, 8-10% of all composite decking and accessories, 8% of all wood and vinyl fencing and 1% of all lawn and garden products in the United States of America.</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not aware of any competitor that currently manufactures, treats and distributes a full line of both value-added and commodity-based products on a national basis as we do within our retail segment. We face competition on individual products from several different producers, but the majority of these competitors tend to be regional in their efforts and/or do not offer a full line of outdoor lumber products. We believe the breadth of our product offering, scale and geographic dispersion, proximity of our plants to core customers, product innovation initiatives, purchasing and manufacturing expertise, and service capabilities provide competitive advantages in this market. Refer to Note M “Segment Reporting” of the registrant’s Annual Report to Shareholders for the fiscal year ended December 25, 2021 for our disaggregated net sales by business unit for the retail segment.</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u w:val="single" w:color="auto"/>
          <w:color w:val="auto"/>
        </w:rPr>
        <w:t>Industrial segment</w:t>
      </w:r>
      <w:r>
        <w:rPr>
          <w:rFonts w:ascii="Arial" w:cs="Arial" w:eastAsia="Arial" w:hAnsi="Arial"/>
          <w:sz w:val="17"/>
          <w:szCs w:val="17"/>
          <w:color w:val="auto"/>
        </w:rPr>
        <w:t>. We define our industrial segment as manufacturers and agricultural customers who use pallets, specialty crates, wooden boxes, and other containers used for packaging, shipping and material handling purposes, as well as various other products, including protective packaging, used in a variety of different applications. Many of the wood-based products sold to this market may be produced from the wood by-product of other manufactured products, thereby allowing us to increase our raw material yields while expanding our business. Competition is fragmented and includes virtually every supplier of lumber convenient to the customer. We service this segment with our dedicated regional and national sales teams. The business units comprising out industrial segment are organized geographically. We currently supply approximately 8% of all domestic wood packaging, which includes estimated market share of 7% of machine-built wood pallets and 13% of custom wood packaging. Refer to Note M “Segment Reporting” of the registrant’s Annual Report to Shareholders for the fiscal year ended December 25, 2021 for our disaggregated net sales by business unit for the industrial segment.</w:t>
      </w:r>
    </w:p>
    <w:p>
      <w:pPr>
        <w:spacing w:after="0" w:line="18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u w:val="single" w:color="auto"/>
          <w:color w:val="auto"/>
        </w:rPr>
        <w:t>Construction segment.</w:t>
      </w:r>
      <w:r>
        <w:rPr>
          <w:rFonts w:ascii="Arial" w:cs="Arial" w:eastAsia="Arial" w:hAnsi="Arial"/>
          <w:sz w:val="18"/>
          <w:szCs w:val="18"/>
          <w:color w:val="auto"/>
        </w:rPr>
        <w:t xml:space="preserve"> Our construction segment is made up of customers in four primary markets – factory-built housing, site-built residential construction, commercial construction, and concrete forming, which represent the business units of our construction segment.</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customers comprising the factory-built housing market are producers of mobile, modular and prefabricated homes and recreational vehicles (RV). Products sold to customers in this market consist primarily of roof trusses, lumber cut and shaped to the customer’s specification, plywood, oriented strand board and dimensional lumber, all intended for use in the construction of manufactured housing. Sales are made by personnel located at each regional facility based on customer orders. Our principal competitive advantages include our product knowledge, the strength of our engineering support services, the proximity of our regional facilities to our customers, our purchasing and manufacturing expertise and our ability to provide national sales programs to certain customers. As a result of these advantages, we estimate we produce approximately 45% of all roof trusses used in factory-built housing in the United States of America. We also distribute products such as siding, electrical and plumbing products to factory-built housing and RV customers.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jc w:val="both"/>
        <w:ind w:left="60" w:right="59"/>
        <w:spacing w:after="0" w:line="286" w:lineRule="auto"/>
        <w:rPr>
          <w:sz w:val="20"/>
          <w:szCs w:val="20"/>
          <w:color w:val="auto"/>
        </w:rPr>
      </w:pPr>
      <w:r>
        <w:rPr>
          <w:rFonts w:ascii="Arial" w:cs="Arial" w:eastAsia="Arial" w:hAnsi="Arial"/>
          <w:sz w:val="16"/>
          <w:szCs w:val="16"/>
          <w:color w:val="auto"/>
        </w:rPr>
        <w:t>The customers comprising the site-built residential construction market are primarily large-volume, multi-tract builders and smaller volume custom builders. We also supply builders engaged in multi-family and light commercial construction. Competition in this market is primarily fragmented, but we do compete with a small number of national and regional retail contractor yards who also manufacture components and provide framing services, as well as regional manufacturers of components. We believe our primary competitive advantages relate to the engineering and design capabilities of our regional staff, purchasing and manufacturing expertise, product quality, timeliness of delivery, and financial strength, as well as providing a comprehensive turn-key package, including installation. As a result of these strengths, we estimate we produce approximately 5% of all engineered wood components used in housing in the United States of America. Generally, terms of sale and pricing are determined based on contracts we entered into with our customers. We currently supply customers in these markets from manufacturing facilities located in many different states. These facilities manufacture various engineered wood components used to frame residential or light commercial projects, including roof and floor trusses, wall panels, I-joists and lumber packages. Freight costs are a factor in the ability to competitively service this market due to the space requirements of these products on each truckload. We also provide framing services for builders in certain regional markets, in which we erect the wood structure.</w:t>
      </w:r>
    </w:p>
    <w:p>
      <w:pPr>
        <w:spacing w:after="0" w:line="17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Our commercial business unit primarily includes the operations of idX Holdings, Inc. ("idX"). idX is a designer, manufacturer and installer of highly customized interior fixtures, casework and millwork used in a variety of retail and commercial structures representing several end markets.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Finally, we design, manufacture, and supply wood forms and related products which are used by our customers to set or form concrete for various structures, including large parking garages, stadiums and bridges. Refer to Note M “Segment Reporting” of the registrant’s Annual Report to Shareholders for the fiscal year ended December 25, 2021 for our disaggregated net sales by business unit for the construction segment.</w:t>
      </w:r>
    </w:p>
    <w:p>
      <w:pPr>
        <w:spacing w:after="0" w:line="18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u w:val="single" w:color="auto"/>
          <w:color w:val="auto"/>
        </w:rPr>
        <w:t>Suppliers</w:t>
      </w:r>
      <w:r>
        <w:rPr>
          <w:rFonts w:ascii="Arial" w:cs="Arial" w:eastAsia="Arial" w:hAnsi="Arial"/>
          <w:sz w:val="17"/>
          <w:szCs w:val="17"/>
          <w:color w:val="auto"/>
        </w:rPr>
        <w:t>. We are one of the largest domestic buyers of solid sawn softwood lumber from primary producers (lumber mills). We use primarily southern yellow pine in our pressure-treating operations and site-built component plants in the Southeastern United States, which we obtain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 spruce. During 2021 our annual purchases of lumber totaled approximately $3.0 billion and consisted of the following species and their respective percent of total lumber purchases: southern yellow pine (57%), spruce-pine-fir (22%), and douglas fir (4%), while the remaining 17% of lumber purchases comprise various other species and imports outside of North America. Additionally, we purchased approximately $1.0 billion in plywood in 2021. There are numerous primary producers for all varieties we use, and we are not dependent on any particular source of supply. Our financial resources and size, in combination with our strong sales network and ability to remanufacture lumber, enable us to purchase a large percentage of a primary producer’s output (as opposed to only those dimensions or grades in immediate need), thereby lowering our average cost of raw materials and allowing us to obtain favorable programs such as consigned inventory. We believe these represent competitive advantages.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We own several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u w:val="single" w:color="auto"/>
          <w:color w:val="auto"/>
        </w:rPr>
        <w:t>Backlog</w:t>
      </w:r>
      <w:r>
        <w:rPr>
          <w:rFonts w:ascii="Arial" w:cs="Arial" w:eastAsia="Arial" w:hAnsi="Arial"/>
          <w:sz w:val="17"/>
          <w:szCs w:val="17"/>
          <w:color w:val="auto"/>
        </w:rPr>
        <w:t>.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 of its future needs. In neither case, however, will we receive firm orders until just prior to the anticipated delivery dates for the products in question.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jc w:val="both"/>
        <w:ind w:left="60" w:right="59"/>
        <w:spacing w:after="0" w:line="277" w:lineRule="auto"/>
        <w:rPr>
          <w:sz w:val="20"/>
          <w:szCs w:val="20"/>
          <w:color w:val="auto"/>
        </w:rPr>
      </w:pPr>
      <w:r>
        <w:rPr>
          <w:rFonts w:ascii="Arial" w:cs="Arial" w:eastAsia="Arial" w:hAnsi="Arial"/>
          <w:sz w:val="18"/>
          <w:szCs w:val="18"/>
          <w:color w:val="auto"/>
        </w:rPr>
        <w:t>On December 25, 2021 and December 26, 2020, we estimate that backlog orders associated with our customized interior fixture businesses approximated $84.6 million and $65.2 million, respectively.</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December 25, 2021 and December 26, 2020, we estimate that backlog orders associated with our site-built construction businesses approximated $113.5 million and $106.0 million, respectively. We expect that the orders above will be primarily filled within the next fiscal year; however, it is possible that some orders could be canceled.</w:t>
      </w:r>
    </w:p>
    <w:p>
      <w:pPr>
        <w:spacing w:after="0" w:line="16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Information required for environmental disclosures is incorporated by reference from Note L of the Consolidated Financial Statements presented under Item 8 herein.</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u w:val="single" w:color="auto"/>
          <w:color w:val="auto"/>
        </w:rPr>
        <w:t>Seasonality</w:t>
      </w:r>
      <w:r>
        <w:rPr>
          <w:rFonts w:ascii="Arial" w:cs="Arial" w:eastAsia="Arial" w:hAnsi="Arial"/>
          <w:sz w:val="18"/>
          <w:szCs w:val="18"/>
          <w:color w:val="auto"/>
        </w:rPr>
        <w:t>. Information required for seasonality disclosures is incorporated by reference from Item 1A. Risk Factors under the caption “</w:t>
      </w:r>
      <w:r>
        <w:rPr>
          <w:rFonts w:ascii="Arial" w:cs="Arial" w:eastAsia="Arial" w:hAnsi="Arial"/>
          <w:sz w:val="18"/>
          <w:szCs w:val="18"/>
          <w:i w:val="1"/>
          <w:iCs w:val="1"/>
          <w:color w:val="auto"/>
        </w:rPr>
        <w:t>Seasonality and weather conditions could adversely affect us</w:t>
      </w:r>
      <w:r>
        <w:rPr>
          <w:rFonts w:ascii="Arial" w:cs="Arial" w:eastAsia="Arial" w:hAnsi="Arial"/>
          <w:sz w:val="18"/>
          <w:szCs w:val="18"/>
          <w:color w:val="auto"/>
        </w:rPr>
        <w:t>.”</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u w:val="single" w:color="auto"/>
          <w:color w:val="auto"/>
        </w:rPr>
        <w:t>Employees</w:t>
      </w:r>
      <w:r>
        <w:rPr>
          <w:rFonts w:ascii="Arial" w:cs="Arial" w:eastAsia="Arial" w:hAnsi="Arial"/>
          <w:sz w:val="17"/>
          <w:szCs w:val="17"/>
          <w:color w:val="auto"/>
        </w:rPr>
        <w:t>. On December 25, 2021, we had approximately 15,000 employees. For over 65 years, the success of our company has rested on the skill, motivation and performance of our employees. We treat our people honestly and fairly, creating career paths and training opportunities to develop and expand their scope of responsibilities and financial rewards. This approach to human capital, which is embedded in the Company's culture, has fostered an environment where our employees often commit their respective careers to UFP Industries, Inc.</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"Corporate Governance" in the Investor Relations section is our Code of Ethics for Senior Financial Officers.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Reports to Security 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Enforceability of Civil Liabilities Against Foreign Persons.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 xml:space="preserve">We may be impacted by a significant change in the value of the U.S. dollar and our results of operations may be harmed by currency fluctuations and inflation. </w:t>
      </w:r>
      <w:r>
        <w:rPr>
          <w:rFonts w:ascii="Arial" w:cs="Arial" w:eastAsia="Arial" w:hAnsi="Arial"/>
          <w:sz w:val="18"/>
          <w:szCs w:val="18"/>
          <w:color w:val="auto"/>
        </w:rPr>
        <w:t>We purchase a variety of raw materials and finished goods from sources around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 and export certain products. The impact of a change in U.S. dollar exchange rates, and inflation, would impact our import purchases and export sales, which totaled $806.8 million and $181.3 million, respectively, in 2021. In addition, many of our industrial customers export their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jc w:val="both"/>
        <w:ind w:left="60" w:right="59"/>
        <w:spacing w:after="0" w:line="269" w:lineRule="auto"/>
        <w:rPr>
          <w:sz w:val="20"/>
          <w:szCs w:val="20"/>
          <w:color w:val="auto"/>
        </w:rPr>
      </w:pPr>
      <w:r>
        <w:rPr>
          <w:rFonts w:ascii="Arial" w:cs="Arial" w:eastAsia="Arial" w:hAnsi="Arial"/>
          <w:sz w:val="17"/>
          <w:szCs w:val="17"/>
          <w:b w:val="1"/>
          <w:bCs w:val="1"/>
          <w:i w:val="1"/>
          <w:iCs w:val="1"/>
          <w:color w:val="auto"/>
        </w:rPr>
        <w:t>We are subject to fluctuations in the price of lumber</w:t>
      </w:r>
      <w:r>
        <w:rPr>
          <w:rFonts w:ascii="Arial" w:cs="Arial" w:eastAsia="Arial" w:hAnsi="Arial"/>
          <w:sz w:val="17"/>
          <w:szCs w:val="17"/>
          <w:color w:val="auto"/>
        </w:rPr>
        <w:t>. We experience significant fluctuations in the cost of commodity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lumber products from primary producers (the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10-K. Our lumber costs, including plywood, as a percentage of net sales were 47.7%, 51.0%, and 43.4% in 2021, 2020, and 2019, respectively.</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 xml:space="preserve">Our growth may be limited by the markets we serve, including our construction market which is highly cyclical.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growth is dependent, in part, upon the growth of the markets we serve. If our markets do not achieve anticipated growth, or if we fail to maintain our market share, financial results could be impaired.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 significant portion of our sales are concentrated with two customers</w:t>
      </w:r>
      <w:r>
        <w:rPr>
          <w:rFonts w:ascii="Arial" w:cs="Arial" w:eastAsia="Arial" w:hAnsi="Arial"/>
          <w:sz w:val="18"/>
          <w:szCs w:val="18"/>
          <w:color w:val="auto"/>
        </w:rPr>
        <w:t>. Our sales to The Home Depot and Lowes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16% and 10%, respectively, of our total net sales in fiscal 2021, 24% and 4%, respectively, in 2020, and 19% and 4%, respectively, in 2019.</w:t>
      </w:r>
    </w:p>
    <w:p>
      <w:pPr>
        <w:spacing w:after="0" w:line="184"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 xml:space="preserve">We may be impacted by vertical integration strategies. </w:t>
      </w:r>
      <w:r>
        <w:rPr>
          <w:rFonts w:ascii="Arial" w:cs="Arial" w:eastAsia="Arial" w:hAnsi="Arial"/>
          <w:sz w:val="17"/>
          <w:szCs w:val="17"/>
          <w:color w:val="auto"/>
        </w:rPr>
        <w:t>In certain markets and product lines, our customers or vendors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pursue vertical integration strategies that could have an adverse effect on our sales. We strive to add value and be a low-cost producer while maintaining competitive pricing in each of our markets to mitigate this risk.</w:t>
      </w:r>
    </w:p>
    <w:p>
      <w:pPr>
        <w:spacing w:after="0" w:line="16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 xml:space="preserve">We may be impacted by industry capacity of products we supply. </w:t>
      </w:r>
      <w:r>
        <w:rPr>
          <w:rFonts w:ascii="Arial" w:cs="Arial" w:eastAsia="Arial" w:hAnsi="Arial"/>
          <w:sz w:val="17"/>
          <w:szCs w:val="17"/>
          <w:color w:val="auto"/>
        </w:rPr>
        <w:t>From time to time, we may experience excess capacity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suppliers of certain products in some of the markets we serve. Our selling prices and profitability are impacted during periods of shortages or excess industry capacity relative to market demand. Currently, we may also experience limited capacity among suppliers of certain products as a result of supply chain challenges associated with the COVID-19 pandemic, which may impact our profitability and ability to meet sales objectives.</w:t>
      </w:r>
    </w:p>
    <w:p>
      <w:pPr>
        <w:spacing w:after="0" w:line="1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 xml:space="preserve">Our growth may be limited by our ability to make successful acquisitions. </w:t>
      </w:r>
      <w:r>
        <w:rPr>
          <w:rFonts w:ascii="Arial" w:cs="Arial" w:eastAsia="Arial" w:hAnsi="Arial"/>
          <w:sz w:val="17"/>
          <w:szCs w:val="17"/>
          <w:color w:val="auto"/>
        </w:rPr>
        <w:t>A key component of our growth strategy is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complete business combinations. Business combinations involve inherent risks, including assimilation and successfully managing growth. While we conduct extensive due diligence and have taken steps to ensure successful assimilation, factors beyond our control could influence the relative success of these acquisitions.</w:t>
      </w:r>
    </w:p>
    <w:p>
      <w:pPr>
        <w:spacing w:after="0" w:line="17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We may be adversely affected by the impact of environmental and safety regulations. </w:t>
      </w:r>
      <w:r>
        <w:rPr>
          <w:rFonts w:ascii="Arial" w:cs="Arial" w:eastAsia="Arial" w:hAnsi="Arial"/>
          <w:sz w:val="18"/>
          <w:szCs w:val="18"/>
          <w:color w:val="auto"/>
        </w:rPr>
        <w:t>We are subject to the requirements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spacing w:after="0" w:line="19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b w:val="1"/>
          <w:bCs w:val="1"/>
          <w:i w:val="1"/>
          <w:iCs w:val="1"/>
          <w:color w:val="auto"/>
        </w:rPr>
        <w:t>Climate change - seasonality and weather conditions due to climate changes could adversely affect us</w:t>
      </w:r>
      <w:r>
        <w:rPr>
          <w:rFonts w:ascii="Arial" w:cs="Arial" w:eastAsia="Arial" w:hAnsi="Arial"/>
          <w:sz w:val="16"/>
          <w:szCs w:val="16"/>
          <w:color w:val="auto"/>
        </w:rPr>
        <w:t>. Some aspects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are seasonal in nature and results of operations vary from quarter 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 To the extent changes in the world’s climate have a greater impact on adverse weather conditions, we would expect more variability in our business operations and results.</w:t>
      </w:r>
    </w:p>
    <w:p>
      <w:pPr>
        <w:spacing w:after="0" w:line="164"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b w:val="1"/>
          <w:bCs w:val="1"/>
          <w:i w:val="1"/>
          <w:iCs w:val="1"/>
          <w:color w:val="auto"/>
        </w:rPr>
        <w:t xml:space="preserve">Inbound and outbound transportation costs represent a significant part of our cost structure. </w:t>
      </w:r>
      <w:r>
        <w:rPr>
          <w:rFonts w:ascii="Arial" w:cs="Arial" w:eastAsia="Arial" w:hAnsi="Arial"/>
          <w:sz w:val="16"/>
          <w:szCs w:val="16"/>
          <w:color w:val="auto"/>
        </w:rPr>
        <w:t>An increase in fuel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operating expenses will significantly increase our costs. While we attempt to pass these costs along to our customers, there can be no assurance that they would agree to these price increases. Our total inbound and outbound transportation costs were approximately 7.3%, 9.2%, and 9.5% of net sales in 2021, 2020, and 2019,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 xml:space="preserve">New alternatives may be developed to replace traditional treated wood products. </w:t>
      </w:r>
      <w:r>
        <w:rPr>
          <w:rFonts w:ascii="Arial" w:cs="Arial" w:eastAsia="Arial" w:hAnsi="Arial"/>
          <w:sz w:val="18"/>
          <w:szCs w:val="18"/>
          <w:color w:val="auto"/>
        </w:rPr>
        <w:t>The manufacturers of wood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preservatives continue to develop new 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w:t>
      </w:r>
    </w:p>
    <w:p>
      <w:pPr>
        <w:spacing w:after="0" w:line="18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b w:val="1"/>
          <w:bCs w:val="1"/>
          <w:i w:val="1"/>
          <w:iCs w:val="1"/>
          <w:color w:val="auto"/>
        </w:rPr>
        <w:t xml:space="preserve">Cybersecurity breaches and a failure in our e-commerce operations and could disrupt our business. </w:t>
      </w:r>
      <w:r>
        <w:rPr>
          <w:rFonts w:ascii="Arial" w:cs="Arial" w:eastAsia="Arial" w:hAnsi="Arial"/>
          <w:sz w:val="16"/>
          <w:szCs w:val="16"/>
          <w:color w:val="auto"/>
        </w:rPr>
        <w:t>We rely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technology systems and network products and the secure operation of these systems and products. Despite security measures, these systems and products may be vulnerable to physical damage, hackers, computer viruses, or breaches due to errors or malfeasance by employees, vendors, or customers. We have experienced such events in the past and, although past events were immaterial, future events may occur and may be material. Additionally, consumers are increasingly shopping online and through mobile commerce applications. As a result, we are vulnerable to additional risks and uncertainties associated with e-commerce sales, including rapid changes in technology, website downtime and other technical failures, security breaches, cyber-attacks, consumer privacy concerns, changes in state tax regimes and government regulation of internet activities. Our failure to successfully respond to these risks and uncertainties could reduce our e-commerce sales and increase our costs, which could negatively impact our results of operations. In addition, there is no guarantee that we will be able to expand our e-commerce business. Our competitors may have e-commerce businesses that are substantially larger and more developed than ours, which could place us at a competitive disadvantage.</w:t>
      </w:r>
    </w:p>
    <w:p>
      <w:pPr>
        <w:spacing w:after="0" w:line="16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b w:val="1"/>
          <w:bCs w:val="1"/>
          <w:i w:val="1"/>
          <w:iCs w:val="1"/>
          <w:color w:val="auto"/>
        </w:rPr>
        <w:t xml:space="preserve">We may be impacted by new tariffs and duties on U.S. imports and foreign export sales. </w:t>
      </w:r>
      <w:r>
        <w:rPr>
          <w:rFonts w:ascii="Arial" w:cs="Arial" w:eastAsia="Arial" w:hAnsi="Arial"/>
          <w:sz w:val="17"/>
          <w:szCs w:val="17"/>
          <w:color w:val="auto"/>
        </w:rPr>
        <w:t>Instability of established free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trade agreements may lead to raw material and finished goods price volatility. An increase in foreign tariffs on U.S. goods could curtail our export sales to other countries which was approximately $181.3 million in 2021. Increased tariffs and duties on U.S. imports will increase pricing by adding duty cost, where the duty is sustainable in light of overall unit price, or otherwise constrain supply by eliminating historical production sources by country or commodity type with unsustainable duties. Our purchases that are impacted by foreign tariffs were approximately $806.8 million in 2021, including UFP’s U.S. import of Canadian Softwood Lumber of approximately $513.9 million, which is the largest imported commodity. In addition, there is a risk that U.S. tariffs on imports and countering tariffs on U.S. exports could trigger broader international trade conflicts that could adversely impact our business.</w:t>
      </w:r>
    </w:p>
    <w:p>
      <w:pPr>
        <w:spacing w:after="0" w:line="18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b w:val="1"/>
          <w:bCs w:val="1"/>
          <w:i w:val="1"/>
          <w:iCs w:val="1"/>
          <w:color w:val="auto"/>
        </w:rPr>
        <w:t xml:space="preserve">We may be adversely affected by the impact of the COVID-19 (Coronavirus) pandemic and similar outbreaks. </w:t>
      </w:r>
      <w:r>
        <w:rPr>
          <w:rFonts w:ascii="Arial" w:cs="Arial" w:eastAsia="Arial" w:hAnsi="Arial"/>
          <w:sz w:val="16"/>
          <w:szCs w:val="16"/>
          <w:color w:val="auto"/>
        </w:rPr>
        <w:t>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outbreaks, such as the COVID-19 pandemic, could have an adverse impact on the Company's operations and financial results. These outbreaks may adversely impact our business, consolidated results of operations and financial condition, such as the current COVID-19 pandemic. COVID-19, as well as measures taken by governmental authorities and businesses to limit the spread of this virus, may result in an adverse change in customer demand and our sales, interfere with the ability of our employees and suppliers to perform and function in a manner consistent with targeted objectives and otherwise adversely impact the efficiency of our operations. This has caused, and may continue to cause, us to materially curtail certain segments, and could have a material adverse effect on the results of our operations and cash flow.</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Adverse economic conditions and our customers’ ability to operate may impact their ability to pay. </w:t>
      </w:r>
      <w:r>
        <w:rPr>
          <w:rFonts w:ascii="Arial" w:cs="Arial" w:eastAsia="Arial" w:hAnsi="Arial"/>
          <w:sz w:val="18"/>
          <w:szCs w:val="18"/>
          <w:color w:val="auto"/>
        </w:rPr>
        <w:t>This may result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write-offs of receivables than we normally experience. We continue to monitor our customers’ business activities, payment patterns, and credit profiles carefully and make changes in our terms when necessary in response to this risk. As a result, our accounts receivable aging as of December 25, 2021 was approximately 92% current. Our bad debt expense as a percentage of sales was 0.01%, 0.02%, and 0.09%, in 2021, 2020, and 2019, respectively. During the most difficult collection period of the Great Recession, from 2008 through 2010, our bad debt expense as a percentage of sales averaged 0.25%.</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corporate headquarters building is located in suburban Grand Rapids, Michigan. We currently have approximately 216 facilities located throughout the United States, Canada, Mexico, Europe, Asia, and Australia. Depending upon function and location, these facilities typically utilize office, manufacturing, and indoor and outdoor storage space.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60" w:right="80"/>
        <w:spacing w:after="0" w:line="308" w:lineRule="auto"/>
        <w:rPr>
          <w:sz w:val="20"/>
          <w:szCs w:val="20"/>
          <w:color w:val="auto"/>
        </w:rPr>
      </w:pPr>
      <w:r>
        <w:rPr>
          <w:rFonts w:ascii="Arial" w:cs="Arial" w:eastAsia="Arial" w:hAnsi="Arial"/>
          <w:sz w:val="17"/>
          <w:szCs w:val="17"/>
          <w:color w:val="auto"/>
        </w:rPr>
        <w:t>The following tables summarize our property locations assigned by the primary segment the plant serves. Due to the nature of our business and historical operating strategy, many of our locations service more than one segment.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Location</w:t>
            </w:r>
          </w:p>
        </w:tc>
        <w:tc>
          <w:tcPr>
            <w:tcW w:w="460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rPr>
              <w:t>RETAIL SEGMENT</w:t>
            </w:r>
          </w:p>
        </w:tc>
        <w:tc>
          <w:tcPr>
            <w:tcW w:w="23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Number of Properties</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256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2"/>
              </w:rPr>
              <w:t>Number of Properties</w:t>
            </w:r>
          </w:p>
        </w:tc>
        <w:tc>
          <w:tcPr>
            <w:tcW w:w="2040" w:type="dxa"/>
            <w:vAlign w:val="bottom"/>
          </w:tcPr>
          <w:p>
            <w:pPr>
              <w:spacing w:after="0"/>
              <w:rPr>
                <w:sz w:val="20"/>
                <w:szCs w:val="20"/>
                <w:color w:val="auto"/>
              </w:rPr>
            </w:pPr>
            <w:r>
              <w:rPr>
                <w:rFonts w:ascii="Arial" w:cs="Arial" w:eastAsia="Arial" w:hAnsi="Arial"/>
                <w:sz w:val="14"/>
                <w:szCs w:val="14"/>
                <w:b w:val="1"/>
                <w:bCs w:val="1"/>
                <w:color w:val="auto"/>
              </w:rPr>
              <w:t>Property Location</w:t>
            </w: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Athens, AL</w:t>
            </w:r>
          </w:p>
        </w:tc>
        <w:tc>
          <w:tcPr>
            <w:tcW w:w="2400" w:type="dxa"/>
            <w:vAlign w:val="bottom"/>
            <w:tcBorders>
              <w:top w:val="single" w:sz="8" w:color="auto"/>
            </w:tcBorders>
            <w:shd w:val="clear" w:color="auto" w:fill="CCEEFF"/>
          </w:tcPr>
          <w:p>
            <w:pPr>
              <w:jc w:val="center"/>
              <w:ind w:left="488"/>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Puerto Rico</w:t>
            </w:r>
          </w:p>
        </w:tc>
        <w:tc>
          <w:tcPr>
            <w:tcW w:w="2380" w:type="dxa"/>
            <w:vAlign w:val="bottom"/>
            <w:tcBorders>
              <w:top w:val="single" w:sz="8" w:color="auto"/>
            </w:tcBorders>
            <w:shd w:val="clear" w:color="auto" w:fill="CCEEFF"/>
          </w:tcPr>
          <w:p>
            <w:pPr>
              <w:jc w:val="center"/>
              <w:ind w:left="428"/>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Bartow, FL</w:t>
            </w:r>
          </w:p>
        </w:tc>
        <w:tc>
          <w:tcPr>
            <w:tcW w:w="2400" w:type="dxa"/>
            <w:vAlign w:val="bottom"/>
          </w:tcPr>
          <w:p>
            <w:pPr>
              <w:jc w:val="center"/>
              <w:ind w:left="48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Ranson, WV</w:t>
            </w:r>
          </w:p>
        </w:tc>
        <w:tc>
          <w:tcPr>
            <w:tcW w:w="2380" w:type="dxa"/>
            <w:vAlign w:val="bottom"/>
          </w:tcPr>
          <w:p>
            <w:pPr>
              <w:jc w:val="center"/>
              <w:ind w:left="42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Bonner, MT</w:t>
            </w:r>
          </w:p>
        </w:tc>
        <w:tc>
          <w:tcPr>
            <w:tcW w:w="2400" w:type="dxa"/>
            <w:vAlign w:val="bottom"/>
            <w:shd w:val="clear" w:color="auto" w:fill="CCEEFF"/>
          </w:tcPr>
          <w:p>
            <w:pPr>
              <w:jc w:val="center"/>
              <w:ind w:left="488"/>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Ringgold, GA</w:t>
            </w:r>
          </w:p>
        </w:tc>
        <w:tc>
          <w:tcPr>
            <w:tcW w:w="238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Dodgeville, WI</w:t>
            </w:r>
          </w:p>
        </w:tc>
        <w:tc>
          <w:tcPr>
            <w:tcW w:w="2400" w:type="dxa"/>
            <w:vAlign w:val="bottom"/>
          </w:tcPr>
          <w:p>
            <w:pPr>
              <w:jc w:val="center"/>
              <w:ind w:left="48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Rockledge, FL</w:t>
            </w:r>
          </w:p>
        </w:tc>
        <w:tc>
          <w:tcPr>
            <w:tcW w:w="2380" w:type="dxa"/>
            <w:vAlign w:val="bottom"/>
          </w:tcPr>
          <w:p>
            <w:pPr>
              <w:jc w:val="center"/>
              <w:ind w:left="42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Elizabeth City, NC</w:t>
            </w:r>
          </w:p>
        </w:tc>
        <w:tc>
          <w:tcPr>
            <w:tcW w:w="2400" w:type="dxa"/>
            <w:vAlign w:val="bottom"/>
            <w:shd w:val="clear" w:color="auto" w:fill="CCEEFF"/>
          </w:tcPr>
          <w:p>
            <w:pPr>
              <w:jc w:val="center"/>
              <w:ind w:left="48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Rockwell, NC</w:t>
            </w:r>
          </w:p>
        </w:tc>
        <w:tc>
          <w:tcPr>
            <w:tcW w:w="238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Fort Worth, TX</w:t>
            </w:r>
          </w:p>
        </w:tc>
        <w:tc>
          <w:tcPr>
            <w:tcW w:w="2400" w:type="dxa"/>
            <w:vAlign w:val="bottom"/>
          </w:tcPr>
          <w:p>
            <w:pPr>
              <w:jc w:val="center"/>
              <w:ind w:left="48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Saginaw, TX</w:t>
            </w:r>
          </w:p>
        </w:tc>
        <w:tc>
          <w:tcPr>
            <w:tcW w:w="2380" w:type="dxa"/>
            <w:vAlign w:val="bottom"/>
          </w:tcPr>
          <w:p>
            <w:pPr>
              <w:jc w:val="center"/>
              <w:ind w:left="42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Gainesville, GA</w:t>
            </w:r>
          </w:p>
        </w:tc>
        <w:tc>
          <w:tcPr>
            <w:tcW w:w="2400" w:type="dxa"/>
            <w:vAlign w:val="bottom"/>
            <w:shd w:val="clear" w:color="auto" w:fill="CCEEFF"/>
          </w:tcPr>
          <w:p>
            <w:pPr>
              <w:jc w:val="center"/>
              <w:ind w:left="48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Salina, KS</w:t>
            </w:r>
          </w:p>
        </w:tc>
        <w:tc>
          <w:tcPr>
            <w:tcW w:w="238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Hamilton, OH</w:t>
            </w:r>
          </w:p>
        </w:tc>
        <w:tc>
          <w:tcPr>
            <w:tcW w:w="2400" w:type="dxa"/>
            <w:vAlign w:val="bottom"/>
          </w:tcPr>
          <w:p>
            <w:pPr>
              <w:jc w:val="center"/>
              <w:ind w:left="48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Schertz, TX</w:t>
            </w:r>
          </w:p>
        </w:tc>
        <w:tc>
          <w:tcPr>
            <w:tcW w:w="2380" w:type="dxa"/>
            <w:vAlign w:val="bottom"/>
          </w:tcPr>
          <w:p>
            <w:pPr>
              <w:jc w:val="center"/>
              <w:ind w:left="42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Harrisonville, MO</w:t>
            </w:r>
          </w:p>
        </w:tc>
        <w:tc>
          <w:tcPr>
            <w:tcW w:w="2400" w:type="dxa"/>
            <w:vAlign w:val="bottom"/>
            <w:shd w:val="clear" w:color="auto" w:fill="CCEEFF"/>
          </w:tcPr>
          <w:p>
            <w:pPr>
              <w:jc w:val="center"/>
              <w:ind w:left="48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Selma, AL</w:t>
            </w:r>
          </w:p>
        </w:tc>
        <w:tc>
          <w:tcPr>
            <w:tcW w:w="238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Hendersonville, NC</w:t>
            </w:r>
          </w:p>
        </w:tc>
        <w:tc>
          <w:tcPr>
            <w:tcW w:w="2400" w:type="dxa"/>
            <w:vAlign w:val="bottom"/>
          </w:tcPr>
          <w:p>
            <w:pPr>
              <w:jc w:val="center"/>
              <w:ind w:left="48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Silsbee, TX</w:t>
            </w:r>
          </w:p>
        </w:tc>
        <w:tc>
          <w:tcPr>
            <w:tcW w:w="2380" w:type="dxa"/>
            <w:vAlign w:val="bottom"/>
          </w:tcPr>
          <w:p>
            <w:pPr>
              <w:jc w:val="center"/>
              <w:ind w:left="42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Janesville, WI</w:t>
            </w:r>
          </w:p>
        </w:tc>
        <w:tc>
          <w:tcPr>
            <w:tcW w:w="2400" w:type="dxa"/>
            <w:vAlign w:val="bottom"/>
            <w:shd w:val="clear" w:color="auto" w:fill="CCEEFF"/>
          </w:tcPr>
          <w:p>
            <w:pPr>
              <w:jc w:val="center"/>
              <w:ind w:left="488"/>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South Greer, SC</w:t>
            </w:r>
          </w:p>
        </w:tc>
        <w:tc>
          <w:tcPr>
            <w:tcW w:w="238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4"/>
                <w:szCs w:val="14"/>
                <w:color w:val="auto"/>
              </w:rPr>
              <w:t>Kansas City, MO</w:t>
            </w:r>
          </w:p>
        </w:tc>
        <w:tc>
          <w:tcPr>
            <w:tcW w:w="2400" w:type="dxa"/>
            <w:vAlign w:val="bottom"/>
          </w:tcPr>
          <w:p>
            <w:pPr>
              <w:jc w:val="center"/>
              <w:ind w:left="48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Stockertown, PA</w:t>
            </w:r>
          </w:p>
        </w:tc>
        <w:tc>
          <w:tcPr>
            <w:tcW w:w="2380" w:type="dxa"/>
            <w:vAlign w:val="bottom"/>
          </w:tcPr>
          <w:p>
            <w:pPr>
              <w:jc w:val="center"/>
              <w:ind w:left="4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Kearneysville, WV</w:t>
            </w:r>
          </w:p>
        </w:tc>
        <w:tc>
          <w:tcPr>
            <w:tcW w:w="240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Tampa, FL</w:t>
            </w:r>
          </w:p>
        </w:tc>
        <w:tc>
          <w:tcPr>
            <w:tcW w:w="238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4"/>
                <w:szCs w:val="14"/>
                <w:color w:val="auto"/>
              </w:rPr>
              <w:t>Lansing, MI</w:t>
            </w:r>
          </w:p>
        </w:tc>
        <w:tc>
          <w:tcPr>
            <w:tcW w:w="2400" w:type="dxa"/>
            <w:vAlign w:val="bottom"/>
          </w:tcPr>
          <w:p>
            <w:pPr>
              <w:jc w:val="center"/>
              <w:ind w:left="48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Thomaston, GA</w:t>
            </w:r>
          </w:p>
        </w:tc>
        <w:tc>
          <w:tcPr>
            <w:tcW w:w="2380" w:type="dxa"/>
            <w:vAlign w:val="bottom"/>
          </w:tcPr>
          <w:p>
            <w:pPr>
              <w:jc w:val="center"/>
              <w:ind w:left="4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Lockhart, FL</w:t>
            </w:r>
          </w:p>
        </w:tc>
        <w:tc>
          <w:tcPr>
            <w:tcW w:w="240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Union City, GA</w:t>
            </w:r>
          </w:p>
        </w:tc>
        <w:tc>
          <w:tcPr>
            <w:tcW w:w="238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4"/>
                <w:szCs w:val="14"/>
                <w:color w:val="auto"/>
              </w:rPr>
              <w:t>Louisville, AL</w:t>
            </w:r>
          </w:p>
        </w:tc>
        <w:tc>
          <w:tcPr>
            <w:tcW w:w="2400" w:type="dxa"/>
            <w:vAlign w:val="bottom"/>
          </w:tcPr>
          <w:p>
            <w:pPr>
              <w:jc w:val="center"/>
              <w:ind w:left="48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White Bear Lake, MN</w:t>
            </w:r>
          </w:p>
        </w:tc>
        <w:tc>
          <w:tcPr>
            <w:tcW w:w="2380" w:type="dxa"/>
            <w:vAlign w:val="bottom"/>
          </w:tcPr>
          <w:p>
            <w:pPr>
              <w:jc w:val="center"/>
              <w:ind w:left="4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Matthews, NC</w:t>
            </w:r>
          </w:p>
        </w:tc>
        <w:tc>
          <w:tcPr>
            <w:tcW w:w="240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White City, OR</w:t>
            </w:r>
          </w:p>
        </w:tc>
        <w:tc>
          <w:tcPr>
            <w:tcW w:w="238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4"/>
                <w:szCs w:val="14"/>
                <w:color w:val="auto"/>
              </w:rPr>
              <w:t>Moultrie, GA</w:t>
            </w:r>
          </w:p>
        </w:tc>
        <w:tc>
          <w:tcPr>
            <w:tcW w:w="2400" w:type="dxa"/>
            <w:vAlign w:val="bottom"/>
          </w:tcPr>
          <w:p>
            <w:pPr>
              <w:jc w:val="center"/>
              <w:ind w:left="48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White Pigeon, MI</w:t>
            </w:r>
          </w:p>
        </w:tc>
        <w:tc>
          <w:tcPr>
            <w:tcW w:w="2380" w:type="dxa"/>
            <w:vAlign w:val="bottom"/>
          </w:tcPr>
          <w:p>
            <w:pPr>
              <w:jc w:val="center"/>
              <w:ind w:left="4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Poulsbo, WA</w:t>
            </w:r>
          </w:p>
        </w:tc>
        <w:tc>
          <w:tcPr>
            <w:tcW w:w="240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Windsor, CO</w:t>
            </w:r>
          </w:p>
        </w:tc>
        <w:tc>
          <w:tcPr>
            <w:tcW w:w="238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4"/>
        </w:trPr>
        <w:tc>
          <w:tcPr>
            <w:tcW w:w="2000" w:type="dxa"/>
            <w:vAlign w:val="bottom"/>
          </w:tcPr>
          <w:p>
            <w:pPr>
              <w:ind w:left="20"/>
              <w:spacing w:after="0"/>
              <w:rPr>
                <w:sz w:val="20"/>
                <w:szCs w:val="20"/>
                <w:color w:val="auto"/>
              </w:rPr>
            </w:pPr>
            <w:r>
              <w:rPr>
                <w:rFonts w:ascii="Arial" w:cs="Arial" w:eastAsia="Arial" w:hAnsi="Arial"/>
                <w:sz w:val="14"/>
                <w:szCs w:val="14"/>
                <w:color w:val="auto"/>
              </w:rPr>
              <w:t>Prairie du Chien, WI</w:t>
            </w:r>
          </w:p>
        </w:tc>
        <w:tc>
          <w:tcPr>
            <w:tcW w:w="2400" w:type="dxa"/>
            <w:vAlign w:val="bottom"/>
          </w:tcPr>
          <w:p>
            <w:pPr>
              <w:jc w:val="center"/>
              <w:ind w:left="48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38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48</w:t>
            </w:r>
          </w:p>
        </w:tc>
        <w:tc>
          <w:tcPr>
            <w:tcW w:w="0" w:type="dxa"/>
            <w:vAlign w:val="bottom"/>
          </w:tcPr>
          <w:p>
            <w:pPr>
              <w:spacing w:after="0"/>
              <w:rPr>
                <w:sz w:val="1"/>
                <w:szCs w:val="1"/>
                <w:color w:val="auto"/>
              </w:rPr>
            </w:pPr>
          </w:p>
        </w:tc>
      </w:tr>
      <w:tr>
        <w:trPr>
          <w:trHeight w:val="259"/>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Location</w:t>
            </w:r>
          </w:p>
        </w:tc>
        <w:tc>
          <w:tcPr>
            <w:tcW w:w="460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rPr>
              <w:t>INDUSTRIAL SEGMENT</w:t>
            </w:r>
          </w:p>
        </w:tc>
        <w:tc>
          <w:tcPr>
            <w:tcW w:w="23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Number of Properties</w:t>
            </w:r>
          </w:p>
        </w:tc>
        <w:tc>
          <w:tcPr>
            <w:tcW w:w="0" w:type="dxa"/>
            <w:vAlign w:val="bottom"/>
          </w:tcPr>
          <w:p>
            <w:pPr>
              <w:spacing w:after="0"/>
              <w:rPr>
                <w:sz w:val="1"/>
                <w:szCs w:val="1"/>
                <w:color w:val="auto"/>
              </w:rPr>
            </w:pPr>
          </w:p>
        </w:tc>
      </w:tr>
      <w:tr>
        <w:trPr>
          <w:trHeight w:val="186"/>
        </w:trPr>
        <w:tc>
          <w:tcPr>
            <w:tcW w:w="2000" w:type="dxa"/>
            <w:vAlign w:val="bottom"/>
            <w:vMerge w:val="continue"/>
          </w:tcPr>
          <w:p>
            <w:pPr>
              <w:spacing w:after="0"/>
              <w:rPr>
                <w:sz w:val="16"/>
                <w:szCs w:val="16"/>
                <w:color w:val="auto"/>
              </w:rPr>
            </w:pPr>
          </w:p>
        </w:tc>
        <w:tc>
          <w:tcPr>
            <w:tcW w:w="256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2"/>
              </w:rPr>
              <w:t>Number of Properties</w:t>
            </w:r>
          </w:p>
        </w:tc>
        <w:tc>
          <w:tcPr>
            <w:tcW w:w="2040" w:type="dxa"/>
            <w:vAlign w:val="bottom"/>
          </w:tcPr>
          <w:p>
            <w:pPr>
              <w:spacing w:after="0"/>
              <w:rPr>
                <w:sz w:val="20"/>
                <w:szCs w:val="20"/>
                <w:color w:val="auto"/>
              </w:rPr>
            </w:pPr>
            <w:r>
              <w:rPr>
                <w:rFonts w:ascii="Arial" w:cs="Arial" w:eastAsia="Arial" w:hAnsi="Arial"/>
                <w:sz w:val="14"/>
                <w:szCs w:val="14"/>
                <w:b w:val="1"/>
                <w:bCs w:val="1"/>
                <w:color w:val="auto"/>
              </w:rPr>
              <w:t>Property Location</w:t>
            </w: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921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37160"/>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p>
      <w:pPr>
        <w:spacing w:after="0" w:line="34"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Adairsville, GA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Ashburn, GA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Auburndale, FL</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Barnesville, GA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Bartow, FL</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Blanchester, OH</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Blue Island, IL</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Burnsville, MN</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Butner, NC</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Chaffee, NY</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Chandler, AZ</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Chase City, VA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Clarksville, TX</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Dallas, TX</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Douglas, GA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Eatonton, GA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Forsyth, GA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Franklinton, NC</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Gilmer, TX</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Grandview, TX</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Hartford, WI</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Hazlehurst, GA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Huntsville, TX</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Lawrenceburg, TN</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3"/>
          <w:szCs w:val="13"/>
          <w:color w:val="auto"/>
        </w:rPr>
        <w:t>Livermore Falls, ME</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Magna, UT</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Marietta, GA</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Martin, TN</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McMinnville, OR</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Miami, FL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121" w:hanging="1121"/>
        <w:spacing w:after="0"/>
        <w:tabs>
          <w:tab w:leader="none" w:pos="1121" w:val="left"/>
        </w:tabs>
        <w:numPr>
          <w:ilvl w:val="0"/>
          <w:numId w:val="4"/>
        </w:numPr>
        <w:rPr>
          <w:rFonts w:ascii="Arial" w:cs="Arial" w:eastAsia="Arial" w:hAnsi="Arial"/>
          <w:sz w:val="16"/>
          <w:szCs w:val="16"/>
          <w:color w:val="auto"/>
        </w:rPr>
      </w:pPr>
      <w:r>
        <w:rPr>
          <w:rFonts w:ascii="Arial" w:cs="Arial" w:eastAsia="Arial" w:hAnsi="Arial"/>
          <w:sz w:val="14"/>
          <w:szCs w:val="14"/>
          <w:color w:val="auto"/>
        </w:rPr>
        <w:t>Milwaukee, WI</w:t>
      </w:r>
    </w:p>
    <w:p>
      <w:pPr>
        <w:spacing w:after="0" w:line="7" w:lineRule="exact"/>
        <w:rPr>
          <w:rFonts w:ascii="Arial" w:cs="Arial" w:eastAsia="Arial" w:hAnsi="Arial"/>
          <w:sz w:val="16"/>
          <w:szCs w:val="16"/>
          <w:color w:val="auto"/>
        </w:rPr>
      </w:pPr>
    </w:p>
    <w:p>
      <w:pPr>
        <w:ind w:left="1121" w:hanging="1121"/>
        <w:spacing w:after="0"/>
        <w:tabs>
          <w:tab w:leader="none" w:pos="1121" w:val="left"/>
        </w:tabs>
        <w:numPr>
          <w:ilvl w:val="0"/>
          <w:numId w:val="4"/>
        </w:numPr>
        <w:rPr>
          <w:rFonts w:ascii="Arial" w:cs="Arial" w:eastAsia="Arial" w:hAnsi="Arial"/>
          <w:sz w:val="16"/>
          <w:szCs w:val="16"/>
          <w:color w:val="auto"/>
        </w:rPr>
      </w:pPr>
      <w:r>
        <w:rPr>
          <w:rFonts w:ascii="Arial" w:cs="Arial" w:eastAsia="Arial" w:hAnsi="Arial"/>
          <w:sz w:val="14"/>
          <w:szCs w:val="14"/>
          <w:color w:val="auto"/>
        </w:rPr>
        <w:t>Mocksville, 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-1905</wp:posOffset>
            </wp:positionV>
            <wp:extent cx="569214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ind w:left="1121" w:hanging="1121"/>
        <w:spacing w:after="0"/>
        <w:tabs>
          <w:tab w:leader="none" w:pos="1121" w:val="left"/>
        </w:tabs>
        <w:numPr>
          <w:ilvl w:val="0"/>
          <w:numId w:val="5"/>
        </w:numPr>
        <w:rPr>
          <w:rFonts w:ascii="Arial" w:cs="Arial" w:eastAsia="Arial" w:hAnsi="Arial"/>
          <w:sz w:val="16"/>
          <w:szCs w:val="16"/>
          <w:color w:val="auto"/>
        </w:rPr>
      </w:pPr>
      <w:r>
        <w:rPr>
          <w:rFonts w:ascii="Arial" w:cs="Arial" w:eastAsia="Arial" w:hAnsi="Arial"/>
          <w:sz w:val="14"/>
          <w:szCs w:val="14"/>
          <w:color w:val="auto"/>
        </w:rPr>
        <w:t>Morristown, TN</w:t>
      </w:r>
    </w:p>
    <w:p>
      <w:pPr>
        <w:spacing w:after="0" w:line="19" w:lineRule="exact"/>
        <w:rPr>
          <w:sz w:val="20"/>
          <w:szCs w:val="20"/>
          <w:color w:val="auto"/>
        </w:rPr>
      </w:pPr>
    </w:p>
    <w:p>
      <w:pPr>
        <w:ind w:left="1121" w:hanging="1121"/>
        <w:spacing w:after="0"/>
        <w:tabs>
          <w:tab w:leader="none" w:pos="1121" w:val="left"/>
        </w:tabs>
        <w:numPr>
          <w:ilvl w:val="0"/>
          <w:numId w:val="6"/>
        </w:numPr>
        <w:rPr>
          <w:rFonts w:ascii="Arial" w:cs="Arial" w:eastAsia="Arial" w:hAnsi="Arial"/>
          <w:sz w:val="16"/>
          <w:szCs w:val="16"/>
          <w:color w:val="auto"/>
        </w:rPr>
      </w:pPr>
      <w:r>
        <w:rPr>
          <w:rFonts w:ascii="Arial" w:cs="Arial" w:eastAsia="Arial" w:hAnsi="Arial"/>
          <w:sz w:val="14"/>
          <w:szCs w:val="14"/>
          <w:color w:val="auto"/>
        </w:rPr>
        <w:t>Nappanee,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-1905</wp:posOffset>
            </wp:positionV>
            <wp:extent cx="569214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ind w:left="1121" w:hanging="1121"/>
        <w:spacing w:after="0"/>
        <w:tabs>
          <w:tab w:leader="none" w:pos="1121" w:val="left"/>
        </w:tabs>
        <w:numPr>
          <w:ilvl w:val="0"/>
          <w:numId w:val="7"/>
        </w:numPr>
        <w:rPr>
          <w:rFonts w:ascii="Arial" w:cs="Arial" w:eastAsia="Arial" w:hAnsi="Arial"/>
          <w:sz w:val="16"/>
          <w:szCs w:val="16"/>
          <w:color w:val="auto"/>
        </w:rPr>
      </w:pPr>
      <w:r>
        <w:rPr>
          <w:rFonts w:ascii="Arial" w:cs="Arial" w:eastAsia="Arial" w:hAnsi="Arial"/>
          <w:sz w:val="14"/>
          <w:szCs w:val="14"/>
          <w:color w:val="auto"/>
        </w:rPr>
        <w:t>New Boston, TX</w:t>
      </w:r>
    </w:p>
    <w:p>
      <w:pPr>
        <w:spacing w:after="0" w:line="29" w:lineRule="exact"/>
        <w:rPr>
          <w:sz w:val="20"/>
          <w:szCs w:val="20"/>
          <w:color w:val="auto"/>
        </w:rPr>
      </w:pPr>
    </w:p>
    <w:p>
      <w:pPr>
        <w:ind w:left="1121" w:hanging="1121"/>
        <w:spacing w:after="0"/>
        <w:tabs>
          <w:tab w:leader="none" w:pos="1121" w:val="left"/>
        </w:tabs>
        <w:numPr>
          <w:ilvl w:val="0"/>
          <w:numId w:val="8"/>
        </w:numPr>
        <w:rPr>
          <w:rFonts w:ascii="Arial" w:cs="Arial" w:eastAsia="Arial" w:hAnsi="Arial"/>
          <w:sz w:val="16"/>
          <w:szCs w:val="16"/>
          <w:color w:val="auto"/>
        </w:rPr>
      </w:pPr>
      <w:r>
        <w:rPr>
          <w:rFonts w:ascii="Arial" w:cs="Arial" w:eastAsia="Arial" w:hAnsi="Arial"/>
          <w:sz w:val="14"/>
          <w:szCs w:val="14"/>
          <w:color w:val="auto"/>
        </w:rPr>
        <w:t>New London, WI</w:t>
      </w:r>
    </w:p>
    <w:p>
      <w:pPr>
        <w:spacing w:after="0" w:line="18" w:lineRule="exact"/>
        <w:rPr>
          <w:rFonts w:ascii="Arial" w:cs="Arial" w:eastAsia="Arial" w:hAnsi="Arial"/>
          <w:sz w:val="16"/>
          <w:szCs w:val="16"/>
          <w:color w:val="auto"/>
        </w:rPr>
      </w:pPr>
    </w:p>
    <w:p>
      <w:pPr>
        <w:ind w:left="1121" w:hanging="1121"/>
        <w:spacing w:after="0"/>
        <w:tabs>
          <w:tab w:leader="none" w:pos="1121" w:val="left"/>
        </w:tabs>
        <w:numPr>
          <w:ilvl w:val="0"/>
          <w:numId w:val="8"/>
        </w:numPr>
        <w:rPr>
          <w:rFonts w:ascii="Arial" w:cs="Arial" w:eastAsia="Arial" w:hAnsi="Arial"/>
          <w:sz w:val="16"/>
          <w:szCs w:val="16"/>
          <w:color w:val="auto"/>
        </w:rPr>
      </w:pPr>
      <w:r>
        <w:rPr>
          <w:rFonts w:ascii="Arial" w:cs="Arial" w:eastAsia="Arial" w:hAnsi="Arial"/>
          <w:sz w:val="14"/>
          <w:szCs w:val="14"/>
          <w:color w:val="auto"/>
        </w:rPr>
        <w:t>Newnan, GA</w:t>
      </w:r>
    </w:p>
    <w:p>
      <w:pPr>
        <w:spacing w:after="0" w:line="7" w:lineRule="exact"/>
        <w:rPr>
          <w:rFonts w:ascii="Arial" w:cs="Arial" w:eastAsia="Arial" w:hAnsi="Arial"/>
          <w:sz w:val="16"/>
          <w:szCs w:val="16"/>
          <w:color w:val="auto"/>
        </w:rPr>
      </w:pPr>
    </w:p>
    <w:p>
      <w:pPr>
        <w:ind w:left="1121" w:hanging="1121"/>
        <w:spacing w:after="0"/>
        <w:tabs>
          <w:tab w:leader="none" w:pos="1121" w:val="left"/>
        </w:tabs>
        <w:numPr>
          <w:ilvl w:val="0"/>
          <w:numId w:val="8"/>
        </w:numPr>
        <w:rPr>
          <w:rFonts w:ascii="Arial" w:cs="Arial" w:eastAsia="Arial" w:hAnsi="Arial"/>
          <w:sz w:val="16"/>
          <w:szCs w:val="16"/>
          <w:color w:val="auto"/>
        </w:rPr>
      </w:pPr>
      <w:r>
        <w:rPr>
          <w:rFonts w:ascii="Arial" w:cs="Arial" w:eastAsia="Arial" w:hAnsi="Arial"/>
          <w:sz w:val="14"/>
          <w:szCs w:val="14"/>
          <w:color w:val="auto"/>
        </w:rPr>
        <w:t>Newton, 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-259080</wp:posOffset>
            </wp:positionV>
            <wp:extent cx="569214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-1905</wp:posOffset>
            </wp:positionV>
            <wp:extent cx="569214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ind w:left="1121" w:hanging="1121"/>
        <w:spacing w:after="0"/>
        <w:tabs>
          <w:tab w:leader="none" w:pos="1121" w:val="left"/>
        </w:tabs>
        <w:numPr>
          <w:ilvl w:val="0"/>
          <w:numId w:val="9"/>
        </w:numPr>
        <w:rPr>
          <w:rFonts w:ascii="Arial" w:cs="Arial" w:eastAsia="Arial" w:hAnsi="Arial"/>
          <w:sz w:val="16"/>
          <w:szCs w:val="16"/>
          <w:color w:val="auto"/>
        </w:rPr>
      </w:pPr>
      <w:r>
        <w:rPr>
          <w:rFonts w:ascii="Arial" w:cs="Arial" w:eastAsia="Arial" w:hAnsi="Arial"/>
          <w:sz w:val="14"/>
          <w:szCs w:val="14"/>
          <w:color w:val="auto"/>
        </w:rPr>
        <w:t>Orangeburg, SC</w:t>
      </w:r>
    </w:p>
    <w:p>
      <w:pPr>
        <w:spacing w:after="0" w:line="19" w:lineRule="exact"/>
        <w:rPr>
          <w:sz w:val="20"/>
          <w:szCs w:val="20"/>
          <w:color w:val="auto"/>
        </w:rPr>
      </w:pPr>
    </w:p>
    <w:p>
      <w:pPr>
        <w:ind w:left="1121" w:hanging="1121"/>
        <w:spacing w:after="0"/>
        <w:tabs>
          <w:tab w:leader="none" w:pos="1121" w:val="left"/>
        </w:tabs>
        <w:numPr>
          <w:ilvl w:val="0"/>
          <w:numId w:val="10"/>
        </w:numPr>
        <w:rPr>
          <w:rFonts w:ascii="Arial" w:cs="Arial" w:eastAsia="Arial" w:hAnsi="Arial"/>
          <w:sz w:val="16"/>
          <w:szCs w:val="16"/>
          <w:color w:val="auto"/>
        </w:rPr>
      </w:pPr>
      <w:r>
        <w:rPr>
          <w:rFonts w:ascii="Arial" w:cs="Arial" w:eastAsia="Arial" w:hAnsi="Arial"/>
          <w:sz w:val="14"/>
          <w:szCs w:val="14"/>
          <w:color w:val="auto"/>
        </w:rPr>
        <w:t>Peru, 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-1905</wp:posOffset>
            </wp:positionV>
            <wp:extent cx="569214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ind w:left="1121" w:hanging="1121"/>
        <w:spacing w:after="0"/>
        <w:tabs>
          <w:tab w:leader="none" w:pos="1121" w:val="left"/>
        </w:tabs>
        <w:numPr>
          <w:ilvl w:val="0"/>
          <w:numId w:val="11"/>
        </w:numPr>
        <w:rPr>
          <w:rFonts w:ascii="Arial" w:cs="Arial" w:eastAsia="Arial" w:hAnsi="Arial"/>
          <w:sz w:val="16"/>
          <w:szCs w:val="16"/>
          <w:color w:val="auto"/>
        </w:rPr>
      </w:pPr>
      <w:r>
        <w:rPr>
          <w:rFonts w:ascii="Arial" w:cs="Arial" w:eastAsia="Arial" w:hAnsi="Arial"/>
          <w:sz w:val="14"/>
          <w:szCs w:val="14"/>
          <w:color w:val="auto"/>
        </w:rPr>
        <w:t>Port Arthur, TX</w:t>
      </w:r>
    </w:p>
    <w:p>
      <w:pPr>
        <w:spacing w:after="0" w:line="19" w:lineRule="exact"/>
        <w:rPr>
          <w:sz w:val="20"/>
          <w:szCs w:val="20"/>
          <w:color w:val="auto"/>
        </w:rPr>
      </w:pPr>
    </w:p>
    <w:p>
      <w:pPr>
        <w:ind w:left="1121" w:hanging="1121"/>
        <w:spacing w:after="0"/>
        <w:tabs>
          <w:tab w:leader="none" w:pos="1121" w:val="left"/>
        </w:tabs>
        <w:numPr>
          <w:ilvl w:val="0"/>
          <w:numId w:val="12"/>
        </w:numPr>
        <w:rPr>
          <w:rFonts w:ascii="Arial" w:cs="Arial" w:eastAsia="Arial" w:hAnsi="Arial"/>
          <w:sz w:val="16"/>
          <w:szCs w:val="16"/>
          <w:color w:val="auto"/>
        </w:rPr>
      </w:pPr>
      <w:r>
        <w:rPr>
          <w:rFonts w:ascii="Arial" w:cs="Arial" w:eastAsia="Arial" w:hAnsi="Arial"/>
          <w:sz w:val="14"/>
          <w:szCs w:val="14"/>
          <w:color w:val="auto"/>
        </w:rPr>
        <w:t>Prattville,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-1905</wp:posOffset>
            </wp:positionV>
            <wp:extent cx="569214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spacing w:after="0" w:line="10" w:lineRule="exact"/>
        <w:rPr>
          <w:sz w:val="20"/>
          <w:szCs w:val="20"/>
          <w:color w:val="auto"/>
        </w:rPr>
      </w:pPr>
    </w:p>
    <w:p>
      <w:pPr>
        <w:ind w:left="1121" w:hanging="1121"/>
        <w:spacing w:after="0"/>
        <w:tabs>
          <w:tab w:leader="none" w:pos="1121" w:val="left"/>
        </w:tabs>
        <w:numPr>
          <w:ilvl w:val="0"/>
          <w:numId w:val="13"/>
        </w:numPr>
        <w:rPr>
          <w:rFonts w:ascii="Arial" w:cs="Arial" w:eastAsia="Arial" w:hAnsi="Arial"/>
          <w:sz w:val="15"/>
          <w:szCs w:val="15"/>
          <w:color w:val="auto"/>
        </w:rPr>
      </w:pPr>
      <w:r>
        <w:rPr>
          <w:rFonts w:ascii="Arial" w:cs="Arial" w:eastAsia="Arial" w:hAnsi="Arial"/>
          <w:sz w:val="13"/>
          <w:szCs w:val="13"/>
          <w:color w:val="auto"/>
        </w:rPr>
        <w:t>Rancho Cucamonga, CA</w:t>
      </w:r>
    </w:p>
    <w:p>
      <w:pPr>
        <w:spacing w:after="0" w:line="29" w:lineRule="exact"/>
        <w:rPr>
          <w:sz w:val="20"/>
          <w:szCs w:val="20"/>
          <w:color w:val="auto"/>
        </w:rPr>
      </w:pPr>
    </w:p>
    <w:p>
      <w:pPr>
        <w:ind w:left="1121" w:hanging="1121"/>
        <w:spacing w:after="0"/>
        <w:tabs>
          <w:tab w:leader="none" w:pos="1121" w:val="left"/>
        </w:tabs>
        <w:numPr>
          <w:ilvl w:val="0"/>
          <w:numId w:val="14"/>
        </w:numPr>
        <w:rPr>
          <w:rFonts w:ascii="Arial" w:cs="Arial" w:eastAsia="Arial" w:hAnsi="Arial"/>
          <w:sz w:val="16"/>
          <w:szCs w:val="16"/>
          <w:color w:val="auto"/>
        </w:rPr>
      </w:pPr>
      <w:r>
        <w:rPr>
          <w:rFonts w:ascii="Arial" w:cs="Arial" w:eastAsia="Arial" w:hAnsi="Arial"/>
          <w:sz w:val="14"/>
          <w:szCs w:val="14"/>
          <w:color w:val="auto"/>
        </w:rPr>
        <w:t>Riverside, CA</w:t>
      </w:r>
    </w:p>
    <w:p>
      <w:pPr>
        <w:spacing w:after="0" w:line="7" w:lineRule="exact"/>
        <w:rPr>
          <w:rFonts w:ascii="Arial" w:cs="Arial" w:eastAsia="Arial" w:hAnsi="Arial"/>
          <w:sz w:val="16"/>
          <w:szCs w:val="16"/>
          <w:color w:val="auto"/>
        </w:rPr>
      </w:pPr>
    </w:p>
    <w:p>
      <w:pPr>
        <w:ind w:left="1121" w:hanging="1121"/>
        <w:spacing w:after="0"/>
        <w:tabs>
          <w:tab w:leader="none" w:pos="1121" w:val="left"/>
        </w:tabs>
        <w:numPr>
          <w:ilvl w:val="0"/>
          <w:numId w:val="14"/>
        </w:numPr>
        <w:rPr>
          <w:rFonts w:ascii="Arial" w:cs="Arial" w:eastAsia="Arial" w:hAnsi="Arial"/>
          <w:sz w:val="16"/>
          <w:szCs w:val="16"/>
          <w:color w:val="auto"/>
        </w:rPr>
      </w:pPr>
      <w:r>
        <w:rPr>
          <w:rFonts w:ascii="Arial" w:cs="Arial" w:eastAsia="Arial" w:hAnsi="Arial"/>
          <w:sz w:val="14"/>
          <w:szCs w:val="14"/>
          <w:color w:val="auto"/>
        </w:rPr>
        <w:t>Robertsdale,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-130810</wp:posOffset>
            </wp:positionV>
            <wp:extent cx="569214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ind w:left="1121" w:hanging="1121"/>
        <w:spacing w:after="0"/>
        <w:tabs>
          <w:tab w:leader="none" w:pos="1121" w:val="left"/>
        </w:tabs>
        <w:numPr>
          <w:ilvl w:val="0"/>
          <w:numId w:val="15"/>
        </w:numPr>
        <w:rPr>
          <w:rFonts w:ascii="Arial" w:cs="Arial" w:eastAsia="Arial" w:hAnsi="Arial"/>
          <w:sz w:val="16"/>
          <w:szCs w:val="16"/>
          <w:color w:val="auto"/>
        </w:rPr>
      </w:pPr>
      <w:r>
        <w:rPr>
          <w:rFonts w:ascii="Arial" w:cs="Arial" w:eastAsia="Arial" w:hAnsi="Arial"/>
          <w:sz w:val="14"/>
          <w:szCs w:val="14"/>
          <w:color w:val="auto"/>
        </w:rPr>
        <w:t>Rowesville, 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-1905</wp:posOffset>
            </wp:positionV>
            <wp:extent cx="569214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spacing w:after="0" w:line="9" w:lineRule="exact"/>
        <w:rPr>
          <w:sz w:val="20"/>
          <w:szCs w:val="20"/>
          <w:color w:val="auto"/>
        </w:rPr>
      </w:pPr>
    </w:p>
    <w:p>
      <w:pPr>
        <w:ind w:left="1121" w:hanging="1121"/>
        <w:spacing w:after="0"/>
        <w:tabs>
          <w:tab w:leader="none" w:pos="1121" w:val="left"/>
        </w:tabs>
        <w:numPr>
          <w:ilvl w:val="0"/>
          <w:numId w:val="16"/>
        </w:numPr>
        <w:rPr>
          <w:rFonts w:ascii="Arial" w:cs="Arial" w:eastAsia="Arial" w:hAnsi="Arial"/>
          <w:sz w:val="16"/>
          <w:szCs w:val="16"/>
          <w:color w:val="auto"/>
        </w:rPr>
      </w:pPr>
      <w:r>
        <w:rPr>
          <w:rFonts w:ascii="Arial" w:cs="Arial" w:eastAsia="Arial" w:hAnsi="Arial"/>
          <w:sz w:val="14"/>
          <w:szCs w:val="14"/>
          <w:color w:val="auto"/>
        </w:rPr>
        <w:t>Salisbury, NC</w:t>
      </w:r>
    </w:p>
    <w:p>
      <w:pPr>
        <w:spacing w:after="0" w:line="18" w:lineRule="exact"/>
        <w:rPr>
          <w:rFonts w:ascii="Arial" w:cs="Arial" w:eastAsia="Arial" w:hAnsi="Arial"/>
          <w:sz w:val="16"/>
          <w:szCs w:val="16"/>
          <w:color w:val="auto"/>
        </w:rPr>
      </w:pPr>
    </w:p>
    <w:p>
      <w:pPr>
        <w:ind w:left="1121" w:hanging="1121"/>
        <w:spacing w:after="0"/>
        <w:tabs>
          <w:tab w:leader="none" w:pos="1121" w:val="left"/>
        </w:tabs>
        <w:numPr>
          <w:ilvl w:val="0"/>
          <w:numId w:val="16"/>
        </w:numPr>
        <w:rPr>
          <w:rFonts w:ascii="Arial" w:cs="Arial" w:eastAsia="Arial" w:hAnsi="Arial"/>
          <w:sz w:val="16"/>
          <w:szCs w:val="16"/>
          <w:color w:val="auto"/>
        </w:rPr>
      </w:pPr>
      <w:r>
        <w:rPr>
          <w:rFonts w:ascii="Arial" w:cs="Arial" w:eastAsia="Arial" w:hAnsi="Arial"/>
          <w:sz w:val="14"/>
          <w:szCs w:val="14"/>
          <w:color w:val="auto"/>
        </w:rPr>
        <w:t>Selma, AL</w:t>
      </w:r>
    </w:p>
    <w:p>
      <w:pPr>
        <w:spacing w:after="0" w:line="7" w:lineRule="exact"/>
        <w:rPr>
          <w:rFonts w:ascii="Arial" w:cs="Arial" w:eastAsia="Arial" w:hAnsi="Arial"/>
          <w:sz w:val="16"/>
          <w:szCs w:val="16"/>
          <w:color w:val="auto"/>
        </w:rPr>
      </w:pPr>
    </w:p>
    <w:p>
      <w:pPr>
        <w:ind w:left="1121" w:hanging="1121"/>
        <w:spacing w:after="0"/>
        <w:tabs>
          <w:tab w:leader="none" w:pos="1121" w:val="left"/>
        </w:tabs>
        <w:numPr>
          <w:ilvl w:val="0"/>
          <w:numId w:val="16"/>
        </w:numPr>
        <w:rPr>
          <w:rFonts w:ascii="Arial" w:cs="Arial" w:eastAsia="Arial" w:hAnsi="Arial"/>
          <w:sz w:val="16"/>
          <w:szCs w:val="16"/>
          <w:color w:val="auto"/>
        </w:rPr>
      </w:pPr>
      <w:r>
        <w:rPr>
          <w:rFonts w:ascii="Arial" w:cs="Arial" w:eastAsia="Arial" w:hAnsi="Arial"/>
          <w:sz w:val="14"/>
          <w:szCs w:val="14"/>
          <w:color w:val="auto"/>
        </w:rPr>
        <w:t>Sharon, 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-130810</wp:posOffset>
            </wp:positionV>
            <wp:extent cx="569214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ind w:left="1121" w:hanging="1121"/>
        <w:spacing w:after="0"/>
        <w:tabs>
          <w:tab w:leader="none" w:pos="1121" w:val="left"/>
        </w:tabs>
        <w:numPr>
          <w:ilvl w:val="0"/>
          <w:numId w:val="17"/>
        </w:numPr>
        <w:rPr>
          <w:rFonts w:ascii="Arial" w:cs="Arial" w:eastAsia="Arial" w:hAnsi="Arial"/>
          <w:sz w:val="16"/>
          <w:szCs w:val="16"/>
          <w:color w:val="auto"/>
        </w:rPr>
      </w:pPr>
      <w:r>
        <w:rPr>
          <w:rFonts w:ascii="Arial" w:cs="Arial" w:eastAsia="Arial" w:hAnsi="Arial"/>
          <w:sz w:val="14"/>
          <w:szCs w:val="14"/>
          <w:color w:val="auto"/>
        </w:rPr>
        <w:t>Shawnee, 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-1905</wp:posOffset>
            </wp:positionV>
            <wp:extent cx="569214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ind w:left="1121" w:hanging="1121"/>
        <w:spacing w:after="0"/>
        <w:tabs>
          <w:tab w:leader="none" w:pos="1121" w:val="left"/>
        </w:tabs>
        <w:numPr>
          <w:ilvl w:val="0"/>
          <w:numId w:val="18"/>
        </w:numPr>
        <w:rPr>
          <w:rFonts w:ascii="Arial" w:cs="Arial" w:eastAsia="Arial" w:hAnsi="Arial"/>
          <w:sz w:val="16"/>
          <w:szCs w:val="16"/>
          <w:color w:val="auto"/>
        </w:rPr>
      </w:pPr>
      <w:r>
        <w:rPr>
          <w:rFonts w:ascii="Arial" w:cs="Arial" w:eastAsia="Arial" w:hAnsi="Arial"/>
          <w:sz w:val="14"/>
          <w:szCs w:val="14"/>
          <w:color w:val="auto"/>
        </w:rPr>
        <w:t>Shipshewana, IN</w:t>
      </w:r>
    </w:p>
    <w:p>
      <w:pPr>
        <w:spacing w:after="0" w:line="19" w:lineRule="exact"/>
        <w:rPr>
          <w:sz w:val="20"/>
          <w:szCs w:val="20"/>
          <w:color w:val="auto"/>
        </w:rPr>
      </w:pPr>
    </w:p>
    <w:p>
      <w:pPr>
        <w:ind w:left="1121" w:hanging="1121"/>
        <w:spacing w:after="0"/>
        <w:tabs>
          <w:tab w:leader="none" w:pos="1121" w:val="left"/>
        </w:tabs>
        <w:numPr>
          <w:ilvl w:val="0"/>
          <w:numId w:val="19"/>
        </w:numPr>
        <w:rPr>
          <w:rFonts w:ascii="Arial" w:cs="Arial" w:eastAsia="Arial" w:hAnsi="Arial"/>
          <w:sz w:val="16"/>
          <w:szCs w:val="16"/>
          <w:color w:val="auto"/>
        </w:rPr>
      </w:pPr>
      <w:r>
        <w:rPr>
          <w:rFonts w:ascii="Arial" w:cs="Arial" w:eastAsia="Arial" w:hAnsi="Arial"/>
          <w:sz w:val="14"/>
          <w:szCs w:val="14"/>
          <w:color w:val="auto"/>
        </w:rPr>
        <w:t>Siler City, 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-1905</wp:posOffset>
            </wp:positionV>
            <wp:extent cx="569214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spacing w:after="0" w:line="9" w:lineRule="exact"/>
        <w:rPr>
          <w:sz w:val="20"/>
          <w:szCs w:val="20"/>
          <w:color w:val="auto"/>
        </w:rPr>
      </w:pPr>
    </w:p>
    <w:p>
      <w:pPr>
        <w:ind w:left="1121" w:hanging="1121"/>
        <w:spacing w:after="0"/>
        <w:tabs>
          <w:tab w:leader="none" w:pos="1121" w:val="left"/>
        </w:tabs>
        <w:numPr>
          <w:ilvl w:val="0"/>
          <w:numId w:val="20"/>
        </w:numPr>
        <w:rPr>
          <w:rFonts w:ascii="Arial" w:cs="Arial" w:eastAsia="Arial" w:hAnsi="Arial"/>
          <w:sz w:val="16"/>
          <w:szCs w:val="16"/>
          <w:color w:val="auto"/>
        </w:rPr>
      </w:pPr>
      <w:r>
        <w:rPr>
          <w:rFonts w:ascii="Arial" w:cs="Arial" w:eastAsia="Arial" w:hAnsi="Arial"/>
          <w:sz w:val="14"/>
          <w:szCs w:val="14"/>
          <w:color w:val="auto"/>
        </w:rPr>
        <w:t>Snohomish, WA</w:t>
      </w:r>
    </w:p>
    <w:p>
      <w:pPr>
        <w:spacing w:after="0" w:line="18" w:lineRule="exact"/>
        <w:rPr>
          <w:rFonts w:ascii="Arial" w:cs="Arial" w:eastAsia="Arial" w:hAnsi="Arial"/>
          <w:sz w:val="16"/>
          <w:szCs w:val="16"/>
          <w:color w:val="auto"/>
        </w:rPr>
      </w:pPr>
    </w:p>
    <w:p>
      <w:pPr>
        <w:ind w:left="1121" w:hanging="1121"/>
        <w:spacing w:after="0"/>
        <w:tabs>
          <w:tab w:leader="none" w:pos="1121" w:val="left"/>
        </w:tabs>
        <w:numPr>
          <w:ilvl w:val="0"/>
          <w:numId w:val="20"/>
        </w:numPr>
        <w:rPr>
          <w:rFonts w:ascii="Arial" w:cs="Arial" w:eastAsia="Arial" w:hAnsi="Arial"/>
          <w:sz w:val="16"/>
          <w:szCs w:val="16"/>
          <w:color w:val="auto"/>
        </w:rPr>
      </w:pPr>
      <w:r>
        <w:rPr>
          <w:rFonts w:ascii="Arial" w:cs="Arial" w:eastAsia="Arial" w:hAnsi="Arial"/>
          <w:sz w:val="14"/>
          <w:szCs w:val="14"/>
          <w:color w:val="auto"/>
        </w:rPr>
        <w:t>Thornton, CA</w:t>
      </w:r>
    </w:p>
    <w:p>
      <w:pPr>
        <w:spacing w:after="0" w:line="18" w:lineRule="exact"/>
        <w:rPr>
          <w:rFonts w:ascii="Arial" w:cs="Arial" w:eastAsia="Arial" w:hAnsi="Arial"/>
          <w:sz w:val="16"/>
          <w:szCs w:val="16"/>
          <w:color w:val="auto"/>
        </w:rPr>
      </w:pPr>
    </w:p>
    <w:p>
      <w:pPr>
        <w:ind w:left="1121" w:hanging="1121"/>
        <w:spacing w:after="0"/>
        <w:tabs>
          <w:tab w:leader="none" w:pos="1121" w:val="left"/>
        </w:tabs>
        <w:numPr>
          <w:ilvl w:val="0"/>
          <w:numId w:val="20"/>
        </w:numPr>
        <w:rPr>
          <w:rFonts w:ascii="Arial" w:cs="Arial" w:eastAsia="Arial" w:hAnsi="Arial"/>
          <w:sz w:val="16"/>
          <w:szCs w:val="16"/>
          <w:color w:val="auto"/>
        </w:rPr>
      </w:pPr>
      <w:r>
        <w:rPr>
          <w:rFonts w:ascii="Arial" w:cs="Arial" w:eastAsia="Arial" w:hAnsi="Arial"/>
          <w:sz w:val="14"/>
          <w:szCs w:val="14"/>
          <w:color w:val="auto"/>
        </w:rPr>
        <w:t>Walker, MI</w:t>
      </w:r>
    </w:p>
    <w:p>
      <w:pPr>
        <w:spacing w:after="0" w:line="18" w:lineRule="exact"/>
        <w:rPr>
          <w:rFonts w:ascii="Arial" w:cs="Arial" w:eastAsia="Arial" w:hAnsi="Arial"/>
          <w:sz w:val="16"/>
          <w:szCs w:val="16"/>
          <w:color w:val="auto"/>
        </w:rPr>
      </w:pPr>
    </w:p>
    <w:p>
      <w:pPr>
        <w:ind w:left="1121" w:hanging="1121"/>
        <w:spacing w:after="0"/>
        <w:tabs>
          <w:tab w:leader="none" w:pos="1121" w:val="left"/>
        </w:tabs>
        <w:numPr>
          <w:ilvl w:val="0"/>
          <w:numId w:val="20"/>
        </w:numPr>
        <w:rPr>
          <w:rFonts w:ascii="Arial" w:cs="Arial" w:eastAsia="Arial" w:hAnsi="Arial"/>
          <w:sz w:val="16"/>
          <w:szCs w:val="16"/>
          <w:color w:val="auto"/>
        </w:rPr>
      </w:pPr>
      <w:r>
        <w:rPr>
          <w:rFonts w:ascii="Arial" w:cs="Arial" w:eastAsia="Arial" w:hAnsi="Arial"/>
          <w:sz w:val="14"/>
          <w:szCs w:val="14"/>
          <w:color w:val="auto"/>
        </w:rPr>
        <w:t>Warrens, WI</w:t>
      </w:r>
    </w:p>
    <w:p>
      <w:pPr>
        <w:spacing w:after="0" w:line="18" w:lineRule="exact"/>
        <w:rPr>
          <w:rFonts w:ascii="Arial" w:cs="Arial" w:eastAsia="Arial" w:hAnsi="Arial"/>
          <w:sz w:val="16"/>
          <w:szCs w:val="16"/>
          <w:color w:val="auto"/>
        </w:rPr>
      </w:pPr>
    </w:p>
    <w:p>
      <w:pPr>
        <w:ind w:left="1121" w:hanging="1121"/>
        <w:spacing w:after="0"/>
        <w:tabs>
          <w:tab w:leader="none" w:pos="1121" w:val="left"/>
        </w:tabs>
        <w:numPr>
          <w:ilvl w:val="0"/>
          <w:numId w:val="20"/>
        </w:numPr>
        <w:rPr>
          <w:rFonts w:ascii="Arial" w:cs="Arial" w:eastAsia="Arial" w:hAnsi="Arial"/>
          <w:sz w:val="16"/>
          <w:szCs w:val="16"/>
          <w:color w:val="auto"/>
        </w:rPr>
      </w:pPr>
      <w:r>
        <w:rPr>
          <w:rFonts w:ascii="Arial" w:cs="Arial" w:eastAsia="Arial" w:hAnsi="Arial"/>
          <w:sz w:val="14"/>
          <w:szCs w:val="14"/>
          <w:color w:val="auto"/>
        </w:rPr>
        <w:t>Waterloo, WI</w:t>
      </w:r>
    </w:p>
    <w:p>
      <w:pPr>
        <w:spacing w:after="0" w:line="7" w:lineRule="exact"/>
        <w:rPr>
          <w:rFonts w:ascii="Arial" w:cs="Arial" w:eastAsia="Arial" w:hAnsi="Arial"/>
          <w:sz w:val="16"/>
          <w:szCs w:val="16"/>
          <w:color w:val="auto"/>
        </w:rPr>
      </w:pPr>
    </w:p>
    <w:p>
      <w:pPr>
        <w:ind w:left="1121" w:hanging="1121"/>
        <w:spacing w:after="0"/>
        <w:tabs>
          <w:tab w:leader="none" w:pos="1121" w:val="left"/>
        </w:tabs>
        <w:numPr>
          <w:ilvl w:val="0"/>
          <w:numId w:val="20"/>
        </w:numPr>
        <w:rPr>
          <w:rFonts w:ascii="Arial" w:cs="Arial" w:eastAsia="Arial" w:hAnsi="Arial"/>
          <w:sz w:val="16"/>
          <w:szCs w:val="16"/>
          <w:color w:val="auto"/>
        </w:rPr>
      </w:pPr>
      <w:r>
        <w:rPr>
          <w:rFonts w:ascii="Arial" w:cs="Arial" w:eastAsia="Arial" w:hAnsi="Arial"/>
          <w:sz w:val="14"/>
          <w:szCs w:val="14"/>
          <w:color w:val="auto"/>
        </w:rPr>
        <w:t>Wenatchee,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-516255</wp:posOffset>
            </wp:positionV>
            <wp:extent cx="569214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-259080</wp:posOffset>
            </wp:positionV>
            <wp:extent cx="569214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-1905</wp:posOffset>
            </wp:positionV>
            <wp:extent cx="569214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ind w:left="1121" w:hanging="1121"/>
        <w:spacing w:after="0"/>
        <w:tabs>
          <w:tab w:leader="none" w:pos="1121" w:val="left"/>
        </w:tabs>
        <w:numPr>
          <w:ilvl w:val="0"/>
          <w:numId w:val="21"/>
        </w:numPr>
        <w:rPr>
          <w:rFonts w:ascii="Arial" w:cs="Arial" w:eastAsia="Arial" w:hAnsi="Arial"/>
          <w:sz w:val="16"/>
          <w:szCs w:val="16"/>
          <w:color w:val="auto"/>
        </w:rPr>
      </w:pPr>
      <w:r>
        <w:rPr>
          <w:rFonts w:ascii="Arial" w:cs="Arial" w:eastAsia="Arial" w:hAnsi="Arial"/>
          <w:sz w:val="14"/>
          <w:szCs w:val="14"/>
          <w:color w:val="auto"/>
        </w:rPr>
        <w:t>Woodburn, OR</w:t>
      </w:r>
    </w:p>
    <w:p>
      <w:pPr>
        <w:spacing w:after="0" w:line="14" w:lineRule="exact"/>
        <w:rPr>
          <w:sz w:val="20"/>
          <w:szCs w:val="20"/>
          <w:color w:val="auto"/>
        </w:rPr>
      </w:pPr>
    </w:p>
    <w:p>
      <w:pPr>
        <w:ind w:left="1121" w:hanging="1121"/>
        <w:spacing w:after="0"/>
        <w:tabs>
          <w:tab w:leader="none" w:pos="1121" w:val="left"/>
        </w:tabs>
        <w:numPr>
          <w:ilvl w:val="0"/>
          <w:numId w:val="22"/>
        </w:numPr>
        <w:rPr>
          <w:rFonts w:ascii="Arial" w:cs="Arial" w:eastAsia="Arial" w:hAnsi="Arial"/>
          <w:sz w:val="16"/>
          <w:szCs w:val="16"/>
          <w:color w:val="auto"/>
        </w:rPr>
      </w:pPr>
      <w:r>
        <w:rPr>
          <w:rFonts w:ascii="Arial" w:cs="Arial" w:eastAsia="Arial" w:hAnsi="Arial"/>
          <w:sz w:val="14"/>
          <w:szCs w:val="14"/>
          <w:color w:val="auto"/>
        </w:rPr>
        <w:t>Yakima, WA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8" w:lineRule="exact"/>
        <w:rPr>
          <w:sz w:val="20"/>
          <w:szCs w:val="20"/>
          <w:color w:val="auto"/>
        </w:rPr>
      </w:pPr>
    </w:p>
    <w:p>
      <w:pPr>
        <w:sectPr>
          <w:pgSz w:w="11900" w:h="16838" w:orient="portrait"/>
          <w:cols w:equalWidth="0" w:num="3">
            <w:col w:w="2759" w:space="720"/>
            <w:col w:w="3841" w:space="720"/>
            <w:col w:w="980"/>
          </w:cols>
          <w:pgMar w:left="1440" w:top="125" w:right="14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45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48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77</w:t>
            </w: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type w:val="continuous"/>
        </w:sectPr>
      </w:pPr>
    </w:p>
    <w:bookmarkStart w:id="9" w:name="page10"/>
    <w:bookmarkEnd w:id="9"/>
    <w:tbl>
      <w:tblPr>
        <w:tblLayout w:type="fixed"/>
        <w:tblInd w:w="40" w:type="dxa"/>
        <w:tblCellMar>
          <w:top w:w="0" w:type="dxa"/>
          <w:left w:w="0" w:type="dxa"/>
          <w:bottom w:w="0" w:type="dxa"/>
          <w:right w:w="0" w:type="dxa"/>
        </w:tblCellMar>
      </w:tblPr>
      <w:tr>
        <w:trPr>
          <w:trHeight w:val="161"/>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Location</w:t>
            </w:r>
          </w:p>
        </w:tc>
        <w:tc>
          <w:tcPr>
            <w:tcW w:w="5040" w:type="dxa"/>
            <w:vAlign w:val="bottom"/>
            <w:gridSpan w:val="3"/>
          </w:tcPr>
          <w:p>
            <w:pPr>
              <w:ind w:left="1480"/>
              <w:spacing w:after="0"/>
              <w:rPr>
                <w:sz w:val="20"/>
                <w:szCs w:val="20"/>
                <w:color w:val="auto"/>
              </w:rPr>
            </w:pPr>
            <w:r>
              <w:rPr>
                <w:rFonts w:ascii="Arial" w:cs="Arial" w:eastAsia="Arial" w:hAnsi="Arial"/>
                <w:sz w:val="14"/>
                <w:szCs w:val="14"/>
                <w:b w:val="1"/>
                <w:bCs w:val="1"/>
                <w:color w:val="auto"/>
              </w:rPr>
              <w:t>CONSTRUCTION SEGMENT</w:t>
            </w:r>
          </w:p>
        </w:tc>
        <w:tc>
          <w:tcPr>
            <w:tcW w:w="1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Number of Properties</w:t>
            </w:r>
          </w:p>
        </w:tc>
        <w:tc>
          <w:tcPr>
            <w:tcW w:w="0" w:type="dxa"/>
            <w:vAlign w:val="bottom"/>
          </w:tcPr>
          <w:p>
            <w:pPr>
              <w:spacing w:after="0"/>
              <w:rPr>
                <w:sz w:val="1"/>
                <w:szCs w:val="1"/>
                <w:color w:val="auto"/>
              </w:rPr>
            </w:pPr>
          </w:p>
        </w:tc>
      </w:tr>
      <w:tr>
        <w:trPr>
          <w:trHeight w:val="171"/>
        </w:trPr>
        <w:tc>
          <w:tcPr>
            <w:tcW w:w="2040" w:type="dxa"/>
            <w:vAlign w:val="bottom"/>
            <w:vMerge w:val="continue"/>
          </w:tcPr>
          <w:p>
            <w:pPr>
              <w:spacing w:after="0"/>
              <w:rPr>
                <w:sz w:val="14"/>
                <w:szCs w:val="14"/>
                <w:color w:val="auto"/>
              </w:rPr>
            </w:pPr>
          </w:p>
        </w:tc>
        <w:tc>
          <w:tcPr>
            <w:tcW w:w="252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2"/>
              </w:rPr>
              <w:t>Number of Properties</w:t>
            </w:r>
          </w:p>
        </w:tc>
        <w:tc>
          <w:tcPr>
            <w:tcW w:w="2520" w:type="dxa"/>
            <w:vAlign w:val="bottom"/>
          </w:tcPr>
          <w:p>
            <w:pPr>
              <w:spacing w:after="0"/>
              <w:rPr>
                <w:sz w:val="20"/>
                <w:szCs w:val="20"/>
                <w:color w:val="auto"/>
              </w:rPr>
            </w:pPr>
            <w:r>
              <w:rPr>
                <w:rFonts w:ascii="Arial" w:cs="Arial" w:eastAsia="Arial" w:hAnsi="Arial"/>
                <w:sz w:val="14"/>
                <w:szCs w:val="14"/>
                <w:b w:val="1"/>
                <w:bCs w:val="1"/>
                <w:color w:val="auto"/>
              </w:rPr>
              <w:t>Property Location</w:t>
            </w: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Athena, OR</w:t>
            </w:r>
          </w:p>
        </w:tc>
        <w:tc>
          <w:tcPr>
            <w:tcW w:w="2360" w:type="dxa"/>
            <w:vAlign w:val="bottom"/>
            <w:tcBorders>
              <w:top w:val="single" w:sz="8" w:color="auto"/>
            </w:tcBorders>
            <w:shd w:val="clear" w:color="auto" w:fill="CCEEFF"/>
          </w:tcPr>
          <w:p>
            <w:pPr>
              <w:jc w:val="center"/>
              <w:ind w:left="448"/>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Lafayette, CO</w:t>
            </w: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Auburn, NY</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Liberty, NC</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Aurora, CO</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Locust, NC</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Bangalore</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London, United Kingdom</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Belchertown, MA</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Londonderry, NH</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Berlin, NJ</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Minneota, MN</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Bridgeton, MO</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Nampa, ID</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Brooklyn Center, MN</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Naugatuck, CT</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Burlington, NC</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London, NC</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Cedar Hill, TX</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New Windsor, MD</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Chesapeake, VA</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Ontario, CA</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Chicago, IL</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Ooltewah, TN</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Clinton, NC</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Parker, PA</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Conway, SC</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Payallup, WA</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Cordele, GA</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Pearisburg, VA</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Dayton, OH</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Plainville, MA</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Delano, PA</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Antonio, TX</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Elkhart, IN</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Sidney, NY</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Folkston, GA</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Louis, MO</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Fredericksburg, VA</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Stafford, TX</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Gordon, PA</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Stanfield, NC</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Granger, IN</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Temple, TX</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Granger, IN</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Vaughan, ON</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Haleyville, AL</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Washington, NC</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Hillsboro, TX</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 Berlin, NJ</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Hudson, NY</w:t>
            </w:r>
          </w:p>
        </w:tc>
        <w:tc>
          <w:tcPr>
            <w:tcW w:w="236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Wilton, NH</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Jefferson, GA</w:t>
            </w:r>
          </w:p>
        </w:tc>
        <w:tc>
          <w:tcPr>
            <w:tcW w:w="236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Wujiang City, Jiangsu Province, China</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Kyle, TX</w:t>
            </w:r>
          </w:p>
        </w:tc>
        <w:tc>
          <w:tcPr>
            <w:tcW w:w="2360" w:type="dxa"/>
            <w:vAlign w:val="bottom"/>
            <w:tcBorders>
              <w:bottom w:val="single" w:sz="8" w:color="CCEEFF"/>
            </w:tcBorders>
          </w:tcPr>
          <w:p>
            <w:pPr>
              <w:jc w:val="center"/>
              <w:ind w:left="448"/>
              <w:spacing w:after="0" w:line="149"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tcPr>
          <w:p>
            <w:pPr>
              <w:spacing w:after="0"/>
              <w:rPr>
                <w:sz w:val="12"/>
                <w:szCs w:val="12"/>
                <w:color w:val="auto"/>
              </w:rPr>
            </w:pPr>
          </w:p>
        </w:tc>
        <w:tc>
          <w:tcPr>
            <w:tcW w:w="2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Narrows, VA</w:t>
            </w:r>
          </w:p>
        </w:tc>
        <w:tc>
          <w:tcPr>
            <w:tcW w:w="19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0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65</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ALL OTHER SEGMENT</w:t>
      </w:r>
    </w:p>
    <w:p>
      <w:pPr>
        <w:sectPr>
          <w:pgSz w:w="11900" w:h="16838" w:orient="portrait"/>
          <w:cols w:equalWidth="0" w:num="1">
            <w:col w:w="9020"/>
          </w:cols>
          <w:pgMar w:left="1440" w:top="253" w:right="1439" w:bottom="1440" w:gutter="0" w:footer="0" w:header="0"/>
        </w:sectPr>
      </w:pP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Property Location</w:t>
            </w:r>
          </w:p>
        </w:tc>
        <w:tc>
          <w:tcPr>
            <w:tcW w:w="2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Number of Properties</w:t>
            </w:r>
          </w:p>
        </w:tc>
      </w:tr>
      <w:tr>
        <w:trPr>
          <w:trHeight w:val="224"/>
        </w:trPr>
        <w:tc>
          <w:tcPr>
            <w:tcW w:w="2220" w:type="dxa"/>
            <w:vAlign w:val="bottom"/>
          </w:tcPr>
          <w:p>
            <w:pPr>
              <w:ind w:left="20"/>
              <w:spacing w:after="0"/>
              <w:rPr>
                <w:sz w:val="20"/>
                <w:szCs w:val="20"/>
                <w:color w:val="auto"/>
              </w:rPr>
            </w:pPr>
            <w:r>
              <w:rPr>
                <w:rFonts w:ascii="Arial" w:cs="Arial" w:eastAsia="Arial" w:hAnsi="Arial"/>
                <w:sz w:val="14"/>
                <w:szCs w:val="14"/>
                <w:color w:val="auto"/>
              </w:rPr>
              <w:t>Apaseo el Grande, Gto., Mexico</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r>
        <w:trPr>
          <w:trHeight w:val="229"/>
        </w:trPr>
        <w:tc>
          <w:tcPr>
            <w:tcW w:w="2220" w:type="dxa"/>
            <w:vAlign w:val="bottom"/>
          </w:tcPr>
          <w:p>
            <w:pPr>
              <w:ind w:left="20"/>
              <w:spacing w:after="0"/>
              <w:rPr>
                <w:sz w:val="20"/>
                <w:szCs w:val="20"/>
                <w:color w:val="auto"/>
              </w:rPr>
            </w:pPr>
            <w:r>
              <w:rPr>
                <w:rFonts w:ascii="Arial" w:cs="Arial" w:eastAsia="Arial" w:hAnsi="Arial"/>
                <w:sz w:val="14"/>
                <w:szCs w:val="14"/>
                <w:color w:val="auto"/>
              </w:rPr>
              <w:t>Chateauguay, Quebec, Canada</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r>
        <w:trPr>
          <w:trHeight w:val="229"/>
        </w:trPr>
        <w:tc>
          <w:tcPr>
            <w:tcW w:w="2220" w:type="dxa"/>
            <w:vAlign w:val="bottom"/>
          </w:tcPr>
          <w:p>
            <w:pPr>
              <w:ind w:left="20"/>
              <w:spacing w:after="0"/>
              <w:rPr>
                <w:sz w:val="20"/>
                <w:szCs w:val="20"/>
                <w:color w:val="auto"/>
              </w:rPr>
            </w:pPr>
            <w:r>
              <w:rPr>
                <w:rFonts w:ascii="Arial" w:cs="Arial" w:eastAsia="Arial" w:hAnsi="Arial"/>
                <w:sz w:val="14"/>
                <w:szCs w:val="14"/>
                <w:color w:val="auto"/>
              </w:rPr>
              <w:t>Cambiago MI, Italy</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r>
        <w:trPr>
          <w:trHeight w:val="230"/>
        </w:trPr>
        <w:tc>
          <w:tcPr>
            <w:tcW w:w="2220" w:type="dxa"/>
            <w:vAlign w:val="bottom"/>
          </w:tcPr>
          <w:p>
            <w:pPr>
              <w:ind w:left="20"/>
              <w:spacing w:after="0"/>
              <w:rPr>
                <w:sz w:val="20"/>
                <w:szCs w:val="20"/>
                <w:color w:val="auto"/>
              </w:rPr>
            </w:pPr>
            <w:r>
              <w:rPr>
                <w:rFonts w:ascii="Arial" w:cs="Arial" w:eastAsia="Arial" w:hAnsi="Arial"/>
                <w:sz w:val="14"/>
                <w:szCs w:val="14"/>
                <w:color w:val="auto"/>
              </w:rPr>
              <w:t>Durango, Mexico</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r>
        <w:trPr>
          <w:trHeight w:val="230"/>
        </w:trPr>
        <w:tc>
          <w:tcPr>
            <w:tcW w:w="2220" w:type="dxa"/>
            <w:vAlign w:val="bottom"/>
          </w:tcPr>
          <w:p>
            <w:pPr>
              <w:ind w:left="20"/>
              <w:spacing w:after="0"/>
              <w:rPr>
                <w:sz w:val="20"/>
                <w:szCs w:val="20"/>
                <w:color w:val="auto"/>
              </w:rPr>
            </w:pPr>
            <w:r>
              <w:rPr>
                <w:rFonts w:ascii="Arial" w:cs="Arial" w:eastAsia="Arial" w:hAnsi="Arial"/>
                <w:sz w:val="14"/>
                <w:szCs w:val="14"/>
                <w:color w:val="auto"/>
              </w:rPr>
              <w:t>Erskine Park, Australia</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r>
        <w:trPr>
          <w:trHeight w:val="230"/>
        </w:trPr>
        <w:tc>
          <w:tcPr>
            <w:tcW w:w="2220" w:type="dxa"/>
            <w:vAlign w:val="bottom"/>
          </w:tcPr>
          <w:p>
            <w:pPr>
              <w:ind w:left="20"/>
              <w:spacing w:after="0"/>
              <w:rPr>
                <w:sz w:val="20"/>
                <w:szCs w:val="20"/>
                <w:color w:val="auto"/>
              </w:rPr>
            </w:pPr>
            <w:r>
              <w:rPr>
                <w:rFonts w:ascii="Arial" w:cs="Arial" w:eastAsia="Arial" w:hAnsi="Arial"/>
                <w:sz w:val="14"/>
                <w:szCs w:val="14"/>
                <w:color w:val="auto"/>
              </w:rPr>
              <w:t>Lacolle, Quebec, Canada</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r>
        <w:trPr>
          <w:trHeight w:val="230"/>
        </w:trPr>
        <w:tc>
          <w:tcPr>
            <w:tcW w:w="2220" w:type="dxa"/>
            <w:vAlign w:val="bottom"/>
          </w:tcPr>
          <w:p>
            <w:pPr>
              <w:ind w:left="20"/>
              <w:spacing w:after="0"/>
              <w:rPr>
                <w:sz w:val="20"/>
                <w:szCs w:val="20"/>
                <w:color w:val="auto"/>
              </w:rPr>
            </w:pPr>
            <w:r>
              <w:rPr>
                <w:rFonts w:ascii="Arial" w:cs="Arial" w:eastAsia="Arial" w:hAnsi="Arial"/>
                <w:sz w:val="14"/>
                <w:szCs w:val="14"/>
                <w:color w:val="auto"/>
              </w:rPr>
              <w:t>Nuevo Leon, Mexico</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r>
        <w:trPr>
          <w:trHeight w:val="230"/>
        </w:trPr>
        <w:tc>
          <w:tcPr>
            <w:tcW w:w="2220" w:type="dxa"/>
            <w:vAlign w:val="bottom"/>
          </w:tcPr>
          <w:p>
            <w:pPr>
              <w:ind w:left="20"/>
              <w:spacing w:after="0"/>
              <w:rPr>
                <w:sz w:val="20"/>
                <w:szCs w:val="20"/>
                <w:color w:val="auto"/>
              </w:rPr>
            </w:pPr>
            <w:r>
              <w:rPr>
                <w:rFonts w:ascii="Arial" w:cs="Arial" w:eastAsia="Arial" w:hAnsi="Arial"/>
                <w:sz w:val="14"/>
                <w:szCs w:val="14"/>
                <w:color w:val="auto"/>
              </w:rPr>
              <w:t>Victoria, Australia</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4</w:t>
            </w:r>
          </w:p>
        </w:tc>
      </w:tr>
      <w:tr>
        <w:trPr>
          <w:trHeight w:val="229"/>
        </w:trPr>
        <w:tc>
          <w:tcPr>
            <w:tcW w:w="2220" w:type="dxa"/>
            <w:vAlign w:val="bottom"/>
          </w:tcPr>
          <w:p>
            <w:pPr>
              <w:ind w:left="20"/>
              <w:spacing w:after="0"/>
              <w:rPr>
                <w:sz w:val="20"/>
                <w:szCs w:val="20"/>
                <w:color w:val="auto"/>
              </w:rPr>
            </w:pPr>
            <w:r>
              <w:rPr>
                <w:rFonts w:ascii="Arial" w:cs="Arial" w:eastAsia="Arial" w:hAnsi="Arial"/>
                <w:sz w:val="14"/>
                <w:szCs w:val="14"/>
                <w:color w:val="auto"/>
              </w:rPr>
              <w:t>Yeerongpilly, Australia</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r>
        <w:trPr>
          <w:trHeight w:val="230"/>
        </w:trPr>
        <w:tc>
          <w:tcPr>
            <w:tcW w:w="2220" w:type="dxa"/>
            <w:vAlign w:val="bottom"/>
          </w:tcPr>
          <w:p>
            <w:pPr>
              <w:ind w:left="20"/>
              <w:spacing w:after="0"/>
              <w:rPr>
                <w:sz w:val="20"/>
                <w:szCs w:val="20"/>
                <w:color w:val="auto"/>
              </w:rPr>
            </w:pPr>
            <w:r>
              <w:rPr>
                <w:rFonts w:ascii="Arial" w:cs="Arial" w:eastAsia="Arial" w:hAnsi="Arial"/>
                <w:sz w:val="14"/>
                <w:szCs w:val="14"/>
                <w:color w:val="auto"/>
              </w:rPr>
              <w:t>Koraluru, India</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r>
        <w:trPr>
          <w:trHeight w:val="230"/>
        </w:trPr>
        <w:tc>
          <w:tcPr>
            <w:tcW w:w="2220" w:type="dxa"/>
            <w:vAlign w:val="bottom"/>
          </w:tcPr>
          <w:p>
            <w:pPr>
              <w:ind w:left="20"/>
              <w:spacing w:after="0"/>
              <w:rPr>
                <w:sz w:val="20"/>
                <w:szCs w:val="20"/>
                <w:color w:val="auto"/>
              </w:rPr>
            </w:pPr>
            <w:r>
              <w:rPr>
                <w:rFonts w:ascii="Arial" w:cs="Arial" w:eastAsia="Arial" w:hAnsi="Arial"/>
                <w:sz w:val="14"/>
                <w:szCs w:val="14"/>
                <w:color w:val="auto"/>
              </w:rPr>
              <w:t>Coimbatore, India</w:t>
            </w:r>
          </w:p>
        </w:tc>
        <w:tc>
          <w:tcPr>
            <w:tcW w:w="2180" w:type="dxa"/>
            <w:vAlign w:val="bottom"/>
          </w:tcPr>
          <w:p>
            <w:pPr>
              <w:jc w:val="right"/>
              <w:ind w:right="808"/>
              <w:spacing w:after="0"/>
              <w:rPr>
                <w:sz w:val="20"/>
                <w:szCs w:val="20"/>
                <w:color w:val="auto"/>
              </w:rPr>
            </w:pPr>
            <w:r>
              <w:rPr>
                <w:rFonts w:ascii="Arial" w:cs="Arial" w:eastAsia="Arial" w:hAnsi="Arial"/>
                <w:sz w:val="14"/>
                <w:szCs w:val="14"/>
                <w:color w:val="auto"/>
              </w:rPr>
              <w:t>1</w:t>
            </w:r>
          </w:p>
        </w:tc>
      </w:tr>
    </w:tbl>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 Location</w:t>
            </w:r>
          </w:p>
        </w:tc>
        <w:tc>
          <w:tcPr>
            <w:tcW w:w="25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Number of Properties</w:t>
            </w:r>
          </w:p>
        </w:tc>
      </w:tr>
      <w:tr>
        <w:trPr>
          <w:trHeight w:val="224"/>
        </w:trPr>
        <w:tc>
          <w:tcPr>
            <w:tcW w:w="1840" w:type="dxa"/>
            <w:vAlign w:val="bottom"/>
          </w:tcPr>
          <w:p>
            <w:pPr>
              <w:spacing w:after="0"/>
              <w:rPr>
                <w:sz w:val="20"/>
                <w:szCs w:val="20"/>
                <w:color w:val="auto"/>
              </w:rPr>
            </w:pPr>
            <w:r>
              <w:rPr>
                <w:rFonts w:ascii="Arial" w:cs="Arial" w:eastAsia="Arial" w:hAnsi="Arial"/>
                <w:sz w:val="14"/>
                <w:szCs w:val="14"/>
                <w:color w:val="auto"/>
              </w:rPr>
              <w:t>Attibele, India</w:t>
            </w:r>
          </w:p>
        </w:tc>
        <w:tc>
          <w:tcPr>
            <w:tcW w:w="2580" w:type="dxa"/>
            <w:vAlign w:val="bottom"/>
          </w:tcPr>
          <w:p>
            <w:pPr>
              <w:jc w:val="center"/>
              <w:ind w:left="628"/>
              <w:spacing w:after="0"/>
              <w:rPr>
                <w:sz w:val="20"/>
                <w:szCs w:val="20"/>
                <w:color w:val="auto"/>
              </w:rPr>
            </w:pPr>
            <w:r>
              <w:rPr>
                <w:rFonts w:ascii="Arial" w:cs="Arial" w:eastAsia="Arial" w:hAnsi="Arial"/>
                <w:sz w:val="14"/>
                <w:szCs w:val="14"/>
                <w:color w:val="auto"/>
              </w:rPr>
              <w:t>1</w:t>
            </w:r>
          </w:p>
        </w:tc>
      </w:tr>
      <w:tr>
        <w:trPr>
          <w:trHeight w:val="229"/>
        </w:trPr>
        <w:tc>
          <w:tcPr>
            <w:tcW w:w="1840" w:type="dxa"/>
            <w:vAlign w:val="bottom"/>
          </w:tcPr>
          <w:p>
            <w:pPr>
              <w:spacing w:after="0"/>
              <w:rPr>
                <w:sz w:val="20"/>
                <w:szCs w:val="20"/>
                <w:color w:val="auto"/>
              </w:rPr>
            </w:pPr>
            <w:r>
              <w:rPr>
                <w:rFonts w:ascii="Arial" w:cs="Arial" w:eastAsia="Arial" w:hAnsi="Arial"/>
                <w:sz w:val="14"/>
                <w:szCs w:val="14"/>
                <w:color w:val="auto"/>
              </w:rPr>
              <w:t>Jigani, India</w:t>
            </w:r>
          </w:p>
        </w:tc>
        <w:tc>
          <w:tcPr>
            <w:tcW w:w="2580" w:type="dxa"/>
            <w:vAlign w:val="bottom"/>
          </w:tcPr>
          <w:p>
            <w:pPr>
              <w:jc w:val="center"/>
              <w:ind w:left="628"/>
              <w:spacing w:after="0"/>
              <w:rPr>
                <w:sz w:val="20"/>
                <w:szCs w:val="20"/>
                <w:color w:val="auto"/>
              </w:rPr>
            </w:pPr>
            <w:r>
              <w:rPr>
                <w:rFonts w:ascii="Arial" w:cs="Arial" w:eastAsia="Arial" w:hAnsi="Arial"/>
                <w:sz w:val="14"/>
                <w:szCs w:val="14"/>
                <w:color w:val="auto"/>
              </w:rPr>
              <w:t>1</w:t>
            </w:r>
          </w:p>
        </w:tc>
      </w:tr>
      <w:tr>
        <w:trPr>
          <w:trHeight w:val="229"/>
        </w:trPr>
        <w:tc>
          <w:tcPr>
            <w:tcW w:w="1840" w:type="dxa"/>
            <w:vAlign w:val="bottom"/>
          </w:tcPr>
          <w:p>
            <w:pPr>
              <w:spacing w:after="0"/>
              <w:rPr>
                <w:sz w:val="20"/>
                <w:szCs w:val="20"/>
                <w:color w:val="auto"/>
              </w:rPr>
            </w:pPr>
            <w:r>
              <w:rPr>
                <w:rFonts w:ascii="Arial" w:cs="Arial" w:eastAsia="Arial" w:hAnsi="Arial"/>
                <w:sz w:val="14"/>
                <w:szCs w:val="14"/>
                <w:color w:val="auto"/>
              </w:rPr>
              <w:t>Pune, India</w:t>
            </w:r>
          </w:p>
        </w:tc>
        <w:tc>
          <w:tcPr>
            <w:tcW w:w="2580" w:type="dxa"/>
            <w:vAlign w:val="bottom"/>
          </w:tcPr>
          <w:p>
            <w:pPr>
              <w:jc w:val="center"/>
              <w:ind w:left="628"/>
              <w:spacing w:after="0"/>
              <w:rPr>
                <w:sz w:val="20"/>
                <w:szCs w:val="20"/>
                <w:color w:val="auto"/>
              </w:rPr>
            </w:pPr>
            <w:r>
              <w:rPr>
                <w:rFonts w:ascii="Arial" w:cs="Arial" w:eastAsia="Arial" w:hAnsi="Arial"/>
                <w:sz w:val="14"/>
                <w:szCs w:val="14"/>
                <w:color w:val="auto"/>
              </w:rPr>
              <w:t>1</w:t>
            </w: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Chennai, India</w:t>
            </w:r>
          </w:p>
        </w:tc>
        <w:tc>
          <w:tcPr>
            <w:tcW w:w="2580" w:type="dxa"/>
            <w:vAlign w:val="bottom"/>
          </w:tcPr>
          <w:p>
            <w:pPr>
              <w:jc w:val="center"/>
              <w:ind w:left="628"/>
              <w:spacing w:after="0"/>
              <w:rPr>
                <w:sz w:val="20"/>
                <w:szCs w:val="20"/>
                <w:color w:val="auto"/>
              </w:rPr>
            </w:pPr>
            <w:r>
              <w:rPr>
                <w:rFonts w:ascii="Arial" w:cs="Arial" w:eastAsia="Arial" w:hAnsi="Arial"/>
                <w:sz w:val="14"/>
                <w:szCs w:val="14"/>
                <w:color w:val="auto"/>
              </w:rPr>
              <w:t>1</w:t>
            </w: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Noida, India</w:t>
            </w:r>
          </w:p>
        </w:tc>
        <w:tc>
          <w:tcPr>
            <w:tcW w:w="2580" w:type="dxa"/>
            <w:vAlign w:val="bottom"/>
          </w:tcPr>
          <w:p>
            <w:pPr>
              <w:jc w:val="center"/>
              <w:ind w:left="628"/>
              <w:spacing w:after="0"/>
              <w:rPr>
                <w:sz w:val="20"/>
                <w:szCs w:val="20"/>
                <w:color w:val="auto"/>
              </w:rPr>
            </w:pPr>
            <w:r>
              <w:rPr>
                <w:rFonts w:ascii="Arial" w:cs="Arial" w:eastAsia="Arial" w:hAnsi="Arial"/>
                <w:sz w:val="14"/>
                <w:szCs w:val="14"/>
                <w:color w:val="auto"/>
              </w:rPr>
              <w:t>1</w:t>
            </w: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Indore, India</w:t>
            </w:r>
          </w:p>
        </w:tc>
        <w:tc>
          <w:tcPr>
            <w:tcW w:w="2580" w:type="dxa"/>
            <w:vAlign w:val="bottom"/>
          </w:tcPr>
          <w:p>
            <w:pPr>
              <w:jc w:val="center"/>
              <w:ind w:left="628"/>
              <w:spacing w:after="0"/>
              <w:rPr>
                <w:sz w:val="20"/>
                <w:szCs w:val="20"/>
                <w:color w:val="auto"/>
              </w:rPr>
            </w:pPr>
            <w:r>
              <w:rPr>
                <w:rFonts w:ascii="Arial" w:cs="Arial" w:eastAsia="Arial" w:hAnsi="Arial"/>
                <w:sz w:val="14"/>
                <w:szCs w:val="14"/>
                <w:color w:val="auto"/>
              </w:rPr>
              <w:t>1</w:t>
            </w: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Hyderbad, India</w:t>
            </w:r>
          </w:p>
        </w:tc>
        <w:tc>
          <w:tcPr>
            <w:tcW w:w="2580" w:type="dxa"/>
            <w:vAlign w:val="bottom"/>
          </w:tcPr>
          <w:p>
            <w:pPr>
              <w:jc w:val="center"/>
              <w:ind w:left="628"/>
              <w:spacing w:after="0"/>
              <w:rPr>
                <w:sz w:val="20"/>
                <w:szCs w:val="20"/>
                <w:color w:val="auto"/>
              </w:rPr>
            </w:pPr>
            <w:r>
              <w:rPr>
                <w:rFonts w:ascii="Arial" w:cs="Arial" w:eastAsia="Arial" w:hAnsi="Arial"/>
                <w:sz w:val="14"/>
                <w:szCs w:val="14"/>
                <w:color w:val="auto"/>
              </w:rPr>
              <w:t>1</w:t>
            </w:r>
          </w:p>
        </w:tc>
      </w:tr>
      <w:tr>
        <w:trPr>
          <w:trHeight w:val="230"/>
        </w:trPr>
        <w:tc>
          <w:tcPr>
            <w:tcW w:w="1840" w:type="dxa"/>
            <w:vAlign w:val="bottom"/>
          </w:tcPr>
          <w:p>
            <w:pPr>
              <w:spacing w:after="0"/>
              <w:rPr>
                <w:sz w:val="20"/>
                <w:szCs w:val="20"/>
                <w:color w:val="auto"/>
              </w:rPr>
            </w:pPr>
            <w:r>
              <w:rPr>
                <w:rFonts w:ascii="Arial" w:cs="Arial" w:eastAsia="Arial" w:hAnsi="Arial"/>
                <w:sz w:val="14"/>
                <w:szCs w:val="14"/>
                <w:color w:val="auto"/>
              </w:rPr>
              <w:t>Vadodara, India</w:t>
            </w:r>
          </w:p>
        </w:tc>
        <w:tc>
          <w:tcPr>
            <w:tcW w:w="2580" w:type="dxa"/>
            <w:vAlign w:val="bottom"/>
          </w:tcPr>
          <w:p>
            <w:pPr>
              <w:jc w:val="center"/>
              <w:ind w:left="628"/>
              <w:spacing w:after="0"/>
              <w:rPr>
                <w:sz w:val="20"/>
                <w:szCs w:val="20"/>
                <w:color w:val="auto"/>
              </w:rPr>
            </w:pPr>
            <w:r>
              <w:rPr>
                <w:rFonts w:ascii="Arial" w:cs="Arial" w:eastAsia="Arial" w:hAnsi="Arial"/>
                <w:sz w:val="14"/>
                <w:szCs w:val="14"/>
                <w:color w:val="auto"/>
              </w:rPr>
              <w:t>1</w:t>
            </w:r>
          </w:p>
        </w:tc>
      </w:tr>
      <w:tr>
        <w:trPr>
          <w:trHeight w:val="229"/>
        </w:trPr>
        <w:tc>
          <w:tcPr>
            <w:tcW w:w="1840" w:type="dxa"/>
            <w:vAlign w:val="bottom"/>
          </w:tcPr>
          <w:p>
            <w:pPr>
              <w:spacing w:after="0"/>
              <w:rPr>
                <w:sz w:val="20"/>
                <w:szCs w:val="20"/>
                <w:color w:val="auto"/>
              </w:rPr>
            </w:pPr>
            <w:r>
              <w:rPr>
                <w:rFonts w:ascii="Arial" w:cs="Arial" w:eastAsia="Arial" w:hAnsi="Arial"/>
                <w:sz w:val="14"/>
                <w:szCs w:val="14"/>
                <w:color w:val="auto"/>
              </w:rPr>
              <w:t>Karnataka, India</w:t>
            </w:r>
          </w:p>
        </w:tc>
        <w:tc>
          <w:tcPr>
            <w:tcW w:w="2580" w:type="dxa"/>
            <w:vAlign w:val="bottom"/>
          </w:tcPr>
          <w:p>
            <w:pPr>
              <w:jc w:val="center"/>
              <w:ind w:left="628"/>
              <w:spacing w:after="0"/>
              <w:rPr>
                <w:sz w:val="20"/>
                <w:szCs w:val="20"/>
                <w:color w:val="auto"/>
              </w:rPr>
            </w:pPr>
            <w:r>
              <w:rPr>
                <w:rFonts w:ascii="Arial" w:cs="Arial" w:eastAsia="Arial" w:hAnsi="Arial"/>
                <w:sz w:val="14"/>
                <w:szCs w:val="14"/>
                <w:color w:val="auto"/>
              </w:rPr>
              <w:t>1</w:t>
            </w:r>
          </w:p>
        </w:tc>
      </w:tr>
      <w:tr>
        <w:trPr>
          <w:trHeight w:val="215"/>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Utica, NY</w:t>
            </w:r>
          </w:p>
        </w:tc>
        <w:tc>
          <w:tcPr>
            <w:tcW w:w="258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color w:val="auto"/>
              </w:rPr>
              <w:t>1</w:t>
            </w:r>
          </w:p>
        </w:tc>
      </w:tr>
      <w:tr>
        <w:trPr>
          <w:trHeight w:val="225"/>
        </w:trPr>
        <w:tc>
          <w:tcPr>
            <w:tcW w:w="18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580" w:type="dxa"/>
            <w:vAlign w:val="bottom"/>
          </w:tcPr>
          <w:p>
            <w:pPr>
              <w:jc w:val="center"/>
              <w:ind w:left="608"/>
              <w:spacing w:after="0"/>
              <w:rPr>
                <w:sz w:val="20"/>
                <w:szCs w:val="20"/>
                <w:color w:val="auto"/>
              </w:rPr>
            </w:pPr>
            <w:r>
              <w:rPr>
                <w:rFonts w:ascii="Arial" w:cs="Arial" w:eastAsia="Arial" w:hAnsi="Arial"/>
                <w:sz w:val="14"/>
                <w:szCs w:val="14"/>
                <w:b w:val="1"/>
                <w:bCs w:val="1"/>
                <w:color w:val="auto"/>
                <w:w w:val="89"/>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-1611630</wp:posOffset>
            </wp:positionV>
            <wp:extent cx="569214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4541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-1320800</wp:posOffset>
            </wp:positionV>
            <wp:extent cx="569214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4605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-1029335</wp:posOffset>
            </wp:positionV>
            <wp:extent cx="569214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4605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-737870</wp:posOffset>
            </wp:positionV>
            <wp:extent cx="569214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4605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-446405</wp:posOffset>
            </wp:positionV>
            <wp:extent cx="569214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4605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-154940</wp:posOffset>
            </wp:positionV>
            <wp:extent cx="569214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160"/>
            <w:col w:w="4420"/>
          </w:cols>
          <w:pgMar w:left="1440" w:top="253" w:right="1439" w:bottom="1440" w:gutter="0" w:footer="0" w:header="0"/>
          <w:type w:val="continuous"/>
        </w:sectPr>
      </w:pP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77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 SEGMENT</w:t>
            </w:r>
          </w:p>
        </w:tc>
      </w:tr>
      <w:tr>
        <w:trPr>
          <w:trHeight w:val="215"/>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Property Location</w:t>
            </w:r>
          </w:p>
        </w:tc>
        <w:tc>
          <w:tcPr>
            <w:tcW w:w="7720" w:type="dxa"/>
            <w:vAlign w:val="bottom"/>
            <w:gridSpan w:val="2"/>
          </w:tcPr>
          <w:p>
            <w:pPr>
              <w:jc w:val="center"/>
              <w:ind w:right="3280"/>
              <w:spacing w:after="0"/>
              <w:rPr>
                <w:sz w:val="20"/>
                <w:szCs w:val="20"/>
                <w:color w:val="auto"/>
              </w:rPr>
            </w:pPr>
            <w:r>
              <w:rPr>
                <w:rFonts w:ascii="Arial" w:cs="Arial" w:eastAsia="Arial" w:hAnsi="Arial"/>
                <w:sz w:val="14"/>
                <w:szCs w:val="14"/>
                <w:b w:val="1"/>
                <w:bCs w:val="1"/>
                <w:color w:val="auto"/>
                <w:w w:val="92"/>
              </w:rPr>
              <w:t>Number of Properties</w:t>
            </w:r>
          </w:p>
        </w:tc>
      </w:tr>
      <w:tr>
        <w:trPr>
          <w:trHeight w:val="210"/>
        </w:trPr>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Grand Rapids, MI</w:t>
            </w:r>
          </w:p>
        </w:tc>
        <w:tc>
          <w:tcPr>
            <w:tcW w:w="3140" w:type="dxa"/>
            <w:vAlign w:val="bottom"/>
            <w:tcBorders>
              <w:top w:val="single" w:sz="8" w:color="auto"/>
            </w:tcBorders>
            <w:shd w:val="clear" w:color="auto" w:fill="CCEEFF"/>
          </w:tcPr>
          <w:p>
            <w:pPr>
              <w:jc w:val="center"/>
              <w:ind w:left="1228"/>
              <w:spacing w:after="0"/>
              <w:rPr>
                <w:sz w:val="20"/>
                <w:szCs w:val="20"/>
                <w:color w:val="auto"/>
              </w:rPr>
            </w:pPr>
            <w:r>
              <w:rPr>
                <w:rFonts w:ascii="Arial" w:cs="Arial" w:eastAsia="Arial" w:hAnsi="Arial"/>
                <w:sz w:val="14"/>
                <w:szCs w:val="14"/>
                <w:color w:val="auto"/>
              </w:rPr>
              <w:t>1</w:t>
            </w:r>
          </w:p>
        </w:tc>
        <w:tc>
          <w:tcPr>
            <w:tcW w:w="4580" w:type="dxa"/>
            <w:vAlign w:val="bottom"/>
            <w:tcBorders>
              <w:top w:val="single" w:sz="8" w:color="CCEEFF"/>
            </w:tcBorders>
            <w:shd w:val="clear" w:color="auto" w:fill="CCEEFF"/>
          </w:tcPr>
          <w:p>
            <w:pPr>
              <w:spacing w:after="0"/>
              <w:rPr>
                <w:sz w:val="18"/>
                <w:szCs w:val="18"/>
                <w:color w:val="auto"/>
              </w:rPr>
            </w:pPr>
          </w:p>
        </w:tc>
      </w:tr>
      <w:tr>
        <w:trPr>
          <w:trHeight w:val="230"/>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Norton Shores, MI</w:t>
            </w:r>
          </w:p>
        </w:tc>
        <w:tc>
          <w:tcPr>
            <w:tcW w:w="3140" w:type="dxa"/>
            <w:vAlign w:val="bottom"/>
            <w:tcBorders>
              <w:bottom w:val="single" w:sz="8" w:color="auto"/>
            </w:tcBorders>
          </w:tcPr>
          <w:p>
            <w:pPr>
              <w:jc w:val="center"/>
              <w:ind w:left="1228"/>
              <w:spacing w:after="0"/>
              <w:rPr>
                <w:sz w:val="20"/>
                <w:szCs w:val="20"/>
                <w:color w:val="auto"/>
              </w:rPr>
            </w:pPr>
            <w:r>
              <w:rPr>
                <w:rFonts w:ascii="Arial" w:cs="Arial" w:eastAsia="Arial" w:hAnsi="Arial"/>
                <w:sz w:val="14"/>
                <w:szCs w:val="14"/>
                <w:color w:val="auto"/>
              </w:rPr>
              <w:t>1</w:t>
            </w:r>
          </w:p>
        </w:tc>
        <w:tc>
          <w:tcPr>
            <w:tcW w:w="4580" w:type="dxa"/>
            <w:vAlign w:val="bottom"/>
            <w:tcBorders>
              <w:bottom w:val="single" w:sz="8" w:color="CCEEFF"/>
            </w:tcBorders>
          </w:tcPr>
          <w:p>
            <w:pPr>
              <w:spacing w:after="0"/>
              <w:rPr>
                <w:sz w:val="19"/>
                <w:szCs w:val="19"/>
                <w:color w:val="auto"/>
              </w:rPr>
            </w:pPr>
          </w:p>
        </w:tc>
      </w:tr>
      <w:tr>
        <w:trPr>
          <w:trHeight w:val="209"/>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140" w:type="dxa"/>
            <w:vAlign w:val="bottom"/>
            <w:shd w:val="clear" w:color="auto" w:fill="CCEEFF"/>
          </w:tcPr>
          <w:p>
            <w:pPr>
              <w:jc w:val="center"/>
              <w:ind w:left="1228"/>
              <w:spacing w:after="0"/>
              <w:rPr>
                <w:sz w:val="20"/>
                <w:szCs w:val="20"/>
                <w:color w:val="auto"/>
              </w:rPr>
            </w:pPr>
            <w:r>
              <w:rPr>
                <w:rFonts w:ascii="Arial" w:cs="Arial" w:eastAsia="Arial" w:hAnsi="Arial"/>
                <w:sz w:val="14"/>
                <w:szCs w:val="14"/>
                <w:b w:val="1"/>
                <w:bCs w:val="1"/>
                <w:color w:val="auto"/>
              </w:rPr>
              <w:t>2</w:t>
            </w:r>
          </w:p>
        </w:tc>
        <w:tc>
          <w:tcPr>
            <w:tcW w:w="45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60"/>
        <w:spacing w:after="0" w:line="263" w:lineRule="auto"/>
        <w:rPr>
          <w:sz w:val="20"/>
          <w:szCs w:val="20"/>
          <w:color w:val="auto"/>
        </w:rPr>
      </w:pPr>
      <w:r>
        <w:rPr>
          <w:rFonts w:ascii="Arial" w:cs="Arial" w:eastAsia="Arial" w:hAnsi="Arial"/>
          <w:sz w:val="18"/>
          <w:szCs w:val="18"/>
          <w:color w:val="auto"/>
        </w:rPr>
        <w:t>We own all of our properties, free from any significant mortgage or other encumbrance, except for approximately 105 facilities which are leased. We believe all of these operating facilities are adequate in capacity and condition to service our existing markets.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253" w:right="1439"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Information regarding our legal proceedings is set forth in Note L of our Consolidated Financial Statements which are presented under Item 8 of this Form 10-K and are incorporated herein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Additional Item: Executive Officers of the Registrant.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table lists the names, ages, and positions of our executive officers as of February 1, 2022. Executive officers are elected annually by the Board of Directors at the first meeting of the Board following the annual meeting of shareholders.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50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Age</w:t>
            </w:r>
          </w:p>
        </w:tc>
        <w:tc>
          <w:tcPr>
            <w:tcW w:w="5580" w:type="dxa"/>
            <w:vAlign w:val="bottom"/>
          </w:tcPr>
          <w:p>
            <w:pPr>
              <w:ind w:left="248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Matthew J. Missad</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80" w:type="dxa"/>
            <w:vAlign w:val="bottom"/>
            <w:tcBorders>
              <w:top w:val="single" w:sz="8" w:color="CCEEFF"/>
            </w:tcBorders>
            <w:shd w:val="clear" w:color="auto" w:fill="CCEEFF"/>
          </w:tcPr>
          <w:p>
            <w:pPr>
              <w:spacing w:after="0"/>
              <w:rPr>
                <w:sz w:val="18"/>
                <w:szCs w:val="18"/>
                <w:color w:val="auto"/>
              </w:rPr>
            </w:pPr>
          </w:p>
        </w:tc>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Patrick M. Webster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R. Cole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Allen T. Peters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President and Chief Operating Officer of UFP Retail Solutions, LLC</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Patrick M. Benton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of UFP Construction, LLC</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Scott A. Worthington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President of UFP Industrial, LLC</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Scott T. Bravata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of Accounting and Administration</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David A. Tutas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8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General Counsel, Chief Compliance Officer and Secretary</w:t>
            </w:r>
          </w:p>
        </w:tc>
      </w:tr>
    </w:tbl>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 xml:space="preserve">Matthew J. Missad </w:t>
      </w:r>
      <w:r>
        <w:rPr>
          <w:rFonts w:ascii="Arial" w:cs="Arial" w:eastAsia="Arial" w:hAnsi="Arial"/>
          <w:sz w:val="18"/>
          <w:szCs w:val="18"/>
          <w:color w:val="auto"/>
        </w:rPr>
        <w:t>joined us in 1985. In February 1996, Mr. Missad was promoted to Executive Vice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On July 13, 2011, Mr. Missad became Chief Executive Officer of the Company.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Patrick M. Webster </w:t>
      </w:r>
      <w:r>
        <w:rPr>
          <w:rFonts w:ascii="Arial" w:cs="Arial" w:eastAsia="Arial" w:hAnsi="Arial"/>
          <w:sz w:val="18"/>
          <w:szCs w:val="18"/>
          <w:color w:val="auto"/>
        </w:rPr>
        <w:t>joined us in 1985. Mr. Webster became Vice President of the Far West Region in 1999, on July 1, 2007,</w:t>
      </w:r>
      <w:r>
        <w:rPr>
          <w:rFonts w:ascii="Arial" w:cs="Arial" w:eastAsia="Arial" w:hAnsi="Arial"/>
          <w:sz w:val="18"/>
          <w:szCs w:val="18"/>
          <w:i w:val="1"/>
          <w:iCs w:val="1"/>
          <w:color w:val="auto"/>
        </w:rPr>
        <w:t xml:space="preserve"> </w:t>
      </w:r>
      <w:r>
        <w:rPr>
          <w:rFonts w:ascii="Arial" w:cs="Arial" w:eastAsia="Arial" w:hAnsi="Arial"/>
          <w:sz w:val="18"/>
          <w:szCs w:val="18"/>
          <w:color w:val="auto"/>
        </w:rPr>
        <w:t>he became President of UFP Western Division, Inc., and on January 1, 2009 became President and Chief Operating Officer of the Company.</w:t>
      </w:r>
    </w:p>
    <w:p>
      <w:pPr>
        <w:spacing w:after="0" w:line="18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i w:val="1"/>
          <w:iCs w:val="1"/>
          <w:color w:val="auto"/>
        </w:rPr>
        <w:t xml:space="preserve">Michael R. Cole </w:t>
      </w:r>
      <w:r>
        <w:rPr>
          <w:rFonts w:ascii="Arial" w:cs="Arial" w:eastAsia="Arial" w:hAnsi="Arial"/>
          <w:sz w:val="16"/>
          <w:szCs w:val="16"/>
          <w:color w:val="auto"/>
        </w:rPr>
        <w:t>joined us in 1993 from the international public accounting firm Deloitte &amp; Touche. In December 1999, he</w:t>
      </w:r>
      <w:r>
        <w:rPr>
          <w:rFonts w:ascii="Arial" w:cs="Arial" w:eastAsia="Arial" w:hAnsi="Arial"/>
          <w:sz w:val="16"/>
          <w:szCs w:val="16"/>
          <w:i w:val="1"/>
          <w:iCs w:val="1"/>
          <w:color w:val="auto"/>
        </w:rPr>
        <w:t xml:space="preserve"> </w:t>
      </w:r>
      <w:r>
        <w:rPr>
          <w:rFonts w:ascii="Arial" w:cs="Arial" w:eastAsia="Arial" w:hAnsi="Arial"/>
          <w:sz w:val="16"/>
          <w:szCs w:val="16"/>
          <w:color w:val="auto"/>
        </w:rPr>
        <w:t>was promoted to Vice President of Finance. On July 19, 2000, Mr. Cole became Chief Financial Officer of the Company.</w:t>
      </w:r>
    </w:p>
    <w:p>
      <w:pPr>
        <w:spacing w:after="0" w:line="12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i w:val="1"/>
          <w:iCs w:val="1"/>
          <w:color w:val="auto"/>
        </w:rPr>
        <w:t xml:space="preserve">Allen T. Peters </w:t>
      </w:r>
      <w:r>
        <w:rPr>
          <w:rFonts w:ascii="Arial" w:cs="Arial" w:eastAsia="Arial" w:hAnsi="Arial"/>
          <w:sz w:val="16"/>
          <w:szCs w:val="16"/>
          <w:color w:val="auto"/>
        </w:rPr>
        <w:t>joined us in 1997. In 2004 he became the General Manager of Operations of our plant in Harrisonville, MO</w:t>
      </w:r>
      <w:r>
        <w:rPr>
          <w:rFonts w:ascii="Arial" w:cs="Arial" w:eastAsia="Arial" w:hAnsi="Arial"/>
          <w:sz w:val="16"/>
          <w:szCs w:val="16"/>
          <w:i w:val="1"/>
          <w:iCs w:val="1"/>
          <w:color w:val="auto"/>
        </w:rPr>
        <w:t xml:space="preserve"> </w:t>
      </w:r>
      <w:r>
        <w:rPr>
          <w:rFonts w:ascii="Arial" w:cs="Arial" w:eastAsia="Arial" w:hAnsi="Arial"/>
          <w:sz w:val="16"/>
          <w:szCs w:val="16"/>
          <w:color w:val="auto"/>
        </w:rPr>
        <w:t>and in 2007 became Regional Vice President of our Gulf Region. On January 1, 2011, Mr. Peters became President of UFP Western Division, Inc, and on January 1, 2020, he became President and COO of UFP Retail Solutions, LLC.</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i w:val="1"/>
          <w:iCs w:val="1"/>
          <w:color w:val="auto"/>
        </w:rPr>
        <w:t xml:space="preserve">Patrick M. Benton </w:t>
      </w:r>
      <w:r>
        <w:rPr>
          <w:rFonts w:ascii="Arial" w:cs="Arial" w:eastAsia="Arial" w:hAnsi="Arial"/>
          <w:sz w:val="16"/>
          <w:szCs w:val="16"/>
          <w:color w:val="auto"/>
        </w:rPr>
        <w:t>joined us in 1993. In 2008 he became Operations Vice President of the South Texas Region, and on</w:t>
      </w:r>
      <w:r>
        <w:rPr>
          <w:rFonts w:ascii="Arial" w:cs="Arial" w:eastAsia="Arial" w:hAnsi="Arial"/>
          <w:sz w:val="16"/>
          <w:szCs w:val="16"/>
          <w:i w:val="1"/>
          <w:iCs w:val="1"/>
          <w:color w:val="auto"/>
        </w:rPr>
        <w:t xml:space="preserve"> </w:t>
      </w:r>
      <w:r>
        <w:rPr>
          <w:rFonts w:ascii="Arial" w:cs="Arial" w:eastAsia="Arial" w:hAnsi="Arial"/>
          <w:sz w:val="16"/>
          <w:szCs w:val="16"/>
          <w:color w:val="auto"/>
        </w:rPr>
        <w:t>July 1, 2014, he became Executive Vice President of UFP Eastern Division – North. On February 1, 2017, Mr. Benton became President of the UFP Northern Division, and on January 1, 2020, he became President of UFP Construction, LLC.</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Scott A. Worthington </w:t>
      </w:r>
      <w:r>
        <w:rPr>
          <w:rFonts w:ascii="Arial" w:cs="Arial" w:eastAsia="Arial" w:hAnsi="Arial"/>
          <w:sz w:val="18"/>
          <w:szCs w:val="18"/>
          <w:color w:val="auto"/>
        </w:rPr>
        <w:t>joined us in 1997. In 2007, he became General Manager of Operations of our plant in New Waverly,</w:t>
      </w:r>
      <w:r>
        <w:rPr>
          <w:rFonts w:ascii="Arial" w:cs="Arial" w:eastAsia="Arial" w:hAnsi="Arial"/>
          <w:sz w:val="18"/>
          <w:szCs w:val="18"/>
          <w:i w:val="1"/>
          <w:iCs w:val="1"/>
          <w:color w:val="auto"/>
        </w:rPr>
        <w:t xml:space="preserve"> </w:t>
      </w:r>
      <w:r>
        <w:rPr>
          <w:rFonts w:ascii="Arial" w:cs="Arial" w:eastAsia="Arial" w:hAnsi="Arial"/>
          <w:sz w:val="18"/>
          <w:szCs w:val="18"/>
          <w:color w:val="auto"/>
        </w:rPr>
        <w:t>TX, and on August 1, 2014, he became Regional Vice President of the South Texas Region. On January 1, 2020, he became President of UFP Industrial, LLC</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i w:val="1"/>
          <w:iCs w:val="1"/>
          <w:color w:val="auto"/>
        </w:rPr>
        <w:t xml:space="preserve">Scott T. Bravata </w:t>
      </w:r>
      <w:r>
        <w:rPr>
          <w:rFonts w:ascii="Arial" w:cs="Arial" w:eastAsia="Arial" w:hAnsi="Arial"/>
          <w:sz w:val="17"/>
          <w:szCs w:val="17"/>
          <w:color w:val="auto"/>
        </w:rPr>
        <w:t>joined us in 1988. He became Director of Wholesale Accounting in 1989 and became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Controller in 1997. On February 27, 2006, he became Vice President of Accounting and Administration.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David A. Tutas </w:t>
      </w:r>
      <w:r>
        <w:rPr>
          <w:rFonts w:ascii="Arial" w:cs="Arial" w:eastAsia="Arial" w:hAnsi="Arial"/>
          <w:sz w:val="18"/>
          <w:szCs w:val="18"/>
          <w:color w:val="auto"/>
        </w:rPr>
        <w:t>joined us in 2003 as a staff counsel. In 2007, he was promoted to Director of Legal Services. On August 1,</w:t>
      </w:r>
      <w:r>
        <w:rPr>
          <w:rFonts w:ascii="Arial" w:cs="Arial" w:eastAsia="Arial" w:hAnsi="Arial"/>
          <w:sz w:val="18"/>
          <w:szCs w:val="18"/>
          <w:i w:val="1"/>
          <w:iCs w:val="1"/>
          <w:color w:val="auto"/>
        </w:rPr>
        <w:t xml:space="preserve"> </w:t>
      </w:r>
      <w:r>
        <w:rPr>
          <w:rFonts w:ascii="Arial" w:cs="Arial" w:eastAsia="Arial" w:hAnsi="Arial"/>
          <w:sz w:val="18"/>
          <w:szCs w:val="18"/>
          <w:color w:val="auto"/>
        </w:rPr>
        <w:t>2011, he was promoted to General Counsel. On January 18, 2013, he became Secretary of the Company, and on February 1, 2019, he became Chief Compliance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information items in this Part II, which are contained in the 2021 Annual Report, are specifically incorporated by reference into this Form 10-K Report. These portions of the 2021 Annual Report that are specifically incorporated by reference are filed as Exhibit 13 with this Form 10-K Report.</w:t>
      </w:r>
    </w:p>
    <w:p>
      <w:pPr>
        <w:spacing w:after="0" w:line="180" w:lineRule="exact"/>
        <w:rPr>
          <w:sz w:val="20"/>
          <w:szCs w:val="20"/>
          <w:color w:val="auto"/>
        </w:rPr>
      </w:pPr>
    </w:p>
    <w:p>
      <w:pPr>
        <w:ind w:left="60" w:right="479"/>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Shareholder Matters and Issuer Purchases of Equity Securities.</w:t>
      </w:r>
    </w:p>
    <w:p>
      <w:pPr>
        <w:spacing w:after="0" w:line="166" w:lineRule="exact"/>
        <w:rPr>
          <w:sz w:val="20"/>
          <w:szCs w:val="20"/>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relating to market, holders and dividends is incorporated by reference from the 2021 Annual Report under the caption “Stock Performance Graph.”</w:t>
      </w:r>
    </w:p>
    <w:p>
      <w:pPr>
        <w:spacing w:after="0" w:line="17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There were no sales of unregistered securities during the last three years.</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Issuer purchases of equity securities during the fourth quarter.</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Month</w:t>
            </w: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(b)</w:t>
            </w:r>
          </w:p>
        </w:tc>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(c)</w:t>
            </w: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(d)</w:t>
            </w:r>
          </w:p>
        </w:tc>
      </w:tr>
      <w:tr>
        <w:trPr>
          <w:trHeight w:val="209"/>
        </w:trPr>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26 – October 30, 2021</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October 31 – November 27, 2021</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November 28 – December 25, 2021</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108"/>
        </w:trPr>
        <w:tc>
          <w:tcPr>
            <w:tcW w:w="22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80"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February 15, 2022, our Board authorized an additional 1.5 million shares to be repurchased under our existing share repurchase program. The total number of remaining shares that may be repurchased under the program is approximately 2.6 million through the period ending February 3,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2021 Annual Report under the caption "Selected Financial Data."</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2021 Annual Report under the caption "Management’s Discussion and Analysis of Financial Condition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enter into any material interest rate swaps, futures contracts or options on futures, or other types of derivative financial instruments to mitigate this risk.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December 25, 2021, the estimated fair value of our long-term debt, including the current portion, was $329.7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Expected cash flows over the next five years related to debt instruments, excluding debt issuance costs,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($US equivalents, in thousands)</w:t>
            </w:r>
          </w:p>
        </w:tc>
        <w:tc>
          <w:tcPr>
            <w:tcW w:w="12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2026</w:t>
            </w:r>
          </w:p>
        </w:tc>
        <w:tc>
          <w:tcPr>
            <w:tcW w:w="24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4"/>
                <w:szCs w:val="14"/>
                <w:color w:val="auto"/>
              </w:rPr>
            </w:pPr>
          </w:p>
        </w:tc>
        <w:tc>
          <w:tcPr>
            <w:tcW w:w="680" w:type="dxa"/>
            <w:vAlign w:val="bottom"/>
          </w:tcPr>
          <w:p>
            <w:pPr>
              <w:jc w:val="right"/>
              <w:ind w:right="156"/>
              <w:spacing w:after="0"/>
              <w:rPr>
                <w:sz w:val="20"/>
                <w:szCs w:val="20"/>
                <w:color w:val="auto"/>
              </w:rPr>
            </w:pPr>
            <w:r>
              <w:rPr>
                <w:rFonts w:ascii="Arial" w:cs="Arial" w:eastAsia="Arial" w:hAnsi="Arial"/>
                <w:sz w:val="14"/>
                <w:szCs w:val="14"/>
                <w:b w:val="1"/>
                <w:bCs w:val="1"/>
                <w:color w:val="auto"/>
              </w:rPr>
              <w:t>Total</w:t>
            </w: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432"/>
        </w:trPr>
        <w:tc>
          <w:tcPr>
            <w:tcW w:w="3140" w:type="dxa"/>
            <w:vAlign w:val="bottom"/>
          </w:tcPr>
          <w:p>
            <w:pPr>
              <w:ind w:left="20"/>
              <w:spacing w:after="0"/>
              <w:rPr>
                <w:sz w:val="20"/>
                <w:szCs w:val="20"/>
                <w:color w:val="auto"/>
              </w:rPr>
            </w:pPr>
            <w:r>
              <w:rPr>
                <w:rFonts w:ascii="Arial" w:cs="Arial" w:eastAsia="Arial" w:hAnsi="Arial"/>
                <w:sz w:val="18"/>
                <w:szCs w:val="18"/>
                <w:color w:val="auto"/>
              </w:rPr>
              <w:t>Fixed Rate ($US)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35,028</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$ 1,044</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40,214</w:t>
            </w:r>
          </w:p>
        </w:tc>
        <w:tc>
          <w:tcPr>
            <w:tcW w:w="2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225,000</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301,588</w:t>
            </w:r>
          </w:p>
        </w:tc>
      </w:tr>
      <w:tr>
        <w:trPr>
          <w:trHeight w:val="432"/>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interest rate</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3.89 %</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9.65 %</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4.05 %</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9.65 %</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3.55 %</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432"/>
        </w:trPr>
        <w:tc>
          <w:tcPr>
            <w:tcW w:w="3140" w:type="dxa"/>
            <w:vAlign w:val="bottom"/>
          </w:tcPr>
          <w:p>
            <w:pPr>
              <w:ind w:left="20"/>
              <w:spacing w:after="0"/>
              <w:rPr>
                <w:sz w:val="20"/>
                <w:szCs w:val="20"/>
                <w:color w:val="auto"/>
              </w:rPr>
            </w:pPr>
            <w:r>
              <w:rPr>
                <w:rFonts w:ascii="Arial" w:cs="Arial" w:eastAsia="Arial" w:hAnsi="Arial"/>
                <w:sz w:val="18"/>
                <w:szCs w:val="18"/>
                <w:color w:val="auto"/>
              </w:rPr>
              <w:t>Variable Rate ($US)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7,655</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$ 7,819</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18,774</w:t>
            </w:r>
          </w:p>
        </w:tc>
      </w:tr>
      <w:tr>
        <w:trPr>
          <w:trHeight w:val="425"/>
        </w:trPr>
        <w:tc>
          <w:tcPr>
            <w:tcW w:w="3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Average interest rate</w:t>
            </w:r>
            <w:r>
              <w:rPr>
                <w:rFonts w:ascii="Arial" w:cs="Arial" w:eastAsia="Arial" w:hAnsi="Arial"/>
                <w:sz w:val="26"/>
                <w:szCs w:val="26"/>
                <w:color w:val="auto"/>
                <w:vertAlign w:val="superscript"/>
              </w:rPr>
              <w:t>(1)</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9.44 %</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1.06 %</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0.14 %</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w w:val="90"/>
              </w:rPr>
              <w:t>(1) Average of rates at December 25, 2021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2021 Annual Report under the following captions: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Statements of Earnings and Comprehensive Income"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conducted an evaluation of the effectiveness of our disclosure controls and procedures (as defined in Rules 13a-15(e) and 15d-15(e) of the Securities Exchange Act of 1934, as amended, referred to herein as “Disclosure Controls”) as of the end of the period covered by this Annual Report on Form 10-K. The controls evaluation was performed under the supervision and with the participation of management, including our Chief Executive Officer (CEO) and Chief Financial Officer (CFO). Based upon our most recent evaluation, we have concluded that the consolidated financial statements included in this Annual Report on Form 10-K fairly present, in all material respects,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60" w:right="699"/>
        <w:spacing w:after="0" w:line="277" w:lineRule="auto"/>
        <w:rPr>
          <w:sz w:val="20"/>
          <w:szCs w:val="20"/>
          <w:color w:val="auto"/>
        </w:rPr>
      </w:pPr>
      <w:r>
        <w:rPr>
          <w:rFonts w:ascii="Arial" w:cs="Arial" w:eastAsia="Arial" w:hAnsi="Arial"/>
          <w:sz w:val="18"/>
          <w:szCs w:val="18"/>
          <w:color w:val="auto"/>
        </w:rPr>
        <w:t>our financial position, results of operations and cash flows for the periods presented in conformity with accounting principles generally accepted in the United States of America (“U.S. GAAP”).</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and based upon the criteria established in Internal Control — 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U.S. GAAP. Our management assessed the effectiveness of our internal control over financial reporting as of December 25, 2021. Based on this assessment, our internal control over financial reporting was effective as of December 25, 2021.</w:t>
      </w:r>
    </w:p>
    <w:p>
      <w:pPr>
        <w:spacing w:after="0" w:line="166"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Deloitte &amp; Touche LLP, our independent registered public accounting firm, has audited the effectiveness of our internal control over financial reporting as of December 25, 2021. Deloitte &amp; Touche LLP's opinion, as stated in their report which appears on page 22 of this Form 10-K, is consistent with management's report on internal control over financial reporting as set forth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25, 2021, that materially affected, or are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Information relating to our directors, compliance with Section 16(a) of the Securities and Exchange Act of 1934 and various corporate governance matters is incorporated by reference from our definitive Proxy Statement for the year ended December 25, 2021 for the 2022 Annual Meeting of Shareholders, as filed with the Commission ("2022 Proxy Statement"), under the captions "Election of Directors," "Corporate Governance and Board Matters," and "Section 16(a) Beneficial Ownership Reporting Compliance."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Information relating to director and executive compensation is incorporated by reference from the 2022 Proxy Statement under the caption "Executive Compensation." The "Personnel and Compensation Committee Report" included in the 2022 Proxy Statement is incorporated by reference for the purpose of being furnished herein and is not and shall not be deemed to be filed under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Item 12. Security Ownership of Certain Beneficial Owners and Management and Related Shareholder Matters.</w:t>
      </w:r>
    </w:p>
    <w:p>
      <w:pPr>
        <w:spacing w:after="0" w:line="24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Information relating to security ownership of certain beneficial owners and management is incorporated by reference from our 2022 Proxy Statement under the captions "Ownership of Common Stock" and "Securities Ownership of Management."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60" w:right="79"/>
        <w:spacing w:after="0" w:line="277" w:lineRule="auto"/>
        <w:rPr>
          <w:sz w:val="20"/>
          <w:szCs w:val="20"/>
          <w:color w:val="auto"/>
        </w:rPr>
      </w:pPr>
      <w:r>
        <w:rPr>
          <w:rFonts w:ascii="Arial" w:cs="Arial" w:eastAsia="Arial" w:hAnsi="Arial"/>
          <w:sz w:val="18"/>
          <w:szCs w:val="18"/>
          <w:color w:val="auto"/>
        </w:rPr>
        <w:t>Information relating to securities authorized for issuance under equity compensation plans as of December 25, 2021,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shares to be</w:t>
            </w:r>
          </w:p>
        </w:tc>
        <w:tc>
          <w:tcPr>
            <w:tcW w:w="9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11"/>
        </w:trPr>
        <w:tc>
          <w:tcPr>
            <w:tcW w:w="5900" w:type="dxa"/>
            <w:vAlign w:val="bottom"/>
          </w:tcPr>
          <w:p>
            <w:pPr>
              <w:spacing w:after="0"/>
              <w:rPr>
                <w:sz w:val="9"/>
                <w:szCs w:val="9"/>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issued upon</w:t>
            </w:r>
          </w:p>
        </w:tc>
        <w:tc>
          <w:tcPr>
            <w:tcW w:w="940" w:type="dxa"/>
            <w:vAlign w:val="bottom"/>
            <w:gridSpan w:val="3"/>
            <w:vMerge w:val="continue"/>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price of</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reflected in</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column (a)] (1)</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rPr>
              <w:t>(b)</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1,474,858</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jc w:val="both"/>
        <w:ind w:left="380" w:right="79" w:hanging="330"/>
        <w:spacing w:after="0" w:line="247" w:lineRule="auto"/>
        <w:tabs>
          <w:tab w:leader="none" w:pos="380" w:val="left"/>
        </w:tabs>
        <w:numPr>
          <w:ilvl w:val="0"/>
          <w:numId w:val="25"/>
        </w:numPr>
        <w:rPr>
          <w:rFonts w:ascii="Arial" w:cs="Arial" w:eastAsia="Arial" w:hAnsi="Arial"/>
          <w:sz w:val="26"/>
          <w:szCs w:val="26"/>
          <w:color w:val="auto"/>
          <w:vertAlign w:val="superscript"/>
        </w:rPr>
      </w:pPr>
      <w:r>
        <w:rPr>
          <w:rFonts w:ascii="Arial" w:cs="Arial" w:eastAsia="Arial" w:hAnsi="Arial"/>
          <w:sz w:val="17"/>
          <w:szCs w:val="17"/>
          <w:color w:val="auto"/>
        </w:rPr>
        <w:t>The number of shares remaining available for future issuance under equity compensation plans, excluding outstanding options, warrants, or similar rights, as of December 25, 2021, is as follows: 456,019 shares for our Employee Stock Purchase Plan, 197,041 shares for our Directors’ Retainer Stock Plan, and 14,055 shares for our Employee Stock Gift Program. In addition, of the remaining 807,743 shares available for future issuance under our Long-Term Stock Incentive Plan, those awards may be made in the form of options as well as stock appreciation rights, restricted stock, performance shares, or other stock-based awards.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Information relating to certain relationships and related transactions, and director independence is incorporated by reference from the 2022 Proxy Statement under the captions "Election of Directors", “Affirmative Determination Regarding Director Independence and Other Matters” and "Related Party Transactions."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Information relating to the types of services rendered by our Independent Registered Public Accounting Firm and the fees paid for these services is incorporated by reference from our 2022 Proxy Statement under the caption "Independent Registered Public Accounting Firm – Disclosure of Fees.”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29" w:lineRule="exact"/>
        <w:rPr>
          <w:sz w:val="20"/>
          <w:szCs w:val="20"/>
          <w:color w:val="auto"/>
        </w:rPr>
      </w:pPr>
    </w:p>
    <w:p>
      <w:pPr>
        <w:ind w:left="700" w:right="79" w:hanging="650"/>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1. Financial Statements</w:t>
      </w:r>
      <w:r>
        <w:rPr>
          <w:rFonts w:ascii="Arial" w:cs="Arial" w:eastAsia="Arial" w:hAnsi="Arial"/>
          <w:sz w:val="18"/>
          <w:szCs w:val="18"/>
          <w:color w:val="auto"/>
        </w:rPr>
        <w:t>. The following are incorporated by reference, under Item 8 of this report, from the 2021 Annual Report:</w:t>
      </w:r>
    </w:p>
    <w:p>
      <w:pPr>
        <w:spacing w:after="0" w:line="170" w:lineRule="exact"/>
        <w:rPr>
          <w:rFonts w:ascii="Arial" w:cs="Arial" w:eastAsia="Arial" w:hAnsi="Arial"/>
          <w:sz w:val="18"/>
          <w:szCs w:val="18"/>
          <w:color w:val="auto"/>
        </w:rPr>
      </w:pPr>
    </w:p>
    <w:p>
      <w:pPr>
        <w:ind w:left="700" w:right="3419"/>
        <w:spacing w:after="0" w:line="268" w:lineRule="auto"/>
        <w:rPr>
          <w:rFonts w:ascii="Arial" w:cs="Arial" w:eastAsia="Arial" w:hAnsi="Arial"/>
          <w:sz w:val="18"/>
          <w:szCs w:val="18"/>
          <w:color w:val="auto"/>
        </w:rPr>
      </w:pPr>
      <w:r>
        <w:rPr>
          <w:rFonts w:ascii="Arial" w:cs="Arial" w:eastAsia="Arial" w:hAnsi="Arial"/>
          <w:sz w:val="17"/>
          <w:szCs w:val="17"/>
          <w:color w:val="auto"/>
        </w:rPr>
        <w:t>Management’s Report on Internal Control Over Financial Reporting Report of Independent Registered Public Accounting Firm Report of Independent Registered Public Accounting Firm Consolidated Statements of Earnings and Comprehensive Income Consolidated Statements of Shareholders’ Equity</w:t>
      </w:r>
    </w:p>
    <w:p>
      <w:pPr>
        <w:spacing w:after="0" w:line="2" w:lineRule="exact"/>
        <w:rPr>
          <w:rFonts w:ascii="Arial" w:cs="Arial" w:eastAsia="Arial" w:hAnsi="Arial"/>
          <w:sz w:val="18"/>
          <w:szCs w:val="18"/>
          <w:color w:val="auto"/>
        </w:rPr>
      </w:pPr>
    </w:p>
    <w:p>
      <w:pPr>
        <w:ind w:left="700" w:right="5179"/>
        <w:spacing w:after="0" w:line="323" w:lineRule="auto"/>
        <w:rPr>
          <w:rFonts w:ascii="Arial" w:cs="Arial" w:eastAsia="Arial" w:hAnsi="Arial"/>
          <w:sz w:val="18"/>
          <w:szCs w:val="18"/>
          <w:color w:val="auto"/>
        </w:rPr>
      </w:pPr>
      <w:r>
        <w:rPr>
          <w:rFonts w:ascii="Arial" w:cs="Arial" w:eastAsia="Arial" w:hAnsi="Arial"/>
          <w:sz w:val="16"/>
          <w:szCs w:val="16"/>
          <w:color w:val="auto"/>
        </w:rPr>
        <w:t>Consolidated Statements of Cash Flows Notes to Consolidated Financial Statements</w:t>
      </w:r>
    </w:p>
    <w:p>
      <w:pPr>
        <w:spacing w:after="0" w:line="138" w:lineRule="exact"/>
        <w:rPr>
          <w:rFonts w:ascii="Arial" w:cs="Arial" w:eastAsia="Arial" w:hAnsi="Arial"/>
          <w:sz w:val="18"/>
          <w:szCs w:val="18"/>
          <w:color w:val="auto"/>
        </w:rPr>
      </w:pPr>
    </w:p>
    <w:p>
      <w:pPr>
        <w:ind w:left="700" w:right="199"/>
        <w:spacing w:after="0" w:line="311" w:lineRule="auto"/>
        <w:rPr>
          <w:rFonts w:ascii="Arial" w:cs="Arial" w:eastAsia="Arial" w:hAnsi="Arial"/>
          <w:sz w:val="18"/>
          <w:szCs w:val="18"/>
          <w:color w:val="auto"/>
        </w:rPr>
      </w:pPr>
      <w:r>
        <w:rPr>
          <w:rFonts w:ascii="Arial" w:cs="Arial" w:eastAsia="Arial" w:hAnsi="Arial"/>
          <w:sz w:val="16"/>
          <w:szCs w:val="16"/>
          <w:u w:val="single" w:color="auto"/>
          <w:color w:val="auto"/>
        </w:rPr>
        <w:t>2. Financial Statement Schedules</w:t>
      </w:r>
      <w:r>
        <w:rPr>
          <w:rFonts w:ascii="Arial" w:cs="Arial" w:eastAsia="Arial" w:hAnsi="Arial"/>
          <w:sz w:val="16"/>
          <w:szCs w:val="16"/>
          <w:color w:val="auto"/>
        </w:rPr>
        <w:t>.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700"/>
        <w:spacing w:after="0"/>
        <w:rPr>
          <w:sz w:val="20"/>
          <w:szCs w:val="20"/>
          <w:color w:val="auto"/>
        </w:rPr>
      </w:pPr>
      <w:r>
        <w:rPr>
          <w:rFonts w:ascii="Arial" w:cs="Arial" w:eastAsia="Arial" w:hAnsi="Arial"/>
          <w:sz w:val="16"/>
          <w:szCs w:val="16"/>
          <w:u w:val="single" w:color="auto"/>
          <w:color w:val="auto"/>
        </w:rPr>
        <w:t>3.  Exhibits</w:t>
      </w:r>
      <w:r>
        <w:rPr>
          <w:rFonts w:ascii="Arial" w:cs="Arial" w:eastAsia="Arial" w:hAnsi="Arial"/>
          <w:sz w:val="16"/>
          <w:szCs w:val="16"/>
          <w:color w:val="auto"/>
        </w:rPr>
        <w:t>. Reference is made to the Exhibit Index which is included in this Form 10-K Report.</w:t>
      </w:r>
    </w:p>
    <w:p>
      <w:pPr>
        <w:spacing w:after="0" w:line="248" w:lineRule="exact"/>
        <w:rPr>
          <w:sz w:val="20"/>
          <w:szCs w:val="20"/>
          <w:color w:val="auto"/>
        </w:rPr>
      </w:pPr>
    </w:p>
    <w:p>
      <w:pPr>
        <w:ind w:left="700" w:hanging="65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 is made to the Exhibit Index which is included in this Form 10-K Report.</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8"/>
          <w:szCs w:val="18"/>
          <w:u w:val="single" w:color="auto"/>
          <w:color w:val="auto"/>
        </w:rPr>
        <w:t>Exhibit #</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49206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178" w:lineRule="exact"/>
        <w:rPr>
          <w:sz w:val="20"/>
          <w:szCs w:val="20"/>
          <w:color w:val="auto"/>
        </w:rPr>
      </w:pPr>
    </w:p>
    <w:p>
      <w:pPr>
        <w:ind w:left="1080" w:hanging="896"/>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171" w:lineRule="exact"/>
        <w:rPr>
          <w:rFonts w:ascii="Arial" w:cs="Arial" w:eastAsia="Arial" w:hAnsi="Arial"/>
          <w:sz w:val="18"/>
          <w:szCs w:val="18"/>
          <w:color w:val="auto"/>
        </w:rPr>
      </w:pPr>
    </w:p>
    <w:p>
      <w:pPr>
        <w:jc w:val="both"/>
        <w:ind w:left="2080" w:right="379" w:hanging="1005"/>
        <w:spacing w:after="0" w:line="235" w:lineRule="auto"/>
        <w:tabs>
          <w:tab w:leader="none" w:pos="2080" w:val="left"/>
        </w:tabs>
        <w:numPr>
          <w:ilvl w:val="1"/>
          <w:numId w:val="28"/>
        </w:numPr>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Registrant’s Restated and Amended Articles of Incorporation were filed as Exhibit 3.1 to a</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Registrant’s Current Report 8-K (dated April 27, 2017) and the same is incorporated herein</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by reference.</w:t>
        </w:r>
      </w:hyperlink>
    </w:p>
    <w:p>
      <w:pPr>
        <w:spacing w:after="0" w:line="147" w:lineRule="exact"/>
        <w:rPr>
          <w:rFonts w:ascii="Arial" w:cs="Arial" w:eastAsia="Arial" w:hAnsi="Arial"/>
          <w:sz w:val="18"/>
          <w:szCs w:val="18"/>
          <w:u w:val="single" w:color="auto"/>
          <w:color w:val="0000EE"/>
        </w:rPr>
      </w:pPr>
    </w:p>
    <w:p>
      <w:pPr>
        <w:ind w:left="2080" w:right="259" w:hanging="1005"/>
        <w:spacing w:after="0" w:line="235" w:lineRule="auto"/>
        <w:tabs>
          <w:tab w:leader="none" w:pos="2080" w:val="left"/>
        </w:tabs>
        <w:numPr>
          <w:ilvl w:val="1"/>
          <w:numId w:val="28"/>
        </w:numPr>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Amended Bylaws was filed as Exhibit 3(b) to a Form 10-K, Annual Report for the year-</w:t>
        </w:r>
      </w:hyperlink>
      <w:hyperlink r:id="rId51">
        <w:r>
          <w:rPr>
            <w:rFonts w:ascii="Arial" w:cs="Arial" w:eastAsia="Arial" w:hAnsi="Arial"/>
            <w:sz w:val="18"/>
            <w:szCs w:val="18"/>
            <w:u w:val="single" w:color="auto"/>
            <w:color w:val="0000EE"/>
          </w:rPr>
          <w:t>ended December 31, 2016 (Commission file No.: 0-22684) and the same incorporated herein</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by reference.</w:t>
        </w:r>
      </w:hyperlink>
    </w:p>
    <w:p>
      <w:pPr>
        <w:spacing w:after="0" w:line="148" w:lineRule="exact"/>
        <w:rPr>
          <w:rFonts w:ascii="Arial" w:cs="Arial" w:eastAsia="Arial" w:hAnsi="Arial"/>
          <w:sz w:val="18"/>
          <w:szCs w:val="18"/>
          <w:u w:val="single" w:color="auto"/>
          <w:color w:val="0000EE"/>
        </w:rPr>
      </w:pPr>
    </w:p>
    <w:p>
      <w:pPr>
        <w:ind w:left="1080" w:hanging="896"/>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w:t>
      </w:r>
    </w:p>
    <w:p>
      <w:pPr>
        <w:spacing w:after="0" w:line="171" w:lineRule="exact"/>
        <w:rPr>
          <w:rFonts w:ascii="Arial" w:cs="Arial" w:eastAsia="Arial" w:hAnsi="Arial"/>
          <w:sz w:val="18"/>
          <w:szCs w:val="18"/>
          <w:color w:val="auto"/>
        </w:rPr>
      </w:pPr>
    </w:p>
    <w:p>
      <w:pPr>
        <w:ind w:left="2080" w:right="359" w:hanging="1005"/>
        <w:spacing w:after="0" w:line="235" w:lineRule="auto"/>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Specimen form of Stock Certificate for Common Stock was filed as Exhibit 4(a) to a Registration Statement on Form S-1 (No. 33-69474) and the same is incorporated herein by reference.</w:t>
      </w:r>
    </w:p>
    <w:p>
      <w:pPr>
        <w:spacing w:after="0" w:line="147" w:lineRule="exact"/>
        <w:rPr>
          <w:rFonts w:ascii="Arial" w:cs="Arial" w:eastAsia="Arial" w:hAnsi="Arial"/>
          <w:sz w:val="18"/>
          <w:szCs w:val="18"/>
          <w:color w:val="auto"/>
        </w:rPr>
      </w:pPr>
    </w:p>
    <w:p>
      <w:pPr>
        <w:ind w:left="2080" w:hanging="1005"/>
        <w:spacing w:after="0"/>
        <w:tabs>
          <w:tab w:leader="none" w:pos="2080" w:val="left"/>
        </w:tabs>
        <w:numPr>
          <w:ilvl w:val="1"/>
          <w:numId w:val="29"/>
        </w:numPr>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Registrant’s Securities</w:t>
        </w:r>
      </w:hyperlink>
    </w:p>
    <w:p>
      <w:pPr>
        <w:spacing w:after="0" w:line="171" w:lineRule="exact"/>
        <w:rPr>
          <w:rFonts w:ascii="Arial" w:cs="Arial" w:eastAsia="Arial" w:hAnsi="Arial"/>
          <w:sz w:val="18"/>
          <w:szCs w:val="18"/>
          <w:u w:val="single" w:color="auto"/>
          <w:color w:val="0000EE"/>
        </w:rPr>
      </w:pPr>
    </w:p>
    <w:p>
      <w:pPr>
        <w:ind w:left="1080" w:hanging="896"/>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71" w:lineRule="exact"/>
        <w:rPr>
          <w:rFonts w:ascii="Arial" w:cs="Arial" w:eastAsia="Arial" w:hAnsi="Arial"/>
          <w:sz w:val="18"/>
          <w:szCs w:val="18"/>
          <w:color w:val="auto"/>
        </w:rPr>
      </w:pPr>
    </w:p>
    <w:p>
      <w:pPr>
        <w:jc w:val="both"/>
        <w:ind w:left="2080" w:right="379" w:hanging="1005"/>
        <w:spacing w:after="0" w:line="235"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Form of Indemnity Agreement entered into between the Registrant and each of its directors was filed as Exhibit 10(b) to a Registration Statement on Form S-1 (No. 33-69474) and the same is incorporated herein by reference.</w:t>
      </w:r>
    </w:p>
    <w:p>
      <w:pPr>
        <w:spacing w:after="0" w:line="131" w:lineRule="exact"/>
        <w:rPr>
          <w:rFonts w:ascii="Arial" w:cs="Arial" w:eastAsia="Arial" w:hAnsi="Arial"/>
          <w:sz w:val="18"/>
          <w:szCs w:val="18"/>
          <w:u w:val="single" w:color="auto"/>
          <w:color w:val="0000EE"/>
        </w:rPr>
      </w:pPr>
    </w:p>
    <w:tbl>
      <w:tblPr>
        <w:tblLayout w:type="fixed"/>
        <w:tblInd w:w="40" w:type="dxa"/>
        <w:tblCellMar>
          <w:top w:w="0" w:type="dxa"/>
          <w:left w:w="0" w:type="dxa"/>
          <w:bottom w:w="0" w:type="dxa"/>
          <w:right w:w="0" w:type="dxa"/>
        </w:tblCellMar>
      </w:tblPr>
      <w:tr>
        <w:trPr>
          <w:trHeight w:val="207"/>
        </w:trPr>
        <w:tc>
          <w:tcPr>
            <w:tcW w:w="2040" w:type="dxa"/>
            <w:vAlign w:val="bottom"/>
          </w:tcPr>
          <w:p>
            <w:pPr>
              <w:ind w:left="1040"/>
              <w:spacing w:after="0"/>
              <w:rPr>
                <w:sz w:val="20"/>
                <w:szCs w:val="20"/>
                <w:color w:val="auto"/>
              </w:rPr>
            </w:pPr>
            <w:r>
              <w:rPr>
                <w:rFonts w:ascii="Arial" w:cs="Arial" w:eastAsia="Arial" w:hAnsi="Arial"/>
                <w:sz w:val="18"/>
                <w:szCs w:val="18"/>
                <w:color w:val="auto"/>
              </w:rPr>
              <w:t>*(b)</w:t>
            </w:r>
          </w:p>
        </w:tc>
        <w:tc>
          <w:tcPr>
            <w:tcW w:w="6880" w:type="dxa"/>
            <w:vAlign w:val="bottom"/>
            <w:gridSpan w:val="20"/>
          </w:tcPr>
          <w:p>
            <w:pPr>
              <w:spacing w:after="0"/>
              <w:rPr>
                <w:rFonts w:ascii="Arial" w:cs="Arial" w:eastAsia="Arial" w:hAnsi="Arial"/>
                <w:sz w:val="18"/>
                <w:szCs w:val="18"/>
                <w:color w:val="0000EE"/>
                <w:w w:val="93"/>
              </w:rPr>
            </w:pPr>
            <w:hyperlink r:id="rId52">
              <w:r>
                <w:rPr>
                  <w:rFonts w:ascii="Arial" w:cs="Arial" w:eastAsia="Arial" w:hAnsi="Arial"/>
                  <w:sz w:val="18"/>
                  <w:szCs w:val="18"/>
                  <w:color w:val="0000EE"/>
                  <w:w w:val="93"/>
                </w:rPr>
                <w:t>Performance Bonus Plan Summary Plan Description was filed as Exhibit 10(f) to a Form 10-</w:t>
              </w:r>
            </w:hyperlink>
          </w:p>
        </w:tc>
      </w:tr>
      <w:tr>
        <w:trPr>
          <w:trHeight w:val="169"/>
        </w:trPr>
        <w:tc>
          <w:tcPr>
            <w:tcW w:w="2040" w:type="dxa"/>
            <w:vAlign w:val="bottom"/>
          </w:tcPr>
          <w:p>
            <w:pPr>
              <w:spacing w:after="0"/>
              <w:rPr>
                <w:sz w:val="14"/>
                <w:szCs w:val="14"/>
                <w:color w:val="auto"/>
              </w:rPr>
            </w:pPr>
          </w:p>
        </w:tc>
        <w:tc>
          <w:tcPr>
            <w:tcW w:w="6700" w:type="dxa"/>
            <w:vAlign w:val="bottom"/>
            <w:tcBorders>
              <w:top w:val="single" w:sz="8" w:color="0000EE"/>
            </w:tcBorders>
            <w:gridSpan w:val="19"/>
          </w:tcPr>
          <w:p>
            <w:pPr>
              <w:spacing w:after="0" w:line="169" w:lineRule="exact"/>
              <w:rPr>
                <w:rFonts w:ascii="Arial" w:cs="Arial" w:eastAsia="Arial" w:hAnsi="Arial"/>
                <w:sz w:val="18"/>
                <w:szCs w:val="18"/>
                <w:color w:val="0000EE"/>
                <w:w w:val="94"/>
              </w:rPr>
            </w:pPr>
            <w:hyperlink r:id="rId52">
              <w:r>
                <w:rPr>
                  <w:rFonts w:ascii="Arial" w:cs="Arial" w:eastAsia="Arial" w:hAnsi="Arial"/>
                  <w:sz w:val="18"/>
                  <w:szCs w:val="18"/>
                  <w:color w:val="0000EE"/>
                  <w:w w:val="94"/>
                </w:rPr>
                <w:t>K, Annual Report for the year ended December 25, 2010 (Commission file No.: 0-22684)</w:t>
              </w:r>
            </w:hyperlink>
          </w:p>
        </w:tc>
        <w:tc>
          <w:tcPr>
            <w:tcW w:w="180" w:type="dxa"/>
            <w:vAlign w:val="bottom"/>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354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88"/>
              </w:rPr>
            </w:pPr>
            <w:hyperlink r:id="rId52">
              <w:r>
                <w:rPr>
                  <w:rFonts w:ascii="Arial" w:cs="Arial" w:eastAsia="Arial" w:hAnsi="Arial"/>
                  <w:sz w:val="18"/>
                  <w:szCs w:val="18"/>
                  <w:color w:val="0000EE"/>
                  <w:w w:val="88"/>
                </w:rPr>
                <w:t>and the same is incorporated herein by reference.</w:t>
              </w:r>
            </w:hyperlink>
          </w:p>
        </w:tc>
        <w:tc>
          <w:tcPr>
            <w:tcW w:w="2900" w:type="dxa"/>
            <w:vAlign w:val="bottom"/>
            <w:tcBorders>
              <w:top w:val="single" w:sz="8" w:color="0000EE"/>
            </w:tcBorders>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r>
      <w:tr>
        <w:trPr>
          <w:trHeight w:val="358"/>
        </w:trPr>
        <w:tc>
          <w:tcPr>
            <w:tcW w:w="2040" w:type="dxa"/>
            <w:vAlign w:val="bottom"/>
          </w:tcPr>
          <w:p>
            <w:pPr>
              <w:ind w:left="1040"/>
              <w:spacing w:after="0"/>
              <w:rPr>
                <w:sz w:val="20"/>
                <w:szCs w:val="20"/>
                <w:color w:val="auto"/>
              </w:rPr>
            </w:pPr>
            <w:r>
              <w:rPr>
                <w:rFonts w:ascii="Arial" w:cs="Arial" w:eastAsia="Arial" w:hAnsi="Arial"/>
                <w:sz w:val="18"/>
                <w:szCs w:val="18"/>
                <w:color w:val="auto"/>
              </w:rPr>
              <w:t>*(c)</w:t>
            </w:r>
          </w:p>
        </w:tc>
        <w:tc>
          <w:tcPr>
            <w:tcW w:w="6160" w:type="dxa"/>
            <w:vAlign w:val="bottom"/>
            <w:tcBorders>
              <w:bottom w:val="single" w:sz="8" w:color="0000EE"/>
            </w:tcBorders>
            <w:gridSpan w:val="5"/>
          </w:tcPr>
          <w:p>
            <w:pPr>
              <w:spacing w:after="0"/>
              <w:rPr>
                <w:rFonts w:ascii="Arial" w:cs="Arial" w:eastAsia="Arial" w:hAnsi="Arial"/>
                <w:sz w:val="18"/>
                <w:szCs w:val="18"/>
                <w:color w:val="0000EE"/>
                <w:w w:val="88"/>
              </w:rPr>
            </w:pPr>
            <w:hyperlink r:id="rId53">
              <w:r>
                <w:rPr>
                  <w:rFonts w:ascii="Arial" w:cs="Arial" w:eastAsia="Arial" w:hAnsi="Arial"/>
                  <w:sz w:val="18"/>
                  <w:szCs w:val="18"/>
                  <w:color w:val="0000EE"/>
                  <w:w w:val="88"/>
                </w:rPr>
                <w:t>Universal Forest Products, Inc. Deferred Compensation Plan as amended and restated</w:t>
              </w:r>
            </w:hyperlink>
          </w:p>
        </w:tc>
        <w:tc>
          <w:tcPr>
            <w:tcW w:w="720" w:type="dxa"/>
            <w:vAlign w:val="bottom"/>
            <w:gridSpan w:val="15"/>
          </w:tcPr>
          <w:p>
            <w:pPr>
              <w:spacing w:after="0"/>
              <w:rPr>
                <w:sz w:val="24"/>
                <w:szCs w:val="24"/>
                <w:color w:val="auto"/>
              </w:rPr>
            </w:pPr>
          </w:p>
        </w:tc>
      </w:tr>
      <w:tr>
        <w:trPr>
          <w:trHeight w:val="169"/>
        </w:trPr>
        <w:tc>
          <w:tcPr>
            <w:tcW w:w="2040" w:type="dxa"/>
            <w:vAlign w:val="bottom"/>
          </w:tcPr>
          <w:p>
            <w:pPr>
              <w:spacing w:after="0"/>
              <w:rPr>
                <w:sz w:val="14"/>
                <w:szCs w:val="14"/>
                <w:color w:val="auto"/>
              </w:rPr>
            </w:pPr>
          </w:p>
        </w:tc>
        <w:tc>
          <w:tcPr>
            <w:tcW w:w="6880" w:type="dxa"/>
            <w:vAlign w:val="bottom"/>
            <w:gridSpan w:val="20"/>
          </w:tcPr>
          <w:p>
            <w:pPr>
              <w:spacing w:after="0" w:line="169"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effective June 1, 2011 was filed as Exhibit 10(g) to a Form 10-K, Annual Report for the year</w:t>
              </w:r>
            </w:hyperlink>
          </w:p>
        </w:tc>
      </w:tr>
      <w:tr>
        <w:trPr>
          <w:trHeight w:val="169"/>
        </w:trPr>
        <w:tc>
          <w:tcPr>
            <w:tcW w:w="2040" w:type="dxa"/>
            <w:vAlign w:val="bottom"/>
          </w:tcPr>
          <w:p>
            <w:pPr>
              <w:spacing w:after="0"/>
              <w:rPr>
                <w:sz w:val="14"/>
                <w:szCs w:val="14"/>
                <w:color w:val="auto"/>
              </w:rPr>
            </w:pPr>
          </w:p>
        </w:tc>
        <w:tc>
          <w:tcPr>
            <w:tcW w:w="6680" w:type="dxa"/>
            <w:vAlign w:val="bottom"/>
            <w:tcBorders>
              <w:top w:val="single" w:sz="8" w:color="0000EE"/>
            </w:tcBorders>
            <w:gridSpan w:val="18"/>
          </w:tcPr>
          <w:p>
            <w:pPr>
              <w:spacing w:after="0" w:line="169"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ended December 31, 2011 (Commission file No.: 0-22684) and the same is incorporated</w:t>
              </w:r>
            </w:hyperlink>
          </w:p>
        </w:tc>
        <w:tc>
          <w:tcPr>
            <w:tcW w:w="200" w:type="dxa"/>
            <w:vAlign w:val="bottom"/>
            <w:gridSpan w:val="2"/>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6340" w:type="dxa"/>
            <w:vAlign w:val="bottom"/>
            <w:tcBorders>
              <w:top w:val="single" w:sz="8" w:color="0000EE"/>
            </w:tcBorders>
            <w:gridSpan w:val="8"/>
          </w:tcPr>
          <w:p>
            <w:pPr>
              <w:spacing w:after="0" w:line="169" w:lineRule="exact"/>
              <w:rPr>
                <w:rFonts w:ascii="Arial" w:cs="Arial" w:eastAsia="Arial" w:hAnsi="Arial"/>
                <w:sz w:val="18"/>
                <w:szCs w:val="18"/>
                <w:color w:val="0000EE"/>
              </w:rPr>
            </w:pPr>
            <w:hyperlink r:id="rId53">
              <w:r>
                <w:rPr>
                  <w:rFonts w:ascii="Arial" w:cs="Arial" w:eastAsia="Arial" w:hAnsi="Arial"/>
                  <w:sz w:val="18"/>
                  <w:szCs w:val="18"/>
                  <w:color w:val="0000EE"/>
                </w:rPr>
                <w:t>herein by reference.</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r>
      <w:tr>
        <w:trPr>
          <w:trHeight w:val="20"/>
        </w:trPr>
        <w:tc>
          <w:tcPr>
            <w:tcW w:w="20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58"/>
        </w:trPr>
        <w:tc>
          <w:tcPr>
            <w:tcW w:w="2040" w:type="dxa"/>
            <w:vAlign w:val="bottom"/>
          </w:tcPr>
          <w:p>
            <w:pPr>
              <w:ind w:left="1040"/>
              <w:spacing w:after="0"/>
              <w:rPr>
                <w:sz w:val="20"/>
                <w:szCs w:val="20"/>
                <w:color w:val="auto"/>
              </w:rPr>
            </w:pPr>
            <w:r>
              <w:rPr>
                <w:rFonts w:ascii="Arial" w:cs="Arial" w:eastAsia="Arial" w:hAnsi="Arial"/>
                <w:sz w:val="18"/>
                <w:szCs w:val="18"/>
                <w:color w:val="auto"/>
              </w:rPr>
              <w:t>*(d)</w:t>
            </w:r>
          </w:p>
        </w:tc>
        <w:tc>
          <w:tcPr>
            <w:tcW w:w="6880" w:type="dxa"/>
            <w:vAlign w:val="bottom"/>
            <w:gridSpan w:val="20"/>
          </w:tcPr>
          <w:p>
            <w:pPr>
              <w:spacing w:after="0"/>
              <w:rPr>
                <w:rFonts w:ascii="Arial" w:cs="Arial" w:eastAsia="Arial" w:hAnsi="Arial"/>
                <w:sz w:val="18"/>
                <w:szCs w:val="18"/>
                <w:color w:val="0000EE"/>
                <w:w w:val="96"/>
              </w:rPr>
            </w:pPr>
            <w:hyperlink r:id="rId54">
              <w:r>
                <w:rPr>
                  <w:rFonts w:ascii="Arial" w:cs="Arial" w:eastAsia="Arial" w:hAnsi="Arial"/>
                  <w:sz w:val="18"/>
                  <w:szCs w:val="18"/>
                  <w:color w:val="0000EE"/>
                  <w:w w:val="96"/>
                </w:rPr>
                <w:t>Executive Stock Grant Program was filed as Exhibit 10(h) to a Form 10-K, Annual Report</w:t>
              </w:r>
            </w:hyperlink>
          </w:p>
        </w:tc>
      </w:tr>
      <w:tr>
        <w:trPr>
          <w:trHeight w:val="169"/>
        </w:trPr>
        <w:tc>
          <w:tcPr>
            <w:tcW w:w="2040" w:type="dxa"/>
            <w:vAlign w:val="bottom"/>
          </w:tcPr>
          <w:p>
            <w:pPr>
              <w:spacing w:after="0"/>
              <w:rPr>
                <w:sz w:val="14"/>
                <w:szCs w:val="14"/>
                <w:color w:val="auto"/>
              </w:rPr>
            </w:pPr>
          </w:p>
        </w:tc>
        <w:tc>
          <w:tcPr>
            <w:tcW w:w="6500" w:type="dxa"/>
            <w:vAlign w:val="bottom"/>
            <w:tcBorders>
              <w:top w:val="single" w:sz="8" w:color="0000EE"/>
            </w:tcBorders>
            <w:gridSpan w:val="11"/>
          </w:tcPr>
          <w:p>
            <w:pPr>
              <w:spacing w:after="0" w:line="169"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for the year ended December 31, 2011 (Commission file No.: 0-22684) and the same is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6280" w:type="dxa"/>
            <w:vAlign w:val="bottom"/>
            <w:tcBorders>
              <w:top w:val="single" w:sz="8" w:color="0000EE"/>
            </w:tcBorders>
            <w:gridSpan w:val="7"/>
          </w:tcPr>
          <w:p>
            <w:pPr>
              <w:spacing w:after="0" w:line="169" w:lineRule="exact"/>
              <w:rPr>
                <w:rFonts w:ascii="Arial" w:cs="Arial" w:eastAsia="Arial" w:hAnsi="Arial"/>
                <w:sz w:val="18"/>
                <w:szCs w:val="18"/>
                <w:color w:val="0000EE"/>
              </w:rPr>
            </w:pPr>
            <w:hyperlink r:id="rId54">
              <w:r>
                <w:rPr>
                  <w:rFonts w:ascii="Arial" w:cs="Arial" w:eastAsia="Arial" w:hAnsi="Arial"/>
                  <w:sz w:val="18"/>
                  <w:szCs w:val="18"/>
                  <w:color w:val="0000EE"/>
                </w:rPr>
                <w:t>incorporated herein by reference.</w:t>
              </w:r>
            </w:hyperlink>
          </w:p>
        </w:tc>
        <w:tc>
          <w:tcPr>
            <w:tcW w:w="20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r>
      <w:tr>
        <w:trPr>
          <w:trHeight w:val="20"/>
        </w:trPr>
        <w:tc>
          <w:tcPr>
            <w:tcW w:w="20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58"/>
        </w:trPr>
        <w:tc>
          <w:tcPr>
            <w:tcW w:w="2040" w:type="dxa"/>
            <w:vAlign w:val="bottom"/>
          </w:tcPr>
          <w:p>
            <w:pPr>
              <w:ind w:left="1040"/>
              <w:spacing w:after="0"/>
              <w:rPr>
                <w:sz w:val="20"/>
                <w:szCs w:val="20"/>
                <w:color w:val="auto"/>
              </w:rPr>
            </w:pPr>
            <w:r>
              <w:rPr>
                <w:rFonts w:ascii="Arial" w:cs="Arial" w:eastAsia="Arial" w:hAnsi="Arial"/>
                <w:sz w:val="18"/>
                <w:szCs w:val="18"/>
                <w:color w:val="auto"/>
              </w:rPr>
              <w:t>(e)(2)</w:t>
            </w:r>
          </w:p>
        </w:tc>
        <w:tc>
          <w:tcPr>
            <w:tcW w:w="6260" w:type="dxa"/>
            <w:vAlign w:val="bottom"/>
            <w:tcBorders>
              <w:bottom w:val="single" w:sz="8" w:color="0000EE"/>
            </w:tcBorders>
            <w:gridSpan w:val="6"/>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Credit Agreement dated November 1, 2018 was filed as Exhibit 10(i)(2) to a Form 8-K</w:t>
              </w:r>
            </w:hyperlink>
          </w:p>
        </w:tc>
        <w:tc>
          <w:tcPr>
            <w:tcW w:w="620" w:type="dxa"/>
            <w:vAlign w:val="bottom"/>
            <w:gridSpan w:val="14"/>
          </w:tcPr>
          <w:p>
            <w:pPr>
              <w:spacing w:after="0"/>
              <w:rPr>
                <w:sz w:val="24"/>
                <w:szCs w:val="24"/>
                <w:color w:val="auto"/>
              </w:rPr>
            </w:pPr>
          </w:p>
        </w:tc>
      </w:tr>
      <w:tr>
        <w:trPr>
          <w:trHeight w:val="169"/>
        </w:trPr>
        <w:tc>
          <w:tcPr>
            <w:tcW w:w="2040" w:type="dxa"/>
            <w:vAlign w:val="bottom"/>
          </w:tcPr>
          <w:p>
            <w:pPr>
              <w:spacing w:after="0"/>
              <w:rPr>
                <w:sz w:val="14"/>
                <w:szCs w:val="14"/>
                <w:color w:val="auto"/>
              </w:rPr>
            </w:pPr>
          </w:p>
        </w:tc>
        <w:tc>
          <w:tcPr>
            <w:tcW w:w="6880" w:type="dxa"/>
            <w:vAlign w:val="bottom"/>
            <w:gridSpan w:val="20"/>
          </w:tcPr>
          <w:p>
            <w:pPr>
              <w:spacing w:after="0" w:line="169" w:lineRule="exact"/>
              <w:rPr>
                <w:rFonts w:ascii="Arial" w:cs="Arial" w:eastAsia="Arial" w:hAnsi="Arial"/>
                <w:sz w:val="18"/>
                <w:szCs w:val="18"/>
                <w:color w:val="0000EE"/>
                <w:w w:val="94"/>
              </w:rPr>
            </w:pPr>
            <w:hyperlink r:id="rId55">
              <w:r>
                <w:rPr>
                  <w:rFonts w:ascii="Arial" w:cs="Arial" w:eastAsia="Arial" w:hAnsi="Arial"/>
                  <w:sz w:val="18"/>
                  <w:szCs w:val="18"/>
                  <w:color w:val="0000EE"/>
                  <w:w w:val="94"/>
                </w:rPr>
                <w:t>Current Report dated November 2, 2018 and the same is incorporated herein by reference.</w:t>
              </w:r>
            </w:hyperlink>
          </w:p>
        </w:tc>
      </w:tr>
      <w:tr>
        <w:trPr>
          <w:trHeight w:val="20"/>
        </w:trPr>
        <w:tc>
          <w:tcPr>
            <w:tcW w:w="20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160" w:type="dxa"/>
            <w:vAlign w:val="bottom"/>
            <w:gridSpan w:val="9"/>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58"/>
        </w:trPr>
        <w:tc>
          <w:tcPr>
            <w:tcW w:w="2040" w:type="dxa"/>
            <w:vAlign w:val="bottom"/>
          </w:tcPr>
          <w:p>
            <w:pPr>
              <w:ind w:left="1040"/>
              <w:spacing w:after="0"/>
              <w:rPr>
                <w:sz w:val="20"/>
                <w:szCs w:val="20"/>
                <w:color w:val="auto"/>
              </w:rPr>
            </w:pPr>
            <w:r>
              <w:rPr>
                <w:rFonts w:ascii="Arial" w:cs="Arial" w:eastAsia="Arial" w:hAnsi="Arial"/>
                <w:sz w:val="18"/>
                <w:szCs w:val="18"/>
                <w:color w:val="auto"/>
              </w:rPr>
              <w:t>(f)(1)</w:t>
            </w:r>
          </w:p>
        </w:tc>
        <w:tc>
          <w:tcPr>
            <w:tcW w:w="6620" w:type="dxa"/>
            <w:vAlign w:val="bottom"/>
            <w:tcBorders>
              <w:bottom w:val="single" w:sz="8" w:color="0000EE"/>
            </w:tcBorders>
            <w:gridSpan w:val="16"/>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Note Purchase Agreement dated December 17, 2012 was filed as Exhibit 10(k) to a Form 8-</w:t>
              </w:r>
            </w:hyperlink>
          </w:p>
        </w:tc>
        <w:tc>
          <w:tcPr>
            <w:tcW w:w="260" w:type="dxa"/>
            <w:vAlign w:val="bottom"/>
            <w:gridSpan w:val="4"/>
          </w:tcPr>
          <w:p>
            <w:pPr>
              <w:spacing w:after="0"/>
              <w:rPr>
                <w:sz w:val="24"/>
                <w:szCs w:val="24"/>
                <w:color w:val="auto"/>
              </w:rPr>
            </w:pPr>
          </w:p>
        </w:tc>
      </w:tr>
      <w:tr>
        <w:trPr>
          <w:trHeight w:val="169"/>
        </w:trPr>
        <w:tc>
          <w:tcPr>
            <w:tcW w:w="2040" w:type="dxa"/>
            <w:vAlign w:val="bottom"/>
          </w:tcPr>
          <w:p>
            <w:pPr>
              <w:spacing w:after="0"/>
              <w:rPr>
                <w:sz w:val="14"/>
                <w:szCs w:val="14"/>
                <w:color w:val="auto"/>
              </w:rPr>
            </w:pPr>
          </w:p>
        </w:tc>
        <w:tc>
          <w:tcPr>
            <w:tcW w:w="6880" w:type="dxa"/>
            <w:vAlign w:val="bottom"/>
            <w:gridSpan w:val="20"/>
          </w:tcPr>
          <w:p>
            <w:pPr>
              <w:spacing w:after="0" w:line="169"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K Current Report dated December 17, 2012 (Commission file No.: 0-22684) and the same is</w:t>
              </w:r>
            </w:hyperlink>
          </w:p>
        </w:tc>
      </w:tr>
      <w:tr>
        <w:trPr>
          <w:trHeight w:val="169"/>
        </w:trPr>
        <w:tc>
          <w:tcPr>
            <w:tcW w:w="2040" w:type="dxa"/>
            <w:vAlign w:val="bottom"/>
          </w:tcPr>
          <w:p>
            <w:pPr>
              <w:spacing w:after="0"/>
              <w:rPr>
                <w:sz w:val="14"/>
                <w:szCs w:val="14"/>
                <w:color w:val="auto"/>
              </w:rPr>
            </w:pPr>
          </w:p>
        </w:tc>
        <w:tc>
          <w:tcPr>
            <w:tcW w:w="6660" w:type="dxa"/>
            <w:vAlign w:val="bottom"/>
            <w:tcBorders>
              <w:top w:val="single" w:sz="8" w:color="0000EE"/>
            </w:tcBorders>
            <w:gridSpan w:val="17"/>
          </w:tcPr>
          <w:p>
            <w:pPr>
              <w:spacing w:after="0" w:line="169" w:lineRule="exact"/>
              <w:rPr>
                <w:rFonts w:ascii="Arial" w:cs="Arial" w:eastAsia="Arial" w:hAnsi="Arial"/>
                <w:sz w:val="18"/>
                <w:szCs w:val="18"/>
                <w:color w:val="0000EE"/>
              </w:rPr>
            </w:pPr>
            <w:hyperlink r:id="rId56">
              <w:r>
                <w:rPr>
                  <w:rFonts w:ascii="Arial" w:cs="Arial" w:eastAsia="Arial" w:hAnsi="Arial"/>
                  <w:sz w:val="18"/>
                  <w:szCs w:val="18"/>
                  <w:color w:val="0000EE"/>
                </w:rPr>
                <w:t>incorporated herein by reference.</w:t>
              </w:r>
            </w:hyperlink>
          </w:p>
        </w:tc>
        <w:tc>
          <w:tcPr>
            <w:tcW w:w="220" w:type="dxa"/>
            <w:vAlign w:val="bottom"/>
            <w:gridSpan w:val="3"/>
          </w:tcPr>
          <w:p>
            <w:pPr>
              <w:spacing w:after="0"/>
              <w:rPr>
                <w:sz w:val="14"/>
                <w:szCs w:val="14"/>
                <w:color w:val="auto"/>
              </w:rPr>
            </w:pPr>
          </w:p>
        </w:tc>
      </w:tr>
      <w:tr>
        <w:trPr>
          <w:trHeight w:val="20"/>
        </w:trPr>
        <w:tc>
          <w:tcPr>
            <w:tcW w:w="20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58"/>
        </w:trPr>
        <w:tc>
          <w:tcPr>
            <w:tcW w:w="2040" w:type="dxa"/>
            <w:vAlign w:val="bottom"/>
          </w:tcPr>
          <w:p>
            <w:pPr>
              <w:ind w:left="1040"/>
              <w:spacing w:after="0"/>
              <w:rPr>
                <w:sz w:val="20"/>
                <w:szCs w:val="20"/>
                <w:color w:val="auto"/>
              </w:rPr>
            </w:pPr>
            <w:r>
              <w:rPr>
                <w:rFonts w:ascii="Arial" w:cs="Arial" w:eastAsia="Arial" w:hAnsi="Arial"/>
                <w:sz w:val="18"/>
                <w:szCs w:val="18"/>
                <w:color w:val="auto"/>
              </w:rPr>
              <w:t>(g)(2)</w:t>
            </w:r>
          </w:p>
        </w:tc>
        <w:tc>
          <w:tcPr>
            <w:tcW w:w="6880" w:type="dxa"/>
            <w:vAlign w:val="bottom"/>
            <w:gridSpan w:val="20"/>
          </w:tcPr>
          <w:p>
            <w:pPr>
              <w:spacing w:after="0"/>
              <w:rPr>
                <w:rFonts w:ascii="Arial" w:cs="Arial" w:eastAsia="Arial" w:hAnsi="Arial"/>
                <w:sz w:val="18"/>
                <w:szCs w:val="18"/>
                <w:color w:val="0000EE"/>
                <w:w w:val="93"/>
              </w:rPr>
            </w:pPr>
            <w:hyperlink r:id="rId57">
              <w:r>
                <w:rPr>
                  <w:rFonts w:ascii="Arial" w:cs="Arial" w:eastAsia="Arial" w:hAnsi="Arial"/>
                  <w:sz w:val="18"/>
                  <w:szCs w:val="18"/>
                  <w:color w:val="0000EE"/>
                  <w:w w:val="93"/>
                </w:rPr>
                <w:t>Note Purchase Agreements for Series C and D Senior Notes dated June 14, 2018, was filed</w:t>
              </w:r>
            </w:hyperlink>
          </w:p>
        </w:tc>
      </w:tr>
      <w:tr>
        <w:trPr>
          <w:trHeight w:val="169"/>
        </w:trPr>
        <w:tc>
          <w:tcPr>
            <w:tcW w:w="2040" w:type="dxa"/>
            <w:vAlign w:val="bottom"/>
          </w:tcPr>
          <w:p>
            <w:pPr>
              <w:spacing w:after="0"/>
              <w:rPr>
                <w:sz w:val="14"/>
                <w:szCs w:val="14"/>
                <w:color w:val="auto"/>
              </w:rPr>
            </w:pPr>
          </w:p>
        </w:tc>
        <w:tc>
          <w:tcPr>
            <w:tcW w:w="6540" w:type="dxa"/>
            <w:vAlign w:val="bottom"/>
            <w:tcBorders>
              <w:top w:val="single" w:sz="8" w:color="0000EE"/>
              <w:bottom w:val="single" w:sz="8" w:color="0000EE"/>
            </w:tcBorders>
            <w:gridSpan w:val="12"/>
          </w:tcPr>
          <w:p>
            <w:pPr>
              <w:spacing w:after="0" w:line="169"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as Exhibit 10(k)(2) to Registrant’s Form 10-K, Annual Report for the year ended December</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80" w:type="dxa"/>
            <w:vAlign w:val="bottom"/>
            <w:gridSpan w:val="5"/>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6600" w:type="dxa"/>
            <w:vAlign w:val="bottom"/>
            <w:gridSpan w:val="15"/>
          </w:tcPr>
          <w:p>
            <w:pPr>
              <w:spacing w:after="0" w:line="169"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29, 2018 (Commission file No.: 0-22684) and the same is incorporated herein by reference.</w:t>
              </w:r>
            </w:hyperlink>
          </w:p>
        </w:tc>
        <w:tc>
          <w:tcPr>
            <w:tcW w:w="280" w:type="dxa"/>
            <w:vAlign w:val="bottom"/>
            <w:gridSpan w:val="5"/>
          </w:tcPr>
          <w:p>
            <w:pPr>
              <w:spacing w:after="0"/>
              <w:rPr>
                <w:sz w:val="14"/>
                <w:szCs w:val="14"/>
                <w:color w:val="auto"/>
              </w:rPr>
            </w:pPr>
          </w:p>
        </w:tc>
      </w:tr>
      <w:tr>
        <w:trPr>
          <w:trHeight w:val="20"/>
        </w:trPr>
        <w:tc>
          <w:tcPr>
            <w:tcW w:w="20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160" w:type="dxa"/>
            <w:vAlign w:val="bottom"/>
            <w:gridSpan w:val="9"/>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358"/>
        </w:trPr>
        <w:tc>
          <w:tcPr>
            <w:tcW w:w="2040" w:type="dxa"/>
            <w:vAlign w:val="bottom"/>
          </w:tcPr>
          <w:p>
            <w:pPr>
              <w:ind w:left="1040"/>
              <w:spacing w:after="0"/>
              <w:rPr>
                <w:sz w:val="20"/>
                <w:szCs w:val="20"/>
                <w:color w:val="auto"/>
              </w:rPr>
            </w:pPr>
            <w:r>
              <w:rPr>
                <w:rFonts w:ascii="Arial" w:cs="Arial" w:eastAsia="Arial" w:hAnsi="Arial"/>
                <w:sz w:val="18"/>
                <w:szCs w:val="18"/>
                <w:color w:val="auto"/>
              </w:rPr>
              <w:t>*(h)</w:t>
            </w:r>
          </w:p>
        </w:tc>
        <w:tc>
          <w:tcPr>
            <w:tcW w:w="6880" w:type="dxa"/>
            <w:vAlign w:val="bottom"/>
            <w:gridSpan w:val="20"/>
          </w:tcPr>
          <w:p>
            <w:pPr>
              <w:spacing w:after="0"/>
              <w:rPr>
                <w:rFonts w:ascii="Arial" w:cs="Arial" w:eastAsia="Arial" w:hAnsi="Arial"/>
                <w:sz w:val="18"/>
                <w:szCs w:val="18"/>
                <w:color w:val="0000EE"/>
                <w:w w:val="93"/>
              </w:rPr>
            </w:pPr>
            <w:hyperlink r:id="rId58">
              <w:r>
                <w:rPr>
                  <w:rFonts w:ascii="Arial" w:cs="Arial" w:eastAsia="Arial" w:hAnsi="Arial"/>
                  <w:sz w:val="18"/>
                  <w:szCs w:val="18"/>
                  <w:color w:val="0000EE"/>
                  <w:w w:val="93"/>
                </w:rPr>
                <w:t>Universal Forest Products, Inc. Employee Stock Purchase Plan is incorporated by reference</w:t>
              </w:r>
            </w:hyperlink>
          </w:p>
        </w:tc>
      </w:tr>
      <w:tr>
        <w:trPr>
          <w:trHeight w:val="169"/>
        </w:trPr>
        <w:tc>
          <w:tcPr>
            <w:tcW w:w="2040" w:type="dxa"/>
            <w:vAlign w:val="bottom"/>
          </w:tcPr>
          <w:p>
            <w:pPr>
              <w:spacing w:after="0"/>
              <w:rPr>
                <w:sz w:val="14"/>
                <w:szCs w:val="14"/>
                <w:color w:val="auto"/>
              </w:rPr>
            </w:pPr>
          </w:p>
        </w:tc>
        <w:tc>
          <w:tcPr>
            <w:tcW w:w="6580" w:type="dxa"/>
            <w:vAlign w:val="bottom"/>
            <w:tcBorders>
              <w:top w:val="single" w:sz="8" w:color="0000EE"/>
            </w:tcBorders>
            <w:gridSpan w:val="14"/>
          </w:tcPr>
          <w:p>
            <w:pPr>
              <w:spacing w:after="0" w:line="169" w:lineRule="exact"/>
              <w:rPr>
                <w:rFonts w:ascii="Arial" w:cs="Arial" w:eastAsia="Arial" w:hAnsi="Arial"/>
                <w:sz w:val="18"/>
                <w:szCs w:val="18"/>
                <w:color w:val="0000EE"/>
                <w:w w:val="93"/>
              </w:rPr>
            </w:pPr>
            <w:hyperlink r:id="rId58">
              <w:r>
                <w:rPr>
                  <w:rFonts w:ascii="Arial" w:cs="Arial" w:eastAsia="Arial" w:hAnsi="Arial"/>
                  <w:sz w:val="18"/>
                  <w:szCs w:val="18"/>
                  <w:color w:val="0000EE"/>
                  <w:w w:val="93"/>
                </w:rPr>
                <w:t>from Appendix A to the Company’s proxy statement dated and filed with the Commission</w:t>
              </w:r>
            </w:hyperlink>
          </w:p>
        </w:tc>
        <w:tc>
          <w:tcPr>
            <w:tcW w:w="300" w:type="dxa"/>
            <w:vAlign w:val="bottom"/>
            <w:gridSpan w:val="6"/>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1320" w:type="dxa"/>
            <w:vAlign w:val="bottom"/>
            <w:tcBorders>
              <w:top w:val="single" w:sz="8" w:color="0000EE"/>
              <w:bottom w:val="single" w:sz="8" w:color="0000EE"/>
            </w:tcBorders>
          </w:tcPr>
          <w:p>
            <w:pPr>
              <w:spacing w:after="0" w:line="169" w:lineRule="exact"/>
              <w:rPr>
                <w:rFonts w:ascii="Arial" w:cs="Arial" w:eastAsia="Arial" w:hAnsi="Arial"/>
                <w:sz w:val="18"/>
                <w:szCs w:val="18"/>
                <w:color w:val="0000EE"/>
                <w:w w:val="89"/>
              </w:rPr>
            </w:pPr>
            <w:hyperlink r:id="rId58">
              <w:r>
                <w:rPr>
                  <w:rFonts w:ascii="Arial" w:cs="Arial" w:eastAsia="Arial" w:hAnsi="Arial"/>
                  <w:sz w:val="18"/>
                  <w:szCs w:val="18"/>
                  <w:color w:val="0000EE"/>
                  <w:w w:val="89"/>
                </w:rPr>
                <w:t>on March 9, 2018.</w:t>
              </w:r>
            </w:hyperlink>
          </w:p>
        </w:tc>
        <w:tc>
          <w:tcPr>
            <w:tcW w:w="5160" w:type="dxa"/>
            <w:vAlign w:val="bottom"/>
            <w:tcBorders>
              <w:top w:val="single" w:sz="8" w:color="0000EE"/>
            </w:tcBorders>
            <w:gridSpan w:val="9"/>
          </w:tcPr>
          <w:p>
            <w:pPr>
              <w:spacing w:after="0"/>
              <w:rPr>
                <w:sz w:val="14"/>
                <w:szCs w:val="14"/>
                <w:color w:val="auto"/>
              </w:rPr>
            </w:pPr>
          </w:p>
        </w:tc>
        <w:tc>
          <w:tcPr>
            <w:tcW w:w="400" w:type="dxa"/>
            <w:vAlign w:val="bottom"/>
            <w:gridSpan w:val="10"/>
          </w:tcPr>
          <w:p>
            <w:pPr>
              <w:spacing w:after="0"/>
              <w:rPr>
                <w:sz w:val="14"/>
                <w:szCs w:val="14"/>
                <w:color w:val="auto"/>
              </w:rPr>
            </w:pPr>
          </w:p>
        </w:tc>
      </w:tr>
      <w:tr>
        <w:trPr>
          <w:trHeight w:val="844"/>
        </w:trPr>
        <w:tc>
          <w:tcPr>
            <w:tcW w:w="2040" w:type="dxa"/>
            <w:vAlign w:val="bottom"/>
          </w:tcPr>
          <w:p>
            <w:pPr>
              <w:spacing w:after="0"/>
              <w:rPr>
                <w:sz w:val="24"/>
                <w:szCs w:val="24"/>
                <w:color w:val="auto"/>
              </w:rPr>
            </w:pPr>
          </w:p>
        </w:tc>
        <w:tc>
          <w:tcPr>
            <w:tcW w:w="3540" w:type="dxa"/>
            <w:vAlign w:val="bottom"/>
            <w:gridSpan w:val="4"/>
          </w:tcPr>
          <w:p>
            <w:pPr>
              <w:ind w:left="2340"/>
              <w:spacing w:after="0"/>
              <w:rPr>
                <w:sz w:val="20"/>
                <w:szCs w:val="20"/>
                <w:color w:val="auto"/>
              </w:rPr>
            </w:pPr>
            <w:r>
              <w:rPr>
                <w:rFonts w:ascii="Arial" w:cs="Arial" w:eastAsia="Arial" w:hAnsi="Arial"/>
                <w:sz w:val="18"/>
                <w:szCs w:val="18"/>
                <w:color w:val="auto"/>
              </w:rPr>
              <w:t>16</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7" w:name="page18"/>
    <w:bookmarkEnd w:id="17"/>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w:t>
            </w:r>
          </w:p>
        </w:tc>
        <w:tc>
          <w:tcPr>
            <w:tcW w:w="5260" w:type="dxa"/>
            <w:vAlign w:val="bottom"/>
            <w:tcBorders>
              <w:bottom w:val="single" w:sz="8" w:color="0000EE"/>
            </w:tcBorders>
            <w:gridSpan w:val="8"/>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Universal Forest Products, Inc. Director Retainer Stock Plan was filed as</w:t>
              </w:r>
            </w:hyperlink>
          </w:p>
        </w:tc>
        <w:tc>
          <w:tcPr>
            <w:tcW w:w="960" w:type="dxa"/>
            <w:vAlign w:val="bottom"/>
            <w:gridSpan w:val="12"/>
          </w:tcPr>
          <w:p>
            <w:pPr>
              <w:spacing w:after="0"/>
              <w:rPr>
                <w:sz w:val="17"/>
                <w:szCs w:val="17"/>
                <w:color w:val="auto"/>
              </w:rPr>
            </w:pPr>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20" w:type="dxa"/>
            <w:vAlign w:val="bottom"/>
            <w:gridSpan w:val="20"/>
          </w:tcPr>
          <w:p>
            <w:pPr>
              <w:spacing w:after="0" w:line="169"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Exhibit 10(m) to a Form 10-K, Annual Report for the year ended December 31, 2016</w:t>
              </w:r>
            </w:hyperlink>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140" w:type="dxa"/>
            <w:vAlign w:val="bottom"/>
            <w:tcBorders>
              <w:top w:val="single" w:sz="8" w:color="0000EE"/>
            </w:tcBorders>
            <w:gridSpan w:val="16"/>
          </w:tcPr>
          <w:p>
            <w:pPr>
              <w:spacing w:after="0" w:line="169" w:lineRule="exact"/>
              <w:rPr>
                <w:rFonts w:ascii="Arial" w:cs="Arial" w:eastAsia="Arial" w:hAnsi="Arial"/>
                <w:sz w:val="18"/>
                <w:szCs w:val="18"/>
                <w:color w:val="0000EE"/>
                <w:w w:val="94"/>
              </w:rPr>
            </w:pPr>
            <w:hyperlink r:id="rId59">
              <w:r>
                <w:rPr>
                  <w:rFonts w:ascii="Arial" w:cs="Arial" w:eastAsia="Arial" w:hAnsi="Arial"/>
                  <w:sz w:val="18"/>
                  <w:szCs w:val="18"/>
                  <w:color w:val="0000EE"/>
                  <w:w w:val="94"/>
                </w:rPr>
                <w:t>(Commission file No.: 0-22684) and the same is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w:t>
            </w:r>
          </w:p>
        </w:tc>
        <w:tc>
          <w:tcPr>
            <w:tcW w:w="6220" w:type="dxa"/>
            <w:vAlign w:val="bottom"/>
            <w:gridSpan w:val="20"/>
          </w:tcPr>
          <w:p>
            <w:pPr>
              <w:spacing w:after="0"/>
              <w:rPr>
                <w:rFonts w:ascii="Arial" w:cs="Arial" w:eastAsia="Arial" w:hAnsi="Arial"/>
                <w:sz w:val="18"/>
                <w:szCs w:val="18"/>
                <w:color w:val="0000EE"/>
                <w:w w:val="94"/>
              </w:rPr>
            </w:pPr>
            <w:hyperlink r:id="rId60">
              <w:r>
                <w:rPr>
                  <w:rFonts w:ascii="Arial" w:cs="Arial" w:eastAsia="Arial" w:hAnsi="Arial"/>
                  <w:sz w:val="18"/>
                  <w:szCs w:val="18"/>
                  <w:color w:val="0000EE"/>
                  <w:w w:val="94"/>
                </w:rPr>
                <w:t>Universal Forest Products, Inc. Amended and Restated Long Term Stock Incentive</w:t>
              </w:r>
            </w:hyperlink>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980" w:type="dxa"/>
            <w:vAlign w:val="bottom"/>
            <w:tcBorders>
              <w:top w:val="single" w:sz="8" w:color="0000EE"/>
            </w:tcBorders>
            <w:gridSpan w:val="11"/>
          </w:tcPr>
          <w:p>
            <w:pPr>
              <w:spacing w:after="0" w:line="169" w:lineRule="exact"/>
              <w:rPr>
                <w:rFonts w:ascii="Arial" w:cs="Arial" w:eastAsia="Arial" w:hAnsi="Arial"/>
                <w:sz w:val="18"/>
                <w:szCs w:val="18"/>
                <w:color w:val="0000EE"/>
                <w:w w:val="99"/>
              </w:rPr>
            </w:pPr>
            <w:hyperlink r:id="rId60">
              <w:r>
                <w:rPr>
                  <w:rFonts w:ascii="Arial" w:cs="Arial" w:eastAsia="Arial" w:hAnsi="Arial"/>
                  <w:sz w:val="18"/>
                  <w:szCs w:val="18"/>
                  <w:color w:val="0000EE"/>
                  <w:w w:val="99"/>
                </w:rPr>
                <w:t>Plan is incorporated by reference from Appendix B to the Company’s proxy</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80" w:type="dxa"/>
            <w:vAlign w:val="bottom"/>
            <w:tcBorders>
              <w:top w:val="single" w:sz="8" w:color="0000EE"/>
            </w:tcBorders>
            <w:gridSpan w:val="9"/>
          </w:tcPr>
          <w:p>
            <w:pPr>
              <w:spacing w:after="0" w:line="169" w:lineRule="exact"/>
              <w:rPr>
                <w:rFonts w:ascii="Arial" w:cs="Arial" w:eastAsia="Arial" w:hAnsi="Arial"/>
                <w:sz w:val="18"/>
                <w:szCs w:val="18"/>
                <w:color w:val="0000EE"/>
              </w:rPr>
            </w:pPr>
            <w:hyperlink r:id="rId60">
              <w:r>
                <w:rPr>
                  <w:rFonts w:ascii="Arial" w:cs="Arial" w:eastAsia="Arial" w:hAnsi="Arial"/>
                  <w:sz w:val="18"/>
                  <w:szCs w:val="18"/>
                  <w:color w:val="0000EE"/>
                </w:rPr>
                <w:t>statement dated and filed with the Commission on March 9, 2018.</w:t>
              </w:r>
            </w:hyperlink>
          </w:p>
        </w:tc>
        <w:tc>
          <w:tcPr>
            <w:tcW w:w="5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(k)</w:t>
            </w:r>
          </w:p>
        </w:tc>
        <w:tc>
          <w:tcPr>
            <w:tcW w:w="6220" w:type="dxa"/>
            <w:vAlign w:val="bottom"/>
            <w:gridSpan w:val="20"/>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Note Purchase Agreement for Series E, F, and G dated August 11, 2020 was filed as</w:t>
              </w:r>
            </w:hyperlink>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Borders>
              <w:top w:val="single" w:sz="8" w:color="0000EE"/>
              <w:bottom w:val="single" w:sz="8" w:color="0000EE"/>
            </w:tcBorders>
            <w:gridSpan w:val="13"/>
          </w:tcPr>
          <w:p>
            <w:pPr>
              <w:spacing w:after="0" w:line="169"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Exhibit 10(k) to a form 10-K, Annual Report for the year ended December 26, 2020</w:t>
              </w:r>
            </w:hyperlink>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80" w:type="dxa"/>
            <w:vAlign w:val="bottom"/>
            <w:gridSpan w:val="14"/>
          </w:tcPr>
          <w:p>
            <w:pPr>
              <w:spacing w:after="0" w:line="169" w:lineRule="exact"/>
              <w:rPr>
                <w:rFonts w:ascii="Arial" w:cs="Arial" w:eastAsia="Arial" w:hAnsi="Arial"/>
                <w:sz w:val="18"/>
                <w:szCs w:val="18"/>
                <w:color w:val="0000EE"/>
                <w:w w:val="93"/>
              </w:rPr>
            </w:pPr>
            <w:hyperlink r:id="rId61">
              <w:r>
                <w:rPr>
                  <w:rFonts w:ascii="Arial" w:cs="Arial" w:eastAsia="Arial" w:hAnsi="Arial"/>
                  <w:sz w:val="18"/>
                  <w:szCs w:val="18"/>
                  <w:color w:val="0000EE"/>
                  <w:w w:val="93"/>
                </w:rPr>
                <w:t>(Commission file No.: 0-22684) and the same is incorporated herein by reference.</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13</w:t>
            </w:r>
          </w:p>
        </w:tc>
        <w:tc>
          <w:tcPr>
            <w:tcW w:w="7100" w:type="dxa"/>
            <w:vAlign w:val="bottom"/>
            <w:gridSpan w:val="21"/>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Selected portions of the Company’s Annual Report to Shareholders for the fiscal year ended</w:t>
              </w:r>
            </w:hyperlink>
          </w:p>
        </w:tc>
      </w:tr>
      <w:tr>
        <w:trPr>
          <w:trHeight w:val="169"/>
        </w:trPr>
        <w:tc>
          <w:tcPr>
            <w:tcW w:w="1520" w:type="dxa"/>
            <w:vAlign w:val="bottom"/>
          </w:tcPr>
          <w:p>
            <w:pPr>
              <w:spacing w:after="0"/>
              <w:rPr>
                <w:sz w:val="14"/>
                <w:szCs w:val="14"/>
                <w:color w:val="auto"/>
              </w:rPr>
            </w:pPr>
          </w:p>
        </w:tc>
        <w:tc>
          <w:tcPr>
            <w:tcW w:w="146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December 25, 2021.</w:t>
              </w:r>
            </w:hyperlink>
          </w:p>
        </w:tc>
        <w:tc>
          <w:tcPr>
            <w:tcW w:w="562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r>
      <w:tr>
        <w:trPr>
          <w:trHeight w:val="399"/>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14</w:t>
            </w:r>
          </w:p>
        </w:tc>
        <w:tc>
          <w:tcPr>
            <w:tcW w:w="7100" w:type="dxa"/>
            <w:vAlign w:val="bottom"/>
            <w:gridSpan w:val="21"/>
          </w:tcPr>
          <w:p>
            <w:pPr>
              <w:spacing w:after="0"/>
              <w:rPr>
                <w:sz w:val="20"/>
                <w:szCs w:val="20"/>
                <w:color w:val="auto"/>
              </w:rPr>
            </w:pPr>
            <w:r>
              <w:rPr>
                <w:rFonts w:ascii="Arial" w:cs="Arial" w:eastAsia="Arial" w:hAnsi="Arial"/>
                <w:sz w:val="18"/>
                <w:szCs w:val="18"/>
                <w:color w:val="auto"/>
              </w:rPr>
              <w:t>Code of Ethics for Senior Financial Officers.</w:t>
            </w:r>
          </w:p>
        </w:tc>
      </w:tr>
      <w:tr>
        <w:trPr>
          <w:trHeight w:val="337"/>
        </w:trPr>
        <w:tc>
          <w:tcPr>
            <w:tcW w:w="1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(a)</w:t>
            </w:r>
          </w:p>
        </w:tc>
        <w:tc>
          <w:tcPr>
            <w:tcW w:w="6220" w:type="dxa"/>
            <w:vAlign w:val="bottom"/>
            <w:gridSpan w:val="20"/>
          </w:tcPr>
          <w:p>
            <w:pPr>
              <w:spacing w:after="0"/>
              <w:rPr>
                <w:rFonts w:ascii="Arial" w:cs="Arial" w:eastAsia="Arial" w:hAnsi="Arial"/>
                <w:sz w:val="18"/>
                <w:szCs w:val="18"/>
                <w:color w:val="0000EE"/>
                <w:w w:val="93"/>
              </w:rPr>
            </w:pPr>
            <w:hyperlink r:id="rId62">
              <w:r>
                <w:rPr>
                  <w:rFonts w:ascii="Arial" w:cs="Arial" w:eastAsia="Arial" w:hAnsi="Arial"/>
                  <w:sz w:val="18"/>
                  <w:szCs w:val="18"/>
                  <w:color w:val="0000EE"/>
                  <w:w w:val="93"/>
                </w:rPr>
                <w:t>Code of Ethics for Chief Financial Officer was filed as Exhibit 14(a) to a Form 10-K,</w:t>
              </w:r>
            </w:hyperlink>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160" w:type="dxa"/>
            <w:vAlign w:val="bottom"/>
            <w:tcBorders>
              <w:top w:val="single" w:sz="8" w:color="0000EE"/>
            </w:tcBorders>
            <w:gridSpan w:val="17"/>
          </w:tcPr>
          <w:p>
            <w:pPr>
              <w:spacing w:after="0" w:line="169"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Annual Report for the year ended December 25, 2010 and the same is incorporated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0" w:type="dxa"/>
            <w:vAlign w:val="bottom"/>
            <w:tcBorders>
              <w:top w:val="single" w:sz="8" w:color="0000EE"/>
            </w:tcBorders>
            <w:gridSpan w:val="12"/>
          </w:tcPr>
          <w:p>
            <w:pPr>
              <w:spacing w:after="0" w:line="169" w:lineRule="exact"/>
              <w:rPr>
                <w:rFonts w:ascii="Arial" w:cs="Arial" w:eastAsia="Arial" w:hAnsi="Arial"/>
                <w:sz w:val="18"/>
                <w:szCs w:val="18"/>
                <w:color w:val="0000EE"/>
              </w:rPr>
            </w:pPr>
            <w:hyperlink r:id="rId62">
              <w:r>
                <w:rPr>
                  <w:rFonts w:ascii="Arial" w:cs="Arial" w:eastAsia="Arial" w:hAnsi="Arial"/>
                  <w:sz w:val="18"/>
                  <w:szCs w:val="18"/>
                  <w:color w:val="0000EE"/>
                </w:rPr>
                <w:t>herein by reference.</w:t>
              </w:r>
            </w:hyperlink>
          </w:p>
        </w:tc>
        <w:tc>
          <w:tcPr>
            <w:tcW w:w="1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21</w:t>
            </w:r>
          </w:p>
        </w:tc>
        <w:tc>
          <w:tcPr>
            <w:tcW w:w="7100" w:type="dxa"/>
            <w:vAlign w:val="bottom"/>
            <w:gridSpan w:val="2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Subsidiaries of the Registrant.</w:t>
              </w:r>
            </w:hyperlink>
          </w:p>
        </w:tc>
      </w:tr>
      <w:tr>
        <w:trPr>
          <w:trHeight w:val="20"/>
        </w:trPr>
        <w:tc>
          <w:tcPr>
            <w:tcW w:w="152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23</w:t>
            </w:r>
          </w:p>
        </w:tc>
        <w:tc>
          <w:tcPr>
            <w:tcW w:w="25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Consent of Deloitte &amp; Touche LLP.</w:t>
              </w:r>
            </w:hyperlink>
          </w:p>
        </w:tc>
        <w:tc>
          <w:tcPr>
            <w:tcW w:w="4540" w:type="dxa"/>
            <w:vAlign w:val="bottom"/>
            <w:gridSpan w:val="16"/>
          </w:tcPr>
          <w:p>
            <w:pPr>
              <w:spacing w:after="0"/>
              <w:rPr>
                <w:sz w:val="24"/>
                <w:szCs w:val="24"/>
                <w:color w:val="auto"/>
              </w:rPr>
            </w:pPr>
          </w:p>
        </w:tc>
      </w:tr>
      <w:tr>
        <w:trPr>
          <w:trHeight w:val="398"/>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31</w:t>
            </w:r>
          </w:p>
        </w:tc>
        <w:tc>
          <w:tcPr>
            <w:tcW w:w="7100" w:type="dxa"/>
            <w:vAlign w:val="bottom"/>
            <w:gridSpan w:val="21"/>
          </w:tcPr>
          <w:p>
            <w:pPr>
              <w:spacing w:after="0"/>
              <w:rPr>
                <w:sz w:val="20"/>
                <w:szCs w:val="20"/>
                <w:color w:val="auto"/>
              </w:rPr>
            </w:pPr>
            <w:r>
              <w:rPr>
                <w:rFonts w:ascii="Arial" w:cs="Arial" w:eastAsia="Arial" w:hAnsi="Arial"/>
                <w:sz w:val="18"/>
                <w:szCs w:val="18"/>
                <w:color w:val="auto"/>
              </w:rPr>
              <w:t>Certifications.</w:t>
            </w:r>
          </w:p>
        </w:tc>
      </w:tr>
      <w:tr>
        <w:trPr>
          <w:trHeight w:val="338"/>
        </w:trPr>
        <w:tc>
          <w:tcPr>
            <w:tcW w:w="1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(a)</w:t>
            </w:r>
          </w:p>
        </w:tc>
        <w:tc>
          <w:tcPr>
            <w:tcW w:w="6220" w:type="dxa"/>
            <w:vAlign w:val="bottom"/>
            <w:gridSpan w:val="20"/>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Certificate of the Chief Executive Officer of UFP Industries, Inc., pursuant to Section</w:t>
              </w:r>
            </w:hyperlink>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8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302 of the Sarbanes-Oxley Act of 2002 (18 U.S.C. 1350).</w:t>
              </w:r>
            </w:hyperlink>
          </w:p>
        </w:tc>
        <w:tc>
          <w:tcPr>
            <w:tcW w:w="2000" w:type="dxa"/>
            <w:vAlign w:val="bottom"/>
            <w:tcBorders>
              <w:top w:val="single" w:sz="8" w:color="0000EE"/>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(b)</w:t>
            </w:r>
          </w:p>
        </w:tc>
        <w:tc>
          <w:tcPr>
            <w:tcW w:w="6220" w:type="dxa"/>
            <w:vAlign w:val="bottom"/>
            <w:gridSpan w:val="20"/>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Certificate of the Chief Financial Officer of UFP Industries, Inc., pursuant to Section</w:t>
              </w:r>
            </w:hyperlink>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60" w:type="dxa"/>
            <w:vAlign w:val="bottom"/>
            <w:tcBorders>
              <w:top w:val="single" w:sz="8" w:color="0000EE"/>
              <w:bottom w:val="single" w:sz="8" w:color="0000EE"/>
            </w:tcBorders>
            <w:gridSpan w:val="5"/>
          </w:tcPr>
          <w:p>
            <w:pPr>
              <w:spacing w:after="0" w:line="169"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302 of the Sarbanes-Oxley Act of 2002 (18 U.S.C. 1350).</w:t>
              </w:r>
            </w:hyperlink>
          </w:p>
        </w:tc>
        <w:tc>
          <w:tcPr>
            <w:tcW w:w="1960" w:type="dxa"/>
            <w:vAlign w:val="bottom"/>
            <w:tcBorders>
              <w:top w:val="single" w:sz="8" w:color="0000EE"/>
            </w:tcBorders>
            <w:gridSpan w:val="10"/>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399"/>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32</w:t>
            </w:r>
          </w:p>
        </w:tc>
        <w:tc>
          <w:tcPr>
            <w:tcW w:w="7100" w:type="dxa"/>
            <w:vAlign w:val="bottom"/>
            <w:gridSpan w:val="21"/>
          </w:tcPr>
          <w:p>
            <w:pPr>
              <w:spacing w:after="0"/>
              <w:rPr>
                <w:sz w:val="20"/>
                <w:szCs w:val="20"/>
                <w:color w:val="auto"/>
              </w:rPr>
            </w:pPr>
            <w:r>
              <w:rPr>
                <w:rFonts w:ascii="Arial" w:cs="Arial" w:eastAsia="Arial" w:hAnsi="Arial"/>
                <w:sz w:val="18"/>
                <w:szCs w:val="18"/>
                <w:color w:val="auto"/>
              </w:rPr>
              <w:t>Certifications.</w:t>
            </w:r>
          </w:p>
        </w:tc>
      </w:tr>
      <w:tr>
        <w:trPr>
          <w:trHeight w:val="337"/>
        </w:trPr>
        <w:tc>
          <w:tcPr>
            <w:tcW w:w="1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(a)</w:t>
            </w:r>
          </w:p>
        </w:tc>
        <w:tc>
          <w:tcPr>
            <w:tcW w:w="6220" w:type="dxa"/>
            <w:vAlign w:val="bottom"/>
            <w:gridSpan w:val="20"/>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Certificate of the Chief Executive Officer of UFP Industries, Inc., pursuant to Section</w:t>
              </w:r>
            </w:hyperlink>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8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906 of the Sarbanes-Oxley Act of 2002 (18 U.S.C. 1350).</w:t>
              </w:r>
            </w:hyperlink>
          </w:p>
        </w:tc>
        <w:tc>
          <w:tcPr>
            <w:tcW w:w="2000" w:type="dxa"/>
            <w:vAlign w:val="bottom"/>
            <w:tcBorders>
              <w:top w:val="single" w:sz="8" w:color="0000EE"/>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(b)</w:t>
            </w:r>
          </w:p>
        </w:tc>
        <w:tc>
          <w:tcPr>
            <w:tcW w:w="6220" w:type="dxa"/>
            <w:vAlign w:val="bottom"/>
            <w:gridSpan w:val="20"/>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Certificate of the Chief Financial Officer of UFP Industries, Inc., pursuant to Section</w:t>
              </w:r>
            </w:hyperlink>
          </w:p>
        </w:tc>
      </w:tr>
      <w:tr>
        <w:trPr>
          <w:trHeight w:val="169"/>
        </w:trPr>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8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906 of the Sarbanes-Oxley Act of 2002 (18 U.S.C. 1350).</w:t>
              </w:r>
            </w:hyperlink>
          </w:p>
        </w:tc>
        <w:tc>
          <w:tcPr>
            <w:tcW w:w="1940" w:type="dxa"/>
            <w:vAlign w:val="bottom"/>
            <w:tcBorders>
              <w:top w:val="single" w:sz="8" w:color="0000EE"/>
            </w:tcBorders>
            <w:gridSpan w:val="9"/>
          </w:tcPr>
          <w:p>
            <w:pPr>
              <w:spacing w:after="0"/>
              <w:rPr>
                <w:sz w:val="14"/>
                <w:szCs w:val="14"/>
                <w:color w:val="auto"/>
              </w:rPr>
            </w:pPr>
          </w:p>
        </w:tc>
        <w:tc>
          <w:tcPr>
            <w:tcW w:w="100" w:type="dxa"/>
            <w:vAlign w:val="bottom"/>
            <w:gridSpan w:val="5"/>
          </w:tcPr>
          <w:p>
            <w:pPr>
              <w:spacing w:after="0"/>
              <w:rPr>
                <w:sz w:val="14"/>
                <w:szCs w:val="14"/>
                <w:color w:val="auto"/>
              </w:rPr>
            </w:pPr>
          </w:p>
        </w:tc>
      </w:tr>
    </w:tbl>
    <w:p>
      <w:pPr>
        <w:spacing w:after="0" w:line="175" w:lineRule="exact"/>
        <w:rPr>
          <w:sz w:val="20"/>
          <w:szCs w:val="20"/>
          <w:color w:val="auto"/>
        </w:rPr>
      </w:pPr>
    </w:p>
    <w:p>
      <w:pPr>
        <w:ind w:left="1700" w:right="1439" w:hanging="1516"/>
        <w:spacing w:after="0" w:line="438"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Interactive Data File in iXBRL (Inline eXtensible Business Reporting Language). (INS) XBRL Instance Document.</w:t>
      </w:r>
    </w:p>
    <w:p>
      <w:pPr>
        <w:ind w:left="1700"/>
        <w:spacing w:after="0"/>
        <w:rPr>
          <w:rFonts w:ascii="Arial" w:cs="Arial" w:eastAsia="Arial" w:hAnsi="Arial"/>
          <w:sz w:val="18"/>
          <w:szCs w:val="18"/>
          <w:color w:val="auto"/>
        </w:rPr>
      </w:pPr>
      <w:r>
        <w:rPr>
          <w:rFonts w:ascii="Arial" w:cs="Arial" w:eastAsia="Arial" w:hAnsi="Arial"/>
          <w:sz w:val="18"/>
          <w:szCs w:val="18"/>
          <w:color w:val="auto"/>
        </w:rPr>
        <w:t>(SCH) XBRL Schema Document.</w:t>
      </w:r>
    </w:p>
    <w:p>
      <w:pPr>
        <w:spacing w:after="0" w:line="17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(CAL) XBRL Taxonomy Extension Calculation Linkbase Document.</w:t>
      </w:r>
    </w:p>
    <w:p>
      <w:pPr>
        <w:spacing w:after="0" w:line="171" w:lineRule="exact"/>
        <w:rPr>
          <w:rFonts w:ascii="Arial" w:cs="Arial" w:eastAsia="Arial" w:hAnsi="Arial"/>
          <w:sz w:val="18"/>
          <w:szCs w:val="18"/>
          <w:color w:val="auto"/>
        </w:rPr>
      </w:pPr>
    </w:p>
    <w:p>
      <w:pPr>
        <w:ind w:left="1700" w:right="2299"/>
        <w:spacing w:after="0" w:line="493" w:lineRule="auto"/>
        <w:rPr>
          <w:rFonts w:ascii="Arial" w:cs="Arial" w:eastAsia="Arial" w:hAnsi="Arial"/>
          <w:sz w:val="18"/>
          <w:szCs w:val="18"/>
          <w:color w:val="auto"/>
        </w:rPr>
      </w:pPr>
      <w:r>
        <w:rPr>
          <w:rFonts w:ascii="Arial" w:cs="Arial" w:eastAsia="Arial" w:hAnsi="Arial"/>
          <w:sz w:val="16"/>
          <w:szCs w:val="16"/>
          <w:color w:val="auto"/>
        </w:rPr>
        <w:t>(LAB) XBRL Taxonomy Extension Label Linkbase Document. (PRE) XBRL Taxonomy Extension Presentation Linkbase Document.</w:t>
      </w:r>
    </w:p>
    <w:p>
      <w:pPr>
        <w:ind w:left="1700"/>
        <w:spacing w:after="0"/>
        <w:rPr>
          <w:sz w:val="20"/>
          <w:szCs w:val="20"/>
          <w:color w:val="auto"/>
        </w:rPr>
      </w:pPr>
      <w:r>
        <w:rPr>
          <w:rFonts w:ascii="Arial" w:cs="Arial" w:eastAsia="Arial" w:hAnsi="Arial"/>
          <w:sz w:val="18"/>
          <w:szCs w:val="18"/>
          <w:color w:val="auto"/>
        </w:rPr>
        <w:t>(DEF) XBRL Taxonomy Extension Definition Linkbase Document.</w:t>
      </w:r>
    </w:p>
    <w:p>
      <w:pPr>
        <w:spacing w:after="0" w:line="171" w:lineRule="exact"/>
        <w:rPr>
          <w:sz w:val="20"/>
          <w:szCs w:val="20"/>
          <w:color w:val="auto"/>
        </w:rPr>
      </w:pPr>
    </w:p>
    <w:p>
      <w:pPr>
        <w:ind w:left="1700" w:right="479" w:hanging="1516"/>
        <w:spacing w:after="0" w:line="246" w:lineRule="auto"/>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5" w:right="1440" w:bottom="1440" w:gutter="0" w:footer="0" w:header="0"/>
        </w:sectPr>
      </w:pPr>
    </w:p>
    <w:bookmarkStart w:id="18" w:name="page19"/>
    <w:bookmarkEnd w:id="18"/>
    <w:p>
      <w:pPr>
        <w:ind w:left="380" w:hanging="330"/>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60"/>
        <w:spacing w:after="0"/>
        <w:tabs>
          <w:tab w:leader="none" w:pos="4380" w:val="left"/>
        </w:tabs>
        <w:rPr>
          <w:sz w:val="20"/>
          <w:szCs w:val="20"/>
          <w:color w:val="auto"/>
        </w:rPr>
      </w:pPr>
      <w:r>
        <w:rPr>
          <w:rFonts w:ascii="Arial" w:cs="Arial" w:eastAsia="Arial" w:hAnsi="Arial"/>
          <w:sz w:val="18"/>
          <w:szCs w:val="18"/>
          <w:color w:val="auto"/>
        </w:rPr>
        <w:t>Dated: February 23, 2022</w:t>
      </w:r>
      <w:r>
        <w:rPr>
          <w:sz w:val="20"/>
          <w:szCs w:val="20"/>
          <w:color w:val="auto"/>
        </w:rPr>
        <w:tab/>
      </w:r>
      <w:r>
        <w:rPr>
          <w:rFonts w:ascii="Arial" w:cs="Arial" w:eastAsia="Arial" w:hAnsi="Arial"/>
          <w:sz w:val="17"/>
          <w:szCs w:val="17"/>
          <w:b w:val="1"/>
          <w:bCs w:val="1"/>
          <w:color w:val="auto"/>
        </w:rPr>
        <w:t>UFP INDUSTRIES, INC.</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2674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Matthew J. Missad,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this 23</w:t>
      </w:r>
      <w:r>
        <w:rPr>
          <w:rFonts w:ascii="Arial" w:cs="Arial" w:eastAsia="Arial" w:hAnsi="Arial"/>
          <w:sz w:val="25"/>
          <w:szCs w:val="25"/>
          <w:color w:val="auto"/>
          <w:vertAlign w:val="superscript"/>
        </w:rPr>
        <w:t>rd</w:t>
      </w:r>
      <w:r>
        <w:rPr>
          <w:rFonts w:ascii="Arial" w:cs="Arial" w:eastAsia="Arial" w:hAnsi="Arial"/>
          <w:sz w:val="17"/>
          <w:szCs w:val="17"/>
          <w:color w:val="auto"/>
        </w:rPr>
        <w:t xml:space="preserve"> day of February, 2022, by the following persons on behalf of us and in the capacities indicated.</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26657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Matthew J. Missad,</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26657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Michael R. Cole,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Accounting Officer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Each Director whose signature appears below hereby appoints Matthew J. Missad and Michael R. Cole, and each of them individually, as his or her attorney-in-fact to sign in his or her name and on his or her behalf as a Director, and to file with the Commission any and all amendments to this report on Form 10-K to the same extent and with the same effect as if done personally.</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Joan A. Budden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7171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Joan A. Budden, Director</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Benjamin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717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Benjamin J. McLean, Director</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7171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Matthew J. Missad, Director</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Mary Tuuk Karas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7171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Mary Tuuk Karas, Director</w:t>
      </w:r>
    </w:p>
    <w:p>
      <w:pPr>
        <w:spacing w:after="0" w:line="224" w:lineRule="exact"/>
        <w:rPr>
          <w:sz w:val="20"/>
          <w:szCs w:val="20"/>
          <w:color w:val="auto"/>
        </w:rPr>
      </w:pPr>
    </w:p>
    <w:p>
      <w:pPr>
        <w:ind w:left="60" w:right="1440"/>
        <w:spacing w:after="0" w:line="359" w:lineRule="auto"/>
        <w:rPr>
          <w:sz w:val="20"/>
          <w:szCs w:val="20"/>
          <w:color w:val="auto"/>
        </w:rPr>
      </w:pPr>
      <w:r>
        <w:rPr>
          <w:rFonts w:ascii="Arial" w:cs="Arial" w:eastAsia="Arial" w:hAnsi="Arial"/>
          <w:sz w:val="16"/>
          <w:szCs w:val="16"/>
          <w:color w:val="auto"/>
        </w:rPr>
        <w:t xml:space="preserve">/s/ Michael G. Wooldridge </w:t>
      </w:r>
      <w:r>
        <w:rPr>
          <w:rFonts w:ascii="Arial" w:cs="Arial" w:eastAsia="Arial" w:hAnsi="Arial"/>
          <w:sz w:val="16"/>
          <w:szCs w:val="16"/>
          <w:b w:val="1"/>
          <w:bCs w:val="1"/>
          <w:color w:val="auto"/>
        </w:rPr>
        <w:t>Michael G. Wooldridge,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-202565</wp:posOffset>
            </wp:positionV>
            <wp:extent cx="27171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William 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746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William G. Currie, Director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Bruce A.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74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A. Merino,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Thomas W.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746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W. Rhodes, Director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Brian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74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C. Walker, Director</w:t>
      </w:r>
    </w:p>
    <w:p>
      <w:pPr>
        <w:spacing w:after="0" w:line="974" w:lineRule="exact"/>
        <w:rPr>
          <w:sz w:val="20"/>
          <w:szCs w:val="20"/>
          <w:color w:val="auto"/>
        </w:rPr>
      </w:pPr>
    </w:p>
    <w:p>
      <w:pPr>
        <w:sectPr>
          <w:pgSz w:w="11900" w:h="16838" w:orient="portrait"/>
          <w:cols w:equalWidth="0" w:num="2">
            <w:col w:w="4020" w:space="720"/>
            <w:col w:w="4279"/>
          </w:cols>
          <w:pgMar w:left="14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4(b)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brief description of the common stock of UFP Industries, Inc.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This summary does not purport to be complete in all respects and is subject to and qualified in its entirety by reference to the Company’s Restated and Amended Articles of Incorporation (the "Articles of Incorporation") and Amended Bylaws (the "Bylaws"), each of which are filed as exhibits to the Annual Report on Form 10-K of which this </w:t>
      </w:r>
      <w:r>
        <w:rPr>
          <w:rFonts w:ascii="Arial" w:cs="Arial" w:eastAsia="Arial" w:hAnsi="Arial"/>
          <w:sz w:val="18"/>
          <w:szCs w:val="18"/>
          <w:u w:val="single" w:color="auto"/>
          <w:color w:val="auto"/>
        </w:rPr>
        <w:t>Exhibit 4(b)</w:t>
      </w:r>
      <w:r>
        <w:rPr>
          <w:rFonts w:ascii="Arial" w:cs="Arial" w:eastAsia="Arial" w:hAnsi="Arial"/>
          <w:sz w:val="18"/>
          <w:szCs w:val="18"/>
          <w:color w:val="auto"/>
        </w:rPr>
        <w:t xml:space="preserve"> is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authorized capital stock consists of 80,000,000 shares of common stock and 1,000,000 shares of preferred stock. As of December 25, 2021, there were no shares of preferred stock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prior rights of the holders of shares of preferred stock that may be issued and outstanding, if any, the holders of common stock are entitled to receive:</w:t>
      </w:r>
    </w:p>
    <w:p>
      <w:pPr>
        <w:spacing w:after="0" w:line="170" w:lineRule="exact"/>
        <w:rPr>
          <w:sz w:val="20"/>
          <w:szCs w:val="20"/>
          <w:color w:val="auto"/>
        </w:rPr>
      </w:pPr>
    </w:p>
    <w:p>
      <w:pPr>
        <w:ind w:left="1000" w:hanging="31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dividends when, as, and if declared by the Company’s Board of Directors out of funds legally available for the payment of dividends; and</w:t>
      </w:r>
    </w:p>
    <w:p>
      <w:pPr>
        <w:spacing w:after="0" w:line="170"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dissolution of the Company, to share ratably in all assets remaining after payment of liabilities and satisfaction of the liquidation preferences, if any, of then outstanding shares of preferred stock, as provided in the Articles of Incorporation.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holder of common stock is entitled to one vote for each share held of record on all matters presented to a vote at a shareholders meeting, including the election of directors. Holders of common stock have no cumulative voting rights.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Articles of Incorporation provide that the Company’s Board of Directors be divided into three classes of nearly equal size, with the classes to hold office for staggered terms of three years each.</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vote required for the election of a director shall, except in a contested election, be the affirmative vote of a majority of the votes cast in the election of a nominee. For this purpose, a “majority of the votes cast” means that the number of votes cast “for” a director’s election exceeds the number of votes cast “against” that director’s election. Abstentions and broker non-votes are not counted as votes cast either “for” or “against” a director’s election. In a contested election, directors are elected by a plurality of the votes cast at the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An election is considered contested if there are more nominees for election than positions on the Board of Directors to be filled by election at that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common stock is currently traded on the Nasdaq Global Select Market under the symbol “ufpi.”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Anti-Takeover Provisions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Articles of Incorporation and Bylaws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of the outstanding shares of the Company’s common stock are fully paid and non-assessable. Holders of common stock have no preemptive rights to purchase or subscribe for any additional shares of common stock or other securities, and there are no conversion rights or redemption or sinking fund provisions with respect to the Company’s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transfer agent for the Company’s common stock is American Stock Transfer &amp; Trust Co., 6201 15th Avenue, Brooklyn, 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8"/>
              </w:rPr>
              <w:t>Exhibit 13</w:t>
            </w: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9"/>
              </w:rPr>
              <w:t>UFP INDUSTRIES, INC.</w:t>
            </w:r>
          </w:p>
        </w:tc>
        <w:tc>
          <w:tcPr>
            <w:tcW w:w="8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9"/>
          </w:tcPr>
          <w:p>
            <w:pPr>
              <w:jc w:val="center"/>
              <w:ind w:right="2300"/>
              <w:spacing w:after="0"/>
              <w:rPr>
                <w:sz w:val="20"/>
                <w:szCs w:val="20"/>
                <w:color w:val="auto"/>
              </w:rPr>
            </w:pPr>
            <w:r>
              <w:rPr>
                <w:rFonts w:ascii="Arial" w:cs="Arial" w:eastAsia="Arial" w:hAnsi="Arial"/>
                <w:sz w:val="18"/>
                <w:szCs w:val="18"/>
                <w:b w:val="1"/>
                <w:bCs w:val="1"/>
                <w:color w:val="auto"/>
              </w:rPr>
              <w:t>FINANCIAL INFORMATION</w:t>
            </w:r>
          </w:p>
        </w:tc>
        <w:tc>
          <w:tcPr>
            <w:tcW w:w="8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89"/>
              </w:rPr>
              <w:t>Table of Contents</w:t>
            </w:r>
          </w:p>
        </w:tc>
        <w:tc>
          <w:tcPr>
            <w:tcW w:w="8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04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158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Report of Independent Registered Public Accounting Firm – Opinion on Internal Control over Financial</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3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 xml:space="preserve">Reporting </w:t>
              </w:r>
              <w:r>
                <w:rPr>
                  <w:rFonts w:ascii="Arial" w:cs="Arial" w:eastAsia="Arial" w:hAnsi="Arial"/>
                  <w:sz w:val="18"/>
                  <w:szCs w:val="18"/>
                  <w:color w:val="000000"/>
                </w:rPr>
                <w:t>(PCAOB ID 34)</w:t>
              </w:r>
            </w:hyperlink>
          </w:p>
        </w:tc>
        <w:tc>
          <w:tcPr>
            <w:tcW w:w="56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 xml:space="preserve">Report of Independent Registered Public Accounting Firm – Opinion on the Financial Statements </w:t>
              </w:r>
            </w:hyperlink>
            <w:r>
              <w:rPr>
                <w:rFonts w:ascii="Arial" w:cs="Arial" w:eastAsia="Arial" w:hAnsi="Arial"/>
                <w:sz w:val="18"/>
                <w:szCs w:val="18"/>
                <w:color w:val="000000"/>
                <w:w w:val="92"/>
              </w:rPr>
              <w:t>(PCAOB</w:t>
            </w:r>
            <w:r>
              <w:rPr>
                <w:rFonts w:ascii="Arial" w:cs="Arial" w:eastAsia="Arial" w:hAnsi="Arial"/>
                <w:sz w:val="18"/>
                <w:szCs w:val="18"/>
                <w:color w:val="0000EE"/>
                <w:w w:val="92"/>
              </w:rPr>
              <w:t xml:space="preserve"> </w:t>
            </w:r>
            <w:r>
              <w:rPr>
                <w:rFonts w:ascii="Arial" w:cs="Arial" w:eastAsia="Arial" w:hAnsi="Arial"/>
                <w:sz w:val="18"/>
                <w:szCs w:val="18"/>
                <w:color w:val="000000"/>
                <w:w w:val="92"/>
              </w:rPr>
              <w:t>ID</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6"/>
        </w:trPr>
        <w:tc>
          <w:tcPr>
            <w:tcW w:w="20" w:type="dxa"/>
            <w:vAlign w:val="bottom"/>
          </w:tcPr>
          <w:p>
            <w:pPr>
              <w:spacing w:after="0"/>
              <w:rPr>
                <w:sz w:val="20"/>
                <w:szCs w:val="20"/>
                <w:color w:val="auto"/>
              </w:rPr>
            </w:pPr>
          </w:p>
        </w:tc>
        <w:tc>
          <w:tcPr>
            <w:tcW w:w="840" w:type="dxa"/>
            <w:vAlign w:val="bottom"/>
            <w:tcBorders>
              <w:top w:val="single" w:sz="8" w:color="0000EE"/>
            </w:tcBorders>
            <w:gridSpan w:val="2"/>
          </w:tcPr>
          <w:p>
            <w:pPr>
              <w:ind w:left="120"/>
              <w:spacing w:after="0"/>
              <w:rPr>
                <w:sz w:val="20"/>
                <w:szCs w:val="20"/>
                <w:color w:val="auto"/>
              </w:rPr>
            </w:pPr>
            <w:r>
              <w:rPr>
                <w:rFonts w:ascii="Arial" w:cs="Arial" w:eastAsia="Arial" w:hAnsi="Arial"/>
                <w:sz w:val="18"/>
                <w:szCs w:val="18"/>
                <w:color w:val="auto"/>
              </w:rPr>
              <w:t>34)</w:t>
            </w:r>
          </w:p>
        </w:tc>
        <w:tc>
          <w:tcPr>
            <w:tcW w:w="7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3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27"/>
        </w:trPr>
        <w:tc>
          <w:tcPr>
            <w:tcW w:w="20" w:type="dxa"/>
            <w:vAlign w:val="bottom"/>
          </w:tcPr>
          <w:p>
            <w:pPr>
              <w:spacing w:after="0"/>
              <w:rPr>
                <w:sz w:val="24"/>
                <w:szCs w:val="24"/>
                <w:color w:val="auto"/>
              </w:rPr>
            </w:pPr>
          </w:p>
        </w:tc>
        <w:tc>
          <w:tcPr>
            <w:tcW w:w="57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Balance Sheets as of December 25, 2021 and December 26, 2020</w:t>
              </w:r>
            </w:hyperlink>
          </w:p>
        </w:tc>
        <w:tc>
          <w:tcPr>
            <w:tcW w:w="234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47"/>
        </w:trPr>
        <w:tc>
          <w:tcPr>
            <w:tcW w:w="2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Earnings and Comprehensive Income for the Years Ended December 25, 2021,</w:t>
              </w:r>
            </w:hyperlink>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December 26, 2020, and December 28, 2019</w:t>
              </w:r>
            </w:hyperlink>
          </w:p>
        </w:tc>
        <w:tc>
          <w:tcPr>
            <w:tcW w:w="8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Consolidated Statements of Shareholders’ Equity for the Years Ended December 25, 2021, December 26,</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2020, and December 28, 2019</w:t>
              </w:r>
            </w:hyperlink>
          </w:p>
        </w:tc>
        <w:tc>
          <w:tcPr>
            <w:tcW w:w="5260" w:type="dxa"/>
            <w:vAlign w:val="bottom"/>
            <w:tcBorders>
              <w:top w:val="single" w:sz="8" w:color="0000EE"/>
            </w:tcBorders>
            <w:gridSpan w:val="9"/>
          </w:tcPr>
          <w:p>
            <w:pPr>
              <w:spacing w:after="0"/>
              <w:rPr>
                <w:sz w:val="17"/>
                <w:szCs w:val="17"/>
                <w:color w:val="auto"/>
              </w:rPr>
            </w:pPr>
          </w:p>
        </w:tc>
        <w:tc>
          <w:tcPr>
            <w:tcW w:w="4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Consolidated Statements of Cash Flows for the Years Ended December 25, 2021, December 26, 2020, and</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December 28, 2019</w:t>
              </w:r>
            </w:hyperlink>
          </w:p>
        </w:tc>
        <w:tc>
          <w:tcPr>
            <w:tcW w:w="6100" w:type="dxa"/>
            <w:vAlign w:val="bottom"/>
            <w:tcBorders>
              <w:top w:val="single" w:sz="8" w:color="0000EE"/>
            </w:tcBorders>
            <w:gridSpan w:val="14"/>
          </w:tcPr>
          <w:p>
            <w:pPr>
              <w:spacing w:after="0"/>
              <w:rPr>
                <w:sz w:val="17"/>
                <w:szCs w:val="17"/>
                <w:color w:val="auto"/>
              </w:rPr>
            </w:pPr>
          </w:p>
        </w:tc>
        <w:tc>
          <w:tcPr>
            <w:tcW w:w="4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47"/>
        </w:trPr>
        <w:tc>
          <w:tcPr>
            <w:tcW w:w="20" w:type="dxa"/>
            <w:vAlign w:val="bottom"/>
          </w:tcPr>
          <w:p>
            <w:pPr>
              <w:spacing w:after="0"/>
              <w:rPr>
                <w:sz w:val="24"/>
                <w:szCs w:val="24"/>
                <w:color w:val="auto"/>
              </w:rPr>
            </w:pPr>
          </w:p>
        </w:tc>
        <w:tc>
          <w:tcPr>
            <w:tcW w:w="3140" w:type="dxa"/>
            <w:vAlign w:val="bottom"/>
            <w:tcBorders>
              <w:top w:val="single" w:sz="8" w:color="0000EE"/>
            </w:tcBorders>
            <w:gridSpan w:val="10"/>
          </w:tcPr>
          <w:p>
            <w:pPr>
              <w:spacing w:after="0"/>
              <w:rPr>
                <w:rFonts w:ascii="Arial" w:cs="Arial" w:eastAsia="Arial" w:hAnsi="Arial"/>
                <w:sz w:val="18"/>
                <w:szCs w:val="18"/>
                <w:color w:val="0000EE"/>
                <w:w w:val="93"/>
              </w:rPr>
            </w:pPr>
            <w:hyperlink w:anchor="page77">
              <w:r>
                <w:rPr>
                  <w:rFonts w:ascii="Arial" w:cs="Arial" w:eastAsia="Arial" w:hAnsi="Arial"/>
                  <w:sz w:val="18"/>
                  <w:szCs w:val="18"/>
                  <w:color w:val="0000EE"/>
                  <w:w w:val="93"/>
                </w:rPr>
                <w:t>Market Information for our Common Stock</w:t>
              </w:r>
            </w:hyperlink>
          </w:p>
        </w:tc>
        <w:tc>
          <w:tcPr>
            <w:tcW w:w="490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547"/>
        </w:trPr>
        <w:tc>
          <w:tcPr>
            <w:tcW w:w="20" w:type="dxa"/>
            <w:vAlign w:val="bottom"/>
          </w:tcPr>
          <w:p>
            <w:pPr>
              <w:spacing w:after="0"/>
              <w:rPr>
                <w:sz w:val="24"/>
                <w:szCs w:val="24"/>
                <w:color w:val="auto"/>
              </w:rPr>
            </w:pPr>
          </w:p>
        </w:tc>
        <w:tc>
          <w:tcPr>
            <w:tcW w:w="3120" w:type="dxa"/>
            <w:vAlign w:val="bottom"/>
            <w:tcBorders>
              <w:top w:val="single" w:sz="8" w:color="0000EE"/>
            </w:tcBorders>
            <w:gridSpan w:val="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Stock Performance Graph</w:t>
              </w:r>
            </w:hyperlink>
          </w:p>
        </w:tc>
        <w:tc>
          <w:tcPr>
            <w:tcW w:w="492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20" w:type="dxa"/>
            <w:vAlign w:val="bottom"/>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Directors and Executive Officers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547"/>
        </w:trPr>
        <w:tc>
          <w:tcPr>
            <w:tcW w:w="20" w:type="dxa"/>
            <w:vAlign w:val="bottom"/>
          </w:tcPr>
          <w:p>
            <w:pPr>
              <w:spacing w:after="0"/>
              <w:rPr>
                <w:sz w:val="24"/>
                <w:szCs w:val="24"/>
                <w:color w:val="auto"/>
              </w:rPr>
            </w:pPr>
          </w:p>
        </w:tc>
        <w:tc>
          <w:tcPr>
            <w:tcW w:w="2360" w:type="dxa"/>
            <w:vAlign w:val="bottom"/>
            <w:tcBorders>
              <w:top w:val="single" w:sz="8" w:color="0000EE"/>
            </w:tcBorders>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Shareholder Information</w:t>
              </w:r>
            </w:hyperlink>
          </w:p>
        </w:tc>
        <w:tc>
          <w:tcPr>
            <w:tcW w:w="568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701"/>
        </w:trPr>
        <w:tc>
          <w:tcPr>
            <w:tcW w:w="2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 except per share and statistics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00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6"/>
              </w:rPr>
              <w:t>Consolidated Statement of Earnings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w w:val="89"/>
              </w:rPr>
              <w:t>8,636,134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5,153,998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4,416,009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4,489,180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3,941,182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9"/>
              </w:rPr>
              <w:t>1,406,967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800,296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685,518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592,894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Earnings from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737,554</w:t>
            </w:r>
          </w:p>
        </w:tc>
        <w:tc>
          <w:tcPr>
            <w:tcW w:w="18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345,826</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244,906</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207,263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181,469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726,336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340,983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240,674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197,853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176,007</w:t>
            </w: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w w:val="98"/>
              </w:rPr>
              <w:t>Net earnings attributable to controlling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020" w:type="dxa"/>
            <w:vAlign w:val="bottom"/>
            <w:gridSpan w:val="3"/>
          </w:tcPr>
          <w:p>
            <w:pPr>
              <w:ind w:left="20"/>
              <w:spacing w:after="0"/>
              <w:rPr>
                <w:sz w:val="20"/>
                <w:szCs w:val="20"/>
                <w:color w:val="auto"/>
              </w:rPr>
            </w:pPr>
            <w:r>
              <w:rPr>
                <w:rFonts w:ascii="Arial" w:cs="Arial" w:eastAsia="Arial" w:hAnsi="Arial"/>
                <w:sz w:val="18"/>
                <w:szCs w:val="18"/>
                <w:color w:val="auto"/>
              </w:rPr>
              <w:t>interest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535,640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246,778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179,650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148,598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119,512</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Dividends per share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0.65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0.50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0.40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0.36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line="216" w:lineRule="exact"/>
              <w:rPr>
                <w:sz w:val="20"/>
                <w:szCs w:val="20"/>
                <w:color w:val="auto"/>
              </w:rPr>
            </w:pPr>
            <w:r>
              <w:rPr>
                <w:rFonts w:ascii="Arial" w:cs="Arial" w:eastAsia="Arial" w:hAnsi="Arial"/>
                <w:sz w:val="17"/>
                <w:szCs w:val="17"/>
                <w:color w:val="auto"/>
              </w:rPr>
              <w:t>Working capital</w:t>
            </w:r>
            <w:r>
              <w:rPr>
                <w:rFonts w:ascii="Arial" w:cs="Arial" w:eastAsia="Arial" w:hAnsi="Arial"/>
                <w:sz w:val="25"/>
                <w:szCs w:val="25"/>
                <w:color w:val="auto"/>
                <w:vertAlign w:val="superscript"/>
              </w:rPr>
              <w:t>(1)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w w:val="89"/>
              </w:rPr>
              <w:t>1,297,434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1,074,613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739,030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685,108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560,241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286,662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436,507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168,336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27,316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w w:val="89"/>
              </w:rPr>
              <w:t>3,245,271</w:t>
            </w:r>
          </w:p>
        </w:tc>
        <w:tc>
          <w:tcPr>
            <w:tcW w:w="18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2,404,891</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1,889,477</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1,647,548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1,464,677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320,250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311,707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163,683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202,278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w w:val="89"/>
              </w:rPr>
              <w:t>2,016,569</w:t>
            </w:r>
          </w:p>
        </w:tc>
        <w:tc>
          <w:tcPr>
            <w:tcW w:w="18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1,483,152</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1,257,733</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1,088,684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974,023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Statistics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1"/>
              </w:rPr>
              <w:t>Gross profit as a percentage of net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16.3 %</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13.2 %</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13.8 %</w:t>
            </w:r>
          </w:p>
        </w:tc>
      </w:tr>
      <w:tr>
        <w:trPr>
          <w:trHeight w:val="202"/>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Net earnings attributable to controlling</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as a percentage of net sales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line="216" w:lineRule="exact"/>
              <w:rPr>
                <w:sz w:val="20"/>
                <w:szCs w:val="20"/>
                <w:color w:val="auto"/>
              </w:rPr>
            </w:pPr>
            <w:r>
              <w:rPr>
                <w:rFonts w:ascii="Arial" w:cs="Arial" w:eastAsia="Arial" w:hAnsi="Arial"/>
                <w:sz w:val="17"/>
                <w:szCs w:val="17"/>
                <w:color w:val="auto"/>
              </w:rPr>
              <w:t>Return on beginning equity</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36.1 %</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15.3 %</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13.9 %</w:t>
            </w: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Current ratio</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line="216" w:lineRule="exact"/>
              <w:rPr>
                <w:sz w:val="20"/>
                <w:szCs w:val="20"/>
                <w:color w:val="auto"/>
              </w:rPr>
            </w:pPr>
            <w:r>
              <w:rPr>
                <w:rFonts w:ascii="Arial" w:cs="Arial" w:eastAsia="Arial" w:hAnsi="Arial"/>
                <w:sz w:val="17"/>
                <w:szCs w:val="17"/>
                <w:color w:val="auto"/>
              </w:rPr>
              <w:t>Debt to equity ratio</w:t>
            </w:r>
            <w:r>
              <w:rPr>
                <w:rFonts w:ascii="Arial" w:cs="Arial" w:eastAsia="Arial" w:hAnsi="Arial"/>
                <w:sz w:val="25"/>
                <w:szCs w:val="25"/>
                <w:color w:val="auto"/>
                <w:vertAlign w:val="superscript"/>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Book value per common share</w:t>
            </w:r>
            <w:r>
              <w:rPr>
                <w:rFonts w:ascii="Arial" w:cs="Arial" w:eastAsia="Arial" w:hAnsi="Arial"/>
                <w:sz w:val="25"/>
                <w:szCs w:val="25"/>
                <w:color w:val="auto"/>
                <w:vertAlign w:val="superscript"/>
              </w:rPr>
              <w:t>(3)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24.23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60" w:type="dxa"/>
            <w:vAlign w:val="bottom"/>
            <w:shd w:val="clear" w:color="auto" w:fill="CCEEFF"/>
          </w:tcPr>
          <w:p>
            <w:pPr>
              <w:spacing w:after="0"/>
              <w:rPr>
                <w:sz w:val="18"/>
                <w:szCs w:val="18"/>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7"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assets less current liabilities.</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earnings attributable to controlling interest divided by beginning shareholders’ equity.</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Shareholders’ equity divided by common stock outstanding.</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assets divided by current liabilities.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debt divided by shareholders’ equity.</w:t>
      </w:r>
    </w:p>
    <w:p>
      <w:pPr>
        <w:spacing w:after="0" w:line="211" w:lineRule="exact"/>
        <w:rPr>
          <w:sz w:val="20"/>
          <w:szCs w:val="20"/>
          <w:color w:val="auto"/>
        </w:rPr>
      </w:pPr>
    </w:p>
    <w:p>
      <w:pPr>
        <w:ind w:left="60" w:right="479"/>
        <w:spacing w:after="0" w:line="286" w:lineRule="auto"/>
        <w:rPr>
          <w:sz w:val="20"/>
          <w:szCs w:val="20"/>
          <w:color w:val="auto"/>
        </w:rPr>
      </w:pPr>
      <w:r>
        <w:rPr>
          <w:rFonts w:ascii="Arial" w:cs="Arial" w:eastAsia="Arial" w:hAnsi="Arial"/>
          <w:sz w:val="17"/>
          <w:szCs w:val="17"/>
          <w:color w:val="auto"/>
        </w:rPr>
        <w:t>Acquisition growth is one of the primary contributing factors to material increases over the period from 2017 to 2021. Refer to Note C under the “Notes to the Consolidated Financial Statements” for further discussion on our business combinations and impact on our financial statements for the three years ended December 25, 2021.</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UFP Industries, Inc. is a holding company with subsidiaries throughout North America, Europe, Asia, and Australia that design, manufacture, and supply products made from wood, wood and non-wood composites, and other materials to three markets: retail, industrial, and construction. We are headquartered in Grand Rapids, Mich. For more information about UFP Industries, Inc., or its affiliated operations, go to www.ufpi.com.</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the COVID-19 pandemic (“pandemic”); and our ability to make successful business acquisitions. Certain of these risk factors as well as other risk factors and additional information are included in our reports on Form 10-K and 10-Q on file with the Securities and Exchange Commission. We are pleased to present this overview of 2021.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2021 were impacted by the following:</w:t>
      </w:r>
    </w:p>
    <w:p>
      <w:pPr>
        <w:spacing w:after="0" w:line="225" w:lineRule="exact"/>
        <w:rPr>
          <w:sz w:val="20"/>
          <w:szCs w:val="20"/>
          <w:color w:val="auto"/>
        </w:rPr>
      </w:pPr>
    </w:p>
    <w:p>
      <w:pPr>
        <w:jc w:val="both"/>
        <w:ind w:left="720" w:right="79" w:hanging="319"/>
        <w:spacing w:after="0" w:line="259"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net sales increased 68% in 2021 due to a 40% increase in our overall selling prices (see “Historical Lumber Prices”), a 24% increase in unit sales due to acquired businesses, and a 4% increase in organic unit sales. Organic unit growth of 14% and 5% in our construction and industrial segments, respectively, was offset by an organic unit decline of 4% in our retail segment.</w:t>
      </w:r>
    </w:p>
    <w:p>
      <w:pPr>
        <w:spacing w:after="0" w:line="186" w:lineRule="exact"/>
        <w:rPr>
          <w:rFonts w:ascii="Arial" w:cs="Arial" w:eastAsia="Arial" w:hAnsi="Arial"/>
          <w:sz w:val="18"/>
          <w:szCs w:val="18"/>
          <w:color w:val="auto"/>
        </w:rPr>
      </w:pPr>
    </w:p>
    <w:p>
      <w:pPr>
        <w:jc w:val="both"/>
        <w:ind w:left="720" w:right="79" w:hanging="319"/>
        <w:spacing w:after="0" w:line="254"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Earnings from operations increased 113.3% to $737.6 million. This increase resulted from a variety of factors including strong demand in our industrial and construction segments and leveraging our fixed costs, increased sales of value-added and new products that have higher margins, and increased selling prices as we improve our ability to execute value-based pricing initiatives. Acquisitions contributed approximately $50.5 million to our increase in operating profits. Excluding the impact of acquisitions, we estimate that value-added products contributed $367.1 million to the increase in gross profits and commodity-based products contributed $139.2 million.</w:t>
      </w:r>
    </w:p>
    <w:p>
      <w:pPr>
        <w:spacing w:after="0" w:line="194"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cash flows provided by operations in 2021 was $512.5 million compared to $336.5 million in 2020. This increase is due primarily to an increase in our net earnings and non-cash expenses of $316.0 million, offset by an increase in our investment in net working capital of $140.0 million compared to the prior period. The increase in net working capital was due to higher year over year lumber prices, as noted in the tables below, as well as increased demand in our industrial and construction segments. PalletOne and other acquisitions also contributed to the increase in our net working capital.</w:t>
      </w:r>
    </w:p>
    <w:p>
      <w:pPr>
        <w:spacing w:after="0" w:line="19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invested $151.2 million in capital expenditures to support and grow our business and invested $476.0 million in acquired businesses.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returned $40.2 million to our shareholders through dividends.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net debt (debt and cash overdraft less cash) at the end of 2021 was $50.6 million compared to net cash of $124.8 million at the end of 2020.</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available borrowing capacity under revolving credit facilities and cash surplus resulted in total liquidity of approximately $805 million at the end of December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Random Lengths framing lumber composite price.</w:t>
      </w:r>
    </w:p>
    <w:p>
      <w:pPr>
        <w:spacing w:after="0" w:line="230"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Random Lengths Composite</w:t>
      </w:r>
    </w:p>
    <w:p>
      <w:pPr>
        <w:jc w:val="center"/>
        <w:ind w:left="670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April</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June</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August</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October</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December</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gridSpan w:val="2"/>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Year-to-date average</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Year-to-date percentage change</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580" w:type="dxa"/>
            <w:vAlign w:val="bottom"/>
          </w:tcPr>
          <w:p>
            <w:pPr>
              <w:jc w:val="right"/>
              <w:ind w:right="23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 approximately 57% and 62% of total lumber purchases, excluding plywood and other panel products, for 2021 and 2020, respectively.</w:t>
      </w:r>
    </w:p>
    <w:p>
      <w:pPr>
        <w:spacing w:after="0" w:line="189"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Southern Yellow Pine</w:t>
      </w:r>
    </w:p>
    <w:p>
      <w:pPr>
        <w:jc w:val="center"/>
        <w:ind w:left="682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6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February</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April</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June</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August</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October</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December</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Year-to-date average</w:t>
            </w:r>
          </w:p>
        </w:tc>
        <w:tc>
          <w:tcPr>
            <w:tcW w:w="2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IMPACT OF THE LUMBER MARKET ON OUR OPERATING RESULTS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including plywood and other panel products, were 47.7% and 51.0% of our net sales in 2021 and 2020, respectively.</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Our gross margins are impacted by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720" w:right="79" w:hanging="319"/>
        <w:spacing w:after="0" w:line="270"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decking and fencing sold to retail building materials customers, as well as trusses, wall panels and other components sold to the residential construction market, and most industrial packaging and other manufactured products for industrial users.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7"/>
          <w:szCs w:val="17"/>
          <w:u w:val="single" w:color="auto"/>
          <w:color w:val="auto"/>
        </w:rPr>
        <w:t>trends</w:t>
      </w:r>
      <w:r>
        <w:rPr>
          <w:rFonts w:ascii="Arial" w:cs="Arial" w:eastAsia="Arial" w:hAnsi="Arial"/>
          <w:sz w:val="17"/>
          <w:szCs w:val="17"/>
          <w:color w:val="auto"/>
        </w:rPr>
        <w:t xml:space="preserve"> in the price of component lumber products, we attempt to lock in costs with our suppliers for these sales commitments. Also, the time period and quantity limitations allow us to eventually re-price our products for changes in lumber prices from our suppliers. In 2021, strong demand and unusually high lumber market volatility has allowed us to re-price these products more frequently to protect margins.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720" w:right="79" w:hanging="319"/>
        <w:spacing w:after="0" w:line="291"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profitability. In other words, for these products, our margins are exposed to changes in the trend of lumber prices. We believe our sales of these products are at their highest relative level in our second quarter, primarily due to treated lumber sold to the retail market.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720" w:right="79" w:hanging="319"/>
        <w:spacing w:after="0" w:line="254"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16% of our total sales. This exposure is less significant with remanufactured lumber, trusses sold to the manufactured housing market, and other similar products, due to our higher rate of inventory turnover of these products. We attempt to mitigate the risk associated with treated lumber through vendor consignment inventory programs. (</w:t>
      </w:r>
      <w:r>
        <w:rPr>
          <w:rFonts w:ascii="Arial" w:cs="Arial" w:eastAsia="Arial" w:hAnsi="Arial"/>
          <w:sz w:val="18"/>
          <w:szCs w:val="18"/>
          <w:i w:val="1"/>
          <w:iCs w:val="1"/>
          <w:color w:val="auto"/>
        </w:rPr>
        <w:t>Please refer to</w:t>
      </w:r>
      <w:r>
        <w:rPr>
          <w:rFonts w:ascii="Arial" w:cs="Arial" w:eastAsia="Arial" w:hAnsi="Arial"/>
          <w:sz w:val="18"/>
          <w:szCs w:val="18"/>
          <w:color w:val="auto"/>
        </w:rPr>
        <w:t xml:space="preserve"> </w:t>
      </w:r>
      <w:r>
        <w:rPr>
          <w:rFonts w:ascii="Arial" w:cs="Arial" w:eastAsia="Arial" w:hAnsi="Arial"/>
          <w:sz w:val="18"/>
          <w:szCs w:val="18"/>
          <w:i w:val="1"/>
          <w:iCs w:val="1"/>
          <w:color w:val="auto"/>
        </w:rPr>
        <w:t>the “Risk Factors” section of our annual report on form 10-K, filed with the United States Securities and Exchange Commission.</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720" w:right="79" w:hanging="319"/>
        <w:spacing w:after="0" w:line="311"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 sold under long-term supply arrangements, particularly those involving multi-family construction projects.</w:t>
      </w:r>
      <w:r>
        <w:rPr>
          <w:rFonts w:ascii="Arial" w:cs="Arial" w:eastAsia="Arial" w:hAnsi="Arial"/>
          <w:sz w:val="16"/>
          <w:szCs w:val="16"/>
          <w:color w:val="auto"/>
        </w:rPr>
        <w:t xml:space="preserve"> We attempt to mitigate this risk through our purchasing practices by locking in costs or including re-pricing triggers with customers if lumber prices change in excess of an agreed upon percentage.</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In addition to the impact of the Lumber Market </w:t>
      </w:r>
      <w:r>
        <w:rPr>
          <w:rFonts w:ascii="Arial" w:cs="Arial" w:eastAsia="Arial" w:hAnsi="Arial"/>
          <w:sz w:val="18"/>
          <w:szCs w:val="18"/>
          <w:u w:val="single" w:color="auto"/>
          <w:color w:val="auto"/>
        </w:rPr>
        <w:t>trends</w:t>
      </w:r>
      <w:r>
        <w:rPr>
          <w:rFonts w:ascii="Arial" w:cs="Arial" w:eastAsia="Arial" w:hAnsi="Arial"/>
          <w:sz w:val="18"/>
          <w:szCs w:val="18"/>
          <w:color w:val="auto"/>
        </w:rPr>
        <w:t xml:space="preserve"> on gross margins, changes in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within each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r>
      <w:tr>
        <w:trPr>
          <w:trHeight w:val="21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r>
      <w:tr>
        <w:trPr>
          <w:trHeight w:val="20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 As a result of this factor, we believe it is useful to compare our change in units sold with our change in gross profits, selling, general, and administrative expenses, and operating profits as presented in the following table.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6"/>
        </w:trPr>
        <w:tc>
          <w:tcPr>
            <w:tcW w:w="38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400" w:type="dxa"/>
            <w:vAlign w:val="bottom"/>
            <w:gridSpan w:val="3"/>
          </w:tcPr>
          <w:p>
            <w:pPr>
              <w:ind w:left="220"/>
              <w:spacing w:after="0" w:line="126" w:lineRule="exact"/>
              <w:rPr>
                <w:sz w:val="20"/>
                <w:szCs w:val="20"/>
                <w:color w:val="auto"/>
              </w:rPr>
            </w:pPr>
            <w:r>
              <w:rPr>
                <w:rFonts w:ascii="Arial" w:cs="Arial" w:eastAsia="Arial" w:hAnsi="Arial"/>
                <w:sz w:val="14"/>
                <w:szCs w:val="14"/>
                <w:b w:val="1"/>
                <w:bCs w:val="1"/>
                <w:color w:val="auto"/>
              </w:rPr>
              <w:t>December 25,</w:t>
            </w:r>
          </w:p>
        </w:tc>
        <w:tc>
          <w:tcPr>
            <w:tcW w:w="1260" w:type="dxa"/>
            <w:vAlign w:val="bottom"/>
            <w:gridSpan w:val="2"/>
          </w:tcPr>
          <w:p>
            <w:pPr>
              <w:jc w:val="right"/>
              <w:ind w:right="110"/>
              <w:spacing w:after="0" w:line="126" w:lineRule="exact"/>
              <w:rPr>
                <w:sz w:val="20"/>
                <w:szCs w:val="20"/>
                <w:color w:val="auto"/>
              </w:rPr>
            </w:pPr>
            <w:r>
              <w:rPr>
                <w:rFonts w:ascii="Arial" w:cs="Arial" w:eastAsia="Arial" w:hAnsi="Arial"/>
                <w:sz w:val="14"/>
                <w:szCs w:val="14"/>
                <w:b w:val="1"/>
                <w:bCs w:val="1"/>
                <w:color w:val="auto"/>
              </w:rPr>
              <w:t>December 26,</w:t>
            </w:r>
          </w:p>
        </w:tc>
        <w:tc>
          <w:tcPr>
            <w:tcW w:w="20" w:type="dxa"/>
            <w:vAlign w:val="bottom"/>
          </w:tcPr>
          <w:p>
            <w:pPr>
              <w:spacing w:after="0"/>
              <w:rPr>
                <w:sz w:val="10"/>
                <w:szCs w:val="10"/>
                <w:color w:val="auto"/>
              </w:rPr>
            </w:pPr>
          </w:p>
        </w:tc>
      </w:tr>
      <w:tr>
        <w:trPr>
          <w:trHeight w:val="178"/>
        </w:trPr>
        <w:tc>
          <w:tcPr>
            <w:tcW w:w="3840" w:type="dxa"/>
            <w:vAlign w:val="bottom"/>
          </w:tcPr>
          <w:p>
            <w:pPr>
              <w:spacing w:after="0"/>
              <w:rPr>
                <w:sz w:val="15"/>
                <w:szCs w:val="15"/>
                <w:color w:val="auto"/>
              </w:rPr>
            </w:pPr>
          </w:p>
        </w:tc>
        <w:tc>
          <w:tcPr>
            <w:tcW w:w="336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sold</w:t>
            </w:r>
          </w:p>
        </w:tc>
        <w:tc>
          <w:tcPr>
            <w:tcW w:w="2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113.3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4"/>
        </w:trPr>
        <w:tc>
          <w:tcPr>
            <w:tcW w:w="3840" w:type="dxa"/>
            <w:vAlign w:val="bottom"/>
          </w:tcPr>
          <w:p>
            <w:pPr>
              <w:spacing w:after="0"/>
              <w:rPr>
                <w:sz w:val="24"/>
                <w:szCs w:val="24"/>
                <w:color w:val="auto"/>
              </w:rPr>
            </w:pPr>
          </w:p>
        </w:tc>
        <w:tc>
          <w:tcPr>
            <w:tcW w:w="2400" w:type="dxa"/>
            <w:vAlign w:val="bottom"/>
          </w:tcPr>
          <w:p>
            <w:pPr>
              <w:jc w:val="right"/>
              <w:ind w:right="1654"/>
              <w:spacing w:after="0"/>
              <w:rPr>
                <w:sz w:val="20"/>
                <w:szCs w:val="20"/>
                <w:color w:val="auto"/>
              </w:rPr>
            </w:pPr>
            <w:r>
              <w:rPr>
                <w:rFonts w:ascii="Arial" w:cs="Arial" w:eastAsia="Arial" w:hAnsi="Arial"/>
                <w:sz w:val="18"/>
                <w:szCs w:val="18"/>
                <w:color w:val="auto"/>
              </w:rPr>
              <w:t>6</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It is our goal to increase our gross profits and earnings from operations at a rate of growth that exceeds our unit sales growth, or in other words, increasing our profitability per unit sold. We also have a long-term goal of improving our efficiencies and leveraging the fixed costs in our selling, general, and administrative expenses as we grow, which will result in a rate of growth of these expenses which is less than our unit sales growth and a lower cost per unit.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BUSINESS COMBINATIONS AND ASSET PURCHASES</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We completed nine business acquisitions during 2021 and five during 2020. The annual historical sales attributable to acquisitions in 2021 and 2020 were approximately $1.3 billion and $101 million, respectively. These business combinations were not significant to our operating results individually or in aggregate; consequently pro forma results for 2021 and 2020 are not presented.</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December 27, 2021, we closed on an agreement to purchase 100 percent of the equity of Ultra Aluminum Manufacturing, Inc. (Ultra) located in Howell, Michigan for approximately $26.8 million. Ultra designs and produces an extensive selection of ornamental aluminum fence and railing products for contractors, landscapers, fence dealers and wholesalers.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See Notes to Consolidated Financial Statements, Note C, "Business Combinations" and Note O, “Subsequent Events” for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Statements of Earnings as a percentage of net sales. See “Impact of the Lumber Market on our Operating Results”.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bottom w:val="single" w:sz="8" w:color="auto"/>
            </w:tcBorders>
          </w:tcPr>
          <w:p>
            <w:pPr>
              <w:spacing w:after="0"/>
              <w:rPr>
                <w:sz w:val="15"/>
                <w:szCs w:val="15"/>
                <w:color w:val="auto"/>
              </w:rPr>
            </w:pPr>
          </w:p>
        </w:tc>
      </w:tr>
      <w:tr>
        <w:trPr>
          <w:trHeight w:val="126"/>
        </w:trPr>
        <w:tc>
          <w:tcPr>
            <w:tcW w:w="674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0"/>
              </w:rPr>
              <w:t>December 25,</w:t>
            </w: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0"/>
              </w:rPr>
              <w:t>December 26,</w:t>
            </w:r>
          </w:p>
        </w:tc>
        <w:tc>
          <w:tcPr>
            <w:tcW w:w="240" w:type="dxa"/>
            <w:vAlign w:val="bottom"/>
          </w:tcPr>
          <w:p>
            <w:pPr>
              <w:spacing w:after="0"/>
              <w:rPr>
                <w:sz w:val="10"/>
                <w:szCs w:val="10"/>
                <w:color w:val="auto"/>
              </w:rPr>
            </w:pPr>
          </w:p>
        </w:tc>
      </w:tr>
      <w:tr>
        <w:trPr>
          <w:trHeight w:val="178"/>
        </w:trPr>
        <w:tc>
          <w:tcPr>
            <w:tcW w:w="67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(gains) losses, net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Net earnings</w:t>
            </w: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6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costs these strategies require, we believe this ratio provides an enhanced view of our effectiveness in managing these costs and mitigates the impact of changing lumber prices.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1320" w:type="dxa"/>
            <w:vAlign w:val="bottom"/>
            <w:tcBorders>
              <w:bottom w:val="single" w:sz="8" w:color="auto"/>
            </w:tcBorders>
          </w:tcPr>
          <w:p>
            <w:pPr>
              <w:spacing w:after="0"/>
              <w:rPr>
                <w:sz w:val="15"/>
                <w:szCs w:val="15"/>
                <w:color w:val="auto"/>
              </w:rPr>
            </w:pPr>
          </w:p>
        </w:tc>
      </w:tr>
      <w:tr>
        <w:trPr>
          <w:trHeight w:val="126"/>
        </w:trPr>
        <w:tc>
          <w:tcPr>
            <w:tcW w:w="5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ind w:left="240"/>
              <w:spacing w:after="0" w:line="126" w:lineRule="exact"/>
              <w:rPr>
                <w:sz w:val="20"/>
                <w:szCs w:val="20"/>
                <w:color w:val="auto"/>
              </w:rPr>
            </w:pPr>
            <w:r>
              <w:rPr>
                <w:rFonts w:ascii="Arial" w:cs="Arial" w:eastAsia="Arial" w:hAnsi="Arial"/>
                <w:sz w:val="14"/>
                <w:szCs w:val="14"/>
                <w:b w:val="1"/>
                <w:bCs w:val="1"/>
                <w:color w:val="auto"/>
              </w:rPr>
              <w:t>December 25,</w:t>
            </w:r>
          </w:p>
        </w:tc>
        <w:tc>
          <w:tcPr>
            <w:tcW w:w="420" w:type="dxa"/>
            <w:vAlign w:val="bottom"/>
          </w:tcPr>
          <w:p>
            <w:pPr>
              <w:spacing w:after="0"/>
              <w:rPr>
                <w:sz w:val="10"/>
                <w:szCs w:val="10"/>
                <w:color w:val="auto"/>
              </w:rPr>
            </w:pPr>
          </w:p>
        </w:tc>
        <w:tc>
          <w:tcPr>
            <w:tcW w:w="1320" w:type="dxa"/>
            <w:vAlign w:val="bottom"/>
          </w:tcPr>
          <w:p>
            <w:pPr>
              <w:jc w:val="right"/>
              <w:ind w:right="237"/>
              <w:spacing w:after="0" w:line="126" w:lineRule="exact"/>
              <w:rPr>
                <w:sz w:val="20"/>
                <w:szCs w:val="20"/>
                <w:color w:val="auto"/>
              </w:rPr>
            </w:pPr>
            <w:r>
              <w:rPr>
                <w:rFonts w:ascii="Arial" w:cs="Arial" w:eastAsia="Arial" w:hAnsi="Arial"/>
                <w:sz w:val="14"/>
                <w:szCs w:val="14"/>
                <w:b w:val="1"/>
                <w:bCs w:val="1"/>
                <w:color w:val="auto"/>
              </w:rPr>
              <w:t>December 26,</w:t>
            </w:r>
          </w:p>
        </w:tc>
      </w:tr>
      <w:tr>
        <w:trPr>
          <w:trHeight w:val="178"/>
        </w:trPr>
        <w:tc>
          <w:tcPr>
            <w:tcW w:w="5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1,406,967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800,296</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682,253</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444,596</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 as percentage of gross profit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business segments consist of UFP Retail Solutions, UFP Industrial and UFP Construction, and align with the end markets we serve. Among other things, this structure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operating results by segment for December 25, 2021 and December 26,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25, 2021</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3,418,337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2,148,142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2,698,434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8,636,134</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3,120,634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1,683,466</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2,167,405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237,696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7,229,167</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1,406,967</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169,033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200,194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267,292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(6,470)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682,253</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(2,237)</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(9,560)</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128,764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264,938</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264,230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74,810</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4,812</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737,554</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755"/>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26, 2020</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2,167,122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1,072,117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1,695,684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5,153,998</w:t>
            </w: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1,874,114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895,466</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1,433,469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4,353,702</w:t>
            </w: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800,296</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137,641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97,146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179,516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(4,178)</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444,596</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(3,873)</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155,311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83,378</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69,009</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34,731</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345,826</w:t>
            </w:r>
          </w:p>
        </w:tc>
      </w:tr>
    </w:tbl>
    <w:p>
      <w:pPr>
        <w:spacing w:after="0" w:line="24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tables present the components of our operating results as a percentage of net sales by segment for December 25, 2021 and December 26, 2020.</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25, 2021</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72"/>
        </w:trPr>
        <w:tc>
          <w:tcPr>
            <w:tcW w:w="5520" w:type="dxa"/>
            <w:vAlign w:val="bottom"/>
            <w:gridSpan w:val="7"/>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303"/>
        </w:trPr>
        <w:tc>
          <w:tcPr>
            <w:tcW w:w="2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26, 2020</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design, manufacture and market wood and wood-alternative products, primarily used to enhance outdoor living environments, for national home centers and other retailers; roof trusses, structural lumber and panels, and other products for the manufactured housing industry; engineered wood components for residential and commercial construction, customized interior fixtures, millwork, and casework used in a variety of retail, commercial and other structures; and structural wood packaging, other packing materials, and OEM components for various industries. Our strategic long-term sales objectives include:</w:t>
      </w:r>
    </w:p>
    <w:p>
      <w:pPr>
        <w:spacing w:after="0" w:line="192" w:lineRule="exact"/>
        <w:rPr>
          <w:sz w:val="20"/>
          <w:szCs w:val="20"/>
          <w:color w:val="auto"/>
        </w:rPr>
      </w:pPr>
    </w:p>
    <w:p>
      <w:pPr>
        <w:jc w:val="both"/>
        <w:ind w:left="720" w:right="79" w:hanging="319"/>
        <w:spacing w:after="0" w:line="263"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Maximizing unit sales growth while achieving return on investment goals</w:t>
      </w:r>
      <w:r>
        <w:rPr>
          <w:rFonts w:ascii="Arial" w:cs="Arial" w:eastAsia="Arial" w:hAnsi="Arial"/>
          <w:sz w:val="18"/>
          <w:szCs w:val="18"/>
          <w:color w:val="auto"/>
        </w:rPr>
        <w:t>. The following table presents estimates, for the periods indicated, of our percentage change in net sales which were attributable to changes in overall selling prices versus changes in units shipped.</w:t>
      </w:r>
    </w:p>
    <w:p>
      <w:pPr>
        <w:spacing w:after="0" w:line="188" w:lineRule="exact"/>
        <w:rPr>
          <w:rFonts w:ascii="Arial" w:cs="Arial" w:eastAsia="Arial" w:hAnsi="Arial"/>
          <w:sz w:val="18"/>
          <w:szCs w:val="18"/>
          <w:color w:val="auto"/>
        </w:rPr>
      </w:pPr>
    </w:p>
    <w:p>
      <w:pPr>
        <w:ind w:left="6780" w:hanging="170"/>
        <w:spacing w:after="0"/>
        <w:tabs>
          <w:tab w:leader="none" w:pos="6780" w:val="left"/>
        </w:tabs>
        <w:numPr>
          <w:ilvl w:val="1"/>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33"/>
        </w:trPr>
        <w:tc>
          <w:tcPr>
            <w:tcW w:w="48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right"/>
              <w:ind w:right="190"/>
              <w:spacing w:after="0"/>
              <w:rPr>
                <w:sz w:val="20"/>
                <w:szCs w:val="20"/>
                <w:color w:val="auto"/>
              </w:rPr>
            </w:pPr>
            <w:r>
              <w:rPr>
                <w:rFonts w:ascii="Arial" w:cs="Arial" w:eastAsia="Arial" w:hAnsi="Arial"/>
                <w:sz w:val="14"/>
                <w:szCs w:val="14"/>
                <w:b w:val="1"/>
                <w:bCs w:val="1"/>
                <w:color w:val="auto"/>
                <w:w w:val="89"/>
              </w:rPr>
              <w:t>in Selling</w:t>
            </w: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50"/>
              <w:spacing w:after="0" w:line="133" w:lineRule="exact"/>
              <w:rPr>
                <w:sz w:val="20"/>
                <w:szCs w:val="20"/>
                <w:color w:val="auto"/>
              </w:rPr>
            </w:pPr>
            <w:r>
              <w:rPr>
                <w:rFonts w:ascii="Arial" w:cs="Arial" w:eastAsia="Arial" w:hAnsi="Arial"/>
                <w:sz w:val="14"/>
                <w:szCs w:val="14"/>
                <w:b w:val="1"/>
                <w:bCs w:val="1"/>
                <w:color w:val="auto"/>
                <w:w w:val="91"/>
              </w:rPr>
              <w:t>Acquisition</w:t>
            </w:r>
          </w:p>
        </w:tc>
        <w:tc>
          <w:tcPr>
            <w:tcW w:w="760" w:type="dxa"/>
            <w:vAlign w:val="bottom"/>
            <w:tcBorders>
              <w:top w:val="single" w:sz="8" w:color="auto"/>
            </w:tcBorders>
            <w:gridSpan w:val="2"/>
          </w:tcPr>
          <w:p>
            <w:pPr>
              <w:jc w:val="center"/>
              <w:ind w:right="130"/>
              <w:spacing w:after="0" w:line="133" w:lineRule="exact"/>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72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86"/>
              </w:rPr>
              <w:t>in Sales</w:t>
            </w:r>
          </w:p>
        </w:tc>
        <w:tc>
          <w:tcPr>
            <w:tcW w:w="86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89"/>
              </w:rPr>
              <w:t>in Units</w:t>
            </w:r>
          </w:p>
        </w:tc>
        <w:tc>
          <w:tcPr>
            <w:tcW w:w="9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Unit</w:t>
            </w:r>
          </w:p>
        </w:tc>
        <w:tc>
          <w:tcPr>
            <w:tcW w:w="7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178"/>
        </w:trPr>
        <w:tc>
          <w:tcPr>
            <w:tcW w:w="48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Prices</w:t>
            </w:r>
          </w:p>
        </w:tc>
        <w:tc>
          <w:tcPr>
            <w:tcW w:w="740" w:type="dxa"/>
            <w:vAlign w:val="bottom"/>
            <w:gridSpan w:val="2"/>
            <w:vMerge w:val="continue"/>
          </w:tcPr>
          <w:p>
            <w:pPr>
              <w:spacing w:after="0"/>
              <w:rPr>
                <w:sz w:val="15"/>
                <w:szCs w:val="15"/>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6"/>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versus 2020</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2020 versus 2019</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16.7 %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6.0 %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720" w:right="79" w:hanging="319"/>
        <w:spacing w:after="0" w:line="25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Diversifying our end market sales mix</w:t>
      </w:r>
      <w:r>
        <w:rPr>
          <w:rFonts w:ascii="Arial" w:cs="Arial" w:eastAsia="Arial" w:hAnsi="Arial"/>
          <w:sz w:val="18"/>
          <w:szCs w:val="18"/>
          <w:color w:val="auto"/>
        </w:rPr>
        <w:t xml:space="preserve"> by increasing sales of specialty wood and protective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casework and millwork used in a variety of commercial markets.</w:t>
      </w:r>
    </w:p>
    <w:p>
      <w:pPr>
        <w:spacing w:after="0" w:line="187"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Expanding geographically in our core businesses</w:t>
      </w:r>
      <w:r>
        <w:rPr>
          <w:rFonts w:ascii="Arial" w:cs="Arial" w:eastAsia="Arial" w:hAnsi="Arial"/>
          <w:sz w:val="18"/>
          <w:szCs w:val="18"/>
          <w:color w:val="auto"/>
        </w:rPr>
        <w:t>, domestically and internationally.</w:t>
      </w:r>
    </w:p>
    <w:p>
      <w:pPr>
        <w:spacing w:after="0" w:line="225" w:lineRule="exact"/>
        <w:rPr>
          <w:rFonts w:ascii="Arial" w:cs="Arial" w:eastAsia="Arial" w:hAnsi="Arial"/>
          <w:sz w:val="18"/>
          <w:szCs w:val="18"/>
          <w:color w:val="auto"/>
        </w:rPr>
      </w:pPr>
    </w:p>
    <w:p>
      <w:pPr>
        <w:jc w:val="both"/>
        <w:ind w:left="720" w:right="79" w:hanging="319"/>
        <w:spacing w:after="0" w:line="270" w:lineRule="auto"/>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Increasing our sales of "value-added" products and enhancing our product offering with new or improved products</w:t>
      </w:r>
      <w:r>
        <w:rPr>
          <w:rFonts w:ascii="Arial" w:cs="Arial" w:eastAsia="Arial" w:hAnsi="Arial"/>
          <w:sz w:val="17"/>
          <w:szCs w:val="17"/>
          <w:color w:val="auto"/>
        </w:rPr>
        <w:t>. Value-added products generally consist of fencing, decking, lattice, and other specialty products sold to the retail segment, structural wood packaging, engineered wood components, customized interior fixtures, manufactured and assembled concrete forms, and "wood alternative" products. Engineered wood components include roof trusses, wall panels, and floor systems. Wood alternative products consist of products manufactured with wood and non-wood composites, metals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 by our segments (Retail, Industrial, Construction, and All Other and Corporate).</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260" w:type="dxa"/>
            <w:vAlign w:val="bottom"/>
          </w:tcPr>
          <w:p>
            <w:pPr>
              <w:spacing w:after="0"/>
              <w:rPr>
                <w:sz w:val="15"/>
                <w:szCs w:val="15"/>
                <w:color w:val="auto"/>
              </w:rPr>
            </w:pPr>
          </w:p>
        </w:tc>
        <w:tc>
          <w:tcPr>
            <w:tcW w:w="230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25, 2021</w:t>
            </w:r>
          </w:p>
        </w:tc>
        <w:tc>
          <w:tcPr>
            <w:tcW w:w="234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26, 2020</w:t>
            </w:r>
          </w:p>
        </w:tc>
      </w:tr>
      <w:tr>
        <w:trPr>
          <w:trHeight w:val="156"/>
        </w:trPr>
        <w:tc>
          <w:tcPr>
            <w:tcW w:w="4260" w:type="dxa"/>
            <w:vAlign w:val="bottom"/>
          </w:tcPr>
          <w:p>
            <w:pPr>
              <w:spacing w:after="0"/>
              <w:rPr>
                <w:sz w:val="13"/>
                <w:szCs w:val="13"/>
                <w:color w:val="auto"/>
              </w:rPr>
            </w:pPr>
          </w:p>
        </w:tc>
        <w:tc>
          <w:tcPr>
            <w:tcW w:w="104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rPr>
              <w:t>Value-Added</w:t>
            </w:r>
          </w:p>
        </w:tc>
        <w:tc>
          <w:tcPr>
            <w:tcW w:w="11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0"/>
              </w:rPr>
              <w:t>Commodity-Based</w:t>
            </w:r>
          </w:p>
        </w:tc>
        <w:tc>
          <w:tcPr>
            <w:tcW w:w="120" w:type="dxa"/>
            <w:vAlign w:val="bottom"/>
          </w:tcPr>
          <w:p>
            <w:pPr>
              <w:spacing w:after="0"/>
              <w:rPr>
                <w:sz w:val="13"/>
                <w:szCs w:val="13"/>
                <w:color w:val="auto"/>
              </w:rPr>
            </w:pPr>
          </w:p>
        </w:tc>
        <w:tc>
          <w:tcPr>
            <w:tcW w:w="218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7"/>
              </w:rPr>
              <w:t>Value-Added   Commodity-Based</w:t>
            </w:r>
          </w:p>
        </w:tc>
        <w:tc>
          <w:tcPr>
            <w:tcW w:w="160" w:type="dxa"/>
            <w:vAlign w:val="bottom"/>
          </w:tcPr>
          <w:p>
            <w:pPr>
              <w:spacing w:after="0"/>
              <w:rPr>
                <w:sz w:val="13"/>
                <w:szCs w:val="13"/>
                <w:color w:val="auto"/>
              </w:rPr>
            </w:pPr>
          </w:p>
        </w:tc>
      </w:tr>
      <w:tr>
        <w:trPr>
          <w:trHeight w:val="21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43.2 %</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56.8 %</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880" w:type="dxa"/>
            <w:vAlign w:val="bottom"/>
          </w:tcPr>
          <w:p>
            <w:pPr>
              <w:jc w:val="right"/>
              <w:spacing w:after="0"/>
              <w:rPr>
                <w:sz w:val="20"/>
                <w:szCs w:val="20"/>
                <w:color w:val="auto"/>
              </w:rPr>
            </w:pPr>
            <w:r>
              <w:rPr>
                <w:rFonts w:ascii="Arial" w:cs="Arial" w:eastAsia="Arial" w:hAnsi="Arial"/>
                <w:sz w:val="18"/>
                <w:szCs w:val="18"/>
                <w:color w:val="auto"/>
              </w:rPr>
              <w:t>67.7 %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64.7 %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35.3 %</w:t>
            </w:r>
          </w:p>
        </w:tc>
        <w:tc>
          <w:tcPr>
            <w:tcW w:w="16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60" w:type="dxa"/>
            <w:vAlign w:val="bottom"/>
            <w:shd w:val="clear" w:color="auto" w:fill="CCEEFF"/>
          </w:tcPr>
          <w:p>
            <w:pPr>
              <w:spacing w:after="0"/>
              <w:rPr>
                <w:sz w:val="18"/>
                <w:szCs w:val="18"/>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880" w:type="dxa"/>
            <w:vAlign w:val="bottom"/>
          </w:tcPr>
          <w:p>
            <w:pPr>
              <w:jc w:val="right"/>
              <w:spacing w:after="0"/>
              <w:rPr>
                <w:sz w:val="20"/>
                <w:szCs w:val="20"/>
                <w:color w:val="auto"/>
              </w:rPr>
            </w:pPr>
            <w:r>
              <w:rPr>
                <w:rFonts w:ascii="Arial" w:cs="Arial" w:eastAsia="Arial" w:hAnsi="Arial"/>
                <w:sz w:val="18"/>
                <w:szCs w:val="18"/>
                <w:color w:val="auto"/>
              </w:rPr>
              <w:t>74.9 %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24.4 %</w:t>
            </w:r>
          </w:p>
        </w:tc>
        <w:tc>
          <w:tcPr>
            <w:tcW w:w="16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160" w:type="dxa"/>
            <w:vAlign w:val="bottom"/>
            <w:shd w:val="clear" w:color="auto" w:fill="CCEEFF"/>
          </w:tcPr>
          <w:p>
            <w:pPr>
              <w:spacing w:after="0"/>
              <w:rPr>
                <w:sz w:val="18"/>
                <w:szCs w:val="18"/>
                <w:color w:val="auto"/>
              </w:rPr>
            </w:pPr>
          </w:p>
        </w:tc>
      </w:tr>
    </w:tbl>
    <w:p>
      <w:pPr>
        <w:spacing w:after="0" w:line="143"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"value-added" resulted in a change in prior year's sales.</w:t>
      </w:r>
    </w:p>
    <w:p>
      <w:pPr>
        <w:spacing w:after="0" w:line="178"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The increase in our ratio of commodity-based product sales to total sales reflected in the table above is primarily due to the impact of higher average lumber prices in 2021 on sales of commodity-based products and the product mix of recently acquired businesses. Selling prices of commodity-based products are generally indexed to the current Lumber Market at the time they are shipped, and lumber costs comprise a higher percentage of the selling price than they do for value-added products. The acquisition of Sunbelt and Spartanburg also contributed to the increase in commodity-based sales of treated lumber in our retail segment, while PalletOne contributed to the increase in value-added sales in the industrial segment. Our overall unit sales of value-added products increased approximately 23% in 2021 compared to 2020, including a 16% contribution from acquisitions and 7% organic growth. Our unit sales of commodity-based products increased approximately 37%, due primarily from the acquisition of Sunbelt and Spartanburg.</w:t>
      </w:r>
    </w:p>
    <w:p>
      <w:pPr>
        <w:spacing w:after="0" w:line="185" w:lineRule="exact"/>
        <w:rPr>
          <w:sz w:val="20"/>
          <w:szCs w:val="20"/>
          <w:color w:val="auto"/>
        </w:rPr>
      </w:pPr>
    </w:p>
    <w:p>
      <w:pPr>
        <w:jc w:val="both"/>
        <w:ind w:left="720" w:right="79" w:hanging="319"/>
        <w:spacing w:after="0" w:line="25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Developing new products</w:t>
      </w:r>
      <w:r>
        <w:rPr>
          <w:rFonts w:ascii="Arial" w:cs="Arial" w:eastAsia="Arial" w:hAnsi="Arial"/>
          <w:sz w:val="18"/>
          <w:szCs w:val="18"/>
          <w:color w:val="auto"/>
        </w:rPr>
        <w:t>. We define new products as those that will generate sales of at least $1 million per year within 4 years of launch and are still growing and gaining market penetration. Our goal was to achieve annual new product sales of at least $575 million in 2021. New product sales and gross profits in 2021 were up 56% and 47%, respectively, from the prior year. Acquisitions contributed approximately $48 million to new product sales in 2021. Approximately $13 million of new product sales for 2020, while still sold, were sunset in 2021 and excluded from the table below because they no longer meet the definition above. The table below presents new product sales in thousands.</w:t>
      </w:r>
    </w:p>
    <w:p>
      <w:pPr>
        <w:spacing w:after="0" w:line="146"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3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New Product Sales by Segment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155"/>
        </w:trPr>
        <w:tc>
          <w:tcPr>
            <w:tcW w:w="3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37"/>
              <w:spacing w:after="0" w:line="149" w:lineRule="exact"/>
              <w:rPr>
                <w:sz w:val="20"/>
                <w:szCs w:val="20"/>
                <w:color w:val="auto"/>
              </w:rPr>
            </w:pPr>
            <w:r>
              <w:rPr>
                <w:rFonts w:ascii="Arial" w:cs="Arial" w:eastAsia="Arial" w:hAnsi="Arial"/>
                <w:sz w:val="14"/>
                <w:szCs w:val="14"/>
                <w:b w:val="1"/>
                <w:bCs w:val="1"/>
                <w:color w:val="auto"/>
              </w:rPr>
              <w:t>Year Ended</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r>
      <w:tr>
        <w:trPr>
          <w:trHeight w:val="139"/>
        </w:trPr>
        <w:tc>
          <w:tcPr>
            <w:tcW w:w="3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ind w:right="275"/>
              <w:spacing w:after="0" w:line="139" w:lineRule="exact"/>
              <w:rPr>
                <w:sz w:val="20"/>
                <w:szCs w:val="20"/>
                <w:color w:val="auto"/>
              </w:rPr>
            </w:pPr>
            <w:r>
              <w:rPr>
                <w:rFonts w:ascii="Arial" w:cs="Arial" w:eastAsia="Arial" w:hAnsi="Arial"/>
                <w:sz w:val="14"/>
                <w:szCs w:val="14"/>
                <w:b w:val="1"/>
                <w:bCs w:val="1"/>
                <w:color w:val="auto"/>
              </w:rPr>
              <w:t>December 25,</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ind w:right="317"/>
              <w:spacing w:after="0" w:line="139" w:lineRule="exact"/>
              <w:rPr>
                <w:sz w:val="20"/>
                <w:szCs w:val="20"/>
                <w:color w:val="auto"/>
              </w:rPr>
            </w:pPr>
            <w:r>
              <w:rPr>
                <w:rFonts w:ascii="Arial" w:cs="Arial" w:eastAsia="Arial" w:hAnsi="Arial"/>
                <w:sz w:val="14"/>
                <w:szCs w:val="14"/>
                <w:b w:val="1"/>
                <w:bCs w:val="1"/>
                <w:color w:val="auto"/>
              </w:rPr>
              <w:t>December 26,</w:t>
            </w:r>
          </w:p>
        </w:tc>
        <w:tc>
          <w:tcPr>
            <w:tcW w:w="1280" w:type="dxa"/>
            <w:vAlign w:val="bottom"/>
            <w:gridSpan w:val="2"/>
          </w:tcPr>
          <w:p>
            <w:pPr>
              <w:jc w:val="right"/>
              <w:ind w:right="199"/>
              <w:spacing w:after="0" w:line="13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r>
      <w:tr>
        <w:trPr>
          <w:trHeight w:val="178"/>
        </w:trPr>
        <w:tc>
          <w:tcPr>
            <w:tcW w:w="37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5"/>
                <w:szCs w:val="15"/>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510,266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401,539</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177,214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72,574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and Corporate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18,735</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63.6</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New Product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841,859</w:t>
            </w: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539,624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03"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Note: Certain prior year product reclassifications and the change in designation of certain products as "new" resulted in a change in prior year's sales.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Retail Segment:</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Net sales to the retail segment increased 58% in 2021 compared to 2020 due to a 27% increase in selling prices and a 35% increase in unit sales from acquired operations, offset by a 4% decrease in organic unit sales. Organic unit increases of 17% of UFP Edge, 9% of Deckorators, and 5% of Outdoor Essentials, were offset by organic unit declines of 15% of ProWood and 12% of Handprint. The organic increases mentioned above were primarily due to capacity expansion and initiatives to gain market share in these product categories, while the decline in unit sales of ProWood and Handprint are attributed to a shift in consumer spending as a result of the end of pandemic-related restrictions on certain activities. In addition, new product sales increased approximately 27.1% to $510 million in 2021 compared to 2020, and the transfer of approximately $48 million in sales to the retail segment from the construction segment contributed to unit growth in retail. Finally, our sales to big box customers increased 53%, and sales to other independent retailers increased 67%.</w:t>
      </w:r>
    </w:p>
    <w:p>
      <w:pPr>
        <w:spacing w:after="0" w:line="16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Gross profits increased 1.6% to $298 million in 2021 compared to 2020. Our change in gross profits was attributable to the following:</w:t>
      </w:r>
    </w:p>
    <w:p>
      <w:pPr>
        <w:spacing w:after="0" w:line="170" w:lineRule="exact"/>
        <w:rPr>
          <w:sz w:val="20"/>
          <w:szCs w:val="20"/>
          <w:color w:val="auto"/>
        </w:rPr>
      </w:pPr>
    </w:p>
    <w:p>
      <w:pPr>
        <w:ind w:left="720" w:right="79" w:hanging="319"/>
        <w:spacing w:after="0" w:line="308"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Retail Building Materials business unit contributed $23.2 million to the increase. The increase is primarily due to unit sales growth and rising lumber and panel prices combined with effective inventory positioning.</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Acquisitions contributed $10.4 million to the increase.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UFP Edge business unit decreased by approximately $5.6 million.</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Deckorators, Outdoor Essentials, Handprint, and E-Commerce business units were less significant, and collectively these units contributed $2.5 million of additional gross profit.</w:t>
      </w:r>
    </w:p>
    <w:p>
      <w:pPr>
        <w:spacing w:after="0" w:line="170"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ProWood business unit decreased by $25.8 million, primarily due to the impact of falling lumber prices from June through October of 2021 on ProWood’s pressure-treated products that are sold at a variable price. Conversely, lumber prices rose during most of 2020 as a result of unexpectedly strong demand.</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$31.4 million, or 22.8%, in 2021 compared to 2020. The SG&amp;A of recently acquired businesses contributed approximately $19.2 million to this increase. Accrued bonus expense, which varies with our overall profitability and return on investment, decreased approximately $0.6 million and totaled approximately $34.7 million in 2021. The remaining increase was primarily due to increases in salaries and wages, sales compensation, and travel related expenses, which were partially offset by a decline in merchandising costs.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of the Retail reportable segment decreased in 2021 compared to 2020 by $26.5 million, or 17.1%, as a result of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Industrial Segment: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sales to the industrial segment increased 100% in 2021 compared to 2020 due to a 60% increase in selling prices attributable to the Lumber Market and favorable sales mix changes, a 5% increase in organic unit sales and a 35% increase in unit sales from recent acquisitions.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Gross profits increased by $288.0 million, or 163%, to $464.7 million in 2021 compared to 2020. Acquisitions contributed $81.0 million to the increase in gross profit. The remaining increase was primarily due to organic unit sales growth and leveraging fixed costs, value-based pricing initiatives resulting in an increase in our selling prices, and favorable changes in our sales mix of value-added products. Additionally, in 2021, strong demand and unusually high lumber market volatility has allowed us to re-price our products more frequently to protect margins.</w:t>
      </w:r>
    </w:p>
    <w:p>
      <w:pPr>
        <w:spacing w:after="0" w:line="1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Selling, general and administrative (“SG&amp;A”) expenses increased by approximately $103.0 million, or 106.1%, in 2021 compared to 2020. Acquired operations in 2021 contributed approximately $23.0 million to total SG&amp;A expenses. Accrued bonus expense increased approximately $52.3 million compared to last year and totaled approximately $71.1 million for 2021. The remaining increase was primarily due to increases in salaries and wages and sales incentive compensation.</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of the Industrial reportable segment in 2021 increased by $181.6 million, or 217.8%, compared to 2020 due to the factors discussed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Construction Segment:</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sales to the construction segment increased 59% in 2021 compared to 2020 due to a 42% increase in selling prices, organic unit sales growth of 14%, and 3% growth from acquisitions. The organic unit increase was comprised of a 25% increase in factory-built housing, a 15% in site-built housing, and a 15% in commercial construction. These increases were offset by a unit decline of 30% in concrete forming. As discussed above, the transfer of $48 million in sales to the retail segment contributed to the unit decline in the concrete forming business unit.</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Gross profits increased by $268.8 million, or 102.5% to $531.0 million in 2021 compared to 2020. The increase in our gross profit was comprised of the following factors:</w:t>
      </w:r>
    </w:p>
    <w:p>
      <w:pPr>
        <w:spacing w:after="0" w:line="170" w:lineRule="exact"/>
        <w:rPr>
          <w:sz w:val="20"/>
          <w:szCs w:val="20"/>
          <w:color w:val="auto"/>
        </w:rPr>
      </w:pPr>
    </w:p>
    <w:p>
      <w:pPr>
        <w:jc w:val="both"/>
        <w:ind w:left="720" w:right="79" w:hanging="319"/>
        <w:spacing w:after="0" w:line="263"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site-built housing business unit increased by $157.4 million due to unit sales growth and leveraging fixed costs and higher selling prices. Additionally, in 2021, strong demand and unusually high lumber market volatility has allowed us to re-price our products more frequently to protect margins.</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factory-built housing business unit increased by $79.8 million as a result of increased unit sales and leveraging fixed costs and favorable trends in lumber prices. Commodity-based and value-added products increased $34 million and $39 million, respectively.</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commercial business unit increased $19.1 million as a result of an increase in unit sales, better productivity due to efforts to reduce our capacity to align with the current level of demand, increases in selling prices, and other operational improvements.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Acquired businesses contributed $6.3 million.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concrete forming business unit increased $6.2 million.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SG&amp;A expenses increased by approximately $87.8 million, or 48.9%, in 2021 compared to 2020. Acquired operations in 2021 contributed approximately $5.8 million to total SG&amp;A expenses. Accrued bonus expense increased approximately $52.2 million compared to last year and totaled approximately $70.8 million for 2021. The remaining increase was primarily due to the $11.5 million Goodwill impairment in the prior year and increases in salaries and wages, sales incentive compensation, and travel related expenses in the current year.</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of the Construction reportable segment increased in 2021 compared to 2020 by $195.2 million, or 282.9%, due to the factors mentioned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 Other Segment: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not significant to our overall results.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corporate segment primarily consists of net sales and gross profits on sales to external customers initiated by UFP Purchasing and UFP Transportation and over (under) allocated costs that are not significant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Interest expense increased in 2021 compared to 2020, due primarily to an increase in borrowings to fund current year acquisitions and increases in net working capital. See “Note C of Notes to the Consolidated Financial Statements”.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23.9% in 2021 compared to 25.5% in 2020. The decrease was primarily due to a reduction in certain permanent tax differences compared to the prior year, none of which are individually significant, non-deductible goodwill impairment expense recorded in 2020, and a valuation allowance recorded in 2020 against deferred tax assets related to net operating loss carryforwards of foreign subsidiaries in our commercial business unit totaling approximately $3.6 million.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COMMITMENTS AND CONTRACTUAL OBLIGATIONS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have no significant off-balance sheet commitments. The following table summarizes our contractual obligations as of December 25, 2021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center"/>
              <w:ind w:right="17"/>
              <w:spacing w:after="0"/>
              <w:rPr>
                <w:sz w:val="20"/>
                <w:szCs w:val="20"/>
                <w:color w:val="auto"/>
              </w:rPr>
            </w:pPr>
            <w:r>
              <w:rPr>
                <w:rFonts w:ascii="Arial" w:cs="Arial" w:eastAsia="Arial" w:hAnsi="Arial"/>
                <w:sz w:val="14"/>
                <w:szCs w:val="14"/>
                <w:b w:val="1"/>
                <w:bCs w:val="1"/>
                <w:color w:val="auto"/>
                <w:w w:val="91"/>
              </w:rPr>
              <w:t>Payments Due by Period</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26"/>
        </w:trPr>
        <w:tc>
          <w:tcPr>
            <w:tcW w:w="4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15"/>
              <w:spacing w:after="0" w:line="126"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77"/>
              <w:spacing w:after="0" w:line="126" w:lineRule="exact"/>
              <w:rPr>
                <w:sz w:val="20"/>
                <w:szCs w:val="20"/>
                <w:color w:val="auto"/>
              </w:rPr>
            </w:pPr>
            <w:r>
              <w:rPr>
                <w:rFonts w:ascii="Arial" w:cs="Arial" w:eastAsia="Arial" w:hAnsi="Arial"/>
                <w:sz w:val="14"/>
                <w:szCs w:val="14"/>
                <w:b w:val="1"/>
                <w:bCs w:val="1"/>
                <w:color w:val="auto"/>
              </w:rPr>
              <w:t>1 –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5"/>
              <w:spacing w:after="0" w:line="126" w:lineRule="exact"/>
              <w:rPr>
                <w:sz w:val="20"/>
                <w:szCs w:val="20"/>
                <w:color w:val="auto"/>
              </w:rPr>
            </w:pPr>
            <w:r>
              <w:rPr>
                <w:rFonts w:ascii="Arial" w:cs="Arial" w:eastAsia="Arial" w:hAnsi="Arial"/>
                <w:sz w:val="14"/>
                <w:szCs w:val="14"/>
                <w:b w:val="1"/>
                <w:bCs w:val="1"/>
                <w:color w:val="auto"/>
                <w:w w:val="89"/>
              </w:rPr>
              <w:t>3 – 5</w:t>
            </w:r>
          </w:p>
        </w:tc>
        <w:tc>
          <w:tcPr>
            <w:tcW w:w="160" w:type="dxa"/>
            <w:vAlign w:val="bottom"/>
          </w:tcPr>
          <w:p>
            <w:pPr>
              <w:spacing w:after="0"/>
              <w:rPr>
                <w:sz w:val="10"/>
                <w:szCs w:val="10"/>
                <w:color w:val="auto"/>
              </w:rPr>
            </w:pPr>
          </w:p>
        </w:tc>
        <w:tc>
          <w:tcPr>
            <w:tcW w:w="780" w:type="dxa"/>
            <w:vAlign w:val="bottom"/>
          </w:tcPr>
          <w:p>
            <w:pPr>
              <w:jc w:val="right"/>
              <w:ind w:right="157"/>
              <w:spacing w:after="0" w:line="126"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78"/>
        </w:trPr>
        <w:tc>
          <w:tcPr>
            <w:tcW w:w="4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Contractual Obligation</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1 Year</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Years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5 Years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finance lease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$ 228,268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320,250</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Estimated interest on long-term debt and finance lease</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obligations</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15,657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41,064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86,894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114,687</w:t>
            </w:r>
          </w:p>
        </w:tc>
      </w:tr>
      <w:tr>
        <w:trPr>
          <w:trHeight w:val="223"/>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 project purchase obligations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78,234</w:t>
            </w:r>
          </w:p>
        </w:tc>
      </w:tr>
      <w:tr>
        <w:trPr>
          <w:trHeight w:val="216"/>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158,475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104,889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40,246</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$ 296,455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600,065</w:t>
            </w:r>
          </w:p>
        </w:tc>
      </w:tr>
      <w:tr>
        <w:trPr>
          <w:trHeight w:val="20"/>
        </w:trPr>
        <w:tc>
          <w:tcPr>
            <w:tcW w:w="4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December 25, 2021, we also had $54.2 million in outstanding letters of credit issued during the normal course of business, as required by some vendor contracts.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25,</w:t>
            </w:r>
          </w:p>
        </w:tc>
        <w:tc>
          <w:tcPr>
            <w:tcW w:w="1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26,</w:t>
            </w:r>
          </w:p>
        </w:tc>
      </w:tr>
      <w:tr>
        <w:trPr>
          <w:trHeight w:val="178"/>
        </w:trPr>
        <w:tc>
          <w:tcPr>
            <w:tcW w:w="56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336,477</w:t>
            </w: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(611,187)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(154,718)</w:t>
            </w:r>
          </w:p>
        </w:tc>
        <w:tc>
          <w:tcPr>
            <w:tcW w:w="1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from (used in) financing activities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85,221</w:t>
            </w:r>
          </w:p>
        </w:tc>
        <w:tc>
          <w:tcPr>
            <w:tcW w:w="140" w:type="dxa"/>
            <w:vAlign w:val="bottom"/>
            <w:shd w:val="clear" w:color="auto" w:fill="CCEEFF"/>
          </w:tcPr>
          <w:p>
            <w:pPr>
              <w:spacing w:after="0"/>
              <w:rPr>
                <w:sz w:val="18"/>
                <w:szCs w:val="18"/>
                <w:color w:val="auto"/>
              </w:rPr>
            </w:pPr>
          </w:p>
        </w:tc>
      </w:tr>
      <w:tr>
        <w:trPr>
          <w:trHeight w:val="223"/>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40" w:type="dxa"/>
            <w:vAlign w:val="bottom"/>
            <w:tcBorders>
              <w:bottom w:val="single" w:sz="8" w:color="CCEEFF"/>
            </w:tcBorders>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(145,385)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267,942</w:t>
            </w:r>
          </w:p>
        </w:tc>
        <w:tc>
          <w:tcPr>
            <w:tcW w:w="140" w:type="dxa"/>
            <w:vAlign w:val="bottom"/>
            <w:shd w:val="clear" w:color="auto" w:fill="CCEEFF"/>
          </w:tcPr>
          <w:p>
            <w:pPr>
              <w:spacing w:after="0"/>
              <w:rPr>
                <w:sz w:val="18"/>
                <w:szCs w:val="18"/>
                <w:color w:val="auto"/>
              </w:rPr>
            </w:pPr>
          </w:p>
        </w:tc>
      </w:tr>
      <w:tr>
        <w:trPr>
          <w:trHeight w:val="223"/>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436,608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168,666</w:t>
            </w:r>
          </w:p>
        </w:tc>
        <w:tc>
          <w:tcPr>
            <w:tcW w:w="140" w:type="dxa"/>
            <w:vAlign w:val="bottom"/>
            <w:tcBorders>
              <w:bottom w:val="single" w:sz="8" w:color="CCEEFF"/>
            </w:tcBorders>
          </w:tcPr>
          <w:p>
            <w:pPr>
              <w:spacing w:after="0"/>
              <w:rPr>
                <w:sz w:val="19"/>
                <w:szCs w:val="19"/>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436,608</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general, we fund our growth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these financial ratios are among many other important factors to maintaining a strong credit profile, which in turn helps ensure timely access to capital when needed.</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September.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 As explained in more detail below, the unusually large increase in lumber prices this year, as well as the significant increase in sales, resulted in a more significant increase in net working capital this year relative to prior years.</w:t>
      </w:r>
    </w:p>
    <w:p>
      <w:pPr>
        <w:spacing w:after="0" w:line="19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sales are outstanding plus days supply of inventory less days payables are outstanding) is a good indicator of our working capital management. As indicated in the table below, our cash cycle increased to 57 days in 2021 from 48 days in 2020.</w:t>
      </w:r>
    </w:p>
    <w:p>
      <w:pPr>
        <w:spacing w:after="0" w:line="154" w:lineRule="exact"/>
        <w:rPr>
          <w:sz w:val="20"/>
          <w:szCs w:val="20"/>
          <w:color w:val="auto"/>
        </w:rPr>
      </w:pPr>
    </w:p>
    <w:tbl>
      <w:tblPr>
        <w:tblLayout w:type="fixed"/>
        <w:tblInd w:w="9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Twelve Months Ended</w:t>
            </w:r>
          </w:p>
        </w:tc>
      </w:tr>
      <w:tr>
        <w:trPr>
          <w:trHeight w:val="12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December 25,</w:t>
            </w:r>
          </w:p>
        </w:tc>
        <w:tc>
          <w:tcPr>
            <w:tcW w:w="8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0"/>
              </w:rPr>
              <w:t>December 26,</w:t>
            </w:r>
          </w:p>
        </w:tc>
      </w:t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8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r>
      <w:tr>
        <w:trPr>
          <w:trHeight w:val="216"/>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1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6"/>
        </w:trPr>
        <w:tc>
          <w:tcPr>
            <w:tcW w:w="20" w:type="dxa"/>
            <w:vAlign w:val="bottom"/>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3"/>
        </w:trPr>
        <w:tc>
          <w:tcPr>
            <w:tcW w:w="3600" w:type="dxa"/>
            <w:vAlign w:val="bottom"/>
            <w:gridSpan w:val="2"/>
          </w:tcPr>
          <w:p>
            <w:pPr>
              <w:spacing w:after="0" w:line="203" w:lineRule="exact"/>
              <w:rPr>
                <w:sz w:val="20"/>
                <w:szCs w:val="20"/>
                <w:color w:val="auto"/>
              </w:rPr>
            </w:pPr>
            <w:r>
              <w:rPr>
                <w:rFonts w:ascii="Arial" w:cs="Arial" w:eastAsia="Arial" w:hAnsi="Arial"/>
                <w:sz w:val="18"/>
                <w:szCs w:val="18"/>
                <w:color w:val="auto"/>
              </w:rPr>
              <w:t>Days in cash cycle</w:t>
            </w:r>
          </w:p>
        </w:tc>
        <w:tc>
          <w:tcPr>
            <w:tcW w:w="16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increase in our days of sales outstanding and days supply of inventory in 2021 was primarily due to PalletOne and other acquisitions. Lower retail demand than our customers anticipated from our inventory planning also contributed to our days supply of inventory.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cash flows from operating activities in 2021 was $512.5 million, which was comprised of net earnings of $552.4 million and $114.8 million of non-cash expenses, offset by a $12.0 million gain on sale of assets and $142.7 million increase in working capital since the end of December 2020. The increase in our working capital was due to higher year over year lumber prices and increased demand in our industrial and construction segments. Comparatively, cash generated from operating activities was approximately $336.5 million in 2020, which was comprised of net earnings of $253.9 million, $85.3 million of non-cash expenses (including $11.5 million of goodwill impairment charges), and a $2.7 million increase in working capital since the end of December 2019.</w:t>
      </w:r>
    </w:p>
    <w:p>
      <w:pPr>
        <w:spacing w:after="0" w:line="17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cash used in investing activities during 2021 was $611.2 million, reflecting purchases of property, plant, and equipment totaling $151.2 million and business acquisitions totaling $476.0 million. See “Note C of Notes to the Consolidated Financial Statements”. Our outstanding purchase commitments on existing capital projects totaled approximately $52.7 million on December 25, 2021. Capital spending primarily consists of several projects to expand capacity to manufacture new and value-added products, achieve efficiencies through automation, make improvements to a number of facilities, and increase our transportation capacity (tractors, trailers) in order to meet higher volumes and replace old rolling stock. Notable areas of capital spending include projects to:</w:t>
      </w:r>
    </w:p>
    <w:p>
      <w:pPr>
        <w:spacing w:after="0" w:line="177" w:lineRule="exact"/>
        <w:rPr>
          <w:sz w:val="20"/>
          <w:szCs w:val="20"/>
          <w:color w:val="auto"/>
        </w:rPr>
      </w:pPr>
    </w:p>
    <w:p>
      <w:pPr>
        <w:ind w:left="720" w:right="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the capacity and efficiency of our plants that produce our Deckorators mineral-based composite and wood-plastic composite decking,</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Expand our capacity to produce UFP Edge siding, pattern and trim products, machine-built pallets, engineered wood and metal components for site-built construction,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 in automation opportunities.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Finally, we sold property, plants, and equipment for proceeds of $30.0 million, consisting of $21 million from the sale of real estate and $9 million from the sale of equipment. The sale and purchase of investments totaling $14.9 million and $23.8 million, respectively, are due to investment activity in our captive insurance subsidiary.</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Cash flows used in financing activities during 2021 primarily consisted of the payment of quarterly dividends totaling $40.2 million and distributions to noncontrolling interests of $6.8 million. Comparatively in 2020, cash flows from financing activities primarily consisted of proceeds of $150.0 million from the issuance of Senior E, F and G Notes in order to take advantage of lower interest rates, $30.7 million in dividend payments, and $29.2 million in share repurchases when our stock price declined as a result of the pandemic. The increase in our dividends is primarily due to an increase in the rates our board approved as a result of our growth in earnings and operating cash flow.</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November 1, 2018, we entered into a five-year, $375 million unsecured revolving credit facility with a syndicate of U.S. and Canadian banks led by JPMorgan Chase Bank, N.A., as administrative agent and Wells Fargo Bank, N.A., as syndication agent. The facilities include up to $40 million which may be advanced in the form of letters of credit, and up to $100 million (U.S. dollar equivalent) which may be advanced in Canadian dollars, Australian dollars, pounds Sterling, Euros and such other foreign currencies as may subsequently be agreed upon among the parties. On February 19, 2021, the credit agreement was amended to increase the availability from $375 million to $550 million by exercising the accordion feature in the original agreement.</w:t>
      </w:r>
    </w:p>
    <w:p>
      <w:pPr>
        <w:spacing w:after="0" w:line="19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10, 2020, we entered into an unsecured Note Purchase Agreement (the "Agreement") under which we issued our 3.04% Series 2020 E Senior Notes, due August 10, 2032, in the aggregate principal amount of $50 million, our 3.08% Series 2020 F Senior Notes, due August 10, 2033, in the aggregate principal amount of $50 million, and our 3.15% Series 2020 G Senior Notes, due August 10, 2035, in the aggregate principal amount of $50 million. Proceeds from the sale of the Series E, F and G Senior Notes were used to fund the acquisition of PalletOne.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December 25, 2021, we had $7.8 million outstanding on our $550 million revolving credit facility, and we had approximately $535.1 million in remaining availability after considering $7.1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25,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ENVIRONMENTAL CONSIDERATIONS AND REGULATIONS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Consolidated Financial Statements, Note L, “Commitments, Contingencies, and Guarantees”.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evaluate goodwill for indicators of impairment when events or circumstances indicate that this risk may be present. Our judgments regarding the existence of impairment are based on market conditions, operational performance and estimated future cash flows. Determining whether an impairment has occurred requires the valuation of the respective reporting unit, which we have consistently estimated using primarily a weighted average between income and market valuation approaches. We believe this approach is the most appropriate and accurate method to measure the fair value of our intangible assets. We use discounted cash flow analysis with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the carrying value of goodwill is considered impaired, an impairment charge is recorded to adjust it to its fair value. Changes in forecasted operations and changes in discount rates can materially affect these estimates. In addition, we test goodwill annually for impairment or more frequently if changes in 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our annual testing date of September 25, 2021, the fair values exceed the carrying values for each of the Company’s reporting units. There were no indicators for impairment for any of the reporting units. We believe we have sufficient available information, both current and historical, to support our assumptions, judgments and estimates used in the goodwill impairment test.</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the prior year, we experienced significantly lower than expected operating results within our commercial reporting unit, which is within the Construction segment. It was determined that the carrying value of the reporting unit exceeded its fair value and we recorded a non-cash goodwill impairment charge of $11.5 million as of December 26, 2020, which represented the entire amount of the goodwill recorded within the reporting unit, as a result.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Revenue for product sales is recognized at the time the performance obligation is satisfied, which is primarily when the goods are delivered to the carrier, Free On Board (FOB) shipping point. Generally, title passes at the time of shipment. In certain circumstances, the customer takes title when the shipment arrives at the destination. However, our shipping process is typically completed the same day.</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Performance on construction contracts is reflected in operations using over time accounting, under either the cost to cost or units of delivery methods, depending on the nature of the business at individual operations.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GOALS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long-term objectives include:</w:t>
      </w:r>
    </w:p>
    <w:p>
      <w:pPr>
        <w:spacing w:after="0" w:line="225" w:lineRule="exact"/>
        <w:rPr>
          <w:sz w:val="20"/>
          <w:szCs w:val="20"/>
          <w:color w:val="auto"/>
        </w:rPr>
      </w:pPr>
    </w:p>
    <w:p>
      <w:pPr>
        <w:ind w:left="720" w:right="79" w:hanging="319"/>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Growing our annual unit sales by 5 to 7 percent. We anticipate smaller tuck-in acquisitions will contribute toward this goal;</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Achieving and sustaining a 10 percent EBITDA margin by continuing to enhance our capabilities and grow our portfolio of value-added products as well as growth of our portfolio of value-added products;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Earning an incremental return on new investment over our cost of capital,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Maintaining a conservative capital structure.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RETAIL SEGMENT</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Home Improvement Research Institute (“HIRI”) anticipates growth in home improvement spending and has forecasted a 3.1% compounded annual growth rate through 2024. Most recently, large “big box” customers like The Home Depot and Lowes have cautioned that they cannot predict if pandemic driven demand trends will continue. The Home Depot has stated that if the demand environment during the last half of 2021 were to persist through the current year, it would imply slightly positive sales growth in 2022. Lowe’s has forecasted a decline of 1% to an increase of 1% in comparable sales in 2022. Sales of our Retail Solutions segment comprised approximately 39.6% of our annual sales in 2021.</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continue to compete for market share for certain retail customers and face intense pricing pressure from other suppliers to this market.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long-term goal is to achieve sales growth by:</w:t>
      </w:r>
    </w:p>
    <w:p>
      <w:pPr>
        <w:spacing w:after="0" w:line="225" w:lineRule="exact"/>
        <w:rPr>
          <w:sz w:val="20"/>
          <w:szCs w:val="20"/>
          <w:color w:val="auto"/>
        </w:rPr>
      </w:pPr>
    </w:p>
    <w:p>
      <w:pPr>
        <w:jc w:val="both"/>
        <w:ind w:left="720" w:right="79" w:hanging="319"/>
        <w:spacing w:after="0" w:line="263"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our market share of value-added products, including our Deckorators, Edge, Outdoor Essentials and Handprint product lines. Continued investment in capacity for Deckorators and Edge is expected to contribute to this increase.</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new products and increasing our emphasis on product innovation and product differentiation in order to counter commoditization trends and influences.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Acquiring businesses in core product categories when those opportunities exist.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Adding new products and customers through strategic business acquisitions or alliances.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INDUSTRIAL SEGMENT</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goal is to increase our sales of wood, wood alternative, and protective packaging products to a wide variety of industrial customers and manufactured wood components for OEM users. We believe the vast amount of hardwood and softwood lumber consumed for industrial applications, combined with the highly fragmented nature of this market, provides us with market share growth opportunities as a result of our competitive advantages in manufacturing, purchasing, and material utilization. In addition, purchasers of packaging products with a wide geographic footprint increasingly desire to reduce the number of suppliers they buy from, which provides an opportunity to gain market share due to our international presence. We plan to continue to obtain market share by expanding our manufacturing capacity, enhancing our capabilities and product offerings to enhance the solutions we offer our customers, and improving our ability to serve large regional and international customers in targeted markets. We plan to continue to pursue acquisition opportunities that meet our strategic criteria and help us meet these objectives. As discussed previously, the recently implemented reorganization of our business is intended to promote revenue growth through the introduction of new products, including protective and other packaging materials, and enhanced expertise in this market as well as improved earnings through more efficient use of our people, resources and capital.</w:t>
      </w:r>
    </w:p>
    <w:p>
      <w:pPr>
        <w:spacing w:after="0" w:line="18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Market indicators that should be considered when evaluating future demand for our products in the industrial segment include industrial production and the Purchasing Managers Index. Industrial Production in the United States is estimated to stand at 0.9% in 2022. The Purchasing Managers Index is projected to trend around 56 points in 2023 and 52.4 points in 2024. Sales in this segment comprised approximately 24.9% of our annual sales in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CONSTRUCTION SEGMENT</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National Association of Home Builders forecasts a 3.0% increase in manufactured home shipments in 2022 followed by a 1.0% increase in 2023. We currently supply approximately 45.0% of the trusses used in manufactured housing and we will strive to maintain our market share of trusses produced for this market. Sales of our Factory Built business unit within our Construction segment comprised approximately 12.7% of our annual sales in 2021.</w:t>
      </w:r>
    </w:p>
    <w:p>
      <w:pPr>
        <w:spacing w:after="0" w:line="17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Mortgage Bankers Association of America forecasts a 5.0% increase in national housing starts to an estimated 1.7 million starts in 2022. The National Association of Home Builders forecasts starts of $1.6 million, a 3.0% increase from 2021. We believe we are well-positioned to capture our share of any increase that may occur in housing starts in the regions we operate, which is primarily Texas, Colorado, the mid-Atlantic states, and the Northeast. However, due to our conservative approach to adding capacity to serve this market and focus on managing potential channel conflicts with certain customers, our growth may trail the market in future years. Sales of our Site Built business unit within our Construction segment comprised approximately 13.8% of our annual sales in 2021.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Non-residential construction spending is a market indicator that should be considered when evaluating future demand for our products in our Commercial and Concrete Forming business units within our Construction segment. Sales in these business units comprised approximately 3.0% and 1.7%, respectively, of our annual sales in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the following factors may impact our gross profits and margins in the future:</w:t>
      </w:r>
    </w:p>
    <w:p>
      <w:pPr>
        <w:spacing w:after="0" w:line="225" w:lineRule="exact"/>
        <w:rPr>
          <w:sz w:val="20"/>
          <w:szCs w:val="20"/>
          <w:color w:val="auto"/>
        </w:rPr>
      </w:pPr>
    </w:p>
    <w:p>
      <w:pPr>
        <w:ind w:left="720" w:right="7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End market demand and our ability to grow and leverage fixed costs and price our products based on the value we offer our customers.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effective implementation of our strategy to focus and manage our operations around the markets we serve.</w:t>
      </w:r>
    </w:p>
    <w:p>
      <w:pPr>
        <w:spacing w:after="0" w:line="248" w:lineRule="exact"/>
        <w:rPr>
          <w:rFonts w:ascii="Arial" w:cs="Arial" w:eastAsia="Arial" w:hAnsi="Arial"/>
          <w:sz w:val="16"/>
          <w:szCs w:val="16"/>
          <w:color w:val="auto"/>
        </w:rPr>
      </w:pPr>
    </w:p>
    <w:p>
      <w:pPr>
        <w:jc w:val="both"/>
        <w:ind w:left="720" w:right="79" w:hanging="319"/>
        <w:spacing w:after="0" w:line="311" w:lineRule="auto"/>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w:t>
      </w:r>
    </w:p>
    <w:p>
      <w:pPr>
        <w:spacing w:after="0" w:line="148" w:lineRule="exact"/>
        <w:rPr>
          <w:rFonts w:ascii="Arial" w:cs="Arial" w:eastAsia="Arial" w:hAnsi="Arial"/>
          <w:sz w:val="16"/>
          <w:szCs w:val="16"/>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mix of value-added and commodity products.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the relative level of the Lumber Market and trends in the market price of lumber. (See "Impact of the Lumber Market on our Operating Results.")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Fuel and transportation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Rising labor and benefit costs.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continue to achieve productivity improvements as our unit sales increase and planned cost reductions through continuous improvement activities, automation, and other initiatives.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in corporate income tax rates and the cost of complying with new or increased government regulations.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recent years, selling, general and administrative (SG&amp;A) expenses have increased due to acquisitions and added personnel hired to take advantage of growth opportunities and execute our initiatives intended to increase our sales of new products and improve our sales mix of value-added products. We anticipate our trend of increases in these costs will continue in 2022; however, our objective is to reduce these costs on a per unit basis and as a percentage of gross profits as we grow through the improved productivity of our people and as a result of fixed costs. In addition, bonus and other incentive expenses for all salaried and sales employees is based on our profitability and the effective management of our assets and will continue to fluctuate based on our results. See Note H — Common Stock for discussion of future compensation costs related to long-term share-based bonus awards.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a long-term basis, we expect that our SG&amp;A expenses will primarily be impacted by:</w:t>
      </w:r>
    </w:p>
    <w:p>
      <w:pPr>
        <w:spacing w:after="0" w:line="225" w:lineRule="exact"/>
        <w:rPr>
          <w:sz w:val="20"/>
          <w:szCs w:val="20"/>
          <w:color w:val="auto"/>
        </w:rPr>
      </w:pPr>
    </w:p>
    <w:p>
      <w:pPr>
        <w:ind w:left="720" w:right="7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growth in sales to the industrial and the construction segments. Our sales to these segments require a higher ratio of SG&amp;A costs due, in part, to product design and engineering requirements.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ind w:left="720" w:right="79" w:hanging="319"/>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new products and value-added, branded products to the retail segment, which generally require higher product development, marketing, advertising, and other selling costs.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incentive compensation programs which are tied to gross profits, pre-bonus earnings from operations and return on investment.</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growth and success in achieving continuous improvement objectives designed to improve our productivity and leverage our fixed costs as we grow.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cash cycle will continue to be impacted in the future by our mix of sales by market. Sales to our construction and industrial segments require a greater investment in working capital than sales to our retail segment. Additionally, our net investment in trade receivables, inventory, and accounts payable will continue to be impacted by the level of lumber prices.</w:t>
      </w:r>
    </w:p>
    <w:p>
      <w:pPr>
        <w:spacing w:after="0" w:line="14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Additionally, we expect to spend between $175 million to $225 million on capital expenditures, incur depreciation of approximately $98 million, and incur amortization and other non-cash expenses of approximately $20 million in 2022.</w:t>
      </w:r>
    </w:p>
    <w:p>
      <w:pPr>
        <w:spacing w:after="0" w:line="14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December 25, 2021, we had outstanding purchase commitments on capital projects of approximately $52.7 million. We intend to fund capital expenditures and purchase commitments through our operating cash flows and availability under our revolving credit facility which is considered sufficient to meet these commitments and working capital needs.</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dividend rates are reviewed and approved at each of our January, April, July, and October board meetings and payments are made in March, June, September, and December of each year. Our board considers our dividend yield, payout ratios relative to earnings and operating cash flow, and potential variability of future results, among other factors, as part of its decision-making process.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a share repurchase program approved by our Board of Directors, and as of February 15, 2022, we have remaining authorization to buy back approximately 2.6 million shares. In the past, we have repurchased shares in order to offset the effect of issuances resulting from our employee benefit plans and at opportune times when our stock price falls to predetermined levels.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9"/>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UFP Industries,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have audited the internal control over financial reporting of UFP Industries, Inc. and subsidiaries (the “Company”) as of December 25,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25, 2021, based on criteria established in Internal Control — Integrated Framework (2013) issued by COSO.</w:t>
      </w:r>
    </w:p>
    <w:p>
      <w:pPr>
        <w:spacing w:after="0" w:line="122"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25, 2021, of the Company and our report dated February 23, 2022, expressed an unqualified opinion on those financial statements.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9"/>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UFP Industries,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have audited the accompanying consolidated balance sheets of UFP Industries, Inc. and subsidiaries (the "Company") as of December 25, 2021 and December 26, 2020, the related consolidated statements of earnings and comprehensive income, shareholders' equity, and cash flows, for each of the three years in the period ended December 25, 2021, and the related notes (collectively referred to as the "financial statements"). In our opinion, the financial statements present fairly, in all material respects, the financial position of the Company as of December 25, 2021 and December 26, 2020, and the results of its operations and its cash flows for each of the three years in the period ended December 25, 2021, in conformity with accounting principles generally accepted in the United States of America.</w:t>
      </w:r>
    </w:p>
    <w:p>
      <w:pPr>
        <w:spacing w:after="0" w:line="11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25, 2021, based on criteria established in Internal Control — Integrated Framework (2013) issued by the Committee of Sponsoring Organizations of the Treadway Commission and our report dated February 23, 2022, expressed an unqualified opinion on the Company's internal control over financial reporting.</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ind w:left="60" w:right="1619"/>
        <w:spacing w:after="0" w:line="440" w:lineRule="auto"/>
        <w:rPr>
          <w:sz w:val="20"/>
          <w:szCs w:val="20"/>
          <w:color w:val="auto"/>
        </w:rPr>
      </w:pPr>
      <w:r>
        <w:rPr>
          <w:rFonts w:ascii="Arial" w:cs="Arial" w:eastAsia="Arial" w:hAnsi="Arial"/>
          <w:sz w:val="18"/>
          <w:szCs w:val="18"/>
          <w:b w:val="1"/>
          <w:bCs w:val="1"/>
          <w:color w:val="auto"/>
        </w:rPr>
        <w:t xml:space="preserve">Purchase Accounting for the PalletOne, Inc. Acquisition – Refer to C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On December 28, 2020, the Company acquired PalletOne, Inc. for $259 million. The transaction was accounted for using the purchase price method of accounting. The purchase price, including capitalized acquisition-related costs, was allocated based on the relative fair value of the assets acquired and liabilities assumed, which were determined using valuation information obtained from published market data, an external valuation specialist for certain acquired assets, and the Company’s historical knowledge of acquiring comparable assets and liabilities.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79"/>
        <w:spacing w:after="0" w:line="259" w:lineRule="auto"/>
        <w:rPr>
          <w:sz w:val="20"/>
          <w:szCs w:val="20"/>
          <w:color w:val="auto"/>
        </w:rPr>
      </w:pPr>
      <w:r>
        <w:rPr>
          <w:rFonts w:ascii="Arial" w:cs="Arial" w:eastAsia="Arial" w:hAnsi="Arial"/>
          <w:sz w:val="18"/>
          <w:szCs w:val="18"/>
          <w:color w:val="auto"/>
        </w:rPr>
        <w:t>We identified the acquisition of PalletOne, Inc. as a critical audit matter because of the estimates management makes to determine the relative fair value of the assets acquired and liabilities assumed. This required auditor judgement and an increased extent of audit effort, including the use of our fair value specialists for the valuation of the real, tangible, and intangible assets.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audit procedures related to the relative fair value of the assets acquired and liabilities assumed of PalletOne, Inc.</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included the following, among others:</w:t>
      </w:r>
    </w:p>
    <w:p>
      <w:pPr>
        <w:spacing w:after="0" w:line="157" w:lineRule="exact"/>
        <w:rPr>
          <w:sz w:val="20"/>
          <w:szCs w:val="20"/>
          <w:color w:val="auto"/>
        </w:rPr>
      </w:pPr>
    </w:p>
    <w:p>
      <w:pPr>
        <w:ind w:left="720" w:right="79" w:hanging="319"/>
        <w:spacing w:after="0" w:line="27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assessed the knowledge, skill, ability, and objectivity of management’s valuation group and evaluated the work performed.</w:t>
      </w:r>
    </w:p>
    <w:p>
      <w:pPr>
        <w:spacing w:after="0" w:line="116"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 the assistance of our fair valuation specialists, we evaluated the reasonableness of the (1) valuation methodology for the real, personal, and intangible property and (2) discount rate of the intangible property by:</w:t>
      </w:r>
    </w:p>
    <w:p>
      <w:pPr>
        <w:spacing w:after="0" w:line="92" w:lineRule="exact"/>
        <w:rPr>
          <w:rFonts w:ascii="Arial" w:cs="Arial" w:eastAsia="Arial" w:hAnsi="Arial"/>
          <w:sz w:val="17"/>
          <w:szCs w:val="17"/>
          <w:color w:val="auto"/>
        </w:rPr>
      </w:pPr>
    </w:p>
    <w:p>
      <w:pPr>
        <w:ind w:left="1040" w:right="79" w:hanging="315"/>
        <w:spacing w:after="0" w:line="277"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Testing the assumptions used considering the past performance of each acquired company and the Company’s strategic plan going forward.</w:t>
      </w:r>
    </w:p>
    <w:p>
      <w:pPr>
        <w:spacing w:after="0" w:line="116"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Testing the source information underlying the determination of the discount rate and testing the mathematical accuracy of the calculation.</w:t>
      </w:r>
    </w:p>
    <w:p>
      <w:pPr>
        <w:spacing w:after="0" w:line="116"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Developing a range of independent estimates of the discount rate and comparing to the discount rate utilized by management.</w:t>
      </w:r>
    </w:p>
    <w:p>
      <w:pPr>
        <w:spacing w:after="0" w:line="11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management’s use of experts related to the valuation of certain acquired assets including qualifications and methodology.</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23,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28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2"/>
              </w:rPr>
              <w:t>December 25,</w:t>
            </w:r>
          </w:p>
        </w:tc>
        <w:tc>
          <w:tcPr>
            <w:tcW w:w="120" w:type="dxa"/>
            <w:vAlign w:val="bottom"/>
          </w:tcPr>
          <w:p>
            <w:pPr>
              <w:spacing w:after="0"/>
              <w:rPr>
                <w:sz w:val="16"/>
                <w:szCs w:val="16"/>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December 26,</w:t>
            </w:r>
          </w:p>
        </w:tc>
        <w:tc>
          <w:tcPr>
            <w:tcW w:w="0" w:type="dxa"/>
            <w:vAlign w:val="bottom"/>
          </w:tcPr>
          <w:p>
            <w:pPr>
              <w:spacing w:after="0"/>
              <w:rPr>
                <w:sz w:val="1"/>
                <w:szCs w:val="1"/>
                <w:color w:val="auto"/>
              </w:rPr>
            </w:pPr>
          </w:p>
        </w:tc>
      </w:tr>
      <w:tr>
        <w:trPr>
          <w:trHeight w:val="134"/>
        </w:trPr>
        <w:tc>
          <w:tcPr>
            <w:tcW w:w="6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286,662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36,495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24,308</w:t>
            </w:r>
          </w:p>
        </w:tc>
        <w:tc>
          <w:tcPr>
            <w:tcW w:w="0" w:type="dxa"/>
            <w:vAlign w:val="bottom"/>
          </w:tcPr>
          <w:p>
            <w:pPr>
              <w:spacing w:after="0"/>
              <w:rPr>
                <w:sz w:val="1"/>
                <w:szCs w:val="1"/>
                <w:color w:val="auto"/>
              </w:rPr>
            </w:pPr>
          </w:p>
        </w:tc>
      </w:tr>
      <w:tr>
        <w:trPr>
          <w:trHeight w:val="149"/>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737,805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470,504</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416,043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316,481</w:t>
            </w:r>
          </w:p>
        </w:tc>
        <w:tc>
          <w:tcPr>
            <w:tcW w:w="0" w:type="dxa"/>
            <w:vAlign w:val="bottom"/>
          </w:tcPr>
          <w:p>
            <w:pPr>
              <w:spacing w:after="0"/>
              <w:rPr>
                <w:sz w:val="1"/>
                <w:szCs w:val="1"/>
                <w:color w:val="auto"/>
              </w:rPr>
            </w:pPr>
          </w:p>
        </w:tc>
      </w:tr>
      <w:tr>
        <w:trPr>
          <w:trHeight w:val="168"/>
        </w:trPr>
        <w:tc>
          <w:tcPr>
            <w:tcW w:w="62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547,277</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250,813</w:t>
            </w:r>
          </w:p>
        </w:tc>
        <w:tc>
          <w:tcPr>
            <w:tcW w:w="0" w:type="dxa"/>
            <w:vAlign w:val="bottom"/>
          </w:tcPr>
          <w:p>
            <w:pPr>
              <w:spacing w:after="0"/>
              <w:rPr>
                <w:sz w:val="1"/>
                <w:szCs w:val="1"/>
                <w:color w:val="auto"/>
              </w:rPr>
            </w:pPr>
          </w:p>
        </w:tc>
      </w:tr>
      <w:tr>
        <w:trPr>
          <w:trHeight w:val="136"/>
        </w:trPr>
        <w:tc>
          <w:tcPr>
            <w:tcW w:w="6280" w:type="dxa"/>
            <w:vAlign w:val="bottom"/>
          </w:tcPr>
          <w:p>
            <w:pPr>
              <w:ind w:left="440"/>
              <w:spacing w:after="0" w:line="135" w:lineRule="exact"/>
              <w:rPr>
                <w:sz w:val="20"/>
                <w:szCs w:val="20"/>
                <w:color w:val="auto"/>
              </w:rPr>
            </w:pPr>
            <w:r>
              <w:rPr>
                <w:rFonts w:ascii="Arial" w:cs="Arial" w:eastAsia="Arial" w:hAnsi="Arial"/>
                <w:sz w:val="14"/>
                <w:szCs w:val="14"/>
                <w:color w:val="auto"/>
              </w:rPr>
              <w:t>Total inventories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963,320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color w:val="auto"/>
              </w:rPr>
              <w:t>567,294</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5,836</w:t>
            </w:r>
          </w:p>
        </w:tc>
        <w:tc>
          <w:tcPr>
            <w:tcW w:w="0" w:type="dxa"/>
            <w:vAlign w:val="bottom"/>
          </w:tcPr>
          <w:p>
            <w:pPr>
              <w:spacing w:after="0"/>
              <w:rPr>
                <w:sz w:val="1"/>
                <w:szCs w:val="1"/>
                <w:color w:val="auto"/>
              </w:rPr>
            </w:pPr>
          </w:p>
        </w:tc>
      </w:tr>
      <w:tr>
        <w:trPr>
          <w:trHeight w:val="156"/>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39,827</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33,812</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2,073,476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1,538,362</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3,462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2,413</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17,565</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96,703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77,245</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20,298</w:t>
            </w:r>
          </w:p>
        </w:tc>
        <w:tc>
          <w:tcPr>
            <w:tcW w:w="0" w:type="dxa"/>
            <w:vAlign w:val="bottom"/>
          </w:tcPr>
          <w:p>
            <w:pPr>
              <w:spacing w:after="0"/>
              <w:rPr>
                <w:sz w:val="1"/>
                <w:szCs w:val="1"/>
                <w:color w:val="auto"/>
              </w:rPr>
            </w:pPr>
          </w:p>
        </w:tc>
      </w:tr>
      <w:tr>
        <w:trPr>
          <w:trHeight w:val="149"/>
        </w:trPr>
        <w:tc>
          <w:tcPr>
            <w:tcW w:w="62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315,038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252,193</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7,401</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109,017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72,252</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Land and improvements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163,289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128,301</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Building and improvements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329,698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272,864</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Machinery and equipment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632,864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525,542</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Furniture and fixtures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24,063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21,110</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Construction in progress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62,199</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26,680</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PROPERTY, PLANT AND EQUIPMENT, GROSS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1,212,113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974,497</w:t>
            </w:r>
          </w:p>
        </w:tc>
        <w:tc>
          <w:tcPr>
            <w:tcW w:w="0" w:type="dxa"/>
            <w:vAlign w:val="bottom"/>
          </w:tcPr>
          <w:p>
            <w:pPr>
              <w:spacing w:after="0"/>
              <w:rPr>
                <w:sz w:val="1"/>
                <w:szCs w:val="1"/>
                <w:color w:val="auto"/>
              </w:rPr>
            </w:pPr>
          </w:p>
        </w:tc>
      </w:tr>
      <w:tr>
        <w:trPr>
          <w:trHeight w:val="156"/>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(623,093)</w:t>
            </w:r>
          </w:p>
        </w:tc>
        <w:tc>
          <w:tcPr>
            <w:tcW w:w="120" w:type="dxa"/>
            <w:vAlign w:val="bottom"/>
          </w:tcPr>
          <w:p>
            <w:pPr>
              <w:spacing w:after="0"/>
              <w:rPr>
                <w:sz w:val="13"/>
                <w:szCs w:val="13"/>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(557,335)</w:t>
            </w:r>
          </w:p>
        </w:tc>
        <w:tc>
          <w:tcPr>
            <w:tcW w:w="0" w:type="dxa"/>
            <w:vAlign w:val="bottom"/>
          </w:tcPr>
          <w:p>
            <w:pPr>
              <w:spacing w:after="0"/>
              <w:rPr>
                <w:sz w:val="1"/>
                <w:szCs w:val="1"/>
                <w:color w:val="auto"/>
              </w:rPr>
            </w:pPr>
          </w:p>
        </w:tc>
      </w:tr>
      <w:tr>
        <w:trPr>
          <w:trHeight w:val="168"/>
        </w:trPr>
        <w:tc>
          <w:tcPr>
            <w:tcW w:w="6280" w:type="dxa"/>
            <w:vAlign w:val="bottom"/>
            <w:tcBorders>
              <w:top w:val="single" w:sz="8" w:color="CCEEFF"/>
              <w:bottom w:val="single" w:sz="8" w:color="CCEEFF"/>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PROPERTY, PLANT AND EQUIPMENT, NET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589,020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417,162</w:t>
            </w:r>
          </w:p>
        </w:tc>
        <w:tc>
          <w:tcPr>
            <w:tcW w:w="0" w:type="dxa"/>
            <w:vAlign w:val="bottom"/>
          </w:tcPr>
          <w:p>
            <w:pPr>
              <w:spacing w:after="0"/>
              <w:rPr>
                <w:sz w:val="1"/>
                <w:szCs w:val="1"/>
                <w:color w:val="auto"/>
              </w:rPr>
            </w:pPr>
          </w:p>
        </w:tc>
      </w:tr>
      <w:tr>
        <w:trPr>
          <w:trHeight w:val="175"/>
        </w:trPr>
        <w:tc>
          <w:tcPr>
            <w:tcW w:w="628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3,245,271</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2,404,891</w:t>
            </w:r>
          </w:p>
        </w:tc>
        <w:tc>
          <w:tcPr>
            <w:tcW w:w="0" w:type="dxa"/>
            <w:vAlign w:val="bottom"/>
          </w:tcPr>
          <w:p>
            <w:pPr>
              <w:spacing w:after="0"/>
              <w:rPr>
                <w:sz w:val="1"/>
                <w:szCs w:val="1"/>
                <w:color w:val="auto"/>
              </w:rPr>
            </w:pPr>
          </w:p>
        </w:tc>
      </w:tr>
      <w:tr>
        <w:trPr>
          <w:trHeight w:val="129"/>
        </w:trPr>
        <w:tc>
          <w:tcPr>
            <w:tcW w:w="62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AND SHAREHOLDERS’ EQUITY</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overdraft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319,125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211,518</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289,196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166,478</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84,853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69,104</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lease liability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23,155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16,549</w:t>
            </w:r>
          </w:p>
        </w:tc>
        <w:tc>
          <w:tcPr>
            <w:tcW w:w="0" w:type="dxa"/>
            <w:vAlign w:val="bottom"/>
          </w:tcPr>
          <w:p>
            <w:pPr>
              <w:spacing w:after="0"/>
              <w:rPr>
                <w:sz w:val="1"/>
                <w:szCs w:val="1"/>
                <w:color w:val="auto"/>
              </w:rPr>
            </w:pPr>
          </w:p>
        </w:tc>
      </w:tr>
      <w:tr>
        <w:trPr>
          <w:trHeight w:val="169"/>
        </w:trPr>
        <w:tc>
          <w:tcPr>
            <w:tcW w:w="62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42,683</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5"/>
        </w:trPr>
        <w:tc>
          <w:tcPr>
            <w:tcW w:w="6280" w:type="dxa"/>
            <w:vAlign w:val="bottom"/>
          </w:tcPr>
          <w:p>
            <w:pPr>
              <w:ind w:left="440"/>
              <w:spacing w:after="0" w:line="13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776,042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color w:val="auto"/>
              </w:rPr>
              <w:t>463,749</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277,567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311,607</w:t>
            </w:r>
          </w:p>
        </w:tc>
        <w:tc>
          <w:tcPr>
            <w:tcW w:w="0" w:type="dxa"/>
            <w:vAlign w:val="bottom"/>
          </w:tcPr>
          <w:p>
            <w:pPr>
              <w:spacing w:after="0"/>
              <w:rPr>
                <w:sz w:val="1"/>
                <w:szCs w:val="1"/>
                <w:color w:val="auto"/>
              </w:rPr>
            </w:pPr>
          </w:p>
        </w:tc>
      </w:tr>
      <w:tr>
        <w:trPr>
          <w:trHeight w:val="149"/>
        </w:trPr>
        <w:tc>
          <w:tcPr>
            <w:tcW w:w="6280" w:type="dxa"/>
            <w:vAlign w:val="bottom"/>
          </w:tcPr>
          <w:p>
            <w:pPr>
              <w:spacing w:after="0" w:line="149" w:lineRule="exact"/>
              <w:rPr>
                <w:sz w:val="20"/>
                <w:szCs w:val="20"/>
                <w:color w:val="auto"/>
              </w:rPr>
            </w:pPr>
            <w:r>
              <w:rPr>
                <w:rFonts w:ascii="Arial" w:cs="Arial" w:eastAsia="Arial" w:hAnsi="Arial"/>
                <w:sz w:val="14"/>
                <w:szCs w:val="14"/>
                <w:color w:val="auto"/>
              </w:rPr>
              <w:t>LEASE LIABILITY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76,632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61,509</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60,964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25,266</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37,497</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59,608</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1,228,702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921,739</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320"/>
              <w:spacing w:after="0" w:line="149" w:lineRule="exact"/>
              <w:rPr>
                <w:sz w:val="20"/>
                <w:szCs w:val="20"/>
                <w:color w:val="auto"/>
              </w:rPr>
            </w:pPr>
            <w:r>
              <w:rPr>
                <w:rFonts w:ascii="Arial" w:cs="Arial" w:eastAsia="Arial" w:hAnsi="Arial"/>
                <w:sz w:val="14"/>
                <w:szCs w:val="14"/>
                <w:color w:val="auto"/>
              </w:rPr>
              <w:t>Preferred stock, no par value; shares authorized 1,000,000; issued and outstanding, none</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2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w w:val="94"/>
              </w:rPr>
              <w:t>Common stock, $1 par value; shares authorized 80,000,000; issued and outstanding, 61,901,851 and</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61,205,780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61,902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61,206</w:t>
            </w:r>
          </w:p>
        </w:tc>
        <w:tc>
          <w:tcPr>
            <w:tcW w:w="0" w:type="dxa"/>
            <w:vAlign w:val="bottom"/>
          </w:tcPr>
          <w:p>
            <w:pPr>
              <w:spacing w:after="0"/>
              <w:rPr>
                <w:sz w:val="1"/>
                <w:szCs w:val="1"/>
                <w:color w:val="auto"/>
              </w:rPr>
            </w:pPr>
          </w:p>
        </w:tc>
      </w:tr>
      <w:tr>
        <w:trPr>
          <w:trHeight w:val="149"/>
        </w:trPr>
        <w:tc>
          <w:tcPr>
            <w:tcW w:w="628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243,995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218,224</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1,678,121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1,182,680</w:t>
            </w:r>
          </w:p>
        </w:tc>
        <w:tc>
          <w:tcPr>
            <w:tcW w:w="0" w:type="dxa"/>
            <w:vAlign w:val="bottom"/>
          </w:tcPr>
          <w:p>
            <w:pPr>
              <w:spacing w:after="0"/>
              <w:rPr>
                <w:sz w:val="1"/>
                <w:szCs w:val="1"/>
                <w:color w:val="auto"/>
              </w:rPr>
            </w:pPr>
          </w:p>
        </w:tc>
      </w:tr>
      <w:tr>
        <w:trPr>
          <w:trHeight w:val="155"/>
        </w:trPr>
        <w:tc>
          <w:tcPr>
            <w:tcW w:w="6280" w:type="dxa"/>
            <w:vAlign w:val="bottom"/>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(5,405)</w:t>
            </w:r>
          </w:p>
        </w:tc>
        <w:tc>
          <w:tcPr>
            <w:tcW w:w="120" w:type="dxa"/>
            <w:vAlign w:val="bottom"/>
          </w:tcPr>
          <w:p>
            <w:pPr>
              <w:spacing w:after="0"/>
              <w:rPr>
                <w:sz w:val="13"/>
                <w:szCs w:val="13"/>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149"/>
        </w:trPr>
        <w:tc>
          <w:tcPr>
            <w:tcW w:w="6280" w:type="dxa"/>
            <w:vAlign w:val="bottom"/>
            <w:tcBorders>
              <w:top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controlling interest shareholders’ equity</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1,978,613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1,460,316</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37,956</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22,836</w:t>
            </w:r>
          </w:p>
        </w:tc>
        <w:tc>
          <w:tcPr>
            <w:tcW w:w="0" w:type="dxa"/>
            <w:vAlign w:val="bottom"/>
          </w:tcPr>
          <w:p>
            <w:pPr>
              <w:spacing w:after="0"/>
              <w:rPr>
                <w:sz w:val="1"/>
                <w:szCs w:val="1"/>
                <w:color w:val="auto"/>
              </w:rPr>
            </w:pPr>
          </w:p>
        </w:tc>
      </w:tr>
      <w:tr>
        <w:trPr>
          <w:trHeight w:val="168"/>
        </w:trPr>
        <w:tc>
          <w:tcPr>
            <w:tcW w:w="6280" w:type="dxa"/>
            <w:vAlign w:val="bottom"/>
            <w:tcBorders>
              <w:bottom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SHAREHOLDERS’ EQUITY</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2,016,569</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1,483,152</w:t>
            </w:r>
          </w:p>
        </w:tc>
        <w:tc>
          <w:tcPr>
            <w:tcW w:w="0" w:type="dxa"/>
            <w:vAlign w:val="bottom"/>
          </w:tcPr>
          <w:p>
            <w:pPr>
              <w:spacing w:after="0"/>
              <w:rPr>
                <w:sz w:val="1"/>
                <w:szCs w:val="1"/>
                <w:color w:val="auto"/>
              </w:rPr>
            </w:pPr>
          </w:p>
        </w:tc>
      </w:tr>
      <w:tr>
        <w:trPr>
          <w:trHeight w:val="135"/>
        </w:trPr>
        <w:tc>
          <w:tcPr>
            <w:tcW w:w="6280" w:type="dxa"/>
            <w:vAlign w:val="bottom"/>
          </w:tcPr>
          <w:p>
            <w:pPr>
              <w:spacing w:after="0" w:line="135" w:lineRule="exact"/>
              <w:rPr>
                <w:sz w:val="20"/>
                <w:szCs w:val="20"/>
                <w:color w:val="auto"/>
              </w:rPr>
            </w:pPr>
            <w:r>
              <w:rPr>
                <w:rFonts w:ascii="Arial" w:cs="Arial" w:eastAsia="Arial" w:hAnsi="Arial"/>
                <w:sz w:val="14"/>
                <w:szCs w:val="14"/>
                <w:color w:val="auto"/>
              </w:rPr>
              <w:t>TOTAL LIABILITIES AND SHAREHOLDERS’ EQUITY</w:t>
            </w:r>
          </w:p>
        </w:tc>
        <w:tc>
          <w:tcPr>
            <w:tcW w:w="1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3,245,271</w:t>
            </w:r>
          </w:p>
        </w:tc>
        <w:tc>
          <w:tcPr>
            <w:tcW w:w="22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2,404,891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COMPREHENSIVE INCOME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per share data)</w:t>
      </w:r>
    </w:p>
    <w:tbl>
      <w:tblPr>
        <w:tblLayout w:type="fixed"/>
        <w:tblInd w:w="60" w:type="dxa"/>
        <w:tblCellMar>
          <w:top w:w="0" w:type="dxa"/>
          <w:left w:w="0" w:type="dxa"/>
          <w:bottom w:w="0" w:type="dxa"/>
          <w:right w:w="0" w:type="dxa"/>
        </w:tblCellMar>
      </w:tblPr>
      <w:tr>
        <w:trPr>
          <w:trHeight w:val="166"/>
        </w:trPr>
        <w:tc>
          <w:tcPr>
            <w:tcW w:w="5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6"/>
              </w:rPr>
              <w:t>December 25,</w:t>
            </w:r>
          </w:p>
        </w:tc>
        <w:tc>
          <w:tcPr>
            <w:tcW w:w="160" w:type="dxa"/>
            <w:vAlign w:val="bottom"/>
          </w:tcPr>
          <w:p>
            <w:pPr>
              <w:spacing w:after="0"/>
              <w:rPr>
                <w:sz w:val="10"/>
                <w:szCs w:val="10"/>
                <w:color w:val="auto"/>
              </w:rPr>
            </w:pPr>
          </w:p>
        </w:tc>
        <w:tc>
          <w:tcPr>
            <w:tcW w:w="10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December 26,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12"/>
              <w:spacing w:after="0" w:line="126" w:lineRule="exact"/>
              <w:rPr>
                <w:sz w:val="20"/>
                <w:szCs w:val="20"/>
                <w:color w:val="auto"/>
              </w:rPr>
            </w:pPr>
            <w:r>
              <w:rPr>
                <w:rFonts w:ascii="Arial" w:cs="Arial" w:eastAsia="Arial" w:hAnsi="Arial"/>
                <w:sz w:val="14"/>
                <w:szCs w:val="14"/>
                <w:b w:val="1"/>
                <w:bCs w:val="1"/>
                <w:color w:val="auto"/>
                <w:w w:val="90"/>
              </w:rPr>
              <w:t>December 28,</w:t>
            </w:r>
          </w:p>
        </w:tc>
        <w:tc>
          <w:tcPr>
            <w:tcW w:w="0" w:type="dxa"/>
            <w:vAlign w:val="bottom"/>
          </w:tcPr>
          <w:p>
            <w:pPr>
              <w:spacing w:after="0"/>
              <w:rPr>
                <w:sz w:val="1"/>
                <w:szCs w:val="1"/>
                <w:color w:val="auto"/>
              </w:rPr>
            </w:pPr>
          </w:p>
        </w:tc>
      </w:tr>
      <w:tr>
        <w:trPr>
          <w:trHeight w:val="178"/>
        </w:trPr>
        <w:tc>
          <w:tcPr>
            <w:tcW w:w="51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8,636,134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5,153,998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4,416,009</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GOODS SOLD</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7,229,167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4,353,702</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3,730,491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1,406,967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685,518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682,253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444,596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439,047</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(GAINS) LOSSES, NET</w:t>
            </w: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EARNINGS FROM OPERATIONS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737,554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345,826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244,906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INTEREST AND INVESTMENT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EQUITY IN EARNINGS OF INVESTEE</w:t>
            </w: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240,674</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TAXES</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173,972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182,404</w:t>
            </w:r>
          </w:p>
        </w:tc>
        <w:tc>
          <w:tcPr>
            <w:tcW w:w="0" w:type="dxa"/>
            <w:vAlign w:val="bottom"/>
          </w:tcPr>
          <w:p>
            <w:pPr>
              <w:spacing w:after="0"/>
              <w:rPr>
                <w:sz w:val="1"/>
                <w:szCs w:val="1"/>
                <w:color w:val="auto"/>
              </w:rPr>
            </w:pPr>
          </w:p>
        </w:tc>
      </w:tr>
      <w:tr>
        <w:trPr>
          <w:trHeight w:val="193"/>
        </w:trPr>
        <w:tc>
          <w:tcPr>
            <w:tcW w:w="5140" w:type="dxa"/>
            <w:vAlign w:val="bottom"/>
          </w:tcPr>
          <w:p>
            <w:pPr>
              <w:spacing w:after="0"/>
              <w:rPr>
                <w:sz w:val="20"/>
                <w:szCs w:val="20"/>
                <w:color w:val="auto"/>
              </w:rPr>
            </w:pPr>
            <w:r>
              <w:rPr>
                <w:rFonts w:ascii="Arial" w:cs="Arial" w:eastAsia="Arial" w:hAnsi="Arial"/>
                <w:sz w:val="16"/>
                <w:szCs w:val="16"/>
                <w:color w:val="auto"/>
              </w:rPr>
              <w:t>LESS NET EARNINGS ATTRIBUTABLE TO NONCONTROLLING</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(16,724)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(7,104)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 ATTRIBUTABLE TO CONTROLLING INTEREST</w:t>
            </w: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246,778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179,650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552,364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253,882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182,404</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GAIN (LOSS)</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183,917</w:t>
            </w:r>
          </w:p>
        </w:tc>
        <w:tc>
          <w:tcPr>
            <w:tcW w:w="0" w:type="dxa"/>
            <w:vAlign w:val="bottom"/>
          </w:tcPr>
          <w:p>
            <w:pPr>
              <w:spacing w:after="0"/>
              <w:rPr>
                <w:sz w:val="1"/>
                <w:szCs w:val="1"/>
                <w:color w:val="auto"/>
              </w:rPr>
            </w:pPr>
          </w:p>
        </w:tc>
      </w:tr>
      <w:tr>
        <w:trPr>
          <w:trHeight w:val="193"/>
        </w:trPr>
        <w:tc>
          <w:tcPr>
            <w:tcW w:w="5140" w:type="dxa"/>
            <w:vAlign w:val="bottom"/>
          </w:tcPr>
          <w:p>
            <w:pPr>
              <w:spacing w:after="0"/>
              <w:rPr>
                <w:sz w:val="20"/>
                <w:szCs w:val="20"/>
                <w:color w:val="auto"/>
              </w:rPr>
            </w:pPr>
            <w:r>
              <w:rPr>
                <w:rFonts w:ascii="Arial" w:cs="Arial" w:eastAsia="Arial" w:hAnsi="Arial"/>
                <w:sz w:val="16"/>
                <w:szCs w:val="16"/>
                <w:color w:val="auto"/>
              </w:rPr>
              <w:t>LESS COMPREHENSIVE INCOME ATTRIBUTABLE TO</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(15,039)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(9,976)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NONCONTROLLING INTEREST</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1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COMPREHENSIVE INCOME ATTRIBUTABLE TO CONTROLLING</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532,029</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249,873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180,699</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5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6"/>
        </w:trPr>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0"/>
          </w:tcPr>
          <w:p>
            <w:pPr>
              <w:spacing w:after="0" w:line="159" w:lineRule="exact"/>
              <w:rPr>
                <w:sz w:val="20"/>
                <w:szCs w:val="20"/>
                <w:color w:val="auto"/>
              </w:rPr>
            </w:pPr>
            <w:r>
              <w:rPr>
                <w:rFonts w:ascii="Arial" w:cs="Arial" w:eastAsia="Arial" w:hAnsi="Arial"/>
                <w:sz w:val="14"/>
                <w:szCs w:val="14"/>
                <w:b w:val="1"/>
                <w:bCs w:val="1"/>
                <w:color w:val="auto"/>
              </w:rPr>
              <w:t>Controlling Interest Shareholders’ Equity</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Common</w:t>
            </w:r>
          </w:p>
        </w:tc>
        <w:tc>
          <w:tcPr>
            <w:tcW w:w="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4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December 29, 2018</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60,884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178,540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839,917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(5,938)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15,281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1,088,684</w:t>
            </w:r>
          </w:p>
        </w:tc>
        <w:tc>
          <w:tcPr>
            <w:tcW w:w="0" w:type="dxa"/>
            <w:vAlign w:val="bottom"/>
          </w:tcPr>
          <w:p>
            <w:pPr>
              <w:spacing w:after="0"/>
              <w:rPr>
                <w:sz w:val="1"/>
                <w:szCs w:val="1"/>
                <w:color w:val="auto"/>
              </w:rPr>
            </w:pPr>
          </w:p>
        </w:tc>
      </w:tr>
      <w:tr>
        <w:trPr>
          <w:trHeight w:val="148"/>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179,650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2,754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182,404</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30"/>
        </w:trPr>
        <w:tc>
          <w:tcPr>
            <w:tcW w:w="3340" w:type="dxa"/>
            <w:vAlign w:val="bottom"/>
          </w:tcPr>
          <w:p>
            <w:pPr>
              <w:ind w:left="20"/>
              <w:spacing w:after="0" w:line="130" w:lineRule="exact"/>
              <w:rPr>
                <w:sz w:val="20"/>
                <w:szCs w:val="20"/>
                <w:color w:val="auto"/>
              </w:rPr>
            </w:pPr>
            <w:r>
              <w:rPr>
                <w:rFonts w:ascii="Arial" w:cs="Arial" w:eastAsia="Arial" w:hAnsi="Arial"/>
                <w:sz w:val="14"/>
                <w:szCs w:val="14"/>
                <w:color w:val="auto"/>
              </w:rPr>
              <w:t>Unrealized gain (loss) on investment &amp; foreign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(2,143)</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148"/>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Additional purchase of noncontrolling interest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(2,338)</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(7,075)</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$0.40 per share</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(24,549)</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(24,549)</w:t>
            </w:r>
          </w:p>
        </w:tc>
        <w:tc>
          <w:tcPr>
            <w:tcW w:w="0" w:type="dxa"/>
            <w:vAlign w:val="bottom"/>
          </w:tcPr>
          <w:p>
            <w:pPr>
              <w:spacing w:after="0"/>
              <w:rPr>
                <w:sz w:val="1"/>
                <w:szCs w:val="1"/>
                <w:color w:val="auto"/>
              </w:rPr>
            </w:pPr>
          </w:p>
        </w:tc>
      </w:tr>
      <w:tr>
        <w:trPr>
          <w:trHeight w:val="130"/>
        </w:trPr>
        <w:tc>
          <w:tcPr>
            <w:tcW w:w="3340" w:type="dxa"/>
            <w:vAlign w:val="bottom"/>
          </w:tcPr>
          <w:p>
            <w:pPr>
              <w:ind w:left="20"/>
              <w:spacing w:after="0" w:line="130" w:lineRule="exact"/>
              <w:rPr>
                <w:sz w:val="20"/>
                <w:szCs w:val="20"/>
                <w:color w:val="auto"/>
              </w:rPr>
            </w:pPr>
            <w:r>
              <w:rPr>
                <w:rFonts w:ascii="Arial" w:cs="Arial" w:eastAsia="Arial" w:hAnsi="Arial"/>
                <w:sz w:val="14"/>
                <w:szCs w:val="14"/>
                <w:color w:val="auto"/>
              </w:rPr>
              <w:t>Issuance of 33,647 shares under employee stock</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Issuance of 309,628 shares under stock grant programs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5,968</w:t>
            </w:r>
          </w:p>
        </w:tc>
        <w:tc>
          <w:tcPr>
            <w:tcW w:w="0" w:type="dxa"/>
            <w:vAlign w:val="bottom"/>
          </w:tcPr>
          <w:p>
            <w:pPr>
              <w:spacing w:after="0"/>
              <w:rPr>
                <w:sz w:val="1"/>
                <w:szCs w:val="1"/>
                <w:color w:val="auto"/>
              </w:rPr>
            </w:pPr>
          </w:p>
        </w:tc>
      </w:tr>
      <w:tr>
        <w:trPr>
          <w:trHeight w:val="130"/>
        </w:trPr>
        <w:tc>
          <w:tcPr>
            <w:tcW w:w="3340" w:type="dxa"/>
            <w:vAlign w:val="bottom"/>
          </w:tcPr>
          <w:p>
            <w:pPr>
              <w:ind w:left="20"/>
              <w:spacing w:after="0" w:line="130" w:lineRule="exact"/>
              <w:rPr>
                <w:sz w:val="20"/>
                <w:szCs w:val="20"/>
                <w:color w:val="auto"/>
              </w:rPr>
            </w:pPr>
            <w:r>
              <w:rPr>
                <w:rFonts w:ascii="Arial" w:cs="Arial" w:eastAsia="Arial" w:hAnsi="Arial"/>
                <w:sz w:val="14"/>
                <w:szCs w:val="14"/>
                <w:color w:val="auto"/>
              </w:rPr>
              <w:t>Issuance of 181,565 shares under deferred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w:t>
            </w:r>
          </w:p>
        </w:tc>
        <w:tc>
          <w:tcPr>
            <w:tcW w:w="0" w:type="dxa"/>
            <w:vAlign w:val="bottom"/>
          </w:tcPr>
          <w:p>
            <w:pPr>
              <w:spacing w:after="0"/>
              <w:rPr>
                <w:sz w:val="1"/>
                <w:szCs w:val="1"/>
                <w:color w:val="auto"/>
              </w:rPr>
            </w:pPr>
          </w:p>
        </w:tc>
      </w:tr>
      <w:tr>
        <w:trPr>
          <w:trHeight w:val="155"/>
        </w:trPr>
        <w:tc>
          <w:tcPr>
            <w:tcW w:w="334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7,995</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7,995</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December 28, 2019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61,409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192,173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995,022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(4,889)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14,018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1,257,733</w:t>
            </w:r>
          </w:p>
        </w:tc>
        <w:tc>
          <w:tcPr>
            <w:tcW w:w="0" w:type="dxa"/>
            <w:vAlign w:val="bottom"/>
          </w:tcPr>
          <w:p>
            <w:pPr>
              <w:spacing w:after="0"/>
              <w:rPr>
                <w:sz w:val="1"/>
                <w:szCs w:val="1"/>
                <w:color w:val="auto"/>
              </w:rPr>
            </w:pPr>
          </w:p>
        </w:tc>
      </w:tr>
      <w:tr>
        <w:trPr>
          <w:trHeight w:val="149"/>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246,778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7,104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253,882</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0" w:type="dxa"/>
            <w:vAlign w:val="bottom"/>
          </w:tcPr>
          <w:p>
            <w:pPr>
              <w:spacing w:after="0"/>
              <w:rPr>
                <w:sz w:val="1"/>
                <w:szCs w:val="1"/>
                <w:color w:val="auto"/>
              </w:rPr>
            </w:pPr>
          </w:p>
        </w:tc>
      </w:tr>
      <w:tr>
        <w:trPr>
          <w:trHeight w:val="148"/>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Unrealized gain on debt securities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(933)</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30"/>
        </w:trPr>
        <w:tc>
          <w:tcPr>
            <w:tcW w:w="3340" w:type="dxa"/>
            <w:vAlign w:val="bottom"/>
          </w:tcPr>
          <w:p>
            <w:pPr>
              <w:ind w:left="20"/>
              <w:spacing w:after="0" w:line="130" w:lineRule="exact"/>
              <w:rPr>
                <w:sz w:val="20"/>
                <w:szCs w:val="20"/>
                <w:color w:val="auto"/>
              </w:rPr>
            </w:pPr>
            <w:r>
              <w:rPr>
                <w:rFonts w:ascii="Arial" w:cs="Arial" w:eastAsia="Arial" w:hAnsi="Arial"/>
                <w:sz w:val="14"/>
                <w:szCs w:val="14"/>
                <w:color w:val="auto"/>
              </w:rPr>
              <w:t>Noncontrolling interest related to business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4"/>
                <w:szCs w:val="14"/>
                <w:color w:val="auto"/>
              </w:rPr>
              <w:t>combinations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$0.50 per share</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(30,669)</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(30,669)</w:t>
            </w:r>
          </w:p>
        </w:tc>
        <w:tc>
          <w:tcPr>
            <w:tcW w:w="0" w:type="dxa"/>
            <w:vAlign w:val="bottom"/>
          </w:tcPr>
          <w:p>
            <w:pPr>
              <w:spacing w:after="0"/>
              <w:rPr>
                <w:sz w:val="1"/>
                <w:szCs w:val="1"/>
                <w:color w:val="auto"/>
              </w:rPr>
            </w:pPr>
          </w:p>
        </w:tc>
      </w:tr>
      <w:tr>
        <w:trPr>
          <w:trHeight w:val="130"/>
        </w:trPr>
        <w:tc>
          <w:tcPr>
            <w:tcW w:w="3340" w:type="dxa"/>
            <w:vAlign w:val="bottom"/>
          </w:tcPr>
          <w:p>
            <w:pPr>
              <w:ind w:left="20"/>
              <w:spacing w:after="0" w:line="130" w:lineRule="exact"/>
              <w:rPr>
                <w:sz w:val="20"/>
                <w:szCs w:val="20"/>
                <w:color w:val="auto"/>
              </w:rPr>
            </w:pPr>
            <w:r>
              <w:rPr>
                <w:rFonts w:ascii="Arial" w:cs="Arial" w:eastAsia="Arial" w:hAnsi="Arial"/>
                <w:sz w:val="14"/>
                <w:szCs w:val="14"/>
                <w:color w:val="auto"/>
              </w:rPr>
              <w:t>Issuance of 35,133 shares under employee stock</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1,360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Issuance of 390,720 shares under stock grant programs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12,535</w:t>
            </w:r>
          </w:p>
        </w:tc>
        <w:tc>
          <w:tcPr>
            <w:tcW w:w="0" w:type="dxa"/>
            <w:vAlign w:val="bottom"/>
          </w:tcPr>
          <w:p>
            <w:pPr>
              <w:spacing w:after="0"/>
              <w:rPr>
                <w:sz w:val="1"/>
                <w:szCs w:val="1"/>
                <w:color w:val="auto"/>
              </w:rPr>
            </w:pPr>
          </w:p>
        </w:tc>
      </w:tr>
      <w:tr>
        <w:trPr>
          <w:trHeight w:val="130"/>
        </w:trPr>
        <w:tc>
          <w:tcPr>
            <w:tcW w:w="3340" w:type="dxa"/>
            <w:vAlign w:val="bottom"/>
          </w:tcPr>
          <w:p>
            <w:pPr>
              <w:ind w:left="20"/>
              <w:spacing w:after="0" w:line="130" w:lineRule="exact"/>
              <w:rPr>
                <w:sz w:val="20"/>
                <w:szCs w:val="20"/>
                <w:color w:val="auto"/>
              </w:rPr>
            </w:pPr>
            <w:r>
              <w:rPr>
                <w:rFonts w:ascii="Arial" w:cs="Arial" w:eastAsia="Arial" w:hAnsi="Arial"/>
                <w:sz w:val="14"/>
                <w:szCs w:val="14"/>
                <w:color w:val="auto"/>
              </w:rPr>
              <w:t>Issuance of 127,735 shares under deferred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756,397 shares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(28,456)</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(29,212)</w:t>
            </w:r>
          </w:p>
        </w:tc>
        <w:tc>
          <w:tcPr>
            <w:tcW w:w="0" w:type="dxa"/>
            <w:vAlign w:val="bottom"/>
          </w:tcPr>
          <w:p>
            <w:pPr>
              <w:spacing w:after="0"/>
              <w:rPr>
                <w:sz w:val="1"/>
                <w:szCs w:val="1"/>
                <w:color w:val="auto"/>
              </w:rPr>
            </w:pPr>
          </w:p>
        </w:tc>
      </w:tr>
      <w:tr>
        <w:trPr>
          <w:trHeight w:val="130"/>
        </w:trPr>
        <w:tc>
          <w:tcPr>
            <w:tcW w:w="334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3,905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3,905</w:t>
            </w:r>
          </w:p>
        </w:tc>
        <w:tc>
          <w:tcPr>
            <w:tcW w:w="0" w:type="dxa"/>
            <w:vAlign w:val="bottom"/>
          </w:tcPr>
          <w:p>
            <w:pPr>
              <w:spacing w:after="0"/>
              <w:rPr>
                <w:sz w:val="1"/>
                <w:szCs w:val="1"/>
                <w:color w:val="auto"/>
              </w:rPr>
            </w:pPr>
          </w:p>
        </w:tc>
      </w:tr>
      <w:tr>
        <w:trPr>
          <w:trHeight w:val="168"/>
        </w:trPr>
        <w:tc>
          <w:tcPr>
            <w:tcW w:w="334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8,644</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8,644</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on December 26, 2020</w:t>
            </w:r>
          </w:p>
        </w:tc>
        <w:tc>
          <w:tcPr>
            <w:tcW w:w="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61,206</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218,224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6"/>
              </w:rPr>
              <w:t>1,182,680</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(1,794)</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22,836</w:t>
            </w:r>
          </w:p>
        </w:tc>
        <w:tc>
          <w:tcPr>
            <w:tcW w:w="1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1,483,152</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535,640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552,364</w:t>
            </w:r>
          </w:p>
        </w:tc>
        <w:tc>
          <w:tcPr>
            <w:tcW w:w="0" w:type="dxa"/>
            <w:vAlign w:val="bottom"/>
          </w:tcPr>
          <w:p>
            <w:pPr>
              <w:spacing w:after="0"/>
              <w:rPr>
                <w:sz w:val="1"/>
                <w:szCs w:val="1"/>
                <w:color w:val="auto"/>
              </w:rPr>
            </w:pPr>
          </w:p>
        </w:tc>
      </w:tr>
      <w:tr>
        <w:trPr>
          <w:trHeight w:val="149"/>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(2,584)</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(4,269)</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gain on investments and other</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(1,027)</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49"/>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(6,750)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30"/>
        </w:trPr>
        <w:tc>
          <w:tcPr>
            <w:tcW w:w="3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Noncontrolling interest related to business</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combinations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6,831</w:t>
            </w:r>
          </w:p>
        </w:tc>
        <w:tc>
          <w:tcPr>
            <w:tcW w:w="0" w:type="dxa"/>
            <w:vAlign w:val="bottom"/>
          </w:tcPr>
          <w:p>
            <w:pPr>
              <w:spacing w:after="0"/>
              <w:rPr>
                <w:sz w:val="1"/>
                <w:szCs w:val="1"/>
                <w:color w:val="auto"/>
              </w:rPr>
            </w:pPr>
          </w:p>
        </w:tc>
      </w:tr>
      <w:tr>
        <w:trPr>
          <w:trHeight w:val="149"/>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Cash dividends - $0.65 per share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(40,209)</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(40,209)</w:t>
            </w:r>
          </w:p>
        </w:tc>
        <w:tc>
          <w:tcPr>
            <w:tcW w:w="0" w:type="dxa"/>
            <w:vAlign w:val="bottom"/>
          </w:tcPr>
          <w:p>
            <w:pPr>
              <w:spacing w:after="0"/>
              <w:rPr>
                <w:sz w:val="1"/>
                <w:szCs w:val="1"/>
                <w:color w:val="auto"/>
              </w:rPr>
            </w:pPr>
          </w:p>
        </w:tc>
      </w:tr>
      <w:tr>
        <w:trPr>
          <w:trHeight w:val="130"/>
        </w:trPr>
        <w:tc>
          <w:tcPr>
            <w:tcW w:w="3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33,104 shares under employee stock</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149"/>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w w:val="95"/>
              </w:rPr>
              <w:t>Issuance of 546,235 shares under stock grant programs</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3,506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4,062</w:t>
            </w:r>
          </w:p>
        </w:tc>
        <w:tc>
          <w:tcPr>
            <w:tcW w:w="0" w:type="dxa"/>
            <w:vAlign w:val="bottom"/>
          </w:tcPr>
          <w:p>
            <w:pPr>
              <w:spacing w:after="0"/>
              <w:rPr>
                <w:sz w:val="1"/>
                <w:szCs w:val="1"/>
                <w:color w:val="auto"/>
              </w:rPr>
            </w:pPr>
          </w:p>
        </w:tc>
      </w:tr>
      <w:tr>
        <w:trPr>
          <w:trHeight w:val="130"/>
        </w:trPr>
        <w:tc>
          <w:tcPr>
            <w:tcW w:w="3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116,732 shares under deferred</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4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11,071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11,071</w:t>
            </w:r>
          </w:p>
        </w:tc>
        <w:tc>
          <w:tcPr>
            <w:tcW w:w="0" w:type="dxa"/>
            <w:vAlign w:val="bottom"/>
          </w:tcPr>
          <w:p>
            <w:pPr>
              <w:spacing w:after="0"/>
              <w:rPr>
                <w:sz w:val="1"/>
                <w:szCs w:val="1"/>
                <w:color w:val="auto"/>
              </w:rPr>
            </w:pPr>
          </w:p>
        </w:tc>
      </w:tr>
      <w:tr>
        <w:trPr>
          <w:trHeight w:val="169"/>
        </w:trPr>
        <w:tc>
          <w:tcPr>
            <w:tcW w:w="334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9,228</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9,228</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on December 25, 2021</w:t>
            </w: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61,902</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8"/>
              </w:rPr>
              <w:t>243,995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1,678,121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(5,405)</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37,956</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9"/>
              </w:rPr>
              <w:t>2,016,569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December 25,</w:t>
            </w:r>
          </w:p>
        </w:tc>
        <w:tc>
          <w:tcPr>
            <w:tcW w:w="100" w:type="dxa"/>
            <w:vAlign w:val="bottom"/>
          </w:tcPr>
          <w:p>
            <w:pPr>
              <w:spacing w:after="0"/>
              <w:rPr>
                <w:sz w:val="10"/>
                <w:szCs w:val="10"/>
                <w:color w:val="auto"/>
              </w:rPr>
            </w:pPr>
          </w:p>
        </w:tc>
        <w:tc>
          <w:tcPr>
            <w:tcW w:w="100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December 26,</w:t>
            </w:r>
          </w:p>
        </w:tc>
        <w:tc>
          <w:tcPr>
            <w:tcW w:w="10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7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552,364</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253,882</w:t>
            </w:r>
          </w:p>
        </w:tc>
        <w:tc>
          <w:tcPr>
            <w:tcW w:w="80" w:type="dxa"/>
            <w:vAlign w:val="bottom"/>
          </w:tcPr>
          <w:p>
            <w:pPr>
              <w:spacing w:after="0"/>
              <w:rPr>
                <w:sz w:val="12"/>
                <w:szCs w:val="12"/>
                <w:color w:val="auto"/>
              </w:rPr>
            </w:pPr>
          </w:p>
        </w:tc>
        <w:tc>
          <w:tcPr>
            <w:tcW w:w="3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182,404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Depreciation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84,184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63,964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60,494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11,224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Unrealized gain on investments and other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in earnings of investee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Net gain on sale and disposition of assets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Goodwill impairment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Gain from reduction of estimated earnout liability</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(85,439)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(87,552)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(16,872)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Inventories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(260,301)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(76,022)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 and cash overdraft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78,060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62,405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liabilities and other</w:t>
            </w: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124,992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98,448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57,727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80" w:type="dxa"/>
            <w:vAlign w:val="bottom"/>
          </w:tcPr>
          <w:p>
            <w:pPr>
              <w:ind w:left="100"/>
              <w:spacing w:after="0" w:line="135" w:lineRule="exact"/>
              <w:rPr>
                <w:sz w:val="20"/>
                <w:szCs w:val="20"/>
                <w:color w:val="auto"/>
              </w:rPr>
            </w:pPr>
            <w:r>
              <w:rPr>
                <w:rFonts w:ascii="Arial" w:cs="Arial" w:eastAsia="Arial" w:hAnsi="Arial"/>
                <w:sz w:val="14"/>
                <w:szCs w:val="14"/>
                <w:color w:val="auto"/>
              </w:rPr>
              <w:t>NET CASH PROVIDED BY OPERATING ACTIVITIES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512,477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336,477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349,291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(151,166)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(89,182)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Acquisitions and purchases of non-controlling interest, net of cash received</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(475,960)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(65,255)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life insurance contracts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(23,797)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(28,054)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top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NET CASH USED IN INVESTING ACTIVITIES</w:t>
            </w:r>
          </w:p>
        </w:tc>
        <w:tc>
          <w:tcPr>
            <w:tcW w:w="5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(611,187)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(154,718)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892,072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(888,695)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(6,498)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(460,537)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consideration payments and other</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(5,787)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Issuance of long-term debt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(40,209)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(30,669)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(24,549)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(29,212)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Borders>
              <w:top w:val="single" w:sz="8" w:color="CCEEFF"/>
            </w:tcBorders>
          </w:tcPr>
          <w:p>
            <w:pPr>
              <w:ind w:left="100"/>
              <w:spacing w:after="0" w:line="135" w:lineRule="exact"/>
              <w:rPr>
                <w:sz w:val="20"/>
                <w:szCs w:val="20"/>
                <w:color w:val="auto"/>
              </w:rPr>
            </w:pPr>
            <w:r>
              <w:rPr>
                <w:rFonts w:ascii="Arial" w:cs="Arial" w:eastAsia="Arial" w:hAnsi="Arial"/>
                <w:sz w:val="14"/>
                <w:szCs w:val="14"/>
                <w:color w:val="auto"/>
              </w:rPr>
              <w:t>NET CASH (USED IN) PROVIDED BY FINANCING ACTIVITIES</w:t>
            </w:r>
          </w:p>
        </w:tc>
        <w:tc>
          <w:tcPr>
            <w:tcW w:w="5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(45,006)</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85,221</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(67,268)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Borders>
              <w:top w:val="single" w:sz="8" w:color="CCEEFF"/>
            </w:tcBorders>
          </w:tcPr>
          <w:p>
            <w:pPr>
              <w:spacing w:after="0" w:line="135" w:lineRule="exact"/>
              <w:rPr>
                <w:sz w:val="20"/>
                <w:szCs w:val="20"/>
                <w:color w:val="auto"/>
              </w:rPr>
            </w:pPr>
            <w:r>
              <w:rPr>
                <w:rFonts w:ascii="Arial" w:cs="Arial" w:eastAsia="Arial" w:hAnsi="Arial"/>
                <w:sz w:val="14"/>
                <w:szCs w:val="14"/>
                <w:color w:val="auto"/>
              </w:rPr>
              <w:t>NET CHANGE IN CASH AND CASH EQUIVALENTS</w:t>
            </w:r>
          </w:p>
        </w:tc>
        <w:tc>
          <w:tcPr>
            <w:tcW w:w="5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(145,385)</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267,942</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140,468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436,608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168,666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0" w:type="dxa"/>
            <w:vAlign w:val="bottom"/>
            <w:gridSpan w:val="2"/>
          </w:tcPr>
          <w:p>
            <w:pPr>
              <w:spacing w:after="0" w:line="135" w:lineRule="exact"/>
              <w:rPr>
                <w:sz w:val="20"/>
                <w:szCs w:val="20"/>
                <w:color w:val="auto"/>
              </w:rPr>
            </w:pPr>
            <w:r>
              <w:rPr>
                <w:rFonts w:ascii="Arial" w:cs="Arial" w:eastAsia="Arial" w:hAnsi="Arial"/>
                <w:sz w:val="14"/>
                <w:szCs w:val="14"/>
                <w:color w:val="auto"/>
              </w:rPr>
              <w:t>CASH, CASH EQUIVALENTS, AND RESTRICTED CASH, END OF PERIOD</w:t>
            </w:r>
          </w:p>
        </w:tc>
        <w:tc>
          <w:tcPr>
            <w:tcW w:w="5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291,223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436,608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168,666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436,608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168,666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7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286,662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4,561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291,223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436,608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Interest paid</w:t>
            </w:r>
          </w:p>
        </w:tc>
        <w:tc>
          <w:tcPr>
            <w:tcW w:w="7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14,077</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7,204</w:t>
            </w:r>
          </w:p>
        </w:tc>
        <w:tc>
          <w:tcPr>
            <w:tcW w:w="80" w:type="dxa"/>
            <w:vAlign w:val="bottom"/>
          </w:tcPr>
          <w:p>
            <w:pPr>
              <w:spacing w:after="0"/>
              <w:rPr>
                <w:sz w:val="12"/>
                <w:szCs w:val="12"/>
                <w:color w:val="auto"/>
              </w:rPr>
            </w:pPr>
          </w:p>
        </w:tc>
        <w:tc>
          <w:tcPr>
            <w:tcW w:w="3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NON-CASH INVESTING ACTIVITIES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 included in accounts payable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issued under deferred compensation plans</w:t>
            </w:r>
          </w:p>
        </w:tc>
        <w:tc>
          <w:tcPr>
            <w:tcW w:w="7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7,487</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6,870</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right="3619" w:hanging="10"/>
        <w:spacing w:after="0" w:line="503" w:lineRule="auto"/>
        <w:tabs>
          <w:tab w:leader="none" w:pos="708"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b w:val="1"/>
          <w:bCs w:val="1"/>
          <w:color w:val="auto"/>
        </w:rPr>
        <w:t>OPERATIONS</w:t>
      </w:r>
    </w:p>
    <w:p>
      <w:pPr>
        <w:jc w:val="both"/>
        <w:ind w:left="60" w:right="59" w:firstLine="648"/>
        <w:spacing w:after="0" w:line="263" w:lineRule="auto"/>
        <w:rPr>
          <w:sz w:val="20"/>
          <w:szCs w:val="20"/>
          <w:color w:val="auto"/>
        </w:rPr>
      </w:pPr>
      <w:r>
        <w:rPr>
          <w:rFonts w:ascii="Arial" w:cs="Arial" w:eastAsia="Arial" w:hAnsi="Arial"/>
          <w:sz w:val="18"/>
          <w:szCs w:val="18"/>
          <w:color w:val="auto"/>
        </w:rPr>
        <w:t>We are a holding company whose subsidiaries supply wood, wood composite and other products to three markets: retail, construction and industrial. Founded in 1955, we are headquartered in Grand Rapids, Michigan, with affiliates throughout North America, Europe, Asia and Australia.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consolidated financial statements include our accounts and those of our wholly-owned and majority-owned subsidiaries and partnerships. In addition, we consolidate any entity which we own 50% or more and exercise control. Intercompany transactions and balances have been eliminated.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NONCONTROLLING INTEREST IN SUBSIDIARIES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fiscal year is a 52 or 53 week period, ending on the last Saturday of December. Unless otherwise stated, references to 2021, 2020, and 2019 relate to the fiscal years ended December 25, 2021, December 26, 2020, and December 28, 2019, respectively. Fiscal years 2021, 2020, and 2019 were comprised of 52 weeks.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 xml:space="preserve">We follow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p>
      <w:pPr>
        <w:spacing w:after="0" w:line="187" w:lineRule="exact"/>
        <w:rPr>
          <w:sz w:val="20"/>
          <w:szCs w:val="20"/>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 — Financial instruments with unadjusted, quoted prices listed on active market exchanges.</w:t>
      </w:r>
    </w:p>
    <w:p>
      <w:pPr>
        <w:spacing w:after="0" w:line="225"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 — Financial instruments not actively traded on a market exchange and there is little, if any, market activity. Values are determined using significant unobservable inputs or valuation techniques.</w:t>
      </w:r>
    </w:p>
    <w:p>
      <w:pPr>
        <w:spacing w:after="0" w:line="170"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Our investment portfolio includes restricted investments within our wholly-owned subsidiary, Ardellis Insurance Ltd. There are $19.3 million of restricted investments recorded as of December 25,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Cash and cash equivalents consist of cash and highly liquid investments purchased with an original maturity of three months or less.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Investments are deemed to be "available for sale" and are, accordingly, carried at fair value being the quoted market value.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 AND ALLOWANCES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base our allowances related to receivables on historical credit and collections experience, reasonable and supportable forecasts,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activity in our accounts receivable allowances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9"/>
              </w:rPr>
              <w:t>Beginning</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Charged to</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b w:val="1"/>
                <w:bCs w:val="1"/>
                <w:color w:val="auto"/>
              </w:rPr>
              <w:t>Costs and</w:t>
            </w:r>
          </w:p>
        </w:tc>
        <w:tc>
          <w:tcPr>
            <w:tcW w:w="2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Deductions*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25, 2021: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Allowance for possible losses on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66,883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(66,427)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26, 2020: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Allowance for possible losses on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48,954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(48,765)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28, 2019: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00"/>
              <w:spacing w:after="0"/>
              <w:rPr>
                <w:sz w:val="20"/>
                <w:szCs w:val="20"/>
                <w:color w:val="auto"/>
              </w:rPr>
            </w:pPr>
            <w:r>
              <w:rPr>
                <w:rFonts w:ascii="Arial" w:cs="Arial" w:eastAsia="Arial" w:hAnsi="Arial"/>
                <w:sz w:val="18"/>
                <w:szCs w:val="18"/>
                <w:color w:val="auto"/>
              </w:rPr>
              <w:t>Allowance for possible losses on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(37,642)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380" w:hanging="330"/>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accounts charged off, discounts given to customers and actual customer returns and allowances.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record estimated sales returns, discounts, and other applicable adjustments as a reduction of net sales in the same period revenue is recognized.</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Accounts receivable retainage amounts related to long term construction contracts totaled $7.8 million and $8.7 million as of December 25, 2021 and December 26, 2020, respectively. All amounts are expected to be collected within 18 months. Concentration of accounts receivable related to our two largest customers totaled $87.6 million and $97.9 million as of December 25, 2021 and December 26, 2020, respectively.</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June 2016, the FASB issued ASU 2016-13, Financial Instrument-Credit Losses (Topic 326): Measurement of Credit Losses on Financial Instruments (ASU 2016-13), which changes the current incurred loss model to a forward looking expected credit loss model for most financial assets, such as trade and other receivables, loans and other instruments. The ASU is effective for fiscal years beginning after December 15, 2019. Entities are required to apply the provisions of the standard through a cumulative-effect adjustment to retained earnings as of effective date. We have adopted the new standard as of the beginning of fiscal year 2020 and have concluded the standard does not have a material impact on our consolidated financial statements and disclosures, accounting processes, and internal controls.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Inventories are stated at the lower of cost or market. The cost of inventories includes raw materials, direct labor, and manufacturing overhead. Cost is determined on a weighted average basis. Raw materials consist primarily of unfinished wood products and other materials expected to be manufactured or treated prior to sale, while finished goods represent various manufactured and treated wood products ready for sale. We have inventory on consignment at customer locations valued at $37.8 million as of December 25, 2021 and $20.8 million as of December 26,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Property, plant, and equipment are stated at cost. Expenditures for renewals and betterments are capitalized, and maintenance and repairs are expensed as incurred. Amortization of assets held under finance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460" w:type="dxa"/>
            <w:vAlign w:val="bottom"/>
          </w:tcPr>
          <w:p>
            <w:pPr>
              <w:jc w:val="right"/>
              <w:spacing w:after="0"/>
              <w:rPr>
                <w:sz w:val="20"/>
                <w:szCs w:val="20"/>
                <w:color w:val="auto"/>
              </w:rPr>
            </w:pPr>
            <w:r>
              <w:rPr>
                <w:rFonts w:ascii="Arial" w:cs="Arial" w:eastAsia="Arial" w:hAnsi="Arial"/>
                <w:sz w:val="18"/>
                <w:szCs w:val="18"/>
                <w:color w:val="auto"/>
              </w:rPr>
              <w:t>10 to 32 years</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office furniture</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20 years</w:t>
            </w:r>
          </w:p>
        </w:tc>
      </w:tr>
    </w:tbl>
    <w:p>
      <w:pPr>
        <w:spacing w:after="0" w:line="202" w:lineRule="exact"/>
        <w:rPr>
          <w:sz w:val="20"/>
          <w:szCs w:val="20"/>
          <w:color w:val="auto"/>
        </w:rPr>
      </w:pPr>
    </w:p>
    <w:p>
      <w:pPr>
        <w:ind w:left="60" w:right="559" w:firstLine="648"/>
        <w:spacing w:after="0" w:line="263" w:lineRule="auto"/>
        <w:rPr>
          <w:sz w:val="20"/>
          <w:szCs w:val="20"/>
          <w:color w:val="auto"/>
        </w:rPr>
      </w:pPr>
      <w:r>
        <w:rPr>
          <w:rFonts w:ascii="Arial" w:cs="Arial" w:eastAsia="Arial" w:hAnsi="Arial"/>
          <w:sz w:val="18"/>
          <w:szCs w:val="18"/>
          <w:color w:val="auto"/>
        </w:rPr>
        <w:t>Software costs are included in machinery and equipment on the balance sheet with gross amounts and accumulated amortization totaling $6.0 million and $5.3 million as of December 25, 2021, and $5.5 million and $4.9 million as of December 26, 2020,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Goodwill represents the excess of the purchase price over the fair value of net tangible and identifiable intangible assets of acquired businesses. Goodwill and intangible assets deemed to have indefinite lives are not amortized and are subject to impairment tests at least annually in accordance with ASC 350, Intangibles-Goodwill and Other. We review the carrying amounts of goodwill and other non-amortizable intangibles by reporting unit to determine if such assets may be impaired. As of the date of the most recent goodwill impairment test, which utilized data and assumptions as of September 25, 2021, all other reporting units had a fair value that was substantially in excess of the carrying value. In the fourth quarter of 2020, we recorded a non-cash goodwill impairment charge of $11.5 million related to the commercial reporting unit within our construction segment. We believe we have sufficient available information, both current and historical, to support our assumptions, judgments and estimates used in the goodwill impairment test.</w:t>
      </w:r>
    </w:p>
    <w:p>
      <w:pPr>
        <w:spacing w:after="0" w:line="16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annual testing date for evaluating goodwill and indefinite-lived intangible asset impairment is the first day of our fourth fiscal quarter for all reporting units. Additionally, we review various triggering events throughout the year to determine whether a mid-year impairment analysis is required.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wholly-owned insurance company, Ardellis Insurance Ltd.(“Ardellis”), was incorporated on April 21, 2001 under the laws of Bermuda and is licensed as a Class 3A insurer under the Insurance Act 1978 of Bermuda. On April 14, 2017 the U.S. Branch of Ardellis Insurance Ltd. was granted its Certificate of Authority to transact property and casualty insurance lines as an admitted carrier in the State of Michigan.</w:t>
      </w:r>
    </w:p>
    <w:p>
      <w:pPr>
        <w:spacing w:after="0" w:line="18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of which are included in the consolidated financial statements as of December 25, 2021 and December 26, 2020.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to providing coverage for the Company, Ardellis provides Excess Loss Insurance (primarily medical and prescription drug) to certain third parties. As of December 25, 2021, Ardellis had 43 such contracts in place. Reserves associated with these contracts were $7.1 million at December 25, 2021, and $4.5 million at December 26, 2020, and are accrued based on third party actuarial valuations of the expected future liabilities.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486"/>
        <w:spacing w:after="0" w:line="272" w:lineRule="auto"/>
        <w:rPr>
          <w:sz w:val="20"/>
          <w:szCs w:val="20"/>
          <w:color w:val="auto"/>
        </w:rPr>
      </w:pPr>
      <w:r>
        <w:rPr>
          <w:rFonts w:ascii="Arial" w:cs="Arial" w:eastAsia="Arial" w:hAnsi="Arial"/>
          <w:sz w:val="17"/>
          <w:szCs w:val="17"/>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77" w:lineRule="exact"/>
        <w:rPr>
          <w:sz w:val="20"/>
          <w:szCs w:val="20"/>
          <w:color w:val="auto"/>
        </w:rPr>
      </w:pPr>
    </w:p>
    <w:p>
      <w:pPr>
        <w:jc w:val="both"/>
        <w:ind w:left="60" w:right="59" w:firstLine="486"/>
        <w:spacing w:after="0" w:line="286" w:lineRule="auto"/>
        <w:rPr>
          <w:sz w:val="20"/>
          <w:szCs w:val="20"/>
          <w:color w:val="auto"/>
        </w:rPr>
      </w:pPr>
      <w:r>
        <w:rPr>
          <w:rFonts w:ascii="Arial" w:cs="Arial" w:eastAsia="Arial" w:hAnsi="Arial"/>
          <w:sz w:val="17"/>
          <w:szCs w:val="17"/>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65"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net sales disaggregated by revenue source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w:t>
            </w: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6"/>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December 25,</w:t>
            </w:r>
          </w:p>
        </w:tc>
        <w:tc>
          <w:tcPr>
            <w:tcW w:w="120" w:type="dxa"/>
            <w:vAlign w:val="bottom"/>
          </w:tcPr>
          <w:p>
            <w:pPr>
              <w:spacing w:after="0"/>
              <w:rPr>
                <w:sz w:val="10"/>
                <w:szCs w:val="10"/>
                <w:color w:val="auto"/>
              </w:rPr>
            </w:pPr>
          </w:p>
        </w:tc>
        <w:tc>
          <w:tcPr>
            <w:tcW w:w="114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December 26,</w:t>
            </w:r>
          </w:p>
        </w:tc>
        <w:tc>
          <w:tcPr>
            <w:tcW w:w="120" w:type="dxa"/>
            <w:vAlign w:val="bottom"/>
          </w:tcPr>
          <w:p>
            <w:pPr>
              <w:spacing w:after="0"/>
              <w:rPr>
                <w:sz w:val="10"/>
                <w:szCs w:val="10"/>
                <w:color w:val="auto"/>
              </w:rPr>
            </w:pPr>
          </w:p>
        </w:tc>
        <w:tc>
          <w:tcPr>
            <w:tcW w:w="116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rPr>
              <w:t>December 28,</w:t>
            </w:r>
          </w:p>
        </w:tc>
        <w:tc>
          <w:tcPr>
            <w:tcW w:w="1100" w:type="dxa"/>
            <w:vAlign w:val="bottom"/>
            <w:gridSpan w:val="2"/>
          </w:tcPr>
          <w:p>
            <w:pPr>
              <w:jc w:val="right"/>
              <w:ind w:right="200"/>
              <w:spacing w:after="0" w:line="126" w:lineRule="exact"/>
              <w:rPr>
                <w:sz w:val="20"/>
                <w:szCs w:val="20"/>
                <w:color w:val="auto"/>
              </w:rPr>
            </w:pPr>
            <w:r>
              <w:rPr>
                <w:rFonts w:ascii="Arial" w:cs="Arial" w:eastAsia="Arial" w:hAnsi="Arial"/>
                <w:sz w:val="14"/>
                <w:szCs w:val="14"/>
                <w:b w:val="1"/>
                <w:bCs w:val="1"/>
                <w:color w:val="auto"/>
                <w:w w:val="98"/>
              </w:rPr>
              <w:t>2021 vs. 2020</w:t>
            </w:r>
          </w:p>
        </w:tc>
        <w:tc>
          <w:tcPr>
            <w:tcW w:w="9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1"/>
              </w:rPr>
              <w:t>2020 vs. 2019</w:t>
            </w:r>
          </w:p>
        </w:tc>
        <w:tc>
          <w:tcPr>
            <w:tcW w:w="20" w:type="dxa"/>
            <w:vAlign w:val="bottom"/>
          </w:tcPr>
          <w:p>
            <w:pPr>
              <w:spacing w:after="0"/>
              <w:rPr>
                <w:sz w:val="10"/>
                <w:szCs w:val="10"/>
                <w:color w:val="auto"/>
              </w:rPr>
            </w:pPr>
          </w:p>
        </w:tc>
      </w:tr>
      <w:tr>
        <w:trPr>
          <w:trHeight w:val="178"/>
        </w:trPr>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 Change</w:t>
            </w:r>
          </w:p>
        </w:tc>
      </w:tr>
      <w:tr>
        <w:trPr>
          <w:trHeight w:val="216"/>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FOB Shipping Point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8,512,012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5,025,895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4,272,583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8"/>
                <w:szCs w:val="18"/>
                <w:color w:val="auto"/>
              </w:rPr>
              <w:t>Construction Contract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128,103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143,426</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r>
      <w:tr>
        <w:trPr>
          <w:trHeight w:val="216"/>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8,636,134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5,153,998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4,416,009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following table presents the balances of over time accounting accounts on December 25, 2021 and December 26, 2020 which are included in “Other current assets” and “Accrued liabilities: Other”, respectively (in thousands):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25,</w:t>
            </w:r>
          </w:p>
        </w:tc>
        <w:tc>
          <w:tcPr>
            <w:tcW w:w="2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26,</w:t>
            </w:r>
          </w:p>
        </w:tc>
      </w:tr>
      <w:tr>
        <w:trPr>
          <w:trHeight w:val="178"/>
        </w:trPr>
        <w:tc>
          <w:tcPr>
            <w:tcW w:w="67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10,744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11,530</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SHIPPING AND HANDLING OF PRODUCT</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Shipping and handling costs that are charged to and reimbursed by the customer are recognized as revenue. Costs incurred related to the shipment and handling of products are classified in cost of goods sold.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 xml:space="preserve">We account for share-based awards in accordance with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718”), which requires recognition of share-based compensation costs in financial statements based on fair value. Compensation cost is recognized over the period during which an employee is required to provide services in exchange for the award (the requisite service period). Forfeitures are recognized as they occur.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Earnings per share (“EPS”) is computed using the two-class method. The two-class method determines EPS for each class of common stock and participating securities according to dividends and their respective participation rights in undistributed earnings. Participating securities include non-vested shares of restricted stock in which the participants have non-forfeitable rights to dividends during the performance period. EPS, basic and diluted, is calculated by dividing net earnings attributable to controlling interest, net of applicable taxes, by the weighted average number of shares of common stock outstanding for the period. The computation of EPS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25,</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December 26,</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28,</w:t>
            </w:r>
          </w:p>
        </w:tc>
      </w:tr>
      <w:tr>
        <w:trPr>
          <w:trHeight w:val="178"/>
        </w:trPr>
        <w:tc>
          <w:tcPr>
            <w:tcW w:w="5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535,640</w:t>
            </w:r>
          </w:p>
        </w:tc>
        <w:tc>
          <w:tcPr>
            <w:tcW w:w="1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246,778</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179,650</w:t>
            </w:r>
          </w:p>
        </w:tc>
      </w:tr>
      <w:tr>
        <w:trPr>
          <w:trHeight w:val="23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Adjustment for earnings allocated to non-vested restricted common stock</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(17,342)</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(6,903)</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r>
      <w:tr>
        <w:trPr>
          <w:trHeight w:val="243"/>
        </w:trPr>
        <w:tc>
          <w:tcPr>
            <w:tcW w:w="582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earnings for calculating EPS</w:t>
            </w:r>
          </w:p>
        </w:tc>
        <w:tc>
          <w:tcPr>
            <w:tcW w:w="200" w:type="dxa"/>
            <w:vAlign w:val="bottom"/>
            <w:tcBorders>
              <w:top w:val="single" w:sz="8" w:color="auto"/>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518,298</w:t>
            </w:r>
          </w:p>
        </w:tc>
        <w:tc>
          <w:tcPr>
            <w:tcW w:w="1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239,875</w:t>
            </w:r>
          </w:p>
        </w:tc>
        <w:tc>
          <w:tcPr>
            <w:tcW w:w="1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175,154</w:t>
            </w: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61,632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61,649</w:t>
            </w:r>
          </w:p>
        </w:tc>
      </w:tr>
      <w:tr>
        <w:trPr>
          <w:trHeight w:val="23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non-vested restricted common stock</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(1,724)</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03"/>
        </w:trPr>
        <w:tc>
          <w:tcPr>
            <w:tcW w:w="58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basic EPS</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60,195</w:t>
            </w: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59,908</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60,106</w:t>
            </w:r>
          </w:p>
        </w:tc>
      </w:tr>
      <w:tr>
        <w:trPr>
          <w:trHeight w:val="236"/>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restricted common stock</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8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diluted EPS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60,354</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59,928</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60,130</w:t>
            </w:r>
          </w:p>
        </w:tc>
      </w:tr>
      <w:tr>
        <w:trPr>
          <w:trHeight w:val="196"/>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earnings per share: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ACCOUNTING ESTIMATES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 assets and liabilities measured at fair value. Assets and liabilities measured at fair value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1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25, 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26, 2020</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880" w:type="dxa"/>
            <w:vAlign w:val="bottom"/>
            <w:gridSpan w:val="3"/>
          </w:tcPr>
          <w:p>
            <w:pPr>
              <w:jc w:val="center"/>
              <w:ind w:right="16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88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Active</w:t>
            </w: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5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0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9,392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4,662</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rPr>
                <w:sz w:val="20"/>
                <w:szCs w:val="20"/>
                <w:color w:val="auto"/>
              </w:rPr>
            </w:pPr>
            <w:r>
              <w:rPr>
                <w:rFonts w:ascii="Arial" w:cs="Arial" w:eastAsia="Arial" w:hAnsi="Arial"/>
                <w:sz w:val="17"/>
                <w:szCs w:val="17"/>
                <w:color w:val="auto"/>
              </w:rPr>
              <w:t>Fixed income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1,668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16,910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18,578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16,224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16,470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20,163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20,163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12,602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12,602</w:t>
            </w:r>
          </w:p>
        </w:tc>
        <w:tc>
          <w:tcPr>
            <w:tcW w:w="0" w:type="dxa"/>
            <w:vAlign w:val="bottom"/>
          </w:tcPr>
          <w:p>
            <w:pPr>
              <w:spacing w:after="0"/>
              <w:rPr>
                <w:sz w:val="1"/>
                <w:szCs w:val="1"/>
                <w:color w:val="auto"/>
              </w:rPr>
            </w:pPr>
          </w:p>
        </w:tc>
      </w:tr>
      <w:tr>
        <w:trPr>
          <w:trHeight w:val="185"/>
        </w:trPr>
        <w:tc>
          <w:tcPr>
            <w:tcW w:w="170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Alternative</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70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Domestic stock</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10,910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10,910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8,088</w:t>
            </w:r>
          </w:p>
        </w:tc>
        <w:tc>
          <w:tcPr>
            <w:tcW w:w="0" w:type="dxa"/>
            <w:vAlign w:val="bottom"/>
          </w:tcPr>
          <w:p>
            <w:pPr>
              <w:spacing w:after="0"/>
              <w:rPr>
                <w:sz w:val="1"/>
                <w:szCs w:val="1"/>
                <w:color w:val="auto"/>
              </w:rPr>
            </w:pPr>
          </w:p>
        </w:tc>
      </w:tr>
      <w:tr>
        <w:trPr>
          <w:trHeight w:val="185"/>
        </w:trPr>
        <w:tc>
          <w:tcPr>
            <w:tcW w:w="1700" w:type="dxa"/>
            <w:vAlign w:val="bottom"/>
          </w:tcPr>
          <w:p>
            <w:pPr>
              <w:ind w:left="120"/>
              <w:spacing w:after="0" w:line="185" w:lineRule="exact"/>
              <w:rPr>
                <w:sz w:val="20"/>
                <w:szCs w:val="20"/>
                <w:color w:val="auto"/>
              </w:rPr>
            </w:pPr>
            <w:r>
              <w:rPr>
                <w:rFonts w:ascii="Arial" w:cs="Arial" w:eastAsia="Arial" w:hAnsi="Arial"/>
                <w:sz w:val="17"/>
                <w:szCs w:val="17"/>
                <w:color w:val="auto"/>
              </w:rPr>
              <w:t>International stock</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00" w:type="dxa"/>
            <w:vAlign w:val="bottom"/>
          </w:tcPr>
          <w:p>
            <w:pPr>
              <w:ind w:left="120"/>
              <w:spacing w:after="0"/>
              <w:rPr>
                <w:sz w:val="20"/>
                <w:szCs w:val="20"/>
                <w:color w:val="auto"/>
              </w:rPr>
            </w:pPr>
            <w:r>
              <w:rPr>
                <w:rFonts w:ascii="Arial" w:cs="Arial" w:eastAsia="Arial" w:hAnsi="Arial"/>
                <w:sz w:val="17"/>
                <w:szCs w:val="17"/>
                <w:color w:val="auto"/>
              </w:rPr>
              <w:t>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1,440</w:t>
            </w:r>
          </w:p>
        </w:tc>
        <w:tc>
          <w:tcPr>
            <w:tcW w:w="0" w:type="dxa"/>
            <w:vAlign w:val="bottom"/>
          </w:tcPr>
          <w:p>
            <w:pPr>
              <w:spacing w:after="0"/>
              <w:rPr>
                <w:sz w:val="1"/>
                <w:szCs w:val="1"/>
                <w:color w:val="auto"/>
              </w:rPr>
            </w:pPr>
          </w:p>
        </w:tc>
      </w:tr>
      <w:tr>
        <w:trPr>
          <w:trHeight w:val="204"/>
        </w:trPr>
        <w:tc>
          <w:tcPr>
            <w:tcW w:w="1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Target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3"/>
        </w:trPr>
        <w:tc>
          <w:tcPr>
            <w:tcW w:w="1700" w:type="dxa"/>
            <w:vAlign w:val="bottom"/>
          </w:tcPr>
          <w:p>
            <w:pPr>
              <w:ind w:left="120"/>
              <w:spacing w:after="0"/>
              <w:rPr>
                <w:sz w:val="20"/>
                <w:szCs w:val="20"/>
                <w:color w:val="auto"/>
              </w:rPr>
            </w:pPr>
            <w:r>
              <w:rPr>
                <w:rFonts w:ascii="Arial" w:cs="Arial" w:eastAsia="Arial" w:hAnsi="Arial"/>
                <w:sz w:val="17"/>
                <w:szCs w:val="17"/>
                <w:color w:val="auto"/>
              </w:rPr>
              <w:t>Bond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23"/>
        </w:trPr>
        <w:tc>
          <w:tcPr>
            <w:tcW w:w="1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Alternative 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197"/>
        </w:trPr>
        <w:tc>
          <w:tcPr>
            <w:tcW w:w="1700" w:type="dxa"/>
            <w:vAlign w:val="bottom"/>
            <w:tcBorders>
              <w:top w:val="single" w:sz="8" w:color="CCEEFF"/>
              <w:bottom w:val="single" w:sz="8" w:color="CCEEFF"/>
            </w:tcBorders>
          </w:tcPr>
          <w:p>
            <w:pPr>
              <w:ind w:left="20"/>
              <w:spacing w:after="0" w:line="189" w:lineRule="exact"/>
              <w:rPr>
                <w:sz w:val="20"/>
                <w:szCs w:val="20"/>
                <w:color w:val="auto"/>
              </w:rPr>
            </w:pPr>
            <w:r>
              <w:rPr>
                <w:rFonts w:ascii="Arial" w:cs="Arial" w:eastAsia="Arial" w:hAnsi="Arial"/>
                <w:sz w:val="17"/>
                <w:szCs w:val="17"/>
                <w:color w:val="auto"/>
              </w:rPr>
              <w:t>Total mutual funds</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13,249</w:t>
            </w:r>
          </w:p>
        </w:tc>
        <w:tc>
          <w:tcPr>
            <w:tcW w:w="18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13,249</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6"/>
              </w:rPr>
              <w:t>10,271</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10,271</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35,441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65,528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23,138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46,045</w:t>
            </w:r>
          </w:p>
        </w:tc>
        <w:tc>
          <w:tcPr>
            <w:tcW w:w="0" w:type="dxa"/>
            <w:vAlign w:val="bottom"/>
          </w:tcPr>
          <w:p>
            <w:pPr>
              <w:spacing w:after="0"/>
              <w:rPr>
                <w:sz w:val="1"/>
                <w:szCs w:val="1"/>
                <w:color w:val="auto"/>
              </w:rPr>
            </w:pPr>
          </w:p>
        </w:tc>
      </w:tr>
      <w:tr>
        <w:trPr>
          <w:trHeight w:val="203"/>
        </w:trPr>
        <w:tc>
          <w:tcPr>
            <w:tcW w:w="1700" w:type="dxa"/>
            <w:vAlign w:val="bottom"/>
          </w:tcPr>
          <w:p>
            <w:pPr>
              <w:ind w:left="120"/>
              <w:spacing w:after="0"/>
              <w:rPr>
                <w:sz w:val="20"/>
                <w:szCs w:val="20"/>
                <w:color w:val="auto"/>
              </w:rPr>
            </w:pPr>
            <w:r>
              <w:rPr>
                <w:rFonts w:ascii="Arial" w:cs="Arial" w:eastAsia="Arial" w:hAnsi="Arial"/>
                <w:sz w:val="17"/>
                <w:szCs w:val="17"/>
                <w:color w:val="auto"/>
              </w:rPr>
              <w:t>Assets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35,441</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26,302</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3,785</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65,528</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23,138</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20,867</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46,045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From the assets measured at fair value as of December 25, 2021, listed in the table above, $9.0 million of money market funds are held in Cash and Cash Equivalents, $36.5 million of mutual funds, equity securities, and alternative investments are held in Investments, $0.7 million of money market and mutual funds are held in Other Assets for our deferred compensation plan, and $18.9 million of fixed income funds and $0.4 million of money market funds are held in Restricted Investments.</w:t>
      </w:r>
    </w:p>
    <w:p>
      <w:pPr>
        <w:spacing w:after="0" w:line="18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 xml:space="preserve">We maintain money market, mutual funds, bonds, and/or stocks in our non-qualified deferred compensation plan and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to any of our financial instruments except for those expressly required by U.S. GAAP.</w:t>
      </w:r>
    </w:p>
    <w:p>
      <w:pPr>
        <w:spacing w:after="0" w:line="1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During 2018, we purchased a private real estate income trust which is valued as a Level 3 asset and is categorized as an “Alternative Investment.”</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accordance with our investment policy, our wholly-owned company, Ardellis Insurance Ltd. ("Ardellis"), maintains an investment portfolio, totaling $55.4 million as of December 25, 2021, consisting of domestic and international stocks, alternative investments, and fixed income bonds.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556"/>
              <w:spacing w:after="0"/>
              <w:rPr>
                <w:sz w:val="20"/>
                <w:szCs w:val="20"/>
                <w:color w:val="auto"/>
              </w:rPr>
            </w:pPr>
            <w:r>
              <w:rPr>
                <w:rFonts w:ascii="Arial" w:cs="Arial" w:eastAsia="Arial" w:hAnsi="Arial"/>
                <w:sz w:val="14"/>
                <w:szCs w:val="14"/>
                <w:b w:val="1"/>
                <w:bCs w:val="1"/>
                <w:color w:val="auto"/>
                <w:w w:val="90"/>
              </w:rPr>
              <w:t>December 25, 2021</w:t>
            </w: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December 26, 2020</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0"/>
                <w:szCs w:val="10"/>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8"/>
        </w:trPr>
        <w:tc>
          <w:tcPr>
            <w:tcW w:w="2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Gain</w:t>
            </w:r>
          </w:p>
        </w:tc>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w:t>
            </w:r>
          </w:p>
        </w:tc>
        <w:tc>
          <w:tcPr>
            <w:tcW w:w="1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$ 18,169</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$ 18,578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$ 15,325</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16,470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Treasury Securities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12,602</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Mutual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9,222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12,547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$ 45,932</w:t>
            </w:r>
          </w:p>
        </w:tc>
        <w:tc>
          <w:tcPr>
            <w:tcW w:w="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9,483</w:t>
            </w: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$ 55,415</w:t>
            </w: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$ 35,251</w:t>
            </w:r>
          </w:p>
        </w:tc>
        <w:tc>
          <w:tcPr>
            <w:tcW w:w="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5,526</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40,777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alternative investments consist of the private real estate income trust which is valued as a Level 3 asset. The net pre-tax unrealized gain was $9.5 million for the year ended December 25, 2021. Carrying amounts above are recorded in the investments and restricted investments line items within the balance sheet as of December 25, 2021 and December 26,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We completed the following business combinations in fiscal 2021 and 2020, which were accounted for using the purchase method (in thousands).</w:t>
      </w:r>
    </w:p>
    <w:p>
      <w:pPr>
        <w:spacing w:after="0" w:line="70"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540" w:type="dxa"/>
            <w:vAlign w:val="bottom"/>
            <w:tcBorders>
              <w:top w:val="single" w:sz="8" w:color="auto"/>
              <w:left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spacing w:after="0"/>
              <w:rPr>
                <w:sz w:val="17"/>
                <w:szCs w:val="17"/>
                <w:color w:val="auto"/>
              </w:rPr>
            </w:pPr>
          </w:p>
        </w:tc>
        <w:tc>
          <w:tcPr>
            <w:tcW w:w="172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Net</w:t>
            </w:r>
          </w:p>
        </w:tc>
        <w:tc>
          <w:tcPr>
            <w:tcW w:w="10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00" w:type="dxa"/>
            <w:vAlign w:val="bottom"/>
            <w:tcBorders>
              <w:right w:val="single" w:sz="8" w:color="auto"/>
            </w:tcBorders>
          </w:tcPr>
          <w:p>
            <w:pPr>
              <w:ind w:left="280"/>
              <w:spacing w:after="0"/>
              <w:rPr>
                <w:sz w:val="20"/>
                <w:szCs w:val="20"/>
                <w:color w:val="auto"/>
              </w:rPr>
            </w:pPr>
            <w:r>
              <w:rPr>
                <w:rFonts w:ascii="Arial" w:cs="Arial" w:eastAsia="Arial" w:hAnsi="Arial"/>
                <w:sz w:val="16"/>
                <w:szCs w:val="16"/>
                <w:b w:val="1"/>
                <w:bCs w:val="1"/>
                <w:color w:val="auto"/>
              </w:rPr>
              <w:t>Acquisition</w:t>
            </w:r>
          </w:p>
        </w:tc>
        <w:tc>
          <w:tcPr>
            <w:tcW w:w="17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Tangible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 Price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$20,854</w:t>
            </w:r>
          </w:p>
        </w:tc>
        <w:tc>
          <w:tcPr>
            <w:tcW w:w="12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December 20, 2021</w:t>
            </w: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stock</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11,481</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9,373</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2"/>
              </w:rPr>
              <w:t>Advantage Labels &amp; Packaging, Inc.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5"/>
              </w:rPr>
              <w:t>Based in Grand Rapids, Michigan, Advantage provides blank and customized labels, printers,</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(Advantage)</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5"/>
              </w:rPr>
              <w:t>label applicators and other packaging supplies. Key industries served by the company include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1"/>
              </w:rPr>
              <w:t>beer and beverage; body armor; food production and processing; greenhouse and nursery; hobby</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and craft; manufacturing; and automotive. The company had trailing 12-month sales through</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w w:val="96"/>
              </w:rPr>
              <w:t>November 2021 of approximately $19.8 million.</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$11,155</w:t>
            </w:r>
          </w:p>
        </w:tc>
        <w:tc>
          <w:tcPr>
            <w:tcW w:w="1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November 22, 2021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70%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9,106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2,049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Ficus Pax Private Limited (Ficus)</w:t>
            </w:r>
          </w:p>
        </w:tc>
        <w:tc>
          <w:tcPr>
            <w:tcW w:w="14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1"/>
              </w:rPr>
              <w:t>Headquartered in Bangalore, India, Ficus manufactures mixed-material cases and crates, nail-less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plywood boxes, wooden pallets and other packaging products through 10 facilities located in</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major industrial markets throughout southern India. Ficus also owns a majority stake in Wadpack,</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1"/>
              </w:rPr>
              <w:t>a manufacturer of corrugated fiber board containers, corrugated pallets and display solutions. The</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63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6"/>
                <w:szCs w:val="16"/>
                <w:color w:val="auto"/>
                <w:w w:val="96"/>
              </w:rPr>
              <w:t>company had trailing 12-month sales through August 2021 of approximately $39 million USD.</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$5,984</w:t>
            </w:r>
          </w:p>
        </w:tc>
        <w:tc>
          <w:tcPr>
            <w:tcW w:w="12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November 1, 2021</w:t>
            </w: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5,681</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303</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2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40" w:type="dxa"/>
            <w:vAlign w:val="bottom"/>
            <w:tcBorders>
              <w:right w:val="single" w:sz="8" w:color="auto"/>
            </w:tcBorders>
            <w:shd w:val="clear" w:color="auto" w:fill="CCEBFF"/>
          </w:tcPr>
          <w:p>
            <w:pPr>
              <w:spacing w:after="0"/>
              <w:rPr>
                <w:sz w:val="13"/>
                <w:szCs w:val="13"/>
                <w:color w:val="auto"/>
              </w:rPr>
            </w:pPr>
          </w:p>
        </w:tc>
        <w:tc>
          <w:tcPr>
            <w:tcW w:w="108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3"/>
              </w:rPr>
              <w:t>Boxpack Packaging (Boxpack)</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Based near Melbourne, Australia, Boxpack specializes in flexographic and lithographic cardboard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9"/>
              </w:rPr>
              <w:t>packaging, using the latest CAD design and finishing techniques. Boxpack serves multiple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industries, including food and beverage, confectionary, pharmaceutical, industrial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agricultural. The company had trailing 12-month sales through June 30, 2021, of $8.2 million</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400" w:type="dxa"/>
            <w:vAlign w:val="bottom"/>
            <w:tcBorders>
              <w:bottom w:val="single" w:sz="8" w:color="auto"/>
              <w:right w:val="single" w:sz="8" w:color="CCEBFF"/>
            </w:tcBorders>
            <w:shd w:val="clear" w:color="auto" w:fill="CCEBFF"/>
          </w:tcPr>
          <w:p>
            <w:pPr>
              <w:spacing w:after="0"/>
              <w:rPr>
                <w:sz w:val="20"/>
                <w:szCs w:val="20"/>
                <w:color w:val="auto"/>
              </w:rPr>
            </w:pPr>
            <w:r>
              <w:rPr>
                <w:rFonts w:ascii="Arial" w:cs="Arial" w:eastAsia="Arial" w:hAnsi="Arial"/>
                <w:sz w:val="16"/>
                <w:szCs w:val="16"/>
                <w:color w:val="auto"/>
              </w:rPr>
              <w:t>AUD.</w:t>
            </w:r>
          </w:p>
        </w:tc>
        <w:tc>
          <w:tcPr>
            <w:tcW w:w="172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$6,443</w:t>
            </w:r>
          </w:p>
        </w:tc>
        <w:tc>
          <w:tcPr>
            <w:tcW w:w="1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September 27, 2021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2,404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Shelter Products, Inc. (Shelter)</w:t>
            </w:r>
          </w:p>
        </w:tc>
        <w:tc>
          <w:tcPr>
            <w:tcW w:w="14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contingent consideration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Based in Haleyville, Alabama, Shelter operates its distribution and logistics business from an</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87,800 sq.-ft. warehouse that specializes in manufactured housing industry customers. Shelter’s</w:t>
            </w:r>
          </w:p>
        </w:tc>
        <w:tc>
          <w:tcPr>
            <w:tcW w:w="0" w:type="dxa"/>
            <w:vAlign w:val="bottom"/>
          </w:tcPr>
          <w:p>
            <w:pPr>
              <w:spacing w:after="0"/>
              <w:rPr>
                <w:sz w:val="1"/>
                <w:szCs w:val="1"/>
                <w:color w:val="auto"/>
              </w:rPr>
            </w:pPr>
          </w:p>
        </w:tc>
      </w:tr>
      <w:tr>
        <w:trPr>
          <w:trHeight w:val="202"/>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facility is adjacent to a UFP manufacturing facility that supplies trusses to manufactured housing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builders, and the proximity will enable additional operational synergies. The Company had sales</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of approximately $11.4 million in 2020.</w:t>
            </w: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$10,129</w:t>
            </w:r>
          </w:p>
        </w:tc>
        <w:tc>
          <w:tcPr>
            <w:tcW w:w="12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April 29, 2021</w:t>
            </w: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7,099</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3,030</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Endurable Building Products, LLC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1"/>
              </w:rPr>
              <w:t>Based near Minneapolis, Minnesota, Endurable is a leading manufacturer of customized structural</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(Endurable)</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aluminum systems and products for exterior purposes, such as deck framing, balconies,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sunshades, railings and stairs. The company’s trademarked alumiLAST aluminum deck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balcony systems are known for their low-maintenance design and ease of installation. Endurable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serves general contractors in the multifamily market throughout the U.S. and had sales of</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approximately $15 million in 2020.</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$8,549</w:t>
            </w:r>
          </w:p>
        </w:tc>
        <w:tc>
          <w:tcPr>
            <w:tcW w:w="1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April 19, 2021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7,023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206"/>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Walnut Hollow Farm, Inc.</w:t>
            </w:r>
          </w:p>
        </w:tc>
        <w:tc>
          <w:tcPr>
            <w:tcW w:w="14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Walnut Hollow Farm, located in Wisconsin, is engaged in the business of designing,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manufacturing, selling, and distributing wood products, tools, and accessories for the craft and</w:t>
            </w:r>
          </w:p>
        </w:tc>
        <w:tc>
          <w:tcPr>
            <w:tcW w:w="0" w:type="dxa"/>
            <w:vAlign w:val="bottom"/>
          </w:tcPr>
          <w:p>
            <w:pPr>
              <w:spacing w:after="0"/>
              <w:rPr>
                <w:sz w:val="1"/>
                <w:szCs w:val="1"/>
                <w:color w:val="auto"/>
              </w:rPr>
            </w:pPr>
          </w:p>
        </w:tc>
      </w:tr>
      <w:tr>
        <w:trPr>
          <w:trHeight w:val="202"/>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hobby, outdoor sportsman art, personalized home décor, and hardware categories, with sales of</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approximately $11.6 million in 2020.</w:t>
            </w: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254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Net</w:t>
            </w:r>
          </w:p>
        </w:tc>
        <w:tc>
          <w:tcPr>
            <w:tcW w:w="10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00" w:type="dxa"/>
            <w:vAlign w:val="bottom"/>
            <w:tcBorders>
              <w:right w:val="single" w:sz="8" w:color="auto"/>
            </w:tcBorders>
          </w:tcPr>
          <w:p>
            <w:pPr>
              <w:ind w:left="280"/>
              <w:spacing w:after="0"/>
              <w:rPr>
                <w:sz w:val="20"/>
                <w:szCs w:val="20"/>
                <w:color w:val="auto"/>
              </w:rPr>
            </w:pPr>
            <w:r>
              <w:rPr>
                <w:rFonts w:ascii="Arial" w:cs="Arial" w:eastAsia="Arial" w:hAnsi="Arial"/>
                <w:sz w:val="16"/>
                <w:szCs w:val="16"/>
                <w:b w:val="1"/>
                <w:bCs w:val="1"/>
                <w:color w:val="auto"/>
              </w:rPr>
              <w:t>Acquisition</w:t>
            </w:r>
          </w:p>
        </w:tc>
        <w:tc>
          <w:tcPr>
            <w:tcW w:w="17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Tangible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 Price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$153,462</w:t>
            </w:r>
          </w:p>
        </w:tc>
        <w:tc>
          <w:tcPr>
            <w:tcW w:w="12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April 12, 2021</w:t>
            </w: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153,462</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0"/>
              </w:rPr>
              <w:t>Spartanburg Forest Products, Inc.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Headquartered in Greer, South Carolina, Spartanburg Forest Products and its affiliates are a</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premier wood treating operation in the U.S., with approximately 150 employees and operations in</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five states. Its affiliates include Appalachian Forest Products, Innovative Design Industries, Blue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Ridge Wood Preserving, Blue Ridge Wood Products, and Tidewater Wood Products and had</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36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rPr>
              <w:t>combined sales of approximately $543.0 million in 2020.</w:t>
            </w: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$4,724</w:t>
            </w:r>
          </w:p>
        </w:tc>
        <w:tc>
          <w:tcPr>
            <w:tcW w:w="1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March 1, 2021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J.C. Gilmore Pty Ltd (Gilmores)</w:t>
            </w:r>
          </w:p>
        </w:tc>
        <w:tc>
          <w:tcPr>
            <w:tcW w:w="14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contingent consideration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Founded in 1988 and operating from its distribution facility in Port Melbourne, Australia,</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Gilmores is a leading distributor in the industrial and construction industries of packaging tapes,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stretch films, packaging equipment, strapping, construction protection products and other items,</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436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with 2020 sales of $15 million AUD ($10 million USD).</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$259,011</w:t>
            </w:r>
          </w:p>
        </w:tc>
        <w:tc>
          <w:tcPr>
            <w:tcW w:w="12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December 28, 2020</w:t>
            </w: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stock</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79,917</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179,094</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6"/>
              </w:rPr>
              <w:t>Retail/Industrial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2"/>
              </w:rPr>
              <w:t>PalletOne, Inc. (PalletOne)</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Based in Bartow, Florida, PalletOne is a leading manufacturer of new pallets in the U.S., with 17</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pallet manufacturing facilities in the southern and eastern regions of the country. The company</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also supplies other specialized industrial packaging, including custom bins and crates, and its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8"/>
              </w:rPr>
              <w:t>Sunbelt Forest Products (Sunbelt) subsidiary operates five pressure-treating facilities in the</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5300" w:type="dxa"/>
            <w:vAlign w:val="bottom"/>
            <w:tcBorders>
              <w:bottom w:val="single" w:sz="8" w:color="auto"/>
              <w:right w:val="single" w:sz="8" w:color="CCEBFF"/>
            </w:tcBorders>
            <w:gridSpan w:val="6"/>
            <w:shd w:val="clear" w:color="auto" w:fill="CCEBFF"/>
          </w:tcPr>
          <w:p>
            <w:pPr>
              <w:spacing w:after="0"/>
              <w:rPr>
                <w:sz w:val="20"/>
                <w:szCs w:val="20"/>
                <w:color w:val="auto"/>
              </w:rPr>
            </w:pPr>
            <w:r>
              <w:rPr>
                <w:rFonts w:ascii="Arial" w:cs="Arial" w:eastAsia="Arial" w:hAnsi="Arial"/>
                <w:sz w:val="16"/>
                <w:szCs w:val="16"/>
                <w:color w:val="auto"/>
                <w:w w:val="96"/>
              </w:rPr>
              <w:t>Southeastern U.S. PalletOne and its affiliates had 2020 sales of $698 million.</w:t>
            </w: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$21,268</w:t>
            </w:r>
          </w:p>
        </w:tc>
        <w:tc>
          <w:tcPr>
            <w:tcW w:w="1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November 10, 2020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11,923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9,345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Atlantic Prefab, Inc.; Exterior</w:t>
            </w:r>
          </w:p>
        </w:tc>
        <w:tc>
          <w:tcPr>
            <w:tcW w:w="14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tcPr>
          <w:p>
            <w:pPr>
              <w:spacing w:after="0"/>
              <w:rPr>
                <w:sz w:val="15"/>
                <w:szCs w:val="15"/>
                <w:color w:val="auto"/>
              </w:rPr>
            </w:pPr>
          </w:p>
        </w:tc>
        <w:tc>
          <w:tcPr>
            <w:tcW w:w="6380" w:type="dxa"/>
            <w:vAlign w:val="bottom"/>
            <w:tcBorders>
              <w:right w:val="single" w:sz="8" w:color="auto"/>
            </w:tcBorders>
            <w:gridSpan w:val="7"/>
          </w:tcPr>
          <w:p>
            <w:pPr>
              <w:spacing w:after="0" w:line="176" w:lineRule="exact"/>
              <w:rPr>
                <w:sz w:val="20"/>
                <w:szCs w:val="20"/>
                <w:color w:val="auto"/>
              </w:rPr>
            </w:pPr>
            <w:r>
              <w:rPr>
                <w:rFonts w:ascii="Arial" w:cs="Arial" w:eastAsia="Arial" w:hAnsi="Arial"/>
                <w:sz w:val="16"/>
                <w:szCs w:val="16"/>
                <w:color w:val="auto"/>
                <w:w w:val="94"/>
              </w:rPr>
              <w:t>Based in Wilton, New Hampshire, Atlantic Prefab produces prefabricated steel wall panels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Designs, LLC; and Patriot Building</w:t>
            </w: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light gauge metal trusses. The company’s steel component and prefinished wall panel lines are</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Systems, LLC</w:t>
            </w: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new, value-added product additions for UFP Construction that help shorten project timelines.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Exterior Designs is a leading installer of siding and exterior cladding such as fiber cement, ACM</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(aluminum composite material) panels, phenolic panels, and EIFS (exterior insulation and finish</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systems). The company is based in Londonderry, New Hampshire, and serves commercial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multi-family clients throughout the Northeast. Also based in Londonderry, Patriot Building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Systems provides commercial and multi-family framing services in the Northeast and will focus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on markets not currently served by companies of UFP Industries. The companies had combined</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annual sales of approximately $28 million.</w:t>
            </w: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$5,936</w:t>
            </w:r>
          </w:p>
        </w:tc>
        <w:tc>
          <w:tcPr>
            <w:tcW w:w="12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October 1, 2020</w:t>
            </w: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stock</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5,222</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714</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1"/>
              </w:rPr>
              <w:t>Fire Retardant Chemical</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3"/>
              </w:rPr>
              <w:t>Founded in 2014 and based in Matthews, North Carolina, FRCT’s business includes a research</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Technologies, LLC (FRCT)</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and development laboratory specializing in developing and testing a wide range of high-</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performance chemicals, including fire retardants and water repellants. The company had annual</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sales of approximately $6.4 million.</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254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Net</w:t>
            </w:r>
          </w:p>
        </w:tc>
        <w:tc>
          <w:tcPr>
            <w:tcW w:w="10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00" w:type="dxa"/>
            <w:vAlign w:val="bottom"/>
            <w:tcBorders>
              <w:right w:val="single" w:sz="8" w:color="auto"/>
            </w:tcBorders>
          </w:tcPr>
          <w:p>
            <w:pPr>
              <w:ind w:left="280"/>
              <w:spacing w:after="0"/>
              <w:rPr>
                <w:sz w:val="20"/>
                <w:szCs w:val="20"/>
                <w:color w:val="auto"/>
              </w:rPr>
            </w:pPr>
            <w:r>
              <w:rPr>
                <w:rFonts w:ascii="Arial" w:cs="Arial" w:eastAsia="Arial" w:hAnsi="Arial"/>
                <w:sz w:val="16"/>
                <w:szCs w:val="16"/>
                <w:b w:val="1"/>
                <w:bCs w:val="1"/>
                <w:color w:val="auto"/>
              </w:rPr>
              <w:t>Acquisition</w:t>
            </w:r>
          </w:p>
        </w:tc>
        <w:tc>
          <w:tcPr>
            <w:tcW w:w="17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Tangible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 Price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$3,475</w:t>
            </w:r>
          </w:p>
        </w:tc>
        <w:tc>
          <w:tcPr>
            <w:tcW w:w="12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September 30, 2020</w:t>
            </w: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50% stock</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7,267</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(1,369)</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2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40" w:type="dxa"/>
            <w:vAlign w:val="bottom"/>
            <w:tcBorders>
              <w:right w:val="single" w:sz="8" w:color="auto"/>
            </w:tcBorders>
            <w:shd w:val="clear" w:color="auto" w:fill="CCEBFF"/>
          </w:tcPr>
          <w:p>
            <w:pPr>
              <w:spacing w:after="0"/>
              <w:rPr>
                <w:sz w:val="13"/>
                <w:szCs w:val="13"/>
                <w:color w:val="auto"/>
              </w:rPr>
            </w:pPr>
          </w:p>
        </w:tc>
        <w:tc>
          <w:tcPr>
            <w:tcW w:w="108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Enwrap Logistic &amp; Packaging S.r.l.</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8"/>
              </w:rPr>
              <w:t>Enwrap is a newly formed company dedicated to the logistics and packaging business of its</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(Enwrap)</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predecessor, Job Service S.p.A. Headquartered in Milan, Italy, Enwrap provides high-value,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mixed material industrial packaging and logistics services through eight locations in Italy. These</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36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w w:val="98"/>
              </w:rPr>
              <w:t>locations generated annual sales of approximately $14 million.</w:t>
            </w: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$18,496</w:t>
            </w:r>
          </w:p>
        </w:tc>
        <w:tc>
          <w:tcPr>
            <w:tcW w:w="1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July 14, 2020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12,458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T&amp;R Lumber Company (T&amp;R)</w:t>
            </w:r>
          </w:p>
        </w:tc>
        <w:tc>
          <w:tcPr>
            <w:tcW w:w="14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contingent consideration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A manufacturer and distributor of a range of products used primarily by nurseries, including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plastic growing containers, pots and trays; wooden stakes; trellises; tree boxes; shipping racks;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and other nursery supplies based in Rancho Cucamonga, California. T&amp;R had annual sales of</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approximately $31 million. The acquisition of T&amp;R will allow us to leverage their expertise using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our national manufacturing capacity to grow our agricultural product offerings and customer base</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across the country.</w:t>
            </w:r>
          </w:p>
        </w:tc>
        <w:tc>
          <w:tcPr>
            <w:tcW w:w="1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$22,951</w:t>
            </w:r>
          </w:p>
        </w:tc>
        <w:tc>
          <w:tcPr>
            <w:tcW w:w="12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March 13, 2020</w:t>
            </w:r>
          </w:p>
        </w:tc>
        <w:tc>
          <w:tcPr>
            <w:tcW w:w="17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20,262</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2,689</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2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40" w:type="dxa"/>
            <w:vAlign w:val="bottom"/>
            <w:tcBorders>
              <w:right w:val="single" w:sz="8" w:color="auto"/>
            </w:tcBorders>
            <w:shd w:val="clear" w:color="auto" w:fill="CCEBFF"/>
          </w:tcPr>
          <w:p>
            <w:pPr>
              <w:spacing w:after="0"/>
              <w:rPr>
                <w:sz w:val="13"/>
                <w:szCs w:val="13"/>
                <w:color w:val="auto"/>
              </w:rPr>
            </w:pPr>
          </w:p>
        </w:tc>
        <w:tc>
          <w:tcPr>
            <w:tcW w:w="108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2"/>
              </w:rPr>
              <w:t>Quest Design &amp; Fabrication and</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rPr>
              <w:t>A designer, fabricator, and installer of premium millwork and case goods for a variety of</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6"/>
              </w:rPr>
              <w:t>Quest Architectural Millwork (Quest)</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commercial uses. Quest had annual sales of approximately $22 million. The acquisition of Quest</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expands our architectural millwork capabilities and expertise in our commercial construction</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business unit, and will allow us to use our national manufacturing capacity to grow and diversify</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our sales to this end market</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intangible assets for each acquisition were finalized and allocated to their respective identifiable intangible asset and goodwill accounts during 2021, except for our 2021 acquisitions. In aggregate, acquisitions made during 2021 and 2020, contributed approximately $1.2 billion in net sales and $50.5 million in operating profit during 2021.</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At December 25, 2021, the amounts assigned to major intangible classes for the business combinations mentioned above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Non-</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Intangibles -</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86"/>
              </w:rPr>
              <w:t>Compete</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Tradename</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Goodwill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ind w:right="71"/>
              <w:spacing w:after="0" w:line="149" w:lineRule="exact"/>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78"/>
        </w:trPr>
        <w:tc>
          <w:tcPr>
            <w:tcW w:w="4160" w:type="dxa"/>
            <w:vAlign w:val="bottom"/>
          </w:tcPr>
          <w:p>
            <w:pPr>
              <w:spacing w:after="0"/>
              <w:rPr>
                <w:sz w:val="15"/>
                <w:szCs w:val="15"/>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Agreements Patents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Deductible</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Advantage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$ 11,481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Ficus</w:t>
            </w:r>
          </w:p>
        </w:tc>
        <w:tc>
          <w:tcPr>
            <w:tcW w:w="1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8,889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Boxpack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Shelter</w:t>
            </w:r>
          </w:p>
        </w:tc>
        <w:tc>
          <w:tcPr>
            <w:tcW w:w="1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Endurable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Walnut Hollow</w:t>
            </w:r>
          </w:p>
        </w:tc>
        <w:tc>
          <w:tcPr>
            <w:tcW w:w="1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Gilmores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PalletOne</w:t>
            </w:r>
          </w:p>
        </w:tc>
        <w:tc>
          <w:tcPr>
            <w:tcW w:w="1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17,450</w:t>
            </w:r>
          </w:p>
        </w:tc>
        <w:tc>
          <w:tcPr>
            <w:tcW w:w="680" w:type="dxa"/>
            <w:vAlign w:val="bottom"/>
          </w:tcPr>
          <w:p>
            <w:pPr>
              <w:jc w:val="right"/>
              <w:spacing w:after="0"/>
              <w:rPr>
                <w:sz w:val="20"/>
                <w:szCs w:val="20"/>
                <w:color w:val="auto"/>
              </w:rPr>
            </w:pPr>
            <w:r>
              <w:rPr>
                <w:rFonts w:ascii="Arial" w:cs="Arial" w:eastAsia="Arial" w:hAnsi="Arial"/>
                <w:sz w:val="18"/>
                <w:szCs w:val="18"/>
                <w:color w:val="auto"/>
              </w:rPr>
              <w:t>44,378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79,917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Atlantic Prefab</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Exterior Designs</w:t>
            </w:r>
          </w:p>
        </w:tc>
        <w:tc>
          <w:tcPr>
            <w:tcW w:w="1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667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c>
          <w:tcPr>
            <w:tcW w:w="680" w:type="dxa"/>
            <w:vAlign w:val="bottom"/>
          </w:tcPr>
          <w:p>
            <w:pPr>
              <w:jc w:val="right"/>
              <w:spacing w:after="0"/>
              <w:rPr>
                <w:sz w:val="20"/>
                <w:szCs w:val="20"/>
                <w:color w:val="auto"/>
              </w:rPr>
            </w:pPr>
            <w:r>
              <w:rPr>
                <w:rFonts w:ascii="Arial" w:cs="Arial" w:eastAsia="Arial" w:hAnsi="Arial"/>
                <w:sz w:val="18"/>
                <w:szCs w:val="18"/>
                <w:color w:val="auto"/>
              </w:rPr>
              <w:t>2,241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Patriot Building Systems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FRCT</w:t>
            </w:r>
          </w:p>
        </w:tc>
        <w:tc>
          <w:tcPr>
            <w:tcW w:w="1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1,090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w:t>
            </w:r>
          </w:p>
        </w:tc>
        <w:tc>
          <w:tcPr>
            <w:tcW w:w="680" w:type="dxa"/>
            <w:vAlign w:val="bottom"/>
          </w:tcPr>
          <w:p>
            <w:pPr>
              <w:jc w:val="right"/>
              <w:spacing w:after="0"/>
              <w:rPr>
                <w:sz w:val="20"/>
                <w:szCs w:val="20"/>
                <w:color w:val="auto"/>
              </w:rPr>
            </w:pPr>
            <w:r>
              <w:rPr>
                <w:rFonts w:ascii="Arial" w:cs="Arial" w:eastAsia="Arial" w:hAnsi="Arial"/>
                <w:sz w:val="18"/>
                <w:szCs w:val="18"/>
                <w:color w:val="auto"/>
              </w:rPr>
              <w:t>1,962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Enwrap</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T&amp;R</w:t>
            </w:r>
          </w:p>
        </w:tc>
        <w:tc>
          <w:tcPr>
            <w:tcW w:w="1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600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2,600</w:t>
            </w:r>
          </w:p>
        </w:tc>
        <w:tc>
          <w:tcPr>
            <w:tcW w:w="680" w:type="dxa"/>
            <w:vAlign w:val="bottom"/>
          </w:tcPr>
          <w:p>
            <w:pPr>
              <w:jc w:val="right"/>
              <w:spacing w:after="0"/>
              <w:rPr>
                <w:sz w:val="20"/>
                <w:szCs w:val="20"/>
                <w:color w:val="auto"/>
              </w:rPr>
            </w:pPr>
            <w:r>
              <w:rPr>
                <w:rFonts w:ascii="Arial" w:cs="Arial" w:eastAsia="Arial" w:hAnsi="Arial"/>
                <w:sz w:val="18"/>
                <w:szCs w:val="18"/>
                <w:color w:val="auto"/>
              </w:rPr>
              <w:t>4,258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12,458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Quest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color w:val="auto"/>
        </w:rPr>
        <w:t>*(estimate)</w:t>
      </w:r>
    </w:p>
    <w:p>
      <w:pPr>
        <w:spacing w:after="0" w:line="14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for 2021 and 2020 are not presented.</w:t>
      </w:r>
    </w:p>
    <w:p>
      <w:pPr>
        <w:spacing w:after="0" w:line="166" w:lineRule="exact"/>
        <w:rPr>
          <w:sz w:val="20"/>
          <w:szCs w:val="20"/>
          <w:color w:val="auto"/>
        </w:rPr>
      </w:pPr>
    </w:p>
    <w:p>
      <w:pPr>
        <w:ind w:left="700" w:hanging="650"/>
        <w:spacing w:after="0"/>
        <w:tabs>
          <w:tab w:leader="none" w:pos="7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described in Note M — Segment Reporting, our segment structure is based upon the markets we serve and goodwill has been allocated to the segments using a relative fair value approach. The changes in the net carrying amount of goodwill by reporting segment for the years ended December 25, 2021 and December 26, 2020, are as follows (in thousands):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Industrial</w:t>
            </w: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w w:val="89"/>
              </w:rPr>
              <w:t>Construction</w:t>
            </w: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All Other</w:t>
            </w:r>
          </w:p>
        </w:tc>
        <w:tc>
          <w:tcPr>
            <w:tcW w:w="940" w:type="dxa"/>
            <w:vAlign w:val="bottom"/>
            <w:gridSpan w:val="4"/>
          </w:tcPr>
          <w:p>
            <w:pPr>
              <w:ind w:left="16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5"/>
                <w:szCs w:val="15"/>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16"/>
        </w:trPr>
        <w:tc>
          <w:tcPr>
            <w:tcW w:w="3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28,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58,098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$ 229,536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32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33,535</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Purchase Accounting Adjustments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2020 Impairments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(11,485)</w:t>
            </w:r>
          </w:p>
        </w:tc>
      </w:tr>
      <w:tr>
        <w:trPr>
          <w:trHeight w:val="23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Net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03"/>
        </w:trPr>
        <w:tc>
          <w:tcPr>
            <w:tcW w:w="36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Balance as of December 26,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61,943</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87,827</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90,729</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11,694</w:t>
            </w: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$ 252,193</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13,880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74,503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3280" w:type="dxa"/>
            <w:vAlign w:val="bottom"/>
          </w:tcPr>
          <w:p>
            <w:pPr>
              <w:ind w:left="20"/>
              <w:spacing w:after="0"/>
              <w:rPr>
                <w:sz w:val="20"/>
                <w:szCs w:val="20"/>
                <w:color w:val="auto"/>
              </w:rPr>
            </w:pPr>
            <w:r>
              <w:rPr>
                <w:rFonts w:ascii="Arial" w:cs="Arial" w:eastAsia="Arial" w:hAnsi="Arial"/>
                <w:sz w:val="18"/>
                <w:szCs w:val="18"/>
                <w:color w:val="auto"/>
              </w:rPr>
              <w:t>Purchase Accounting Adjustments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(10,680)</w:t>
            </w:r>
          </w:p>
        </w:tc>
      </w:tr>
      <w:tr>
        <w:trPr>
          <w:trHeight w:val="23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Net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03"/>
        </w:trPr>
        <w:tc>
          <w:tcPr>
            <w:tcW w:w="36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Balance as of December 25,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73,376</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128,541</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89,000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24,121</w:t>
            </w: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$ 315,038</w:t>
            </w:r>
          </w:p>
        </w:tc>
      </w:tr>
      <w:tr>
        <w:trPr>
          <w:trHeight w:val="20"/>
        </w:trPr>
        <w:tc>
          <w:tcPr>
            <w:tcW w:w="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As of the date of the most recent goodwill impairment test, which utilized data and assumptions as of September 25, 2021, all reporting units had fair values that were substantially in excess of their carrying values. In the prior year, we experienced significantly lower than expected operating results within our commercial reporting unit, which is within the Construction segment. It was determined that the carrying value of the reporting unit exceeded its fair value and we recorded a non-cash goodwill impairment charge of $11.5 million as of December 26, 2020, which represented the entire amount of the goodwill recorded within the reporting unit, as a result.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Indefinite-lived intangible assets totaled $7.4 million as of December 25, 2021 and December 26, 2020 related to the commercial unit within the construction segment, the international unit within the all other segment, and the Deckorators unit within the retail segment.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amounts were included in other amortizable intangible assets, net as of December 25, 2021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26, 2020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3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5"/>
              </w:rPr>
              <w:t>Assets</w:t>
            </w:r>
          </w:p>
        </w:tc>
        <w:tc>
          <w:tcPr>
            <w:tcW w:w="980" w:type="dxa"/>
            <w:vAlign w:val="bottom"/>
            <w:gridSpan w:val="3"/>
          </w:tcPr>
          <w:p>
            <w:pPr>
              <w:ind w:left="14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0"/>
              </w:rPr>
              <w:t>Net Value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7"/>
              </w:rPr>
              <w:t>Assets</w:t>
            </w:r>
          </w:p>
        </w:tc>
        <w:tc>
          <w:tcPr>
            <w:tcW w:w="160" w:type="dxa"/>
            <w:vAlign w:val="bottom"/>
          </w:tcPr>
          <w:p>
            <w:pPr>
              <w:spacing w:after="0"/>
              <w:rPr>
                <w:sz w:val="10"/>
                <w:szCs w:val="10"/>
                <w:color w:val="auto"/>
              </w:rPr>
            </w:pPr>
          </w:p>
        </w:tc>
        <w:tc>
          <w:tcPr>
            <w:tcW w:w="8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Value</w:t>
            </w: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Customer relationships and other</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101,158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(25,012)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80,343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63,322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148,809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(39,792)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109,017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99,268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(27,016)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72,252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Amortization is computed principally by the straight-line method over the estimated useful lives of the intangible assets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 Asset Type</w:t>
            </w: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 Useful Life</w:t>
            </w:r>
          </w:p>
        </w:tc>
        <w:tc>
          <w:tcPr>
            <w:tcW w:w="128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78"/>
        </w:trPr>
        <w:tc>
          <w:tcPr>
            <w:tcW w:w="43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Amortization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15 years</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 to 15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9.7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Tradename (amortizable)</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to 15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 to 5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Amortization expense of intangibles totaled $13.9 million, $8.7 million and $6.3 million in 2021, 2020 and 2019, respectively. The estimated amortization expense for intangibles for each of the five succeeding fiscal years is as follows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2023</w:t>
            </w: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2025</w:t>
            </w: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20" w:type="dxa"/>
            <w:vAlign w:val="bottom"/>
            <w:vMerge w:val="restart"/>
          </w:tcPr>
          <w:p>
            <w:pPr>
              <w:jc w:val="right"/>
              <w:ind w:right="3330"/>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November 1, 2018, we entered into a five-year, $375 million unsecured revolving credit facility with a syndicate of U.S. banks led by JPMorgan Chase Bank, N.A., as administrative agent and Wells Fargo Bank, N.A., as syndication agent. The facilities include up to $40 million which may be advanced in the form of letters of credit, and up to $100 million (U.S. dollar equivalent) which may be advanced in Canadian dollars, Australian dollars, pounds Sterling, Euros and such other foreign currencies as may subsequently be agreed upon among the parties.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12.5 to 30.0 basis points, also determined based upon our performance. The facility fee is payable quarterly in arrears. On February 28, 2021, our credit agreement was amended to increase the availability from $375 million to $550 million by exercising the accordion feature in the original agreement.</w:t>
      </w:r>
    </w:p>
    <w:p>
      <w:pPr>
        <w:spacing w:after="0" w:line="18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August 10, 2020, we entered into an unsecured Note Purchase Agreement under which we issued our 3.04% Series 2020 E Senior Notes, due August 10, 2032, in the aggregate principal amount of $50 million, our 3.08% Series 2020 F Senior Notes, due August 10, 2033, in the aggregate principal amount of $50 million, and our 3.15% Series 2020 G Senior Notes, due August 10, 2035, in the aggregate principal amount of $50 million. Proceeds from the sale of the Series E, F and G Senior Notes were used to fund the acquisition of PalletOne in January 2021.</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Outstanding letters of credit extended on our behalf on December 25, 2021 and December 26, 2020 aggregated $54.2 million and $41.0 million; respectively, which includes approximately $7.1 million related to industrial development revenue bonds. We had an outstanding balance of $7.8 million and $4.7 million, which includes foreign subsidiary borrowings, on the revolver at December 25, 2021, and December 26, 2020, respectively. After considering letters of credit, we had $535.1 million and $363.2 million in remaining availability on the revolver on December 25, 2021, and December 26, 2020, respectively. Letters of credit have one-year terms, include an automatic renewal clause, and are charged an annual interest rate of 112.5 basis points, based upon our financial performance.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Long-term debt obligations are summarized as follows on December 25, 2021 and December 26, 2020 (amounts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7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4"/>
              </w:rPr>
              <w:t>Series 2020 Senior Notes E, due on August 10, 2032, interest payable semi-annually at 3.04%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4"/>
              </w:rPr>
              <w:t>Series 2020 Senior Notes F, due on August 10, 2033, interest payable semi-annually at 3.08%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3"/>
              </w:rPr>
              <w:t>Series 2020 Senior Notes G, due on August 10, 2035, interest payable semi-annually at 3.15%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6"/>
              </w:rPr>
              <w:t>Series 2018 Senior Notes C, due on June 14, 2028, interest payable semi-annually at 4.20%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6"/>
              </w:rPr>
              <w:t>Series 2018 Senior Notes D, due on June 14, 2030, interest payable semi-annually at 4.27%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Series 2012 Senior Notes Tranche A, due on December 17, 2022, interest payable semi-</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annually at 3.89%</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02"/>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2012 Senior Notes Tranche B, due on December 17, 2024, interest payable semi-</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annually at 3.98%</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Foreign subsidiary borrowings under revolving credit facility, due on November 1, 2023,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payable monthly at a floating rate (1.06% on December 25, 2021 and 1.125% 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December 26, 2020)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4,715</w:t>
            </w:r>
          </w:p>
        </w:tc>
      </w:tr>
      <w:tr>
        <w:trPr>
          <w:trHeight w:val="202"/>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1999 Industrial Development Revenue Bonds, due on August 1, 2029, interest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4"/>
              </w:rPr>
              <w:t>payable monthly at a floating rate (0.14% on December 25, 2021 and 0.20% on December 26,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Series 2002 Industrial Development Revenue Bonds, due on December 1, 2022, interest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4"/>
              </w:rPr>
              <w:t>payable monthly at a floating rate (0.18% on December 25, 2021 and 0.22% on December 26,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 and foreign affiliate debt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320,362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311,853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(42,683)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debt issuance costs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277,567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311,607</w:t>
            </w:r>
          </w:p>
        </w:tc>
      </w:tr>
      <w:tr>
        <w:trPr>
          <w:trHeight w:val="20"/>
        </w:trPr>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25, 2021 and December 26, 2020.</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 December 25, 2021, the principal maturities of long-term debt and finance lease obligations are as follows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8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2023</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8,863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2025</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228,300</w:t>
            </w:r>
          </w:p>
        </w:tc>
      </w:tr>
      <w:tr>
        <w:trPr>
          <w:trHeight w:val="21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320,362</w:t>
            </w:r>
          </w:p>
        </w:tc>
      </w:tr>
      <w:tr>
        <w:trPr>
          <w:trHeight w:val="20"/>
        </w:trPr>
        <w:tc>
          <w:tcPr>
            <w:tcW w:w="4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25, 2021, the estimated fair value of our long-term debt, including the current portion, was $334.6 million, which was $14.3 million more than the carrying value. The estimated fair value is based on rates anticipated to be available to us for debt with similar terms and maturities. We consider the valuations of our long-term debt, including the current portion, to be Level 2 liabilities which rely on quoted prices in markets that are not active or observable inputs over the full term of the liability.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We determine if an arrangement is a lease at inception. We lease certain real estate under non-cancelable operating lease agreements with typical original terms ranging from one to ten years. We are required to pay real estate taxes and other occupancy costs under certain leases, which are variable in nature and not included in the right of use asset or lease liability. Certain leases carry renewal options of five to fifteen years. We believe that future leases will likely have similar terms. We also lease motor vehicles, equipment, and an aircraft under operating lease agreements for periods of one to ten years. We do not typically enter into leases with residual value guarantees. There were no restrictions or covenants imposed by any lease agreements.</w:t>
      </w:r>
    </w:p>
    <w:p>
      <w:pPr>
        <w:spacing w:after="0" w:line="17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believe finance leases have no significant impact to our consolidated balance sheet and statement of earnings as of December 25, 2021.</w:t>
      </w:r>
    </w:p>
    <w:p>
      <w:pPr>
        <w:spacing w:after="0" w:line="170"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As of December 25, 2021, we have no leases that have not yet commenced that would significantly impact the rights, obligations, and our financial position.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lease transactions between related parties as of December 25, 2021.</w:t>
      </w:r>
    </w:p>
    <w:p>
      <w:pPr>
        <w:spacing w:after="0" w:line="22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rates implicit in our leases are primarily not readily available. To determine the discount rate used to present value the lease payments, we utilize the 7-year treasury note rate plus a blend of rate spreads associated with our revolver and 10-12-year senior notes along with estimated spreads based on current market conditions. We feel the determined rate is a reasonable representation of our lease population.</w:t>
      </w:r>
    </w:p>
    <w:p>
      <w:pPr>
        <w:spacing w:after="0" w:line="187"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Lease costs under non-cancelable operating leases on December 25, 2021 and December 26, 2020 are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Short-term lease cost</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Variable lease cost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Sublease income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321"/>
        <w:spacing w:after="0"/>
        <w:tabs>
          <w:tab w:leader="none" w:pos="12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6350</wp:posOffset>
            </wp:positionV>
            <wp:extent cx="564896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5" w:lineRule="exact"/>
        <w:rPr>
          <w:sz w:val="20"/>
          <w:szCs w:val="20"/>
          <w:color w:val="auto"/>
        </w:rPr>
      </w:pPr>
    </w:p>
    <w:p>
      <w:pPr>
        <w:ind w:left="261" w:hanging="261"/>
        <w:spacing w:after="0"/>
        <w:tabs>
          <w:tab w:leader="none" w:pos="261" w:val="left"/>
        </w:tabs>
        <w:numPr>
          <w:ilvl w:val="0"/>
          <w:numId w:val="61"/>
        </w:numPr>
        <w:rPr>
          <w:rFonts w:ascii="Arial" w:cs="Arial" w:eastAsia="Arial" w:hAnsi="Arial"/>
          <w:sz w:val="18"/>
          <w:szCs w:val="18"/>
          <w:color w:val="auto"/>
        </w:rPr>
      </w:pPr>
      <w:r>
        <w:rPr>
          <w:rFonts w:ascii="Arial" w:cs="Arial" w:eastAsia="Arial" w:hAnsi="Arial"/>
          <w:sz w:val="18"/>
          <w:szCs w:val="18"/>
          <w:color w:val="auto"/>
        </w:rPr>
        <w:t>30,054  $  21,594</w:t>
      </w:r>
    </w:p>
    <w:p>
      <w:pPr>
        <w:spacing w:after="0" w:line="21" w:lineRule="exact"/>
        <w:rPr>
          <w:rFonts w:ascii="Arial" w:cs="Arial" w:eastAsia="Arial" w:hAnsi="Arial"/>
          <w:sz w:val="18"/>
          <w:szCs w:val="18"/>
          <w:color w:val="auto"/>
        </w:rPr>
      </w:pPr>
    </w:p>
    <w:p>
      <w:pPr>
        <w:ind w:left="361"/>
        <w:spacing w:after="0"/>
        <w:rPr>
          <w:rFonts w:ascii="Arial" w:cs="Arial" w:eastAsia="Arial" w:hAnsi="Arial"/>
          <w:sz w:val="18"/>
          <w:szCs w:val="18"/>
          <w:color w:val="auto"/>
        </w:rPr>
      </w:pPr>
      <w:r>
        <w:rPr>
          <w:rFonts w:ascii="Arial" w:cs="Arial" w:eastAsia="Arial" w:hAnsi="Arial"/>
          <w:sz w:val="18"/>
          <w:szCs w:val="18"/>
          <w:color w:val="auto"/>
        </w:rPr>
        <w:t>5,264</w:t>
      </w:r>
      <w:r>
        <w:rPr>
          <w:rFonts w:ascii="Arial" w:cs="Arial" w:eastAsia="Arial" w:hAnsi="Arial"/>
          <w:sz w:val="16"/>
          <w:szCs w:val="16"/>
          <w:color w:val="auto"/>
        </w:rPr>
        <w:t>2,863</w:t>
      </w:r>
    </w:p>
    <w:p>
      <w:pPr>
        <w:spacing w:after="0" w:line="9" w:lineRule="exact"/>
        <w:rPr>
          <w:rFonts w:ascii="Arial" w:cs="Arial" w:eastAsia="Arial" w:hAnsi="Arial"/>
          <w:sz w:val="18"/>
          <w:szCs w:val="18"/>
          <w:color w:val="auto"/>
        </w:rPr>
      </w:pPr>
    </w:p>
    <w:p>
      <w:pPr>
        <w:ind w:left="361"/>
        <w:spacing w:after="0"/>
        <w:rPr>
          <w:rFonts w:ascii="Arial" w:cs="Arial" w:eastAsia="Arial" w:hAnsi="Arial"/>
          <w:sz w:val="18"/>
          <w:szCs w:val="18"/>
          <w:color w:val="auto"/>
        </w:rPr>
      </w:pPr>
      <w:r>
        <w:rPr>
          <w:rFonts w:ascii="Arial" w:cs="Arial" w:eastAsia="Arial" w:hAnsi="Arial"/>
          <w:sz w:val="18"/>
          <w:szCs w:val="18"/>
          <w:color w:val="auto"/>
        </w:rPr>
        <w:t>4,761</w:t>
      </w:r>
      <w:r>
        <w:rPr>
          <w:rFonts w:ascii="Arial" w:cs="Arial" w:eastAsia="Arial" w:hAnsi="Arial"/>
          <w:sz w:val="16"/>
          <w:szCs w:val="16"/>
          <w:color w:val="auto"/>
        </w:rPr>
        <w:t>3,985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-130810</wp:posOffset>
            </wp:positionV>
            <wp:extent cx="56489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22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r>
      <w:tr>
        <w:trPr>
          <w:trHeight w:val="216"/>
        </w:trPr>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  36,970</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27,429</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-170815</wp:posOffset>
            </wp:positionV>
            <wp:extent cx="564896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99" w:space="720"/>
            <w:col w:w="1800"/>
          </w:cols>
          <w:pgMar w:left="1440" w:top="517" w:right="1440" w:bottom="1440" w:gutter="0" w:footer="0" w:header="0"/>
          <w:type w:val="continuous"/>
        </w:sectPr>
      </w:pPr>
    </w:p>
    <w:p>
      <w:pPr>
        <w:spacing w:after="0" w:line="2" w:lineRule="exact"/>
        <w:rPr>
          <w:sz w:val="20"/>
          <w:szCs w:val="20"/>
          <w:color w:val="auto"/>
        </w:rPr>
      </w:pPr>
    </w:p>
    <w:p>
      <w:pPr>
        <w:ind w:left="60" w:right="199" w:firstLine="492"/>
        <w:spacing w:after="0" w:line="259" w:lineRule="auto"/>
        <w:rPr>
          <w:sz w:val="20"/>
          <w:szCs w:val="20"/>
          <w:color w:val="auto"/>
        </w:rPr>
      </w:pPr>
      <w:r>
        <w:rPr>
          <w:rFonts w:ascii="Arial" w:cs="Arial" w:eastAsia="Arial" w:hAnsi="Arial"/>
          <w:sz w:val="18"/>
          <w:szCs w:val="18"/>
          <w:color w:val="auto"/>
        </w:rPr>
        <w:t>The amounts paid for operating leases, included in the measurement of lease liabilities, were $27.4 million in the year ended December 25, 2021 and $20.0 million in the year ended December 26, 2020. In addition, right-of-use assets obtained in exchange for new operating lease liabilities were approximately $46.7 million and $12.8 million, respectively, for the years ended December 25, 2021 and December 29, 2019.</w:t>
      </w:r>
    </w:p>
    <w:p>
      <w:pPr>
        <w:spacing w:after="0" w:line="187"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Future minimum payments under non-cancelable operating leases on December 25, 2021 are as follows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Operating</w:t>
            </w:r>
          </w:p>
        </w:tc>
      </w:tr>
      <w:tr>
        <w:trPr>
          <w:trHeight w:val="178"/>
        </w:trPr>
        <w:tc>
          <w:tcPr>
            <w:tcW w:w="512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Leases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21,040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2025</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13,164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r>
      <w:tr>
        <w:trPr>
          <w:trHeight w:val="223"/>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27,123</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114,687</w:t>
            </w: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2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Rent expense was approximately $40.1 million, $28.4 million, and $29.9 million in 2021, 2020, and 2019, respectively.</w:t>
      </w:r>
    </w:p>
    <w:p>
      <w:pPr>
        <w:spacing w:after="0" w:line="170"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As of December 25, 2021 and December 26, 2020, the weighted average lease term for operating leases was 7.33 years and 6.84 years, respectively. Similarly, the weighted average discount rate for operating leases was 2.87% and 3.12%, respectively.</w:t>
      </w:r>
    </w:p>
    <w:p>
      <w:pPr>
        <w:spacing w:after="0" w:line="180" w:lineRule="exact"/>
        <w:rPr>
          <w:sz w:val="20"/>
          <w:szCs w:val="20"/>
          <w:color w:val="auto"/>
        </w:rPr>
      </w:pPr>
    </w:p>
    <w:p>
      <w:pPr>
        <w:ind w:left="700" w:hanging="650"/>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DEFERRED COMPENSATION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a program whereby certain executives irrevocably elected to defer receipt of certain compensation in 1985 through 1988. Deferred compensation payments to these executives commenced upon their retirement. The remaining deferred compensation liability on December 25, 2021 and December 26, 2020 was $0.2 million.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The investment in life insurance contracts as of December 25, 2021 and December 26, 2020, was $12.7 million and $13.3 million, respectively, and is recorded in “Other Assets” on the Consolidated Balance Sheet.</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$0.7 million and $0.6 million on December 25, 2021 and December 26, 2020, respectively, and are included in "Other Assets." Related liabilities totaled $42.1 million and $36.6 million on December 25, 2021 and December 26, 2020, respectively, and are included in "Other Liabilities" and "Shareholders’ Equity." Assets associated with the Plan are recorded at fair market value. The related liabilities are also recorded at fair market value, with the exception of obligations associated with investments in our stock which are recorded at the market value on the date of deferral.</w:t>
      </w:r>
    </w:p>
    <w:p>
      <w:pPr>
        <w:spacing w:after="0" w:line="162" w:lineRule="exact"/>
        <w:rPr>
          <w:sz w:val="20"/>
          <w:szCs w:val="20"/>
          <w:color w:val="auto"/>
        </w:rPr>
      </w:pPr>
    </w:p>
    <w:p>
      <w:pPr>
        <w:ind w:left="700" w:hanging="650"/>
        <w:spacing w:after="0"/>
        <w:tabs>
          <w:tab w:leader="none" w:pos="7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maintain and administer our shareholder approved Employee Stock Purchase Plan ("Stock Purchase Plan"). The Stock Purchase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maintain and administer our shareholder approved Directors’ Retainer Stock Plan ("Stock Retainer Plan"). The Stock Retainer Plan allows eligible members of the Board of Directors to defer the cash portion of their retainer and committee fees and receive shares of our stock at the time of or following their retirement, disability or death. The number of shares to be received is equal to the amount of the cash portion of their retainer and committee fees deferred multiplied by 110%, divided by the fair market value of a share of our stock at the time of deferral. The number of units is increased by the amount of dividends paid on our common stock. The units are immediately vested as of the grant date, since they are considered payment for services rendered quarterly. We recognized expense for this plan of $1.7 million in 2021, and $1.8 million in both 2020 and 2019. Effective January 1, 2017, this plan was amended to allow directors to defer payment of the annual retainer paid in the form of our common stock. The number of shares to be received for their portion of the retainer that is deferred is equal to the amount of shares plus the number of shares attributable to cash dividends payable on those deferred shares.</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Finally, we maintain and administer our shareholder approved Long Term Stock Incentive Plan (the "LTSIP”). The LTSIP provides for the grant of stock options, stock appreciation rights, restricted stock, performance shares and other stock-based awards.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Executive Stock Match awards are granted in the year following the requisite service period, which begins at the beginning of each fiscal year, and fully vest on the fifth anniversary of the grant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is no unrecognized compensation expense remaining for stock options in 2021, 2020, and 2019.</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Below is a summary of common stock issuances for 2021 and 2020:</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25, 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72.66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487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match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60.24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547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59.84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64.14</w:t>
            </w: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7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26,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25.31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grants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47.60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44.96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53.79</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nonvested restricted stock awards granted under the LTSIP is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Unrecognized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Weighted-</w:t>
            </w:r>
          </w:p>
        </w:tc>
        <w:tc>
          <w:tcPr>
            <w:tcW w:w="104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Period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20" w:type="dxa"/>
            <w:vAlign w:val="bottom"/>
            <w:gridSpan w:val="2"/>
          </w:tcPr>
          <w:p>
            <w:pPr>
              <w:jc w:val="right"/>
              <w:ind w:right="11"/>
              <w:spacing w:after="0" w:line="149" w:lineRule="exact"/>
              <w:rPr>
                <w:sz w:val="20"/>
                <w:szCs w:val="20"/>
                <w:color w:val="auto"/>
              </w:rPr>
            </w:pPr>
            <w:r>
              <w:rPr>
                <w:rFonts w:ascii="Arial" w:cs="Arial" w:eastAsia="Arial" w:hAnsi="Arial"/>
                <w:sz w:val="14"/>
                <w:szCs w:val="14"/>
                <w:b w:val="1"/>
                <w:bCs w:val="1"/>
                <w:color w:val="auto"/>
              </w:rPr>
              <w:t>Average Grant</w:t>
            </w:r>
          </w:p>
        </w:tc>
        <w:tc>
          <w:tcPr>
            <w:tcW w:w="220" w:type="dxa"/>
            <w:vAlign w:val="bottom"/>
          </w:tcPr>
          <w:p>
            <w:pPr>
              <w:spacing w:after="0"/>
              <w:rPr>
                <w:sz w:val="12"/>
                <w:szCs w:val="12"/>
                <w:color w:val="auto"/>
              </w:rPr>
            </w:pPr>
          </w:p>
        </w:tc>
        <w:tc>
          <w:tcPr>
            <w:tcW w:w="8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6"/>
              </w:rPr>
              <w:t>Expense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Recognize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Awards</w:t>
            </w: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Date Fair Value</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29, 2018</w:t>
            </w:r>
          </w:p>
        </w:tc>
        <w:tc>
          <w:tcPr>
            <w:tcW w:w="25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1,160,079</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23.32</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Granted</w:t>
            </w:r>
          </w:p>
        </w:tc>
        <w:tc>
          <w:tcPr>
            <w:tcW w:w="2500" w:type="dxa"/>
            <w:vAlign w:val="bottom"/>
            <w:gridSpan w:val="2"/>
          </w:tcPr>
          <w:p>
            <w:pPr>
              <w:jc w:val="right"/>
              <w:ind w:right="57"/>
              <w:spacing w:after="0"/>
              <w:rPr>
                <w:sz w:val="20"/>
                <w:szCs w:val="20"/>
                <w:color w:val="auto"/>
              </w:rPr>
            </w:pPr>
            <w:r>
              <w:rPr>
                <w:rFonts w:ascii="Arial" w:cs="Arial" w:eastAsia="Arial" w:hAnsi="Arial"/>
                <w:sz w:val="18"/>
                <w:szCs w:val="18"/>
                <w:color w:val="auto"/>
              </w:rPr>
              <w:t>318,496</w:t>
            </w: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(224,894)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Forfeited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(50,786)</w:t>
            </w: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24.18</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28, 2019</w:t>
            </w:r>
          </w:p>
        </w:tc>
        <w:tc>
          <w:tcPr>
            <w:tcW w:w="1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2"/>
              </w:rPr>
              <w:t>1,202,895</w:t>
            </w:r>
          </w:p>
        </w:tc>
        <w:tc>
          <w:tcPr>
            <w:tcW w:w="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29.68</w:t>
            </w: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0.86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Granted</w:t>
            </w:r>
          </w:p>
        </w:tc>
        <w:tc>
          <w:tcPr>
            <w:tcW w:w="2500" w:type="dxa"/>
            <w:vAlign w:val="bottom"/>
            <w:gridSpan w:val="2"/>
          </w:tcPr>
          <w:p>
            <w:pPr>
              <w:jc w:val="right"/>
              <w:ind w:right="57"/>
              <w:spacing w:after="0"/>
              <w:rPr>
                <w:sz w:val="20"/>
                <w:szCs w:val="20"/>
                <w:color w:val="auto"/>
              </w:rPr>
            </w:pPr>
            <w:r>
              <w:rPr>
                <w:rFonts w:ascii="Arial" w:cs="Arial" w:eastAsia="Arial" w:hAnsi="Arial"/>
                <w:sz w:val="18"/>
                <w:szCs w:val="18"/>
                <w:color w:val="auto"/>
              </w:rPr>
              <w:t>348,016</w:t>
            </w: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47.60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(177,790)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Forfeited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(9,327)</w:t>
            </w: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33.46</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26, 2020</w:t>
            </w:r>
          </w:p>
        </w:tc>
        <w:tc>
          <w:tcPr>
            <w:tcW w:w="1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2"/>
              </w:rPr>
              <w:t>1,363,794</w:t>
            </w:r>
          </w:p>
        </w:tc>
        <w:tc>
          <w:tcPr>
            <w:tcW w:w="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35.14</w:t>
            </w: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0.62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Granted</w:t>
            </w:r>
          </w:p>
        </w:tc>
        <w:tc>
          <w:tcPr>
            <w:tcW w:w="2500" w:type="dxa"/>
            <w:vAlign w:val="bottom"/>
            <w:gridSpan w:val="2"/>
          </w:tcPr>
          <w:p>
            <w:pPr>
              <w:jc w:val="right"/>
              <w:ind w:right="57"/>
              <w:spacing w:after="0"/>
              <w:rPr>
                <w:sz w:val="20"/>
                <w:szCs w:val="20"/>
                <w:color w:val="auto"/>
              </w:rPr>
            </w:pPr>
            <w:r>
              <w:rPr>
                <w:rFonts w:ascii="Arial" w:cs="Arial" w:eastAsia="Arial" w:hAnsi="Arial"/>
                <w:sz w:val="18"/>
                <w:szCs w:val="18"/>
                <w:color w:val="auto"/>
              </w:rPr>
              <w:t>560,516</w:t>
            </w: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60.24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(274,271)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26.50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Forfeited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(23,007)</w:t>
            </w: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39.68</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25, 2021</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2"/>
              </w:rPr>
              <w:t>1,627,032</w:t>
            </w:r>
          </w:p>
        </w:tc>
        <w:tc>
          <w:tcPr>
            <w:tcW w:w="2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45.23</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0.43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0" w:type="dxa"/>
            <w:vAlign w:val="bottom"/>
            <w:vMerge w:val="restart"/>
          </w:tcPr>
          <w:p>
            <w:pPr>
              <w:jc w:val="right"/>
              <w:ind w:right="350"/>
              <w:spacing w:after="0"/>
              <w:rPr>
                <w:sz w:val="20"/>
                <w:szCs w:val="20"/>
                <w:color w:val="auto"/>
              </w:rPr>
            </w:pPr>
            <w:r>
              <w:rPr>
                <w:rFonts w:ascii="Arial" w:cs="Arial" w:eastAsia="Arial" w:hAnsi="Arial"/>
                <w:sz w:val="18"/>
                <w:szCs w:val="18"/>
                <w:color w:val="auto"/>
              </w:rPr>
              <w:t>46</w:t>
            </w: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Under the Stock Purchase Plan and LTSIP, we recognized share-based compensation expense of $11.2 million, $4.0 million, and $4.0 million and the related total income tax benefits of $2.7 million, $1.0 million, and $0.8 million in 2021, 2020 and 2019, respectively.</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For the year-ended December 25, 2021, we determined that $60 million of share-based bonus awards, representing 751,978 shares, will be awarded to qualified employees as it relates to the company’s 2021 performance and granted in 2022. Awards granted generally vest after a period of three, five or eight years from the grant date. In addition to the share-based bonus awards, certain employees are eligible to receive performance units equivalent to $2.3 million, or 28,866 shares of stock, if certain performance metrics are achieved after three years. As of December 25, 2021 and December 26, 2020, we recognized approximately $11.5 million and $4 million, respectively, of compensation expense related to share-based bonus awards.</w:t>
      </w:r>
    </w:p>
    <w:p>
      <w:pPr>
        <w:spacing w:after="0" w:line="19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2021, 2020 and 2019, cash received from share issuances under our plans was $2.1 million, $1.4 million and $1.1 million, respectively.</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Effective February 15, 2022, our Board authorized an additional 1.5 million shares to be repurchased under our existing share repurchase program. We repurchased no shares in 2021 and 756,397 shares in 2020 under this program. Following the most recent authorization, the cumulative total authorized shares available for repurchase is approximately 2.6 million shares through the period ending February 3, 2023.</w:t>
      </w:r>
    </w:p>
    <w:p>
      <w:pPr>
        <w:spacing w:after="0" w:line="183" w:lineRule="exact"/>
        <w:rPr>
          <w:sz w:val="20"/>
          <w:szCs w:val="20"/>
          <w:color w:val="auto"/>
        </w:rPr>
      </w:pPr>
    </w:p>
    <w:p>
      <w:pPr>
        <w:ind w:left="700" w:hanging="650"/>
        <w:spacing w:after="0"/>
        <w:tabs>
          <w:tab w:leader="none" w:pos="7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a profit sharing and 401(k) plan for the benefit of substantially all of our employees, excluding the employees of certain wholly-owned subsidiaries. Amounts contributed to the plan are made at the discretion of the Board of Directors. We matched 25%of employee contributions in 2021, 2020, and 2019, on a discretionary basis, totaling $9.2 million, $7.2 million, and $6.5 million respectively. Included within the total employee matched contribution was an additional matched contribution for hourly employees of $3.7 million, $2.9 million and $2.6 million for 2021, 2020 and 2019, respectively, based on meeting certain performance goals during those years. The basis for matching contributions may not exceed the lesser of 6% of the employee’s annual compensation or the IRS limitation.</w:t>
      </w:r>
    </w:p>
    <w:p>
      <w:pPr>
        <w:spacing w:after="0" w:line="17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maintain a retirement plan for certain officers of the Company (who have at least 20 years of service with the Company and at least 10 years of service as an officer) whereby we will pay, upon retirement, certain benefits including health care benefits, for a specified period of time if certain eligibility requirements are met. Approximately $13.1 million and $11.8 million are accrued in “Other Liabilities” for this plan on December 25, 2021 and December 26, 2020, respectively.</w:t>
      </w:r>
    </w:p>
    <w:p>
      <w:pPr>
        <w:spacing w:after="0" w:line="184" w:lineRule="exact"/>
        <w:rPr>
          <w:sz w:val="20"/>
          <w:szCs w:val="20"/>
          <w:color w:val="auto"/>
        </w:rPr>
      </w:pPr>
    </w:p>
    <w:p>
      <w:pPr>
        <w:ind w:left="700" w:hanging="650"/>
        <w:spacing w:after="0"/>
        <w:tabs>
          <w:tab w:leader="none" w:pos="7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Income tax provisions for the years ended December 25, 2021, December 26, 2020, and December 28, 2019 are summarized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380" w:type="dxa"/>
            <w:vAlign w:val="bottom"/>
            <w:vMerge w:val="restart"/>
          </w:tcPr>
          <w:p>
            <w:pPr>
              <w:ind w:left="20"/>
              <w:spacing w:after="0"/>
              <w:rPr>
                <w:sz w:val="20"/>
                <w:szCs w:val="20"/>
                <w:color w:val="auto"/>
              </w:rPr>
            </w:pPr>
            <w:r>
              <w:rPr>
                <w:rFonts w:ascii="Arial" w:cs="Arial" w:eastAsia="Arial" w:hAnsi="Arial"/>
                <w:sz w:val="18"/>
                <w:szCs w:val="18"/>
                <w:color w:val="auto"/>
              </w:rPr>
              <w:t>Currently Payable:</w:t>
            </w: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$ 115,077</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$ 59,055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35,267</w:t>
            </w: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State and local</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30,441</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16,709</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10,071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21,095</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8,601</w:t>
            </w: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166,613</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84,365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51,172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Federal</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6,242</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2,292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and local</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999</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1,962</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7,359</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2,736</w:t>
            </w: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3" w:lineRule="exact"/>
              <w:rPr>
                <w:sz w:val="20"/>
                <w:szCs w:val="20"/>
                <w:color w:val="auto"/>
              </w:rPr>
            </w:pPr>
            <w:r>
              <w:rPr>
                <w:rFonts w:ascii="Arial" w:cs="Arial" w:eastAsia="Arial" w:hAnsi="Arial"/>
                <w:sz w:val="18"/>
                <w:szCs w:val="18"/>
                <w:color w:val="auto"/>
              </w:rPr>
              <w:t>Total income tax expense</w:t>
            </w:r>
          </w:p>
        </w:tc>
        <w:tc>
          <w:tcPr>
            <w:tcW w:w="84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w w:val="89"/>
              </w:rPr>
              <w:t>$ 173,972</w:t>
            </w:r>
          </w:p>
        </w:tc>
        <w:tc>
          <w:tcPr>
            <w:tcW w:w="88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$ 87,101</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58,270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earnings before income taxes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9"/>
              </w:rPr>
              <w:t>$ 645,316</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$ 308,167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$ 220,532</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81,020</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32,816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20,142</w:t>
            </w:r>
          </w:p>
        </w:tc>
      </w:tr>
      <w:tr>
        <w:trPr>
          <w:trHeight w:val="216"/>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89"/>
              </w:rPr>
              <w:t>$ 726,336</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$ 340,983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$ 240,674</w:t>
            </w:r>
          </w:p>
        </w:tc>
      </w:tr>
      <w:tr>
        <w:trPr>
          <w:trHeight w:val="20"/>
        </w:trPr>
        <w:tc>
          <w:tcPr>
            <w:tcW w:w="6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effective income tax rates are different from the statutory federal income tax rates for the following reasons: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4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21.0 %</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21.0 %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State and local taxes (net of federal benefits)</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3.4</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noncontrolling owned interest in earnings of partnerships</w:t>
            </w:r>
          </w:p>
        </w:tc>
        <w:tc>
          <w:tcPr>
            <w:tcW w:w="8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Tax credits, including foreign tax credit</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(0.6)</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(0.9)</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uncertain tax positions reserve</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(0.1)</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Other permanent differences</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(0.4)</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0.6</w:t>
            </w: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6480" w:type="dxa"/>
            <w:vAlign w:val="bottom"/>
          </w:tcPr>
          <w:p>
            <w:pPr>
              <w:ind w:left="20"/>
              <w:spacing w:after="0" w:line="203" w:lineRule="exact"/>
              <w:rPr>
                <w:sz w:val="20"/>
                <w:szCs w:val="20"/>
                <w:color w:val="auto"/>
              </w:rPr>
            </w:pPr>
            <w:r>
              <w:rPr>
                <w:rFonts w:ascii="Arial" w:cs="Arial" w:eastAsia="Arial" w:hAnsi="Arial"/>
                <w:sz w:val="18"/>
                <w:szCs w:val="18"/>
                <w:color w:val="auto"/>
              </w:rPr>
              <w:t>Effective income tax rate</w:t>
            </w:r>
          </w:p>
        </w:tc>
        <w:tc>
          <w:tcPr>
            <w:tcW w:w="86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23.9 %</w:t>
            </w:r>
          </w:p>
        </w:tc>
        <w:tc>
          <w:tcPr>
            <w:tcW w:w="84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25.5 %</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0"/>
        </w:trPr>
        <w:tc>
          <w:tcPr>
            <w:tcW w:w="6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Temporary differences which give rise to deferred income tax assets and (liabilities) on December 25, 2021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26, 2020 are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780" w:type="dxa"/>
            <w:vAlign w:val="bottom"/>
            <w:tcBorders>
              <w:bottom w:val="single" w:sz="8" w:color="CCEEFF"/>
            </w:tcBorders>
          </w:tcPr>
          <w:p>
            <w:pPr>
              <w:spacing w:after="0"/>
              <w:rPr>
                <w:sz w:val="15"/>
                <w:szCs w:val="15"/>
                <w:color w:val="auto"/>
              </w:rPr>
            </w:pPr>
          </w:p>
        </w:tc>
        <w:tc>
          <w:tcPr>
            <w:tcW w:w="3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27,543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24,627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5,502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Foreign subsidiary capital loss carryforward</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 credits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on receivables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1,446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5,735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5,233</w:t>
            </w: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line="203" w:lineRule="exact"/>
              <w:rPr>
                <w:sz w:val="20"/>
                <w:szCs w:val="20"/>
                <w:color w:val="auto"/>
              </w:rPr>
            </w:pPr>
            <w:r>
              <w:rPr>
                <w:rFonts w:ascii="Arial" w:cs="Arial" w:eastAsia="Arial" w:hAnsi="Arial"/>
                <w:sz w:val="18"/>
                <w:szCs w:val="18"/>
                <w:color w:val="auto"/>
              </w:rPr>
              <w:t>Gross deferred income tax assets</w:t>
            </w:r>
          </w:p>
        </w:tc>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1"/>
              <w:spacing w:after="0" w:line="203" w:lineRule="exact"/>
              <w:rPr>
                <w:sz w:val="20"/>
                <w:szCs w:val="20"/>
                <w:color w:val="auto"/>
              </w:rPr>
            </w:pPr>
            <w:r>
              <w:rPr>
                <w:rFonts w:ascii="Arial" w:cs="Arial" w:eastAsia="Arial" w:hAnsi="Arial"/>
                <w:sz w:val="18"/>
                <w:szCs w:val="18"/>
                <w:color w:val="auto"/>
              </w:rPr>
              <w:t>73,070</w:t>
            </w:r>
          </w:p>
        </w:tc>
        <w:tc>
          <w:tcPr>
            <w:tcW w:w="2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64,810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line="203" w:lineRule="exact"/>
              <w:rPr>
                <w:sz w:val="20"/>
                <w:szCs w:val="20"/>
                <w:color w:val="auto"/>
              </w:rPr>
            </w:pPr>
            <w:r>
              <w:rPr>
                <w:rFonts w:ascii="Arial" w:cs="Arial" w:eastAsia="Arial" w:hAnsi="Arial"/>
                <w:sz w:val="18"/>
                <w:szCs w:val="18"/>
                <w:color w:val="auto"/>
              </w:rPr>
              <w:t>Deferred income tax assets</w:t>
            </w:r>
          </w:p>
        </w:tc>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51"/>
              <w:spacing w:after="0" w:line="203" w:lineRule="exact"/>
              <w:rPr>
                <w:sz w:val="20"/>
                <w:szCs w:val="20"/>
                <w:color w:val="auto"/>
              </w:rPr>
            </w:pPr>
            <w:r>
              <w:rPr>
                <w:rFonts w:ascii="Arial" w:cs="Arial" w:eastAsia="Arial" w:hAnsi="Arial"/>
                <w:sz w:val="18"/>
                <w:szCs w:val="18"/>
                <w:color w:val="auto"/>
              </w:rPr>
              <w:t>69,118</w:t>
            </w:r>
          </w:p>
        </w:tc>
        <w:tc>
          <w:tcPr>
            <w:tcW w:w="2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60,766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(38,367)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3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(126,620)</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liability</w:t>
            </w:r>
          </w:p>
        </w:tc>
        <w:tc>
          <w:tcPr>
            <w:tcW w:w="3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60" w:type="dxa"/>
            <w:vAlign w:val="bottom"/>
            <w:vMerge w:val="restart"/>
          </w:tcPr>
          <w:p>
            <w:pPr>
              <w:jc w:val="right"/>
              <w:ind w:right="2390"/>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December 25, 2021, we had federal, state and foreign net operating loss carryforwards of $5.5 million and state tax credit carryforwards of $0.5 million, which will expire at various dates.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NOL and credit carryforwards expire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6"/>
          </w:tcPr>
          <w:p>
            <w:pPr>
              <w:ind w:left="260"/>
              <w:spacing w:after="0"/>
              <w:rPr>
                <w:sz w:val="20"/>
                <w:szCs w:val="20"/>
                <w:color w:val="auto"/>
              </w:rPr>
            </w:pPr>
            <w:r>
              <w:rPr>
                <w:rFonts w:ascii="Arial" w:cs="Arial" w:eastAsia="Arial" w:hAnsi="Arial"/>
                <w:sz w:val="14"/>
                <w:szCs w:val="14"/>
                <w:b w:val="1"/>
                <w:bCs w:val="1"/>
                <w:color w:val="auto"/>
              </w:rPr>
              <w:t>Net Operating Losses</w:t>
            </w:r>
          </w:p>
        </w:tc>
        <w:tc>
          <w:tcPr>
            <w:tcW w:w="120" w:type="dxa"/>
            <w:vAlign w:val="bottom"/>
          </w:tcPr>
          <w:p>
            <w:pPr>
              <w:spacing w:after="0"/>
              <w:rPr>
                <w:sz w:val="15"/>
                <w:szCs w:val="15"/>
                <w:color w:val="auto"/>
              </w:rPr>
            </w:pPr>
          </w:p>
        </w:tc>
        <w:tc>
          <w:tcPr>
            <w:tcW w:w="122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Tax Credits</w:t>
            </w:r>
          </w:p>
        </w:tc>
      </w:tr>
      <w:tr>
        <w:trPr>
          <w:trHeight w:val="155"/>
        </w:trPr>
        <w:tc>
          <w:tcPr>
            <w:tcW w:w="53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5"/>
              <w:spacing w:after="0" w:line="149" w:lineRule="exact"/>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w w:val="93"/>
              </w:rPr>
              <w:t>State</w:t>
            </w:r>
          </w:p>
        </w:tc>
        <w:tc>
          <w:tcPr>
            <w:tcW w:w="7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Foreign</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3"/>
              <w:spacing w:after="0" w:line="149" w:lineRule="exact"/>
              <w:rPr>
                <w:sz w:val="20"/>
                <w:szCs w:val="20"/>
                <w:color w:val="auto"/>
              </w:rPr>
            </w:pPr>
            <w:r>
              <w:rPr>
                <w:rFonts w:ascii="Arial" w:cs="Arial" w:eastAsia="Arial" w:hAnsi="Arial"/>
                <w:sz w:val="14"/>
                <w:szCs w:val="14"/>
                <w:b w:val="1"/>
                <w:bCs w:val="1"/>
                <w:color w:val="auto"/>
                <w:w w:val="93"/>
              </w:rPr>
              <w:t>State</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2022 - 2026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1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2032 - 2036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2037 - 2041</w:t>
            </w:r>
          </w:p>
        </w:tc>
        <w:tc>
          <w:tcPr>
            <w:tcW w:w="1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c>
          <w:tcPr>
            <w:tcW w:w="2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3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790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2,352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2,360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450</w:t>
            </w:r>
          </w:p>
        </w:tc>
      </w:tr>
    </w:tbl>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As of December 25, 2021, we believe that it is more likely than not that the benefit from certain state and foreign NOL carryforwards will not be realized. In recognition of this risk, we have provided a valuation allowance of $3.4 million against the various NOLs. Furthermore, there is a valuation allowance of $0.5 million against a capital loss carryforward 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spacing w:after="0" w:line="160" w:lineRule="exact"/>
        <w:rPr>
          <w:sz w:val="20"/>
          <w:szCs w:val="20"/>
          <w:color w:val="auto"/>
        </w:rPr>
      </w:pPr>
    </w:p>
    <w:p>
      <w:pPr>
        <w:ind w:left="700" w:hanging="650"/>
        <w:spacing w:after="0"/>
        <w:tabs>
          <w:tab w:leader="none" w:pos="7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FOR UNCERTAINTY IN INCOME TAXES</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Increase in tax positions for prior years</w:t>
            </w:r>
          </w:p>
        </w:tc>
        <w:tc>
          <w:tcPr>
            <w:tcW w:w="14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Increase in tax positions for current year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23"/>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Lapse in statute of limitations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(1,565)</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r>
      <w:tr>
        <w:trPr>
          <w:trHeight w:val="216"/>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unrecognized tax benefits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effective tax rate would have been affected by the unrecognized tax benefits had this amount been recognized as a reduction to income tax expense.</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recognized interest and penalties for unrecognized tax benefits in our provision for income taxes. The liability for unrecognized tax benefits included accrued interest and penalties of $0.5 million for each of the years December 25, 2021, December 26, 2020, and December 28, 2019.</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file income tax returns in the United States and in various state, local and foreign jurisdictions. The federal and a majority of state and foreign jurisdictions are no longer subject to income tax examinations for years before 2017. A number of routine state and local examinations are currently ongoing. Due to the potential for resolution of state examinations, the expiration of various statutes of limitation, and new positions that may be taken, it is reasonably possible that the amount of unrecognized tax benefits in the next twelve months $1.1 million.</w:t>
      </w:r>
    </w:p>
    <w:p>
      <w:pPr>
        <w:spacing w:after="0" w:line="172" w:lineRule="exact"/>
        <w:rPr>
          <w:sz w:val="20"/>
          <w:szCs w:val="20"/>
          <w:color w:val="auto"/>
        </w:rPr>
      </w:pPr>
    </w:p>
    <w:p>
      <w:pPr>
        <w:ind w:left="700" w:hanging="650"/>
        <w:spacing w:after="0"/>
        <w:tabs>
          <w:tab w:leader="none" w:pos="7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CONTINGENCIES, AND GUARANTEES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In addition, on December 25, 2021,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 December 25, 2021, we had outstanding purchase commitments on commenced capital projects of approximately $52.7 million.</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December 25, 2021, we had approximately $31.5 million in outstanding payment and performance bonds for open projects. We had approximately $10.7 million in payment and performance bonds outstanding for completed projects which are still under warranty.</w:t>
      </w:r>
    </w:p>
    <w:p>
      <w:pPr>
        <w:spacing w:after="0" w:line="19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On December 25, 2021, we had outstanding letters of credit totaling $54.2 million, primarily related to certain insurance contracts and industrial development revenue bonds described further below.</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lieu of cash deposits, we provide irrevocable letters of credit in favor of our insurers and other lenders to guarantee our performance under certain contracts. We currently have irrevocable letters of credit outstanding totaling approximately $47.1 million for these types of arrangements. We have reserves recorded on our balance sheet, in accrued liabilities, that reflect our expected future liabilities under these arrangements.</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$7.1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did not enter into any new guarantee arrangements during 2021 which would require us to recognize a liability on our balance sheet.</w:t>
      </w:r>
    </w:p>
    <w:p>
      <w:pPr>
        <w:spacing w:after="0" w:line="166" w:lineRule="exact"/>
        <w:rPr>
          <w:sz w:val="20"/>
          <w:szCs w:val="20"/>
          <w:color w:val="auto"/>
        </w:rPr>
      </w:pPr>
    </w:p>
    <w:p>
      <w:pPr>
        <w:ind w:left="700" w:hanging="650"/>
        <w:spacing w:after="0"/>
        <w:tabs>
          <w:tab w:leader="none" w:pos="7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operate manufacturing, treating and distribution facilities internationally, but primarily in the United States. Our business segments consist of UFP Retail Solutions, UFP Industrial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Two customers, The Home Depot and Lowes, accounted for approximately 16% and 10%, respectively, of our total net sales in fiscal 2021. These customers accounted for approximately 24% and 4%, respectively, of our total net sales in fiscal 2020 and 19% and 4%, respectively, in 2019.</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exception to this market-centered reporting and management structure is our International segment, which comprises our Mexico, Canada, Europe, India,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9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“Corporate” includes purchasing, transportation and administrative functions that serve our operating segments. Operating results of Corporate primarily consist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Ltd, and UFP Purchasing.</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Retail</w:t>
            </w: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Industrial</w:t>
            </w:r>
          </w:p>
        </w:tc>
        <w:tc>
          <w:tcPr>
            <w:tcW w:w="11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Construction</w:t>
            </w:r>
          </w:p>
        </w:tc>
        <w:tc>
          <w:tcPr>
            <w:tcW w:w="840" w:type="dxa"/>
            <w:vAlign w:val="bottom"/>
          </w:tcPr>
          <w:p>
            <w:pPr>
              <w:jc w:val="right"/>
              <w:ind w:right="274"/>
              <w:spacing w:after="0" w:line="126" w:lineRule="exact"/>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0"/>
                <w:szCs w:val="10"/>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Corporate</w:t>
            </w:r>
          </w:p>
        </w:tc>
        <w:tc>
          <w:tcPr>
            <w:tcW w:w="10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86"/>
              </w:rPr>
              <w:t>$ 3,418,337</w:t>
            </w: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$ 2,148,142</w:t>
            </w:r>
          </w:p>
        </w:tc>
        <w:tc>
          <w:tcPr>
            <w:tcW w:w="116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8"/>
              </w:rPr>
              <w:t>$ 2,698,434</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9"/>
              </w:rPr>
              <w:t>$ 362,473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8,748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$ 8,636,134</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214,400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85,954</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82,026</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455,874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(838,254)</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98</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13,519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Amortization expense</w:t>
            </w: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2,780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6,093</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3,525</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1,336</w:t>
            </w:r>
          </w:p>
        </w:tc>
        <w:tc>
          <w:tcPr>
            <w:tcW w:w="2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214</w:t>
            </w:r>
          </w:p>
        </w:tc>
        <w:tc>
          <w:tcPr>
            <w:tcW w:w="1000" w:type="dxa"/>
            <w:vAlign w:val="bottom"/>
          </w:tcPr>
          <w:p>
            <w:pPr>
              <w:jc w:val="right"/>
              <w:spacing w:after="0"/>
              <w:rPr>
                <w:sz w:val="20"/>
                <w:szCs w:val="20"/>
                <w:color w:val="auto"/>
              </w:rPr>
            </w:pPr>
            <w:r>
              <w:rPr>
                <w:rFonts w:ascii="Arial" w:cs="Arial" w:eastAsia="Arial" w:hAnsi="Arial"/>
                <w:sz w:val="18"/>
                <w:szCs w:val="18"/>
                <w:color w:val="auto"/>
              </w:rPr>
              <w:t>13,948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16,955</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26,219</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13,151</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25,765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w w:val="96"/>
              </w:rPr>
              <w:t>Segment earnings before income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taxes</w:t>
            </w: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124,790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264,958</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264,238</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80,905</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(8,555)</w:t>
            </w:r>
          </w:p>
        </w:tc>
        <w:tc>
          <w:tcPr>
            <w:tcW w:w="1000" w:type="dxa"/>
            <w:vAlign w:val="bottom"/>
          </w:tcPr>
          <w:p>
            <w:pPr>
              <w:jc w:val="right"/>
              <w:spacing w:after="0"/>
              <w:rPr>
                <w:sz w:val="20"/>
                <w:szCs w:val="20"/>
                <w:color w:val="auto"/>
              </w:rPr>
            </w:pPr>
            <w:r>
              <w:rPr>
                <w:rFonts w:ascii="Arial" w:cs="Arial" w:eastAsia="Arial" w:hAnsi="Arial"/>
                <w:sz w:val="18"/>
                <w:szCs w:val="18"/>
                <w:color w:val="auto"/>
              </w:rPr>
              <w:t>726,336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844,189</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741,672</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736,157</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343,363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579,890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3,245,271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Capital expenditures</w:t>
            </w: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40,408</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42,652</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22,344</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5,140</w:t>
            </w:r>
          </w:p>
        </w:tc>
        <w:tc>
          <w:tcPr>
            <w:tcW w:w="20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40,622</w:t>
            </w:r>
          </w:p>
        </w:tc>
        <w:tc>
          <w:tcPr>
            <w:tcW w:w="1000" w:type="dxa"/>
            <w:vAlign w:val="bottom"/>
          </w:tcPr>
          <w:p>
            <w:pPr>
              <w:jc w:val="right"/>
              <w:spacing w:after="0"/>
              <w:rPr>
                <w:sz w:val="20"/>
                <w:szCs w:val="20"/>
                <w:color w:val="auto"/>
              </w:rPr>
            </w:pPr>
            <w:r>
              <w:rPr>
                <w:rFonts w:ascii="Arial" w:cs="Arial" w:eastAsia="Arial" w:hAnsi="Arial"/>
                <w:sz w:val="18"/>
                <w:szCs w:val="18"/>
                <w:color w:val="auto"/>
              </w:rPr>
              <w:t>151,166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Retail</w:t>
            </w: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Industrial</w:t>
            </w: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Construction</w:t>
            </w:r>
          </w:p>
        </w:tc>
        <w:tc>
          <w:tcPr>
            <w:tcW w:w="8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All</w:t>
            </w:r>
          </w:p>
        </w:tc>
        <w:tc>
          <w:tcPr>
            <w:tcW w:w="220" w:type="dxa"/>
            <w:vAlign w:val="bottom"/>
          </w:tcPr>
          <w:p>
            <w:pPr>
              <w:spacing w:after="0"/>
              <w:rPr>
                <w:sz w:val="10"/>
                <w:szCs w:val="10"/>
                <w:color w:val="auto"/>
              </w:rPr>
            </w:pPr>
          </w:p>
        </w:tc>
        <w:tc>
          <w:tcPr>
            <w:tcW w:w="8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2"/>
              </w:rPr>
              <w:t>Corporate</w:t>
            </w:r>
          </w:p>
        </w:tc>
        <w:tc>
          <w:tcPr>
            <w:tcW w:w="200" w:type="dxa"/>
            <w:vAlign w:val="bottom"/>
          </w:tcPr>
          <w:p>
            <w:pPr>
              <w:spacing w:after="0"/>
              <w:rPr>
                <w:sz w:val="10"/>
                <w:szCs w:val="10"/>
                <w:color w:val="auto"/>
              </w:rPr>
            </w:pPr>
          </w:p>
        </w:tc>
        <w:tc>
          <w:tcPr>
            <w:tcW w:w="8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5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$ 2,167,122</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$ 1,072,117</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$ 1,695,684</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9"/>
              </w:rPr>
              <w:t>$ 217,094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5,153,998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60" w:type="dxa"/>
            <w:vAlign w:val="bottom"/>
            <w:gridSpan w:val="2"/>
          </w:tcPr>
          <w:p>
            <w:pPr>
              <w:jc w:val="right"/>
              <w:ind w:right="17"/>
              <w:spacing w:after="0"/>
              <w:rPr>
                <w:sz w:val="20"/>
                <w:szCs w:val="20"/>
                <w:color w:val="auto"/>
              </w:rPr>
            </w:pPr>
            <w:r>
              <w:rPr>
                <w:rFonts w:ascii="Arial" w:cs="Arial" w:eastAsia="Arial" w:hAnsi="Arial"/>
                <w:sz w:val="18"/>
                <w:szCs w:val="18"/>
                <w:color w:val="auto"/>
              </w:rPr>
              <w:t>142,839</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45,217</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68,294</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283,689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3"/>
              </w:rPr>
              <w:t>(540,039)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9,197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Amortization expense</w:t>
            </w:r>
          </w:p>
        </w:tc>
        <w:tc>
          <w:tcPr>
            <w:tcW w:w="1160" w:type="dxa"/>
            <w:vAlign w:val="bottom"/>
            <w:gridSpan w:val="2"/>
          </w:tcPr>
          <w:p>
            <w:pPr>
              <w:jc w:val="right"/>
              <w:ind w:right="17"/>
              <w:spacing w:after="0"/>
              <w:rPr>
                <w:sz w:val="20"/>
                <w:szCs w:val="20"/>
                <w:color w:val="auto"/>
              </w:rPr>
            </w:pPr>
            <w:r>
              <w:rPr>
                <w:rFonts w:ascii="Arial" w:cs="Arial" w:eastAsia="Arial" w:hAnsi="Arial"/>
                <w:sz w:val="18"/>
                <w:szCs w:val="18"/>
                <w:color w:val="auto"/>
              </w:rPr>
              <w:t>1,482</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4,159</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2,152</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11,675</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15,163</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12,123</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23,384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63,964</w:t>
            </w:r>
          </w:p>
        </w:tc>
        <w:tc>
          <w:tcPr>
            <w:tcW w:w="0" w:type="dxa"/>
            <w:vAlign w:val="bottom"/>
          </w:tcPr>
          <w:p>
            <w:pPr>
              <w:spacing w:after="0"/>
              <w:rPr>
                <w:sz w:val="1"/>
                <w:szCs w:val="1"/>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w w:val="95"/>
              </w:rPr>
              <w:t>Segment earnings before income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taxes</w:t>
            </w:r>
          </w:p>
        </w:tc>
        <w:tc>
          <w:tcPr>
            <w:tcW w:w="1160" w:type="dxa"/>
            <w:vAlign w:val="bottom"/>
            <w:gridSpan w:val="2"/>
          </w:tcPr>
          <w:p>
            <w:pPr>
              <w:jc w:val="right"/>
              <w:ind w:right="17"/>
              <w:spacing w:after="0"/>
              <w:rPr>
                <w:sz w:val="20"/>
                <w:szCs w:val="20"/>
                <w:color w:val="auto"/>
              </w:rPr>
            </w:pPr>
            <w:r>
              <w:rPr>
                <w:rFonts w:ascii="Arial" w:cs="Arial" w:eastAsia="Arial" w:hAnsi="Arial"/>
                <w:sz w:val="18"/>
                <w:szCs w:val="18"/>
                <w:color w:val="auto"/>
              </w:rPr>
              <w:t>155,364</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83,430</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69,092</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38,333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(5,236)</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340,983</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510,464</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416,487</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510,972</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196,856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770,112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2,404,891</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tcPr>
          <w:p>
            <w:pPr>
              <w:jc w:val="right"/>
              <w:ind w:right="17"/>
              <w:spacing w:after="0"/>
              <w:rPr>
                <w:sz w:val="20"/>
                <w:szCs w:val="20"/>
                <w:color w:val="auto"/>
              </w:rPr>
            </w:pPr>
            <w:r>
              <w:rPr>
                <w:rFonts w:ascii="Arial" w:cs="Arial" w:eastAsia="Arial" w:hAnsi="Arial"/>
                <w:sz w:val="18"/>
                <w:szCs w:val="18"/>
                <w:color w:val="auto"/>
              </w:rPr>
              <w:t>16,277</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21,141</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16,902</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2,258</w:t>
            </w:r>
          </w:p>
        </w:tc>
        <w:tc>
          <w:tcPr>
            <w:tcW w:w="22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32,604</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89,182</w:t>
            </w:r>
          </w:p>
        </w:tc>
        <w:tc>
          <w:tcPr>
            <w:tcW w:w="0" w:type="dxa"/>
            <w:vAlign w:val="bottom"/>
          </w:tcPr>
          <w:p>
            <w:pPr>
              <w:spacing w:after="0"/>
              <w:rPr>
                <w:sz w:val="1"/>
                <w:szCs w:val="1"/>
                <w:color w:val="auto"/>
              </w:rPr>
            </w:pPr>
          </w:p>
        </w:tc>
      </w:tr>
      <w:tr>
        <w:trPr>
          <w:trHeight w:val="215"/>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Retail</w:t>
            </w: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Industrial</w:t>
            </w: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Construction</w:t>
            </w:r>
          </w:p>
        </w:tc>
        <w:tc>
          <w:tcPr>
            <w:tcW w:w="8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All</w:t>
            </w:r>
          </w:p>
        </w:tc>
        <w:tc>
          <w:tcPr>
            <w:tcW w:w="220" w:type="dxa"/>
            <w:vAlign w:val="bottom"/>
          </w:tcPr>
          <w:p>
            <w:pPr>
              <w:spacing w:after="0"/>
              <w:rPr>
                <w:sz w:val="10"/>
                <w:szCs w:val="10"/>
                <w:color w:val="auto"/>
              </w:rPr>
            </w:pPr>
          </w:p>
        </w:tc>
        <w:tc>
          <w:tcPr>
            <w:tcW w:w="8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2"/>
              </w:rPr>
              <w:t>Corporate</w:t>
            </w:r>
          </w:p>
        </w:tc>
        <w:tc>
          <w:tcPr>
            <w:tcW w:w="200" w:type="dxa"/>
            <w:vAlign w:val="bottom"/>
          </w:tcPr>
          <w:p>
            <w:pPr>
              <w:spacing w:after="0"/>
              <w:rPr>
                <w:sz w:val="10"/>
                <w:szCs w:val="10"/>
                <w:color w:val="auto"/>
              </w:rPr>
            </w:pPr>
          </w:p>
        </w:tc>
        <w:tc>
          <w:tcPr>
            <w:tcW w:w="8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5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$ 1,498,710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$ 1,085,635</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$ 1,637,156</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9"/>
              </w:rPr>
              <w:t>$ 193,785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4,416,009</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60" w:type="dxa"/>
            <w:vAlign w:val="bottom"/>
            <w:gridSpan w:val="2"/>
          </w:tcPr>
          <w:p>
            <w:pPr>
              <w:jc w:val="right"/>
              <w:ind w:right="17"/>
              <w:spacing w:after="0"/>
              <w:rPr>
                <w:sz w:val="20"/>
                <w:szCs w:val="20"/>
                <w:color w:val="auto"/>
              </w:rPr>
            </w:pPr>
            <w:r>
              <w:rPr>
                <w:rFonts w:ascii="Arial" w:cs="Arial" w:eastAsia="Arial" w:hAnsi="Arial"/>
                <w:sz w:val="18"/>
                <w:szCs w:val="18"/>
                <w:color w:val="auto"/>
              </w:rPr>
              <w:t>135,705</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45,010</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56,116</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200,426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3"/>
              </w:rPr>
              <w:t>(437,257)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8,479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Amortization expense</w:t>
            </w:r>
          </w:p>
        </w:tc>
        <w:tc>
          <w:tcPr>
            <w:tcW w:w="1160" w:type="dxa"/>
            <w:vAlign w:val="bottom"/>
            <w:gridSpan w:val="2"/>
          </w:tcPr>
          <w:p>
            <w:pPr>
              <w:jc w:val="right"/>
              <w:ind w:right="17"/>
              <w:spacing w:after="0"/>
              <w:rPr>
                <w:sz w:val="20"/>
                <w:szCs w:val="20"/>
                <w:color w:val="auto"/>
              </w:rPr>
            </w:pPr>
            <w:r>
              <w:rPr>
                <w:rFonts w:ascii="Arial" w:cs="Arial" w:eastAsia="Arial" w:hAnsi="Arial"/>
                <w:sz w:val="18"/>
                <w:szCs w:val="18"/>
                <w:color w:val="auto"/>
              </w:rPr>
              <w:t>1,380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3,034</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1,164</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11,041</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14,340</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11,465</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22,116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60,494</w:t>
            </w:r>
          </w:p>
        </w:tc>
        <w:tc>
          <w:tcPr>
            <w:tcW w:w="0" w:type="dxa"/>
            <w:vAlign w:val="bottom"/>
          </w:tcPr>
          <w:p>
            <w:pPr>
              <w:spacing w:after="0"/>
              <w:rPr>
                <w:sz w:val="1"/>
                <w:szCs w:val="1"/>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w w:val="95"/>
              </w:rPr>
              <w:t>Segment earnings before income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taxes</w:t>
            </w:r>
          </w:p>
        </w:tc>
        <w:tc>
          <w:tcPr>
            <w:tcW w:w="1160" w:type="dxa"/>
            <w:vAlign w:val="bottom"/>
            <w:gridSpan w:val="2"/>
          </w:tcPr>
          <w:p>
            <w:pPr>
              <w:jc w:val="right"/>
              <w:ind w:right="17"/>
              <w:spacing w:after="0"/>
              <w:rPr>
                <w:sz w:val="20"/>
                <w:szCs w:val="20"/>
                <w:color w:val="auto"/>
              </w:rPr>
            </w:pPr>
            <w:r>
              <w:rPr>
                <w:rFonts w:ascii="Arial" w:cs="Arial" w:eastAsia="Arial" w:hAnsi="Arial"/>
                <w:sz w:val="18"/>
                <w:szCs w:val="18"/>
                <w:color w:val="auto"/>
              </w:rPr>
              <w:t>61,708</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82,913</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82,407</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22,025</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240,674</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402,221</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377,329</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522,638</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136,990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450,299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1,889,477</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tcPr>
          <w:p>
            <w:pPr>
              <w:jc w:val="right"/>
              <w:ind w:right="17"/>
              <w:spacing w:after="0"/>
              <w:rPr>
                <w:sz w:val="20"/>
                <w:szCs w:val="20"/>
                <w:color w:val="auto"/>
              </w:rPr>
            </w:pPr>
            <w:r>
              <w:rPr>
                <w:rFonts w:ascii="Arial" w:cs="Arial" w:eastAsia="Arial" w:hAnsi="Arial"/>
                <w:sz w:val="18"/>
                <w:szCs w:val="18"/>
                <w:color w:val="auto"/>
              </w:rPr>
              <w:t>15,502</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20,134</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16,097</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2,150</w:t>
            </w:r>
          </w:p>
        </w:tc>
        <w:tc>
          <w:tcPr>
            <w:tcW w:w="22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31,050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84,933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regarding principal geographic areas was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8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 Sales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Tangible</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 Sales</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Tangible</w:t>
            </w: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Sales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Tangible</w:t>
            </w:r>
          </w:p>
        </w:tc>
        <w:tc>
          <w:tcPr>
            <w:tcW w:w="0" w:type="dxa"/>
            <w:vAlign w:val="bottom"/>
          </w:tcPr>
          <w:p>
            <w:pPr>
              <w:spacing w:after="0"/>
              <w:rPr>
                <w:sz w:val="1"/>
                <w:szCs w:val="1"/>
                <w:color w:val="auto"/>
              </w:rPr>
            </w:pPr>
          </w:p>
        </w:tc>
      </w:tr>
      <w:tr>
        <w:trPr>
          <w:trHeight w:val="178"/>
        </w:trPr>
        <w:tc>
          <w:tcPr>
            <w:tcW w:w="30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1060" w:type="dxa"/>
            <w:vAlign w:val="bottom"/>
            <w:gridSpan w:val="2"/>
            <w:vMerge w:val="continue"/>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1080" w:type="dxa"/>
            <w:vAlign w:val="bottom"/>
            <w:gridSpan w:val="2"/>
            <w:vMerge w:val="continue"/>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$ 8,395,737</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$ 679,757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$ 5,022,014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$ 478,325</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$ 4,308,618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$ 469,605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240,397</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54,873</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131,984</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36,380</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107,391</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$ 8,636,134</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$ 734,630</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$ 5,153,998</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$ 514,705</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$ 4,416,009</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$ 506,483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3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8"/>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The following table presents, for the periods indicated, our disaggregated net sales (in thousands) by business unit for each segment and our percentage of value-added and commodity-based sales to total net sales by segment.</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92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4"/>
              </w:rPr>
              <w:t>December 25,</w:t>
            </w:r>
          </w:p>
        </w:tc>
        <w:tc>
          <w:tcPr>
            <w:tcW w:w="160" w:type="dxa"/>
            <w:vAlign w:val="bottom"/>
          </w:tcPr>
          <w:p>
            <w:pPr>
              <w:spacing w:after="0"/>
              <w:rPr>
                <w:sz w:val="10"/>
                <w:szCs w:val="10"/>
                <w:color w:val="auto"/>
              </w:rPr>
            </w:pPr>
          </w:p>
        </w:tc>
        <w:tc>
          <w:tcPr>
            <w:tcW w:w="9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December 26,</w:t>
            </w:r>
          </w:p>
        </w:tc>
        <w:tc>
          <w:tcPr>
            <w:tcW w:w="140" w:type="dxa"/>
            <w:vAlign w:val="bottom"/>
          </w:tcPr>
          <w:p>
            <w:pPr>
              <w:spacing w:after="0"/>
              <w:rPr>
                <w:sz w:val="10"/>
                <w:szCs w:val="10"/>
                <w:color w:val="auto"/>
              </w:rPr>
            </w:pPr>
          </w:p>
        </w:tc>
        <w:tc>
          <w:tcPr>
            <w:tcW w:w="92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Retail</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Deckorators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248,765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219,930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Prowood</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1,349,901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1,215,201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Outdoor Essentials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392,826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299,684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Sunbelt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UFP Edge</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148,927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114,987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Handprint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Retail Building Materials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395,894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225,253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149,153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3" w:lineRule="exact"/>
              <w:rPr>
                <w:sz w:val="20"/>
                <w:szCs w:val="20"/>
                <w:color w:val="auto"/>
              </w:rPr>
            </w:pPr>
            <w:r>
              <w:rPr>
                <w:rFonts w:ascii="Arial" w:cs="Arial" w:eastAsia="Arial" w:hAnsi="Arial"/>
                <w:sz w:val="18"/>
                <w:szCs w:val="18"/>
                <w:b w:val="1"/>
                <w:bCs w:val="1"/>
                <w:color w:val="auto"/>
              </w:rPr>
              <w:t>Total Retail</w:t>
            </w:r>
          </w:p>
        </w:tc>
        <w:tc>
          <w:tcPr>
            <w:tcW w:w="27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3,418,337</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2,167,122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1,498,710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Industrial</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North Industrial</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Southeast Industrial</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395,069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229,316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Southwest Industrial</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West Industrial</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PalletOne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Protective Packaging</w:t>
            </w:r>
          </w:p>
        </w:tc>
        <w:tc>
          <w:tcPr>
            <w:tcW w:w="2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Industrial</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2,148,142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1,072,117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Construction</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Factory Built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1,098,905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597,017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Site Built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1,190,393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Commercial</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259,360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221,988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290,785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Concrete Forming</w:t>
            </w:r>
          </w:p>
        </w:tc>
        <w:tc>
          <w:tcPr>
            <w:tcW w:w="2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149,776</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150,780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3" w:lineRule="exact"/>
              <w:rPr>
                <w:sz w:val="20"/>
                <w:szCs w:val="20"/>
                <w:color w:val="auto"/>
              </w:rPr>
            </w:pPr>
            <w:r>
              <w:rPr>
                <w:rFonts w:ascii="Arial" w:cs="Arial" w:eastAsia="Arial" w:hAnsi="Arial"/>
                <w:sz w:val="18"/>
                <w:szCs w:val="18"/>
                <w:b w:val="1"/>
                <w:bCs w:val="1"/>
                <w:color w:val="auto"/>
              </w:rPr>
              <w:t>Total Construction</w:t>
            </w:r>
          </w:p>
        </w:tc>
        <w:tc>
          <w:tcPr>
            <w:tcW w:w="27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2,698,434</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1,695,684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1,637,156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All Other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362,473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217,094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193,785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Corporate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rPr>
              <w:t>Total Net Sales</w:t>
            </w:r>
          </w:p>
        </w:tc>
        <w:tc>
          <w:tcPr>
            <w:tcW w:w="27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8,636,134</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5,153,998</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4,416,009</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Value-Added</w:t>
            </w: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16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Industrial</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All Other and Corporate</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459"/>
        </w:trPr>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Commodity-Based</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Industrial</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Arial" w:cs="Arial" w:eastAsia="Arial" w:hAnsi="Arial"/>
                <w:sz w:val="18"/>
                <w:szCs w:val="18"/>
                <w:color w:val="auto"/>
              </w:rPr>
              <w:t>All Other and Corporate</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00" w:type="dxa"/>
            <w:vAlign w:val="bottom"/>
          </w:tcPr>
          <w:p>
            <w:pPr>
              <w:jc w:val="right"/>
              <w:ind w:right="12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INFORMATION (UNAUDITED)</w:t>
      </w:r>
    </w:p>
    <w:p>
      <w:pPr>
        <w:spacing w:after="0" w:line="229"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The following table sets forth selected financial information for all of the quarters, consisting of 13 weeks during the years ended December 25, 2021 and December 26, 2020, respectively, (in thousands, except per share data):</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First</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Second</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Third</w:t>
            </w:r>
          </w:p>
        </w:tc>
        <w:tc>
          <w:tcPr>
            <w:tcW w:w="160" w:type="dxa"/>
            <w:vAlign w:val="bottom"/>
          </w:tcPr>
          <w:p>
            <w:pPr>
              <w:spacing w:after="0"/>
              <w:rPr>
                <w:sz w:val="19"/>
                <w:szCs w:val="19"/>
                <w:color w:val="auto"/>
              </w:rPr>
            </w:pPr>
          </w:p>
        </w:tc>
        <w:tc>
          <w:tcPr>
            <w:tcW w:w="18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Fourth</w:t>
            </w:r>
          </w:p>
        </w:tc>
      </w:tr>
      <w:tr>
        <w:trPr>
          <w:trHeight w:val="210"/>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10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2020</w:t>
            </w:r>
          </w:p>
        </w:tc>
      </w:tr>
      <w:tr>
        <w:trPr>
          <w:trHeight w:val="202"/>
        </w:trPr>
        <w:tc>
          <w:tcPr>
            <w:tcW w:w="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$ 1,825,004</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$ 1,032,062</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$ 2,700,541</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$ 1,242,001</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$ 2,093,784</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$ 1,486,227</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$ 2,016,805</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$ 1,393,708</w:t>
            </w: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Gross profit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286,554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167,236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421,294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204,931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327,555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241,074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371,564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187,055</w:t>
            </w:r>
          </w:p>
        </w:tc>
      </w:tr>
      <w:tr>
        <w:trPr>
          <w:trHeight w:val="203"/>
        </w:trPr>
        <w:tc>
          <w:tcPr>
            <w:tcW w:w="96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104,251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40,570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175,360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69,694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125,747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78,861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147,006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64,757</w:t>
            </w:r>
          </w:p>
        </w:tc>
      </w:tr>
      <w:tr>
        <w:trPr>
          <w:trHeight w:val="193"/>
        </w:trPr>
        <w:tc>
          <w:tcPr>
            <w:tcW w:w="960" w:type="dxa"/>
            <w:vAlign w:val="bottom"/>
          </w:tcPr>
          <w:p>
            <w:pPr>
              <w:spacing w:after="0"/>
              <w:rPr>
                <w:sz w:val="20"/>
                <w:szCs w:val="20"/>
                <w:color w:val="auto"/>
              </w:rPr>
            </w:pPr>
            <w:r>
              <w:rPr>
                <w:rFonts w:ascii="Arial" w:cs="Arial" w:eastAsia="Arial" w:hAnsi="Arial"/>
                <w:sz w:val="16"/>
                <w:szCs w:val="16"/>
                <w:color w:val="auto"/>
              </w:rPr>
              <w:t>Net earnings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attributable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to controlling</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960" w:type="dxa"/>
            <w:vAlign w:val="bottom"/>
          </w:tcPr>
          <w:p>
            <w:pPr>
              <w:spacing w:after="0"/>
              <w:rPr>
                <w:sz w:val="20"/>
                <w:szCs w:val="20"/>
                <w:color w:val="auto"/>
              </w:rPr>
            </w:pPr>
            <w:r>
              <w:rPr>
                <w:rFonts w:ascii="Arial" w:cs="Arial" w:eastAsia="Arial" w:hAnsi="Arial"/>
                <w:sz w:val="16"/>
                <w:szCs w:val="16"/>
                <w:color w:val="auto"/>
              </w:rPr>
              <w:t>interest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103,311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40,159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173,382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66,463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121,041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77,204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137,906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62,952</w:t>
            </w:r>
          </w:p>
        </w:tc>
      </w:tr>
      <w:tr>
        <w:trPr>
          <w:trHeight w:val="199"/>
        </w:trPr>
        <w:tc>
          <w:tcPr>
            <w:tcW w:w="96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960" w:type="dxa"/>
            <w:vAlign w:val="bottom"/>
            <w:shd w:val="clear" w:color="auto" w:fill="CCEEFF"/>
          </w:tcPr>
          <w:p>
            <w:pPr>
              <w:spacing w:after="0"/>
              <w:rPr>
                <w:sz w:val="20"/>
                <w:szCs w:val="20"/>
                <w:color w:val="auto"/>
              </w:rPr>
            </w:pPr>
            <w:r>
              <w:rPr>
                <w:rFonts w:ascii="Arial" w:cs="Arial" w:eastAsia="Arial" w:hAnsi="Arial"/>
                <w:sz w:val="16"/>
                <w:szCs w:val="16"/>
                <w:color w:val="auto"/>
              </w:rPr>
              <w:t>earnings per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2"/>
        </w:trPr>
        <w:tc>
          <w:tcPr>
            <w:tcW w:w="960" w:type="dxa"/>
            <w:vAlign w:val="bottom"/>
            <w:shd w:val="clear" w:color="auto" w:fill="CCEEFF"/>
          </w:tcPr>
          <w:p>
            <w:pPr>
              <w:spacing w:after="0"/>
              <w:rPr>
                <w:sz w:val="20"/>
                <w:szCs w:val="20"/>
                <w:color w:val="auto"/>
              </w:rPr>
            </w:pPr>
            <w:r>
              <w:rPr>
                <w:rFonts w:ascii="Arial" w:cs="Arial" w:eastAsia="Arial" w:hAnsi="Arial"/>
                <w:sz w:val="16"/>
                <w:szCs w:val="16"/>
                <w:color w:val="auto"/>
              </w:rPr>
              <w:t>share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193"/>
        </w:trPr>
        <w:tc>
          <w:tcPr>
            <w:tcW w:w="960" w:type="dxa"/>
            <w:vAlign w:val="bottom"/>
          </w:tcPr>
          <w:p>
            <w:pPr>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earnings per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960" w:type="dxa"/>
            <w:vAlign w:val="bottom"/>
          </w:tcPr>
          <w:p>
            <w:pPr>
              <w:spacing w:after="0"/>
              <w:rPr>
                <w:sz w:val="20"/>
                <w:szCs w:val="20"/>
                <w:color w:val="auto"/>
              </w:rPr>
            </w:pPr>
            <w:r>
              <w:rPr>
                <w:rFonts w:ascii="Arial" w:cs="Arial" w:eastAsia="Arial" w:hAnsi="Arial"/>
                <w:sz w:val="16"/>
                <w:szCs w:val="16"/>
                <w:color w:val="auto"/>
              </w:rPr>
              <w:t>share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0.65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1.02</w:t>
            </w:r>
          </w:p>
        </w:tc>
      </w:tr>
    </w:tbl>
    <w:p>
      <w:pPr>
        <w:spacing w:after="0" w:line="217" w:lineRule="exact"/>
        <w:rPr>
          <w:sz w:val="20"/>
          <w:szCs w:val="20"/>
          <w:color w:val="auto"/>
        </w:rPr>
      </w:pPr>
    </w:p>
    <w:p>
      <w:pPr>
        <w:ind w:left="700" w:hanging="650"/>
        <w:spacing w:after="0"/>
        <w:tabs>
          <w:tab w:leader="none" w:pos="7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December 27, 2021, we closed on an agreement to purchase 100 percent of the equity of Ultra Aluminum Manufacturing, Inc. (Ultra) located in Howell, Michigan for approximately $26.8 million. Ultra designs and produces an extensive selection of ornamental aluminum fence and railing products for contractors, landscapers, fence dealers and wholesalers. At this time the net tangible assets and intangible assets acquired cannot be disclosed as these are pending final valuations. Initial estimates of Ultra‘s identifiable intangibles, goodwill, and deferred taxes have been made, however, the amounts will be finalized in 2022.</w:t>
      </w:r>
    </w:p>
    <w:p>
      <w:pPr>
        <w:spacing w:after="0" w:line="19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Effective February 15, 2022, our Board authorized an additional 1.5 million shares to be repurchased under our existing share repurchase program. Following the most recent authorization, the cumulative total authorized shares available for repurchase is approximately 2.6 million shares through the period ending February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MARKET INFORMATION FOR OUR COMMON STOCK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trades on The Nasdaq Stock Market (“NASDAQ”) under the symbol UFPI.</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PERFORMANCE GRAPH</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following stock price performance graph compares the annual percentage change in the cumulative total return on our common stock with the cumulative total returns of companies comprising the NASDAQ US Benchmark TR index and an industry peer group we selected. The NASDAQ US Benchmark TR index replaces the NASDAQ Stock Market (US Companies) Index in this analysis and going forward, as the CRSP Index data is no longer accessible. The CRSP indexes has been included with data through 2020. The graph assumes an investment of $100 on December 31, 2016,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131445</wp:posOffset>
            </wp:positionV>
            <wp:extent cx="5554980" cy="2948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555498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companies included in our self-determined industry peer group are as follows:</w:t>
      </w:r>
    </w:p>
    <w:p>
      <w:pPr>
        <w:sectPr>
          <w:pgSz w:w="11900" w:h="16838" w:orient="portrait"/>
          <w:cols w:equalWidth="0" w:num="1">
            <w:col w:w="9019"/>
          </w:cols>
          <w:pgMar w:left="1440" w:top="517" w:right="1440" w:bottom="1440" w:gutter="0" w:footer="0" w:header="0"/>
        </w:sect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American Woodmark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Louisiana-Pacific Corporation</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7"/>
          <w:szCs w:val="17"/>
          <w:color w:val="auto"/>
        </w:rPr>
        <w:t>BlueLinx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Masco Corporation</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Boise Cascade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Simpson Manufacturing Company, Inc.</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Builders FirstSource, Inc.</w:t>
      </w:r>
    </w:p>
    <w:p>
      <w:pPr>
        <w:spacing w:after="0" w:line="20" w:lineRule="exact"/>
        <w:rPr>
          <w:sz w:val="20"/>
          <w:szCs w:val="20"/>
          <w:color w:val="auto"/>
        </w:rPr>
      </w:pPr>
      <w:r>
        <w:rPr>
          <w:sz w:val="20"/>
          <w:szCs w:val="20"/>
          <w:color w:val="auto"/>
        </w:rPr>
        <w:br w:type="column"/>
      </w:r>
    </w:p>
    <w:p>
      <w:pPr>
        <w:jc w:val="center"/>
        <w:ind w:right="2539"/>
        <w:spacing w:after="0"/>
        <w:rPr>
          <w:sz w:val="20"/>
          <w:szCs w:val="20"/>
          <w:color w:val="auto"/>
        </w:rPr>
      </w:pPr>
      <w:r>
        <w:rPr>
          <w:rFonts w:ascii="Arial" w:cs="Arial" w:eastAsia="Arial" w:hAnsi="Arial"/>
          <w:sz w:val="16"/>
          <w:szCs w:val="16"/>
          <w:color w:val="auto"/>
        </w:rPr>
        <w:t>Sonoco Products Company</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Cornerstone Building Brands,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Trex Company, Inc.</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Gibraltar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WestRock Company</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7"/>
          <w:szCs w:val="17"/>
          <w:color w:val="auto"/>
        </w:rPr>
        <w:t>Greif, Inc.</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 AND EXECUTIVE OFFICERS</w:t>
      </w:r>
    </w:p>
    <w:p>
      <w:pPr>
        <w:sectPr>
          <w:pgSz w:w="11900" w:h="16838" w:orient="portrait"/>
          <w:cols w:equalWidth="0" w:num="1">
            <w:col w:w="9019"/>
          </w:cols>
          <w:pgMar w:left="1440" w:top="517" w:right="1440" w:bottom="1440" w:gutter="0" w:footer="0" w:header="0"/>
        </w:sect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BOARD OF DIRECTORS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2519"/>
        <w:spacing w:after="0"/>
        <w:rPr>
          <w:sz w:val="20"/>
          <w:szCs w:val="20"/>
          <w:color w:val="auto"/>
        </w:rPr>
      </w:pPr>
      <w:r>
        <w:rPr>
          <w:rFonts w:ascii="Arial" w:cs="Arial" w:eastAsia="Arial" w:hAnsi="Arial"/>
          <w:sz w:val="17"/>
          <w:szCs w:val="17"/>
          <w:b w:val="1"/>
          <w:bCs w:val="1"/>
          <w:color w:val="auto"/>
        </w:rPr>
        <w:t>SECTION 16 OFFICERS</w:t>
      </w:r>
    </w:p>
    <w:p>
      <w:pPr>
        <w:spacing w:after="0" w:line="20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William G. Currie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Chairman of the Board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UFP Industries, Inc.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438"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UFP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Patrick M. Webster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438"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Thomas W. Rhodes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TWR Enterprises,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Treasurer</w:t>
      </w:r>
    </w:p>
    <w:p>
      <w:pPr>
        <w:spacing w:after="0" w:line="438"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Bruce A. Merino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Former Senior Vice President of Merchandising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Home Depot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Allen T. Peters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UFP Retail Solutions, LLC</w:t>
      </w:r>
    </w:p>
    <w:p>
      <w:pPr>
        <w:spacing w:after="0" w:line="20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Mary Tuuk Kuras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Symphony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Patrick Benton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UFP Construction, LLC</w:t>
      </w:r>
    </w:p>
    <w:p>
      <w:pPr>
        <w:spacing w:after="0" w:line="222"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C. Walker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Partner-Strategic Leadership</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Huron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Scott A. Worthington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UFP Industrial, LLC</w:t>
      </w:r>
    </w:p>
    <w:p>
      <w:pPr>
        <w:spacing w:after="0" w:line="211"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Michael G. Wooldridge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Varnum,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Scott T. Bravata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Accounting</w:t>
      </w:r>
    </w:p>
    <w:p>
      <w:pPr>
        <w:spacing w:after="0" w:line="438"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Joan A. Budden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Priority Health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David A. Tutas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Compliance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Benjamin J. McLean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Ruan Transportation Management Systems, Inc.</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SHAREHOLDER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ANNUAL MEETING</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2022 Annual Shareholder’s Meeting of UFP Industries, Inc. will be held at 8:30 a.m. on April 20, 2022, at 2880 East Beltline Lane NE, Grand Rapids, MI 49525.</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SHAREHOLDER INFORMATION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Shares of our stock are traded under the symbol UFPI on the NASDAQ Stock Market. Our 10-K report, filed with the Securities and Exchange Commission, will be provided free of charge to any shareholder upon written request. For more information contact: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UFP Industries, Inc.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Web: www.ufpi.com</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COUNSEL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Varnum,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Deloitte &amp; Touche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AGENT/SHAREHOLDER INQUIRIES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American Stock Transfer &amp; Trust Co.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6201 15th Ave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Telephone: (800) 937-5449</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UFP INDUSTRIES®, INC., CORPORATE HEADQUARTERS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2801 East Beltline NE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Facsimile: (616) 364-5558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tbl>
      <w:tblPr>
        <w:tblLayout w:type="fixed"/>
        <w:tblInd w:w="40" w:type="dxa"/>
        <w:tblCellMar>
          <w:top w:w="0" w:type="dxa"/>
          <w:left w:w="0" w:type="dxa"/>
          <w:bottom w:w="0" w:type="dxa"/>
          <w:right w:w="0" w:type="dxa"/>
        </w:tblCellMar>
      </w:tblPr>
      <w:tr>
        <w:trPr>
          <w:trHeight w:val="281"/>
        </w:trPr>
        <w:tc>
          <w:tcPr>
            <w:tcW w:w="7480" w:type="dxa"/>
            <w:vAlign w:val="bottom"/>
            <w:gridSpan w:val="5"/>
            <w:vMerge w:val="restart"/>
          </w:tcPr>
          <w:p>
            <w:pPr>
              <w:ind w:left="1980"/>
              <w:spacing w:after="0"/>
              <w:rPr>
                <w:sz w:val="20"/>
                <w:szCs w:val="20"/>
                <w:color w:val="auto"/>
              </w:rPr>
            </w:pPr>
            <w:r>
              <w:rPr>
                <w:rFonts w:ascii="Arial" w:cs="Arial" w:eastAsia="Arial" w:hAnsi="Arial"/>
                <w:sz w:val="18"/>
                <w:szCs w:val="18"/>
                <w:b w:val="1"/>
                <w:bCs w:val="1"/>
                <w:color w:val="auto"/>
              </w:rPr>
              <w:t>LIST OF REGISTRANT'S SUBSIDIARIES AND AFFILIATES</w:t>
            </w:r>
          </w:p>
        </w:tc>
        <w:tc>
          <w:tcPr>
            <w:tcW w:w="1460" w:type="dxa"/>
            <w:vAlign w:val="bottom"/>
            <w:gridSpan w:val="2"/>
          </w:tcPr>
          <w:p>
            <w:pPr>
              <w:ind w:left="240"/>
              <w:spacing w:after="0"/>
              <w:rPr>
                <w:sz w:val="20"/>
                <w:szCs w:val="20"/>
                <w:color w:val="auto"/>
              </w:rPr>
            </w:pPr>
            <w:r>
              <w:rPr>
                <w:rFonts w:ascii="Arial" w:cs="Arial" w:eastAsia="Arial" w:hAnsi="Arial"/>
                <w:sz w:val="22"/>
                <w:szCs w:val="22"/>
                <w:b w:val="1"/>
                <w:bCs w:val="1"/>
                <w:color w:val="auto"/>
              </w:rPr>
              <w:t>EXHIBIT 21</w:t>
            </w:r>
          </w:p>
        </w:tc>
        <w:tc>
          <w:tcPr>
            <w:tcW w:w="0" w:type="dxa"/>
            <w:vAlign w:val="bottom"/>
          </w:tcPr>
          <w:p>
            <w:pPr>
              <w:spacing w:after="0"/>
              <w:rPr>
                <w:sz w:val="1"/>
                <w:szCs w:val="1"/>
                <w:color w:val="auto"/>
              </w:rPr>
            </w:pPr>
          </w:p>
        </w:tc>
      </w:tr>
      <w:tr>
        <w:trPr>
          <w:trHeight w:val="166"/>
        </w:trPr>
        <w:tc>
          <w:tcPr>
            <w:tcW w:w="7480" w:type="dxa"/>
            <w:vAlign w:val="bottom"/>
            <w:gridSpan w:val="5"/>
            <w:vMerge w:val="continue"/>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82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11032 Tidewater Trail,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Construction,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234 Springs Rd., LLC</w:t>
            </w:r>
          </w:p>
        </w:tc>
        <w:tc>
          <w:tcPr>
            <w:tcW w:w="1040" w:type="dxa"/>
            <w:vAlign w:val="bottom"/>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Dallas,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2875 Needmore Rd.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Distribution,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621 Hall St., LLC</w:t>
            </w:r>
          </w:p>
        </w:tc>
        <w:tc>
          <w:tcPr>
            <w:tcW w:w="1040" w:type="dxa"/>
            <w:vAlign w:val="bottom"/>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Eagan,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Advantage Label &amp; Packaging, Inc.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Michigan</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Eastern Division, Inc.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Aljoma Holding Company, LLC</w:t>
            </w:r>
          </w:p>
        </w:tc>
        <w:tc>
          <w:tcPr>
            <w:tcW w:w="1040" w:type="dxa"/>
            <w:vAlign w:val="bottom"/>
          </w:tcPr>
          <w:p>
            <w:pPr>
              <w:ind w:left="160"/>
              <w:spacing w:after="0"/>
              <w:rPr>
                <w:sz w:val="20"/>
                <w:szCs w:val="20"/>
                <w:color w:val="auto"/>
              </w:rPr>
            </w:pPr>
            <w:r>
              <w:rPr>
                <w:rFonts w:ascii="Arial" w:cs="Arial" w:eastAsia="Arial" w:hAnsi="Arial"/>
                <w:sz w:val="16"/>
                <w:szCs w:val="16"/>
                <w:color w:val="auto"/>
              </w:rPr>
              <w:t>Michigan</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Eatonton,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Aljoma Lumber, Inc.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Florida</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Elizabeth City,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2"/>
        </w:trPr>
        <w:tc>
          <w:tcPr>
            <w:tcW w:w="3080" w:type="dxa"/>
            <w:vAlign w:val="bottom"/>
            <w:gridSpan w:val="2"/>
          </w:tcPr>
          <w:p>
            <w:pPr>
              <w:spacing w:after="0"/>
              <w:rPr>
                <w:sz w:val="20"/>
                <w:szCs w:val="20"/>
                <w:color w:val="auto"/>
              </w:rPr>
            </w:pPr>
            <w:r>
              <w:rPr>
                <w:rFonts w:ascii="Arial" w:cs="Arial" w:eastAsia="Arial" w:hAnsi="Arial"/>
                <w:sz w:val="16"/>
                <w:szCs w:val="16"/>
                <w:color w:val="auto"/>
              </w:rPr>
              <w:t>Ardellis Insurance Ltd.</w:t>
            </w:r>
          </w:p>
        </w:tc>
        <w:tc>
          <w:tcPr>
            <w:tcW w:w="1040" w:type="dxa"/>
            <w:vAlign w:val="bottom"/>
          </w:tcPr>
          <w:p>
            <w:pPr>
              <w:ind w:left="160"/>
              <w:spacing w:after="0"/>
              <w:rPr>
                <w:sz w:val="20"/>
                <w:szCs w:val="20"/>
                <w:color w:val="auto"/>
              </w:rPr>
            </w:pPr>
            <w:r>
              <w:rPr>
                <w:rFonts w:ascii="Arial" w:cs="Arial" w:eastAsia="Arial" w:hAnsi="Arial"/>
                <w:sz w:val="16"/>
                <w:szCs w:val="16"/>
                <w:color w:val="auto"/>
              </w:rPr>
              <w:t>Bermuda</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Elkwood,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Caliper Building Systems,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Michigan</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Financial Services, Inc.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Deckorators, Inc.</w:t>
            </w:r>
          </w:p>
        </w:tc>
        <w:tc>
          <w:tcPr>
            <w:tcW w:w="1040" w:type="dxa"/>
            <w:vAlign w:val="bottom"/>
          </w:tcPr>
          <w:p>
            <w:pPr>
              <w:ind w:left="160"/>
              <w:spacing w:after="0"/>
              <w:rPr>
                <w:sz w:val="20"/>
                <w:szCs w:val="20"/>
                <w:color w:val="auto"/>
              </w:rPr>
            </w:pPr>
            <w:r>
              <w:rPr>
                <w:rFonts w:ascii="Arial" w:cs="Arial" w:eastAsia="Arial" w:hAnsi="Arial"/>
                <w:sz w:val="16"/>
                <w:szCs w:val="16"/>
                <w:color w:val="auto"/>
              </w:rPr>
              <w:t>Michigan</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Folkston,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Enwrap Logistic and Packaging S.r.l.</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Italy</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Franklinton,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Eovations, LLC</w:t>
            </w:r>
          </w:p>
        </w:tc>
        <w:tc>
          <w:tcPr>
            <w:tcW w:w="1040" w:type="dxa"/>
            <w:vAlign w:val="bottom"/>
          </w:tcPr>
          <w:p>
            <w:pPr>
              <w:ind w:left="160"/>
              <w:spacing w:after="0"/>
              <w:rPr>
                <w:sz w:val="20"/>
                <w:szCs w:val="20"/>
                <w:color w:val="auto"/>
              </w:rPr>
            </w:pPr>
            <w:r>
              <w:rPr>
                <w:rFonts w:ascii="Arial" w:cs="Arial" w:eastAsia="Arial" w:hAnsi="Arial"/>
                <w:sz w:val="16"/>
                <w:szCs w:val="16"/>
                <w:color w:val="auto"/>
              </w:rPr>
              <w:t>Michigan</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Gainesville,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Ficus Pax</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India</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Gear,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Ficus Tegatai Pvt Ltd</w:t>
            </w:r>
          </w:p>
        </w:tc>
        <w:tc>
          <w:tcPr>
            <w:tcW w:w="1040" w:type="dxa"/>
            <w:vAlign w:val="bottom"/>
          </w:tcPr>
          <w:p>
            <w:pPr>
              <w:ind w:left="160"/>
              <w:spacing w:after="0"/>
              <w:rPr>
                <w:sz w:val="20"/>
                <w:szCs w:val="20"/>
                <w:color w:val="auto"/>
              </w:rPr>
            </w:pPr>
            <w:r>
              <w:rPr>
                <w:rFonts w:ascii="Arial" w:cs="Arial" w:eastAsia="Arial" w:hAnsi="Arial"/>
                <w:sz w:val="16"/>
                <w:szCs w:val="16"/>
                <w:color w:val="auto"/>
              </w:rPr>
              <w:t>India</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Global Holdings Limited</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w w:val="89"/>
              </w:rPr>
              <w:t>England/Wales</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Fire Retardant Chemical Technologies,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Illinois</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Gordon,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Forestal Universal SA de CV</w:t>
            </w:r>
          </w:p>
        </w:tc>
        <w:tc>
          <w:tcPr>
            <w:tcW w:w="1040" w:type="dxa"/>
            <w:vAlign w:val="bottom"/>
          </w:tcPr>
          <w:p>
            <w:pPr>
              <w:ind w:left="160"/>
              <w:spacing w:after="0"/>
              <w:rPr>
                <w:sz w:val="20"/>
                <w:szCs w:val="20"/>
                <w:color w:val="auto"/>
              </w:rPr>
            </w:pPr>
            <w:r>
              <w:rPr>
                <w:rFonts w:ascii="Arial" w:cs="Arial" w:eastAsia="Arial" w:hAnsi="Arial"/>
                <w:sz w:val="16"/>
                <w:szCs w:val="16"/>
                <w:color w:val="auto"/>
              </w:rPr>
              <w:t>Mexico</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Grand Rapids,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Idaho Western, Inc.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Idaho</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Grandview,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idX (China) Display System Co., Ltd.</w:t>
            </w:r>
          </w:p>
        </w:tc>
        <w:tc>
          <w:tcPr>
            <w:tcW w:w="1040" w:type="dxa"/>
            <w:vAlign w:val="bottom"/>
          </w:tcPr>
          <w:p>
            <w:pPr>
              <w:ind w:left="160"/>
              <w:spacing w:after="0"/>
              <w:rPr>
                <w:sz w:val="20"/>
                <w:szCs w:val="20"/>
                <w:color w:val="auto"/>
              </w:rPr>
            </w:pPr>
            <w:r>
              <w:rPr>
                <w:rFonts w:ascii="Arial" w:cs="Arial" w:eastAsia="Arial" w:hAnsi="Arial"/>
                <w:sz w:val="16"/>
                <w:szCs w:val="16"/>
                <w:color w:val="auto"/>
              </w:rPr>
              <w:t>China</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Granger,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(India) Display Private Ltd.</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India</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Haleyville,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idX Amsterdam B.V.</w:t>
            </w:r>
          </w:p>
        </w:tc>
        <w:tc>
          <w:tcPr>
            <w:tcW w:w="1040" w:type="dxa"/>
            <w:vAlign w:val="bottom"/>
          </w:tcPr>
          <w:p>
            <w:pPr>
              <w:ind w:left="160"/>
              <w:spacing w:after="0"/>
              <w:rPr>
                <w:sz w:val="20"/>
                <w:szCs w:val="20"/>
                <w:color w:val="auto"/>
              </w:rPr>
            </w:pPr>
            <w:r>
              <w:rPr>
                <w:rFonts w:ascii="Arial" w:cs="Arial" w:eastAsia="Arial" w:hAnsi="Arial"/>
                <w:sz w:val="16"/>
                <w:szCs w:val="16"/>
                <w:color w:val="auto"/>
                <w:w w:val="99"/>
              </w:rPr>
              <w:t>Netherlands</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Hamilton,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Asia Fixtures Limited</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Hong Kong</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Harrisonville,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idX Asia Trading Limited</w:t>
            </w:r>
          </w:p>
        </w:tc>
        <w:tc>
          <w:tcPr>
            <w:tcW w:w="1040" w:type="dxa"/>
            <w:vAlign w:val="bottom"/>
          </w:tcPr>
          <w:p>
            <w:pPr>
              <w:ind w:left="160"/>
              <w:spacing w:after="0"/>
              <w:rPr>
                <w:sz w:val="20"/>
                <w:szCs w:val="20"/>
                <w:color w:val="auto"/>
              </w:rPr>
            </w:pPr>
            <w:r>
              <w:rPr>
                <w:rFonts w:ascii="Arial" w:cs="Arial" w:eastAsia="Arial" w:hAnsi="Arial"/>
                <w:sz w:val="16"/>
                <w:szCs w:val="16"/>
                <w:color w:val="auto"/>
              </w:rPr>
              <w:t>Hong Kong</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Hartford,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Wisconsin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Chicago,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Hillsboro,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idX Corporation</w:t>
            </w:r>
          </w:p>
        </w:tc>
        <w:tc>
          <w:tcPr>
            <w:tcW w:w="1040" w:type="dxa"/>
            <w:vAlign w:val="bottom"/>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Industrial,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Corporation London Limited</w:t>
            </w:r>
          </w:p>
        </w:tc>
        <w:tc>
          <w:tcPr>
            <w:tcW w:w="44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England/WalesUFP Industries, Inc.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idX Holdings, Inc.</w:t>
            </w:r>
          </w:p>
        </w:tc>
        <w:tc>
          <w:tcPr>
            <w:tcW w:w="1040" w:type="dxa"/>
            <w:vAlign w:val="bottom"/>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International Employment Services,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Mexico, S. de R.L. de C.V.</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Mexico</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International,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idX Shanghai Trading Company Ltd.</w:t>
            </w:r>
          </w:p>
        </w:tc>
        <w:tc>
          <w:tcPr>
            <w:tcW w:w="1040" w:type="dxa"/>
            <w:vAlign w:val="bottom"/>
          </w:tcPr>
          <w:p>
            <w:pPr>
              <w:ind w:left="160"/>
              <w:spacing w:after="0"/>
              <w:rPr>
                <w:sz w:val="20"/>
                <w:szCs w:val="20"/>
                <w:color w:val="auto"/>
              </w:rPr>
            </w:pPr>
            <w:r>
              <w:rPr>
                <w:rFonts w:ascii="Arial" w:cs="Arial" w:eastAsia="Arial" w:hAnsi="Arial"/>
                <w:sz w:val="16"/>
                <w:szCs w:val="16"/>
                <w:color w:val="auto"/>
              </w:rPr>
              <w:t>China</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Janesville,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Integra International Pty Ltd</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Australia</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Kyle,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Integra Packaging Pty Ltd</w:t>
            </w:r>
          </w:p>
        </w:tc>
        <w:tc>
          <w:tcPr>
            <w:tcW w:w="1040" w:type="dxa"/>
            <w:vAlign w:val="bottom"/>
          </w:tcPr>
          <w:p>
            <w:pPr>
              <w:ind w:left="160"/>
              <w:spacing w:after="0"/>
              <w:rPr>
                <w:sz w:val="20"/>
                <w:szCs w:val="20"/>
                <w:color w:val="auto"/>
              </w:rPr>
            </w:pPr>
            <w:r>
              <w:rPr>
                <w:rFonts w:ascii="Arial" w:cs="Arial" w:eastAsia="Arial" w:hAnsi="Arial"/>
                <w:sz w:val="16"/>
                <w:szCs w:val="16"/>
                <w:color w:val="auto"/>
              </w:rPr>
              <w:t>Australia</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Lafayette,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Landura,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Texas</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Lansing,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Metaworld Technologies, LLC</w:t>
            </w:r>
          </w:p>
        </w:tc>
        <w:tc>
          <w:tcPr>
            <w:tcW w:w="1040" w:type="dxa"/>
            <w:vAlign w:val="bottom"/>
          </w:tcPr>
          <w:p>
            <w:pPr>
              <w:ind w:left="160"/>
              <w:spacing w:after="0"/>
              <w:rPr>
                <w:sz w:val="20"/>
                <w:szCs w:val="20"/>
                <w:color w:val="auto"/>
              </w:rPr>
            </w:pPr>
            <w:r>
              <w:rPr>
                <w:rFonts w:ascii="Arial" w:cs="Arial" w:eastAsia="Arial" w:hAnsi="Arial"/>
                <w:sz w:val="16"/>
                <w:szCs w:val="16"/>
                <w:color w:val="auto"/>
              </w:rPr>
              <w:t>Michigan</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Londonderry,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North Atlantic Framing,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Michigan</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Magna,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Norpal S. de R.L. de C.V.</w:t>
            </w:r>
          </w:p>
        </w:tc>
        <w:tc>
          <w:tcPr>
            <w:tcW w:w="1040" w:type="dxa"/>
            <w:vAlign w:val="bottom"/>
          </w:tcPr>
          <w:p>
            <w:pPr>
              <w:ind w:left="160"/>
              <w:spacing w:after="0"/>
              <w:rPr>
                <w:sz w:val="20"/>
                <w:szCs w:val="20"/>
                <w:color w:val="auto"/>
              </w:rPr>
            </w:pPr>
            <w:r>
              <w:rPr>
                <w:rFonts w:ascii="Arial" w:cs="Arial" w:eastAsia="Arial" w:hAnsi="Arial"/>
                <w:sz w:val="16"/>
                <w:szCs w:val="16"/>
                <w:color w:val="auto"/>
              </w:rPr>
              <w:t>Mexico</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McMinnville,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P1 Catawba Development Company, LLC</w:t>
            </w:r>
          </w:p>
        </w:tc>
        <w:tc>
          <w:tcPr>
            <w:tcW w:w="586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North CarolinaUFP Mexico Embalaje y Distribution, S. de R.L. de C. V.Mexico</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PaletOne of Acquisition of Texas, Inc.</w:t>
            </w:r>
          </w:p>
        </w:tc>
        <w:tc>
          <w:tcPr>
            <w:tcW w:w="1040" w:type="dxa"/>
            <w:vAlign w:val="bottom"/>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Mexico Investment,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PalletOne Manufacturing of Texas,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Texas</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Mid-Atlantic,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PalletOne of Alabama, LLC</w:t>
            </w:r>
          </w:p>
        </w:tc>
        <w:tc>
          <w:tcPr>
            <w:tcW w:w="1040" w:type="dxa"/>
            <w:vAlign w:val="bottom"/>
          </w:tcPr>
          <w:p>
            <w:pPr>
              <w:ind w:left="160"/>
              <w:spacing w:after="0"/>
              <w:rPr>
                <w:sz w:val="20"/>
                <w:szCs w:val="20"/>
                <w:color w:val="auto"/>
              </w:rPr>
            </w:pPr>
            <w:r>
              <w:rPr>
                <w:rFonts w:ascii="Arial" w:cs="Arial" w:eastAsia="Arial" w:hAnsi="Arial"/>
                <w:sz w:val="16"/>
                <w:szCs w:val="16"/>
                <w:color w:val="auto"/>
              </w:rPr>
              <w:t>Alabama</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Milwaukee,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PalletOne of Florida, Inc.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Florida</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Minneota,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PalletOne of Indiana Transportation, LLC</w:t>
            </w:r>
          </w:p>
        </w:tc>
        <w:tc>
          <w:tcPr>
            <w:tcW w:w="1040" w:type="dxa"/>
            <w:vAlign w:val="bottom"/>
          </w:tcPr>
          <w:p>
            <w:pPr>
              <w:ind w:left="160"/>
              <w:spacing w:after="0"/>
              <w:rPr>
                <w:sz w:val="20"/>
                <w:szCs w:val="20"/>
                <w:color w:val="auto"/>
              </w:rPr>
            </w:pPr>
            <w:r>
              <w:rPr>
                <w:rFonts w:ascii="Arial" w:cs="Arial" w:eastAsia="Arial" w:hAnsi="Arial"/>
                <w:sz w:val="16"/>
                <w:szCs w:val="16"/>
                <w:color w:val="auto"/>
              </w:rPr>
              <w:t>Indiana</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Morristown,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PalletOne of Indiana, Inc.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Indiana</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Moultrie,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PalletOne of Maine, Inc.</w:t>
            </w:r>
          </w:p>
        </w:tc>
        <w:tc>
          <w:tcPr>
            <w:tcW w:w="1040" w:type="dxa"/>
            <w:vAlign w:val="bottom"/>
          </w:tcPr>
          <w:p>
            <w:pPr>
              <w:ind w:left="160"/>
              <w:spacing w:after="0"/>
              <w:rPr>
                <w:sz w:val="20"/>
                <w:szCs w:val="20"/>
                <w:color w:val="auto"/>
              </w:rPr>
            </w:pPr>
            <w:r>
              <w:rPr>
                <w:rFonts w:ascii="Arial" w:cs="Arial" w:eastAsia="Arial" w:hAnsi="Arial"/>
                <w:sz w:val="16"/>
                <w:szCs w:val="16"/>
                <w:color w:val="auto"/>
              </w:rPr>
              <w:t>Maine</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NAC,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PalletOne of Mobile,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Alabama</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Nappanee,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PalletOne of NE Texas, LLC</w:t>
            </w:r>
          </w:p>
        </w:tc>
        <w:tc>
          <w:tcPr>
            <w:tcW w:w="1040" w:type="dxa"/>
            <w:vAlign w:val="bottom"/>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New London,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PalletOne of North Carolina, Inc.</w:t>
            </w:r>
          </w:p>
        </w:tc>
        <w:tc>
          <w:tcPr>
            <w:tcW w:w="44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North CarolinaUFP New Waverly,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PalletOne of Texas Holdings, Inc.</w:t>
            </w:r>
          </w:p>
        </w:tc>
        <w:tc>
          <w:tcPr>
            <w:tcW w:w="1040" w:type="dxa"/>
            <w:vAlign w:val="bottom"/>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New Windsor,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PalletOne of Texas, LP</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Texas</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New York,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2"/>
        </w:trPr>
        <w:tc>
          <w:tcPr>
            <w:tcW w:w="3080" w:type="dxa"/>
            <w:vAlign w:val="bottom"/>
            <w:gridSpan w:val="2"/>
          </w:tcPr>
          <w:p>
            <w:pPr>
              <w:spacing w:after="0"/>
              <w:rPr>
                <w:sz w:val="20"/>
                <w:szCs w:val="20"/>
                <w:color w:val="auto"/>
              </w:rPr>
            </w:pPr>
            <w:r>
              <w:rPr>
                <w:rFonts w:ascii="Arial" w:cs="Arial" w:eastAsia="Arial" w:hAnsi="Arial"/>
                <w:sz w:val="16"/>
                <w:szCs w:val="16"/>
                <w:color w:val="auto"/>
              </w:rPr>
              <w:t>PalletOne of Virginia, LLC</w:t>
            </w:r>
          </w:p>
        </w:tc>
        <w:tc>
          <w:tcPr>
            <w:tcW w:w="1040" w:type="dxa"/>
            <w:vAlign w:val="bottom"/>
          </w:tcPr>
          <w:p>
            <w:pPr>
              <w:ind w:left="160"/>
              <w:spacing w:after="0"/>
              <w:rPr>
                <w:sz w:val="20"/>
                <w:szCs w:val="20"/>
                <w:color w:val="auto"/>
              </w:rPr>
            </w:pPr>
            <w:r>
              <w:rPr>
                <w:rFonts w:ascii="Arial" w:cs="Arial" w:eastAsia="Arial" w:hAnsi="Arial"/>
                <w:sz w:val="16"/>
                <w:szCs w:val="16"/>
                <w:color w:val="auto"/>
              </w:rPr>
              <w:t>Virginia</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Orlando,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PalletOne of Wisconsin Manufacturing, LLC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Wisconsin</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Packaging,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PalletOne of Wisconsin, Inc.</w:t>
            </w:r>
          </w:p>
        </w:tc>
        <w:tc>
          <w:tcPr>
            <w:tcW w:w="1040" w:type="dxa"/>
            <w:vAlign w:val="bottom"/>
          </w:tcPr>
          <w:p>
            <w:pPr>
              <w:ind w:left="160"/>
              <w:spacing w:after="0"/>
              <w:rPr>
                <w:sz w:val="20"/>
                <w:szCs w:val="20"/>
                <w:color w:val="auto"/>
              </w:rPr>
            </w:pPr>
            <w:r>
              <w:rPr>
                <w:rFonts w:ascii="Arial" w:cs="Arial" w:eastAsia="Arial" w:hAnsi="Arial"/>
                <w:sz w:val="16"/>
                <w:szCs w:val="16"/>
                <w:color w:val="auto"/>
              </w:rPr>
              <w:t>Wisconsin</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Palm Beach,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PalletOne, Inc.</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Delaware</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Parker,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Pinelli Lumber, Inc.</w:t>
            </w:r>
          </w:p>
        </w:tc>
        <w:tc>
          <w:tcPr>
            <w:tcW w:w="1040" w:type="dxa"/>
            <w:vAlign w:val="bottom"/>
          </w:tcPr>
          <w:p>
            <w:pPr>
              <w:ind w:left="160"/>
              <w:spacing w:after="0"/>
              <w:rPr>
                <w:sz w:val="20"/>
                <w:szCs w:val="20"/>
                <w:color w:val="auto"/>
              </w:rPr>
            </w:pPr>
            <w:r>
              <w:rPr>
                <w:rFonts w:ascii="Arial" w:cs="Arial" w:eastAsia="Arial" w:hAnsi="Arial"/>
                <w:sz w:val="16"/>
                <w:szCs w:val="16"/>
                <w:color w:val="auto"/>
              </w:rPr>
              <w:t>Texas</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Purchasing, Inc.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Pinelli Universal TKT, S de R.L. de C.V.</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Mexico</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Ranson,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Arial" w:cs="Arial" w:eastAsia="Arial" w:hAnsi="Arial"/>
                <w:sz w:val="16"/>
                <w:szCs w:val="16"/>
                <w:color w:val="auto"/>
              </w:rPr>
              <w:t>Pinelli Universal, S de R.L. de C.V.</w:t>
            </w:r>
          </w:p>
        </w:tc>
        <w:tc>
          <w:tcPr>
            <w:tcW w:w="1040" w:type="dxa"/>
            <w:vAlign w:val="bottom"/>
          </w:tcPr>
          <w:p>
            <w:pPr>
              <w:ind w:left="160"/>
              <w:spacing w:after="0"/>
              <w:rPr>
                <w:sz w:val="20"/>
                <w:szCs w:val="20"/>
                <w:color w:val="auto"/>
              </w:rPr>
            </w:pPr>
            <w:r>
              <w:rPr>
                <w:rFonts w:ascii="Arial" w:cs="Arial" w:eastAsia="Arial" w:hAnsi="Arial"/>
                <w:sz w:val="16"/>
                <w:szCs w:val="16"/>
                <w:color w:val="auto"/>
              </w:rPr>
              <w:t>Mexico</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Real Estate,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Pinelli Universal Chile S.A.</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Chile</w:t>
            </w:r>
          </w:p>
        </w:tc>
        <w:tc>
          <w:tcPr>
            <w:tcW w:w="3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Retail, LLC</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6"/>
        </w:trPr>
        <w:tc>
          <w:tcPr>
            <w:tcW w:w="3080" w:type="dxa"/>
            <w:vAlign w:val="bottom"/>
            <w:gridSpan w:val="2"/>
          </w:tcPr>
          <w:p>
            <w:pPr>
              <w:spacing w:after="0"/>
              <w:rPr>
                <w:sz w:val="20"/>
                <w:szCs w:val="20"/>
                <w:color w:val="auto"/>
              </w:rPr>
            </w:pPr>
            <w:r>
              <w:rPr>
                <w:rFonts w:ascii="Arial" w:cs="Arial" w:eastAsia="Arial" w:hAnsi="Arial"/>
                <w:sz w:val="16"/>
                <w:szCs w:val="16"/>
                <w:color w:val="auto"/>
              </w:rPr>
              <w:t>PR Distribution, LLC</w:t>
            </w:r>
          </w:p>
        </w:tc>
        <w:tc>
          <w:tcPr>
            <w:tcW w:w="1040" w:type="dxa"/>
            <w:vAlign w:val="bottom"/>
          </w:tcPr>
          <w:p>
            <w:pPr>
              <w:ind w:left="160"/>
              <w:spacing w:after="0"/>
              <w:rPr>
                <w:sz w:val="20"/>
                <w:szCs w:val="20"/>
                <w:color w:val="auto"/>
              </w:rPr>
            </w:pPr>
            <w:r>
              <w:rPr>
                <w:rFonts w:ascii="Arial" w:cs="Arial" w:eastAsia="Arial" w:hAnsi="Arial"/>
                <w:sz w:val="16"/>
                <w:szCs w:val="16"/>
                <w:color w:val="auto"/>
              </w:rPr>
              <w:t>Puerto Rico</w:t>
            </w:r>
          </w:p>
        </w:tc>
        <w:tc>
          <w:tcPr>
            <w:tcW w:w="3360" w:type="dxa"/>
            <w:vAlign w:val="bottom"/>
            <w:gridSpan w:val="2"/>
          </w:tcPr>
          <w:p>
            <w:pPr>
              <w:ind w:left="100"/>
              <w:spacing w:after="0"/>
              <w:rPr>
                <w:sz w:val="20"/>
                <w:szCs w:val="20"/>
                <w:color w:val="auto"/>
              </w:rPr>
            </w:pPr>
            <w:r>
              <w:rPr>
                <w:rFonts w:ascii="Arial" w:cs="Arial" w:eastAsia="Arial" w:hAnsi="Arial"/>
                <w:sz w:val="16"/>
                <w:szCs w:val="16"/>
                <w:color w:val="auto"/>
              </w:rPr>
              <w:t>UFP Riverside, LLC</w:t>
            </w:r>
          </w:p>
        </w:tc>
        <w:tc>
          <w:tcPr>
            <w:tcW w:w="1460" w:type="dxa"/>
            <w:vAlign w:val="bottom"/>
            <w:gridSpan w:val="2"/>
          </w:tcPr>
          <w:p>
            <w:pPr>
              <w:ind w:left="48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557"/>
        </w:trPr>
        <w:tc>
          <w:tcPr>
            <w:tcW w:w="1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sectPr>
      </w:pPr>
    </w:p>
    <w:bookmarkStart w:id="80" w:name="page81"/>
    <w:bookmarkEnd w:id="8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Shawnlee Construction, LLC</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RMS,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2"/>
        </w:trPr>
        <w:tc>
          <w:tcPr>
            <w:tcW w:w="3040" w:type="dxa"/>
            <w:vAlign w:val="bottom"/>
          </w:tcPr>
          <w:p>
            <w:pPr>
              <w:spacing w:after="0"/>
              <w:rPr>
                <w:sz w:val="20"/>
                <w:szCs w:val="20"/>
                <w:color w:val="auto"/>
              </w:rPr>
            </w:pPr>
            <w:r>
              <w:rPr>
                <w:rFonts w:ascii="Arial" w:cs="Arial" w:eastAsia="Arial" w:hAnsi="Arial"/>
                <w:sz w:val="16"/>
                <w:szCs w:val="16"/>
                <w:color w:val="auto"/>
              </w:rPr>
              <w:t>Shepardville Construction, LLC</w:t>
            </w:r>
          </w:p>
        </w:tc>
        <w:tc>
          <w:tcPr>
            <w:tcW w:w="1120" w:type="dxa"/>
            <w:vAlign w:val="bottom"/>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tcPr>
          <w:p>
            <w:pPr>
              <w:ind w:left="160"/>
              <w:spacing w:after="0"/>
              <w:rPr>
                <w:sz w:val="20"/>
                <w:szCs w:val="20"/>
                <w:color w:val="auto"/>
              </w:rPr>
            </w:pPr>
            <w:r>
              <w:rPr>
                <w:rFonts w:ascii="Arial" w:cs="Arial" w:eastAsia="Arial" w:hAnsi="Arial"/>
                <w:sz w:val="16"/>
                <w:szCs w:val="16"/>
                <w:color w:val="auto"/>
              </w:rPr>
              <w:t>UFP Rockingham, LLC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Store Fixtures Canada Holdings, Inc.</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Delaware</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Rockwell,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Sunbelt Acquisition Florida II, LLC</w:t>
            </w:r>
          </w:p>
        </w:tc>
        <w:tc>
          <w:tcPr>
            <w:tcW w:w="1120" w:type="dxa"/>
            <w:vAlign w:val="bottom"/>
          </w:tcPr>
          <w:p>
            <w:pPr>
              <w:ind w:left="320"/>
              <w:spacing w:after="0"/>
              <w:rPr>
                <w:sz w:val="20"/>
                <w:szCs w:val="20"/>
                <w:color w:val="auto"/>
              </w:rPr>
            </w:pPr>
            <w:r>
              <w:rPr>
                <w:rFonts w:ascii="Arial" w:cs="Arial" w:eastAsia="Arial" w:hAnsi="Arial"/>
                <w:sz w:val="16"/>
                <w:szCs w:val="16"/>
                <w:color w:val="auto"/>
              </w:rPr>
              <w:t>Florida</w:t>
            </w:r>
          </w:p>
        </w:tc>
        <w:tc>
          <w:tcPr>
            <w:tcW w:w="3200" w:type="dxa"/>
            <w:vAlign w:val="bottom"/>
          </w:tcPr>
          <w:p>
            <w:pPr>
              <w:ind w:left="160"/>
              <w:spacing w:after="0"/>
              <w:rPr>
                <w:sz w:val="20"/>
                <w:szCs w:val="20"/>
                <w:color w:val="auto"/>
              </w:rPr>
            </w:pPr>
            <w:r>
              <w:rPr>
                <w:rFonts w:ascii="Arial" w:cs="Arial" w:eastAsia="Arial" w:hAnsi="Arial"/>
                <w:sz w:val="16"/>
                <w:szCs w:val="16"/>
                <w:color w:val="auto"/>
              </w:rPr>
              <w:t>UFP Saginaw, LLC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Sunbelt Acquistion Corp.</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Delaware</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Salisbury,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Sunbelt Acqusition Alabama III, LLC</w:t>
            </w:r>
          </w:p>
        </w:tc>
        <w:tc>
          <w:tcPr>
            <w:tcW w:w="1120" w:type="dxa"/>
            <w:vAlign w:val="bottom"/>
          </w:tcPr>
          <w:p>
            <w:pPr>
              <w:ind w:left="320"/>
              <w:spacing w:after="0"/>
              <w:rPr>
                <w:sz w:val="20"/>
                <w:szCs w:val="20"/>
                <w:color w:val="auto"/>
              </w:rPr>
            </w:pPr>
            <w:r>
              <w:rPr>
                <w:rFonts w:ascii="Arial" w:cs="Arial" w:eastAsia="Arial" w:hAnsi="Arial"/>
                <w:sz w:val="16"/>
                <w:szCs w:val="16"/>
                <w:color w:val="auto"/>
              </w:rPr>
              <w:t>Alabama</w:t>
            </w:r>
          </w:p>
        </w:tc>
        <w:tc>
          <w:tcPr>
            <w:tcW w:w="3200" w:type="dxa"/>
            <w:vAlign w:val="bottom"/>
          </w:tcPr>
          <w:p>
            <w:pPr>
              <w:ind w:left="160"/>
              <w:spacing w:after="0"/>
              <w:rPr>
                <w:sz w:val="20"/>
                <w:szCs w:val="20"/>
                <w:color w:val="auto"/>
              </w:rPr>
            </w:pPr>
            <w:r>
              <w:rPr>
                <w:rFonts w:ascii="Arial" w:cs="Arial" w:eastAsia="Arial" w:hAnsi="Arial"/>
                <w:sz w:val="16"/>
                <w:szCs w:val="16"/>
                <w:color w:val="auto"/>
              </w:rPr>
              <w:t>UFP San Antonio, LLC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Sunbelt Forest Georgia, LLC</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Georgia</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Sauk Rapids,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Sunbelt Forest Products Alabama, LLC</w:t>
            </w:r>
          </w:p>
        </w:tc>
        <w:tc>
          <w:tcPr>
            <w:tcW w:w="1120" w:type="dxa"/>
            <w:vAlign w:val="bottom"/>
          </w:tcPr>
          <w:p>
            <w:pPr>
              <w:ind w:left="320"/>
              <w:spacing w:after="0"/>
              <w:rPr>
                <w:sz w:val="20"/>
                <w:szCs w:val="20"/>
                <w:color w:val="auto"/>
              </w:rPr>
            </w:pPr>
            <w:r>
              <w:rPr>
                <w:rFonts w:ascii="Arial" w:cs="Arial" w:eastAsia="Arial" w:hAnsi="Arial"/>
                <w:sz w:val="16"/>
                <w:szCs w:val="16"/>
                <w:color w:val="auto"/>
              </w:rPr>
              <w:t>Florida</w:t>
            </w:r>
          </w:p>
        </w:tc>
        <w:tc>
          <w:tcPr>
            <w:tcW w:w="3200" w:type="dxa"/>
            <w:vAlign w:val="bottom"/>
          </w:tcPr>
          <w:p>
            <w:pPr>
              <w:ind w:left="160"/>
              <w:spacing w:after="0"/>
              <w:rPr>
                <w:sz w:val="20"/>
                <w:szCs w:val="20"/>
                <w:color w:val="auto"/>
              </w:rPr>
            </w:pPr>
            <w:r>
              <w:rPr>
                <w:rFonts w:ascii="Arial" w:cs="Arial" w:eastAsia="Arial" w:hAnsi="Arial"/>
                <w:sz w:val="16"/>
                <w:szCs w:val="16"/>
                <w:color w:val="auto"/>
              </w:rPr>
              <w:t>UFP Schertz, LLC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Sunbelt Forest Products Corporation</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Florida</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Shawnee,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SunOne Logistics, LLC</w:t>
            </w:r>
          </w:p>
        </w:tc>
        <w:tc>
          <w:tcPr>
            <w:tcW w:w="1120" w:type="dxa"/>
            <w:vAlign w:val="bottom"/>
          </w:tcPr>
          <w:p>
            <w:pPr>
              <w:ind w:left="320"/>
              <w:spacing w:after="0"/>
              <w:rPr>
                <w:sz w:val="20"/>
                <w:szCs w:val="20"/>
                <w:color w:val="auto"/>
              </w:rPr>
            </w:pPr>
            <w:r>
              <w:rPr>
                <w:rFonts w:ascii="Arial" w:cs="Arial" w:eastAsia="Arial" w:hAnsi="Arial"/>
                <w:sz w:val="16"/>
                <w:szCs w:val="16"/>
                <w:color w:val="auto"/>
              </w:rPr>
              <w:t>Georgia</w:t>
            </w:r>
          </w:p>
        </w:tc>
        <w:tc>
          <w:tcPr>
            <w:tcW w:w="3200" w:type="dxa"/>
            <w:vAlign w:val="bottom"/>
          </w:tcPr>
          <w:p>
            <w:pPr>
              <w:ind w:left="160"/>
              <w:spacing w:after="0"/>
              <w:rPr>
                <w:sz w:val="20"/>
                <w:szCs w:val="20"/>
                <w:color w:val="auto"/>
              </w:rPr>
            </w:pPr>
            <w:r>
              <w:rPr>
                <w:rFonts w:ascii="Arial" w:cs="Arial" w:eastAsia="Arial" w:hAnsi="Arial"/>
                <w:sz w:val="16"/>
                <w:szCs w:val="16"/>
                <w:color w:val="auto"/>
              </w:rPr>
              <w:t>UFP Site Built, LLC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The UBEECO Group Pty Ltd</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Australia</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Stafford,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4160" w:type="dxa"/>
            <w:vAlign w:val="bottom"/>
            <w:gridSpan w:val="2"/>
          </w:tcPr>
          <w:p>
            <w:pPr>
              <w:spacing w:after="0"/>
              <w:rPr>
                <w:sz w:val="20"/>
                <w:szCs w:val="20"/>
                <w:color w:val="auto"/>
              </w:rPr>
            </w:pPr>
            <w:r>
              <w:rPr>
                <w:rFonts w:ascii="Arial" w:cs="Arial" w:eastAsia="Arial" w:hAnsi="Arial"/>
                <w:sz w:val="16"/>
                <w:szCs w:val="16"/>
                <w:color w:val="auto"/>
                <w:w w:val="98"/>
              </w:rPr>
              <w:t>Tibasa Universal Forest Products S. de R.L. de C.V.Mexico</w:t>
            </w:r>
          </w:p>
        </w:tc>
        <w:tc>
          <w:tcPr>
            <w:tcW w:w="3200" w:type="dxa"/>
            <w:vAlign w:val="bottom"/>
          </w:tcPr>
          <w:p>
            <w:pPr>
              <w:ind w:left="160"/>
              <w:spacing w:after="0"/>
              <w:rPr>
                <w:sz w:val="20"/>
                <w:szCs w:val="20"/>
                <w:color w:val="auto"/>
              </w:rPr>
            </w:pPr>
            <w:r>
              <w:rPr>
                <w:rFonts w:ascii="Arial" w:cs="Arial" w:eastAsia="Arial" w:hAnsi="Arial"/>
                <w:sz w:val="16"/>
                <w:szCs w:val="16"/>
                <w:color w:val="auto"/>
              </w:rPr>
              <w:t>UFP Stockertown, LLC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Tresstar, LLC</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Tampa,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Triangle Systems, Inc.</w:t>
            </w:r>
          </w:p>
        </w:tc>
        <w:tc>
          <w:tcPr>
            <w:tcW w:w="1120" w:type="dxa"/>
            <w:vAlign w:val="bottom"/>
          </w:tcPr>
          <w:p>
            <w:pPr>
              <w:ind w:left="320"/>
              <w:spacing w:after="0"/>
              <w:rPr>
                <w:sz w:val="20"/>
                <w:szCs w:val="20"/>
                <w:color w:val="auto"/>
              </w:rPr>
            </w:pPr>
            <w:r>
              <w:rPr>
                <w:rFonts w:ascii="Arial" w:cs="Arial" w:eastAsia="Arial" w:hAnsi="Arial"/>
                <w:sz w:val="16"/>
                <w:szCs w:val="16"/>
                <w:color w:val="auto"/>
              </w:rPr>
              <w:t>Delaware</w:t>
            </w:r>
          </w:p>
        </w:tc>
        <w:tc>
          <w:tcPr>
            <w:tcW w:w="3200" w:type="dxa"/>
            <w:vAlign w:val="bottom"/>
          </w:tcPr>
          <w:p>
            <w:pPr>
              <w:ind w:left="160"/>
              <w:spacing w:after="0"/>
              <w:rPr>
                <w:sz w:val="20"/>
                <w:szCs w:val="20"/>
                <w:color w:val="auto"/>
              </w:rPr>
            </w:pPr>
            <w:r>
              <w:rPr>
                <w:rFonts w:ascii="Arial" w:cs="Arial" w:eastAsia="Arial" w:hAnsi="Arial"/>
                <w:sz w:val="16"/>
                <w:szCs w:val="16"/>
                <w:color w:val="auto"/>
              </w:rPr>
              <w:t>UFP Thomaston, LLC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U.F.P. Mexico Holdings, S. de R.L.de CV</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Mexico</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Thornton,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UFP Ashburn, LLC</w:t>
            </w:r>
          </w:p>
        </w:tc>
        <w:tc>
          <w:tcPr>
            <w:tcW w:w="1120" w:type="dxa"/>
            <w:vAlign w:val="bottom"/>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tcPr>
          <w:p>
            <w:pPr>
              <w:ind w:left="160"/>
              <w:spacing w:after="0"/>
              <w:rPr>
                <w:sz w:val="20"/>
                <w:szCs w:val="20"/>
                <w:color w:val="auto"/>
              </w:rPr>
            </w:pPr>
            <w:r>
              <w:rPr>
                <w:rFonts w:ascii="Arial" w:cs="Arial" w:eastAsia="Arial" w:hAnsi="Arial"/>
                <w:sz w:val="16"/>
                <w:szCs w:val="16"/>
                <w:color w:val="auto"/>
              </w:rPr>
              <w:t>UFP Transportation, Inc.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UFP Atlantic Division, LLC</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Union City,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UFP Auburndale, LLC</w:t>
            </w:r>
          </w:p>
        </w:tc>
        <w:tc>
          <w:tcPr>
            <w:tcW w:w="1120" w:type="dxa"/>
            <w:vAlign w:val="bottom"/>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tcPr>
          <w:p>
            <w:pPr>
              <w:ind w:left="160"/>
              <w:spacing w:after="0"/>
              <w:rPr>
                <w:sz w:val="20"/>
                <w:szCs w:val="20"/>
                <w:color w:val="auto"/>
              </w:rPr>
            </w:pPr>
            <w:r>
              <w:rPr>
                <w:rFonts w:ascii="Arial" w:cs="Arial" w:eastAsia="Arial" w:hAnsi="Arial"/>
                <w:sz w:val="16"/>
                <w:szCs w:val="16"/>
                <w:color w:val="auto"/>
              </w:rPr>
              <w:t>UFP Ventures II, Inc.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UFP Aurora, LLC</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Warranty Corporation</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UFP Australia Pty Ltd</w:t>
            </w:r>
          </w:p>
        </w:tc>
        <w:tc>
          <w:tcPr>
            <w:tcW w:w="1120" w:type="dxa"/>
            <w:vAlign w:val="bottom"/>
          </w:tcPr>
          <w:p>
            <w:pPr>
              <w:ind w:left="320"/>
              <w:spacing w:after="0"/>
              <w:rPr>
                <w:sz w:val="20"/>
                <w:szCs w:val="20"/>
                <w:color w:val="auto"/>
              </w:rPr>
            </w:pPr>
            <w:r>
              <w:rPr>
                <w:rFonts w:ascii="Arial" w:cs="Arial" w:eastAsia="Arial" w:hAnsi="Arial"/>
                <w:sz w:val="16"/>
                <w:szCs w:val="16"/>
                <w:color w:val="auto"/>
              </w:rPr>
              <w:t>Australia</w:t>
            </w:r>
          </w:p>
        </w:tc>
        <w:tc>
          <w:tcPr>
            <w:tcW w:w="3200" w:type="dxa"/>
            <w:vAlign w:val="bottom"/>
          </w:tcPr>
          <w:p>
            <w:pPr>
              <w:ind w:left="160"/>
              <w:spacing w:after="0"/>
              <w:rPr>
                <w:sz w:val="20"/>
                <w:szCs w:val="20"/>
                <w:color w:val="auto"/>
              </w:rPr>
            </w:pPr>
            <w:r>
              <w:rPr>
                <w:rFonts w:ascii="Arial" w:cs="Arial" w:eastAsia="Arial" w:hAnsi="Arial"/>
                <w:sz w:val="16"/>
                <w:szCs w:val="16"/>
                <w:color w:val="auto"/>
              </w:rPr>
              <w:t>UFP Warrens, LLC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UFP Australia Real Estate Pty Ltd</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Australia</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Washington,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UFP Barnesville, LLC</w:t>
            </w:r>
          </w:p>
        </w:tc>
        <w:tc>
          <w:tcPr>
            <w:tcW w:w="1120" w:type="dxa"/>
            <w:vAlign w:val="bottom"/>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tcPr>
          <w:p>
            <w:pPr>
              <w:ind w:left="160"/>
              <w:spacing w:after="0"/>
              <w:rPr>
                <w:sz w:val="20"/>
                <w:szCs w:val="20"/>
                <w:color w:val="auto"/>
              </w:rPr>
            </w:pPr>
            <w:r>
              <w:rPr>
                <w:rFonts w:ascii="Arial" w:cs="Arial" w:eastAsia="Arial" w:hAnsi="Arial"/>
                <w:sz w:val="16"/>
                <w:szCs w:val="16"/>
                <w:color w:val="auto"/>
              </w:rPr>
              <w:t>UFP Western Division, Inc.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UFP Belchertown, LLC</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White Bear Lake,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UFP Berlin, LLC</w:t>
            </w:r>
          </w:p>
        </w:tc>
        <w:tc>
          <w:tcPr>
            <w:tcW w:w="1120" w:type="dxa"/>
            <w:vAlign w:val="bottom"/>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tcPr>
          <w:p>
            <w:pPr>
              <w:ind w:left="160"/>
              <w:spacing w:after="0"/>
              <w:rPr>
                <w:sz w:val="20"/>
                <w:szCs w:val="20"/>
                <w:color w:val="auto"/>
              </w:rPr>
            </w:pPr>
            <w:r>
              <w:rPr>
                <w:rFonts w:ascii="Arial" w:cs="Arial" w:eastAsia="Arial" w:hAnsi="Arial"/>
                <w:sz w:val="16"/>
                <w:szCs w:val="16"/>
                <w:color w:val="auto"/>
              </w:rPr>
              <w:t>UFP Windsor, LLC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2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UFP Biscoe, LLC</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UFP Woodburn,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9"/>
                <w:szCs w:val="19"/>
                <w:color w:val="auto"/>
              </w:rPr>
            </w:pPr>
          </w:p>
        </w:tc>
      </w:tr>
      <w:tr>
        <w:trPr>
          <w:trHeight w:val="227"/>
        </w:trPr>
        <w:tc>
          <w:tcPr>
            <w:tcW w:w="3040" w:type="dxa"/>
            <w:vAlign w:val="bottom"/>
          </w:tcPr>
          <w:p>
            <w:pPr>
              <w:spacing w:after="0"/>
              <w:rPr>
                <w:sz w:val="20"/>
                <w:szCs w:val="20"/>
                <w:color w:val="auto"/>
              </w:rPr>
            </w:pPr>
            <w:r>
              <w:rPr>
                <w:rFonts w:ascii="Arial" w:cs="Arial" w:eastAsia="Arial" w:hAnsi="Arial"/>
                <w:sz w:val="16"/>
                <w:szCs w:val="16"/>
                <w:color w:val="auto"/>
              </w:rPr>
              <w:t>UFP Blanchester, LLC</w:t>
            </w:r>
          </w:p>
        </w:tc>
        <w:tc>
          <w:tcPr>
            <w:tcW w:w="1120" w:type="dxa"/>
            <w:vAlign w:val="bottom"/>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tcPr>
          <w:p>
            <w:pPr>
              <w:ind w:left="160"/>
              <w:spacing w:after="0"/>
              <w:rPr>
                <w:sz w:val="20"/>
                <w:szCs w:val="20"/>
                <w:color w:val="auto"/>
              </w:rPr>
            </w:pPr>
            <w:r>
              <w:rPr>
                <w:rFonts w:ascii="Arial" w:cs="Arial" w:eastAsia="Arial" w:hAnsi="Arial"/>
                <w:sz w:val="16"/>
                <w:szCs w:val="16"/>
                <w:color w:val="auto"/>
              </w:rPr>
              <w:t>Ultra Aluminum Manufacturing, Inc.</w:t>
            </w:r>
          </w:p>
        </w:tc>
        <w:tc>
          <w:tcPr>
            <w:tcW w:w="1560" w:type="dxa"/>
            <w:vAlign w:val="bottom"/>
          </w:tcPr>
          <w:p>
            <w:pPr>
              <w:ind w:left="62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9"/>
                <w:szCs w:val="19"/>
                <w:color w:val="auto"/>
              </w:rPr>
            </w:pPr>
          </w:p>
        </w:tc>
      </w:tr>
      <w:tr>
        <w:trPr>
          <w:trHeight w:val="23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UFP Bonner, LLC</w:t>
            </w:r>
          </w:p>
        </w:tc>
        <w:tc>
          <w:tcPr>
            <w:tcW w:w="1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Michigan</w:t>
            </w:r>
          </w:p>
        </w:tc>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United Lumber &amp; Reman, LLC</w:t>
            </w:r>
          </w:p>
        </w:tc>
        <w:tc>
          <w:tcPr>
            <w:tcW w:w="1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Alabama</w:t>
            </w:r>
          </w:p>
        </w:tc>
        <w:tc>
          <w:tcPr>
            <w:tcW w:w="20" w:type="dxa"/>
            <w:vAlign w:val="bottom"/>
            <w:shd w:val="clear" w:color="auto" w:fill="CCEEFF"/>
          </w:tcPr>
          <w:p>
            <w:pPr>
              <w:spacing w:after="0"/>
              <w:rPr>
                <w:sz w:val="20"/>
                <w:szCs w:val="20"/>
                <w:color w:val="auto"/>
              </w:rPr>
            </w:pPr>
          </w:p>
        </w:tc>
      </w:tr>
      <w:tr>
        <w:trPr>
          <w:trHeight w:val="777"/>
        </w:trPr>
        <w:tc>
          <w:tcPr>
            <w:tcW w:w="3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140" w:right="1440" w:bottom="1440" w:gutter="0" w:footer="0" w:header="0"/>
        </w:sectPr>
      </w:pPr>
    </w:p>
    <w:bookmarkStart w:id="81" w:name="page82"/>
    <w:bookmarkEnd w:id="81"/>
    <w:p>
      <w:pPr>
        <w:jc w:val="right"/>
        <w:ind w:right="5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0" w:right="439"/>
        <w:spacing w:after="0" w:line="301" w:lineRule="auto"/>
        <w:rPr>
          <w:sz w:val="20"/>
          <w:szCs w:val="20"/>
          <w:color w:val="auto"/>
        </w:rPr>
      </w:pPr>
      <w:r>
        <w:rPr>
          <w:rFonts w:ascii="Arial" w:cs="Arial" w:eastAsia="Arial" w:hAnsi="Arial"/>
          <w:sz w:val="16"/>
          <w:szCs w:val="16"/>
          <w:color w:val="auto"/>
        </w:rPr>
        <w:t>We consent to the incorporation by reference in Registration Statement Nos. 33-81128, 333-60630, 333-150345, 333-156596, and 33-84632 on Form S-8 of our reports dated February 23, 2022, relating to the consolidated financial statements of UFP Industries, Inc. and subsidiaries (the “Company”), and the effectiveness of the Company’s internal control over financial reporting appearing in this Annual Report on Form 10-K for the year ended December 25, 2021.</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Michigan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657860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2" w:name="page83"/>
    <w:bookmarkEnd w:id="82"/>
    <w:p>
      <w:pPr>
        <w:jc w:val="right"/>
        <w:ind w:right="59"/>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J. Missad, certify that:</w:t>
      </w:r>
    </w:p>
    <w:p>
      <w:pPr>
        <w:spacing w:after="0" w:line="171" w:lineRule="exact"/>
        <w:rPr>
          <w:sz w:val="20"/>
          <w:szCs w:val="20"/>
          <w:color w:val="auto"/>
        </w:rPr>
      </w:pPr>
    </w:p>
    <w:p>
      <w:pPr>
        <w:ind w:left="680" w:hanging="630"/>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report on Form 10-K of UFP Industries, Inc.;</w:t>
      </w:r>
    </w:p>
    <w:p>
      <w:pPr>
        <w:spacing w:after="0" w:line="171" w:lineRule="exact"/>
        <w:rPr>
          <w:rFonts w:ascii="Arial" w:cs="Arial" w:eastAsia="Arial" w:hAnsi="Arial"/>
          <w:sz w:val="18"/>
          <w:szCs w:val="18"/>
          <w:color w:val="auto"/>
        </w:rPr>
      </w:pPr>
    </w:p>
    <w:p>
      <w:pPr>
        <w:ind w:left="700" w:right="299" w:hanging="650"/>
        <w:spacing w:after="0" w:line="263" w:lineRule="auto"/>
        <w:tabs>
          <w:tab w:leader="none" w:pos="6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700" w:right="179" w:hanging="650"/>
        <w:spacing w:after="0" w:line="263" w:lineRule="auto"/>
        <w:tabs>
          <w:tab w:leader="none" w:pos="6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700" w:right="239" w:hanging="650"/>
        <w:spacing w:after="0" w:line="311" w:lineRule="auto"/>
        <w:tabs>
          <w:tab w:leader="none" w:pos="67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6"/>
          <w:szCs w:val="16"/>
          <w:color w:val="auto"/>
        </w:rPr>
      </w:pPr>
    </w:p>
    <w:p>
      <w:pPr>
        <w:ind w:left="1340" w:right="79" w:hanging="642"/>
        <w:spacing w:after="0" w:line="259" w:lineRule="auto"/>
        <w:tabs>
          <w:tab w:leader="none" w:pos="1312"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1340" w:right="199" w:hanging="642"/>
        <w:spacing w:after="0" w:line="259" w:lineRule="auto"/>
        <w:tabs>
          <w:tab w:leader="none" w:pos="1322"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8"/>
          <w:szCs w:val="18"/>
          <w:color w:val="auto"/>
        </w:rPr>
      </w:pPr>
    </w:p>
    <w:p>
      <w:pPr>
        <w:ind w:left="1340" w:right="179" w:hanging="642"/>
        <w:spacing w:after="0" w:line="263" w:lineRule="auto"/>
        <w:tabs>
          <w:tab w:leader="none" w:pos="1312"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40" w:right="139" w:hanging="642"/>
        <w:spacing w:after="0" w:line="259" w:lineRule="auto"/>
        <w:tabs>
          <w:tab w:leader="none" w:pos="1322"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jc w:val="both"/>
        <w:ind w:left="700" w:right="559" w:hanging="650"/>
        <w:spacing w:after="0" w:line="263" w:lineRule="auto"/>
        <w:tabs>
          <w:tab w:leader="none" w:pos="67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9" w:lineRule="exact"/>
        <w:rPr>
          <w:rFonts w:ascii="Arial" w:cs="Arial" w:eastAsia="Arial" w:hAnsi="Arial"/>
          <w:sz w:val="18"/>
          <w:szCs w:val="18"/>
          <w:color w:val="auto"/>
        </w:rPr>
      </w:pPr>
    </w:p>
    <w:p>
      <w:pPr>
        <w:ind w:left="1340" w:right="359" w:hanging="642"/>
        <w:spacing w:after="0" w:line="263" w:lineRule="auto"/>
        <w:tabs>
          <w:tab w:leader="none" w:pos="130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40" w:right="119" w:hanging="642"/>
        <w:spacing w:after="0" w:line="277" w:lineRule="auto"/>
        <w:tabs>
          <w:tab w:leader="none" w:pos="131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Date:</w:t>
            </w:r>
          </w:p>
        </w:tc>
        <w:tc>
          <w:tcPr>
            <w:tcW w:w="4420" w:type="dxa"/>
            <w:vAlign w:val="bottom"/>
            <w:gridSpan w:val="2"/>
          </w:tcPr>
          <w:p>
            <w:pPr>
              <w:spacing w:after="0"/>
              <w:rPr>
                <w:sz w:val="20"/>
                <w:szCs w:val="20"/>
                <w:color w:val="auto"/>
              </w:rPr>
            </w:pPr>
            <w:r>
              <w:rPr>
                <w:rFonts w:ascii="Arial" w:cs="Arial" w:eastAsia="Arial" w:hAnsi="Arial"/>
                <w:sz w:val="18"/>
                <w:szCs w:val="18"/>
                <w:color w:val="auto"/>
              </w:rPr>
              <w:t>February 23, 2022</w:t>
            </w:r>
          </w:p>
        </w:tc>
        <w:tc>
          <w:tcPr>
            <w:tcW w:w="3540" w:type="dxa"/>
            <w:vAlign w:val="bottom"/>
            <w:gridSpan w:val="2"/>
          </w:tcPr>
          <w:p>
            <w:pPr>
              <w:spacing w:after="0"/>
              <w:rPr>
                <w:sz w:val="20"/>
                <w:szCs w:val="20"/>
                <w:color w:val="auto"/>
              </w:rPr>
            </w:pPr>
            <w:r>
              <w:rPr>
                <w:rFonts w:ascii="Arial" w:cs="Arial" w:eastAsia="Arial" w:hAnsi="Arial"/>
                <w:sz w:val="18"/>
                <w:szCs w:val="18"/>
                <w:color w:val="auto"/>
              </w:rPr>
              <w:t>/s/ Matthew J. Missad</w:t>
            </w: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Missad</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993"/>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83" w:name="page84"/>
    <w:bookmarkEnd w:id="83"/>
    <w:p>
      <w:pPr>
        <w:jc w:val="right"/>
        <w:ind w:right="59"/>
        <w:spacing w:after="0"/>
        <w:rPr>
          <w:sz w:val="20"/>
          <w:szCs w:val="20"/>
          <w:color w:val="auto"/>
        </w:rPr>
      </w:pPr>
      <w:r>
        <w:rPr>
          <w:rFonts w:ascii="Arial" w:cs="Arial" w:eastAsia="Arial" w:hAnsi="Arial"/>
          <w:sz w:val="18"/>
          <w:szCs w:val="18"/>
          <w:b w:val="1"/>
          <w:bCs w:val="1"/>
          <w:color w:val="auto"/>
        </w:rPr>
        <w:t>Exhibit 31(b)</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 Cole, certify that:</w:t>
      </w:r>
    </w:p>
    <w:p>
      <w:pPr>
        <w:spacing w:after="0" w:line="185" w:lineRule="exact"/>
        <w:rPr>
          <w:sz w:val="20"/>
          <w:szCs w:val="20"/>
          <w:color w:val="auto"/>
        </w:rPr>
      </w:pPr>
    </w:p>
    <w:p>
      <w:pPr>
        <w:ind w:left="680" w:hanging="630"/>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report on Form 10-K of UFP Industries, Inc.;</w:t>
      </w:r>
    </w:p>
    <w:p>
      <w:pPr>
        <w:spacing w:after="0" w:line="198" w:lineRule="exact"/>
        <w:rPr>
          <w:rFonts w:ascii="Arial" w:cs="Arial" w:eastAsia="Arial" w:hAnsi="Arial"/>
          <w:sz w:val="18"/>
          <w:szCs w:val="18"/>
          <w:color w:val="auto"/>
        </w:rPr>
      </w:pPr>
    </w:p>
    <w:p>
      <w:pPr>
        <w:ind w:left="700" w:right="299" w:hanging="650"/>
        <w:spacing w:after="0" w:line="263" w:lineRule="auto"/>
        <w:tabs>
          <w:tab w:leader="none" w:pos="682"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700" w:right="179" w:hanging="650"/>
        <w:spacing w:after="0" w:line="263" w:lineRule="auto"/>
        <w:tabs>
          <w:tab w:leader="none" w:pos="682"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39" w:hanging="650"/>
        <w:spacing w:after="0" w:line="311" w:lineRule="auto"/>
        <w:tabs>
          <w:tab w:leader="none" w:pos="67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6"/>
          <w:szCs w:val="16"/>
          <w:color w:val="auto"/>
        </w:rPr>
      </w:pPr>
    </w:p>
    <w:p>
      <w:pPr>
        <w:ind w:left="1340" w:right="79" w:hanging="642"/>
        <w:spacing w:after="0" w:line="259" w:lineRule="auto"/>
        <w:tabs>
          <w:tab w:leader="none" w:pos="1312"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1340" w:right="199" w:hanging="642"/>
        <w:spacing w:after="0" w:line="259" w:lineRule="auto"/>
        <w:tabs>
          <w:tab w:leader="none" w:pos="1322"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ind w:left="1340" w:right="179" w:hanging="642"/>
        <w:spacing w:after="0" w:line="263" w:lineRule="auto"/>
        <w:tabs>
          <w:tab w:leader="none" w:pos="1312"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340" w:right="139" w:hanging="642"/>
        <w:spacing w:after="0" w:line="259" w:lineRule="auto"/>
        <w:tabs>
          <w:tab w:leader="none" w:pos="1322"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700" w:right="559" w:hanging="650"/>
        <w:spacing w:after="0" w:line="263" w:lineRule="auto"/>
        <w:tabs>
          <w:tab w:leader="none" w:pos="67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ind w:left="1340" w:right="359" w:hanging="642"/>
        <w:spacing w:after="0" w:line="263" w:lineRule="auto"/>
        <w:tabs>
          <w:tab w:leader="none" w:pos="130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340" w:right="119" w:hanging="642"/>
        <w:spacing w:after="0" w:line="277" w:lineRule="auto"/>
        <w:tabs>
          <w:tab w:leader="none" w:pos="131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Date:</w:t>
            </w:r>
          </w:p>
        </w:tc>
        <w:tc>
          <w:tcPr>
            <w:tcW w:w="4440" w:type="dxa"/>
            <w:vAlign w:val="bottom"/>
            <w:gridSpan w:val="2"/>
          </w:tcPr>
          <w:p>
            <w:pPr>
              <w:spacing w:after="0"/>
              <w:rPr>
                <w:sz w:val="20"/>
                <w:szCs w:val="20"/>
                <w:color w:val="auto"/>
              </w:rPr>
            </w:pPr>
            <w:r>
              <w:rPr>
                <w:rFonts w:ascii="Arial" w:cs="Arial" w:eastAsia="Arial" w:hAnsi="Arial"/>
                <w:sz w:val="18"/>
                <w:szCs w:val="18"/>
                <w:color w:val="auto"/>
              </w:rPr>
              <w:t>February 23, 2022</w:t>
            </w:r>
          </w:p>
        </w:tc>
        <w:tc>
          <w:tcPr>
            <w:tcW w:w="3520" w:type="dxa"/>
            <w:vAlign w:val="bottom"/>
            <w:gridSpan w:val="2"/>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1019"/>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4" w:name="page85"/>
    <w:bookmarkEnd w:id="84"/>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 Matthew J. Missad, Chief Executive Officer of UFP Industries, Inc., certify, to the best of my knowledge and belief, pursuant to Section 906 of the Sarbanes-Oxley Act of 2002 (18 U.S.C. 1350) that:</w:t>
      </w:r>
    </w:p>
    <w:p>
      <w:pPr>
        <w:spacing w:after="0" w:line="170" w:lineRule="exact"/>
        <w:rPr>
          <w:sz w:val="20"/>
          <w:szCs w:val="20"/>
          <w:color w:val="auto"/>
        </w:rPr>
      </w:pPr>
    </w:p>
    <w:p>
      <w:pPr>
        <w:ind w:left="60" w:right="79" w:firstLine="638"/>
        <w:spacing w:after="0" w:line="308" w:lineRule="auto"/>
        <w:tabs>
          <w:tab w:leader="none" w:pos="1329"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report on Form 10-K for the year ended December 25, 2021, which this statement accompanies, fully complies with requirements of Section 13(a) or 15(d) of the Securities Exchange Act of 1934; and</w:t>
      </w:r>
    </w:p>
    <w:p>
      <w:pPr>
        <w:spacing w:after="0" w:line="146" w:lineRule="exact"/>
        <w:rPr>
          <w:rFonts w:ascii="Arial" w:cs="Arial" w:eastAsia="Arial" w:hAnsi="Arial"/>
          <w:sz w:val="17"/>
          <w:szCs w:val="17"/>
          <w:color w:val="auto"/>
        </w:rPr>
      </w:pPr>
    </w:p>
    <w:p>
      <w:pPr>
        <w:ind w:left="60" w:right="59" w:firstLine="638"/>
        <w:spacing w:after="0" w:line="342" w:lineRule="auto"/>
        <w:tabs>
          <w:tab w:leader="none" w:pos="142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this report on Form 10-K for the period ended December 25, 2021 fairly presents, in all material respects, the financial condition and results of operations of Universal Forest Products, Inc.</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840" w:type="dxa"/>
            <w:vAlign w:val="bottom"/>
            <w:gridSpan w:val="2"/>
          </w:tcPr>
          <w:p>
            <w:pPr>
              <w:ind w:left="780"/>
              <w:spacing w:after="0"/>
              <w:rPr>
                <w:sz w:val="20"/>
                <w:szCs w:val="20"/>
                <w:color w:val="auto"/>
              </w:rPr>
            </w:pPr>
            <w:r>
              <w:rPr>
                <w:rFonts w:ascii="Arial" w:cs="Arial" w:eastAsia="Arial" w:hAnsi="Arial"/>
                <w:sz w:val="18"/>
                <w:szCs w:val="18"/>
                <w:color w:val="auto"/>
              </w:rPr>
              <w:t>UFP INDUSTRIES, INC.</w:t>
            </w: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color w:val="auto"/>
              </w:rPr>
              <w:t>Date:  February 23, 2022</w:t>
            </w:r>
          </w:p>
        </w:tc>
        <w:tc>
          <w:tcPr>
            <w:tcW w:w="4840" w:type="dxa"/>
            <w:vAlign w:val="bottom"/>
            <w:gridSpan w:val="2"/>
          </w:tcPr>
          <w:p>
            <w:pPr>
              <w:ind w:left="780"/>
              <w:spacing w:after="0"/>
              <w:rPr>
                <w:sz w:val="20"/>
                <w:szCs w:val="20"/>
                <w:color w:val="auto"/>
              </w:rPr>
            </w:pPr>
            <w:r>
              <w:rPr>
                <w:rFonts w:ascii="Arial" w:cs="Arial" w:eastAsia="Arial" w:hAnsi="Arial"/>
                <w:sz w:val="18"/>
                <w:szCs w:val="18"/>
                <w:color w:val="auto"/>
              </w:rPr>
              <w:t>By: /s/ Matthew J. Missad</w:t>
            </w:r>
          </w:p>
        </w:tc>
      </w:tr>
      <w:tr>
        <w:trPr>
          <w:trHeight w:val="195"/>
        </w:trPr>
        <w:tc>
          <w:tcPr>
            <w:tcW w:w="580" w:type="dxa"/>
            <w:vAlign w:val="bottom"/>
          </w:tcPr>
          <w:p>
            <w:pPr>
              <w:spacing w:after="0"/>
              <w:rPr>
                <w:sz w:val="16"/>
                <w:szCs w:val="16"/>
                <w:color w:val="auto"/>
              </w:rPr>
            </w:pPr>
          </w:p>
        </w:tc>
        <w:tc>
          <w:tcPr>
            <w:tcW w:w="348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16"/>
        </w:trPr>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840" w:type="dxa"/>
            <w:vAlign w:val="bottom"/>
            <w:gridSpan w:val="2"/>
          </w:tcPr>
          <w:p>
            <w:pPr>
              <w:ind w:left="780"/>
              <w:spacing w:after="0"/>
              <w:rPr>
                <w:sz w:val="20"/>
                <w:szCs w:val="20"/>
                <w:color w:val="auto"/>
              </w:rPr>
            </w:pPr>
            <w:r>
              <w:rPr>
                <w:rFonts w:ascii="Arial" w:cs="Arial" w:eastAsia="Arial" w:hAnsi="Arial"/>
                <w:sz w:val="18"/>
                <w:szCs w:val="18"/>
                <w:color w:val="auto"/>
              </w:rPr>
              <w:t>Its:  Chief Executive Officer and</w:t>
            </w:r>
          </w:p>
        </w:tc>
      </w:tr>
      <w:tr>
        <w:trPr>
          <w:trHeight w:val="230"/>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ind w:left="60" w:right="59" w:firstLine="638"/>
        <w:spacing w:after="0" w:line="308" w:lineRule="auto"/>
        <w:tabs>
          <w:tab w:leader="none" w:pos="142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report on Form 10-K for the period ended December 25, 2021, which this statement accompanies, fully complies with requirements of Section 13(a) or 15(d) of the Securities Exchange Act of 1934; and</w:t>
      </w:r>
    </w:p>
    <w:p>
      <w:pPr>
        <w:spacing w:after="0" w:line="146" w:lineRule="exact"/>
        <w:rPr>
          <w:rFonts w:ascii="Arial" w:cs="Arial" w:eastAsia="Arial" w:hAnsi="Arial"/>
          <w:sz w:val="17"/>
          <w:szCs w:val="17"/>
          <w:color w:val="auto"/>
        </w:rPr>
      </w:pPr>
    </w:p>
    <w:p>
      <w:pPr>
        <w:ind w:left="60" w:right="59" w:firstLine="638"/>
        <w:spacing w:after="0" w:line="308" w:lineRule="auto"/>
        <w:tabs>
          <w:tab w:leader="none" w:pos="1426"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this report on Form 10-K for the period ended December 25, 2021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860" w:type="dxa"/>
            <w:vAlign w:val="bottom"/>
            <w:gridSpan w:val="2"/>
          </w:tcPr>
          <w:p>
            <w:pPr>
              <w:ind w:left="780"/>
              <w:spacing w:after="0"/>
              <w:rPr>
                <w:sz w:val="20"/>
                <w:szCs w:val="20"/>
                <w:color w:val="auto"/>
              </w:rPr>
            </w:pPr>
            <w:r>
              <w:rPr>
                <w:rFonts w:ascii="Arial" w:cs="Arial" w:eastAsia="Arial" w:hAnsi="Arial"/>
                <w:sz w:val="18"/>
                <w:szCs w:val="18"/>
                <w:color w:val="auto"/>
              </w:rPr>
              <w:t>UFP INDUSTRIES, INC.</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Date: February 23, 2022</w:t>
            </w:r>
          </w:p>
        </w:tc>
        <w:tc>
          <w:tcPr>
            <w:tcW w:w="4860" w:type="dxa"/>
            <w:vAlign w:val="bottom"/>
            <w:gridSpan w:val="2"/>
          </w:tcPr>
          <w:p>
            <w:pPr>
              <w:ind w:left="780"/>
              <w:spacing w:after="0"/>
              <w:rPr>
                <w:sz w:val="20"/>
                <w:szCs w:val="20"/>
                <w:color w:val="auto"/>
              </w:rPr>
            </w:pPr>
            <w:r>
              <w:rPr>
                <w:rFonts w:ascii="Arial" w:cs="Arial" w:eastAsia="Arial" w:hAnsi="Arial"/>
                <w:sz w:val="18"/>
                <w:szCs w:val="18"/>
                <w:color w:val="auto"/>
              </w:rPr>
              <w:t>By: /s/ Michael R. Cole</w:t>
            </w:r>
          </w:p>
        </w:tc>
      </w:tr>
      <w:tr>
        <w:trPr>
          <w:trHeight w:val="195"/>
        </w:trPr>
        <w:tc>
          <w:tcPr>
            <w:tcW w:w="480" w:type="dxa"/>
            <w:vAlign w:val="bottom"/>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60" w:type="dxa"/>
            <w:vAlign w:val="bottom"/>
            <w:gridSpan w:val="2"/>
          </w:tcPr>
          <w:p>
            <w:pPr>
              <w:ind w:left="780"/>
              <w:spacing w:after="0"/>
              <w:rPr>
                <w:sz w:val="20"/>
                <w:szCs w:val="20"/>
                <w:color w:val="auto"/>
              </w:rPr>
            </w:pPr>
            <w:r>
              <w:rPr>
                <w:rFonts w:ascii="Arial" w:cs="Arial" w:eastAsia="Arial" w:hAnsi="Arial"/>
                <w:sz w:val="18"/>
                <w:szCs w:val="18"/>
                <w:color w:val="auto"/>
              </w:rPr>
              <w:t>Its: Chief Financial Officer,</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1"/>
      <w:numFmt w:val="bullet"/>
      <w:start w:val="1"/>
    </w:lvl>
  </w:abstractNum>
  <w:abstractNum w:abstractNumId="4">
    <w:nsid w:val="51EAD36B"/>
    <w:multiLevelType w:val="hybridMultilevel"/>
    <w:lvl w:ilvl="0">
      <w:lvlJc w:val="left"/>
      <w:lvlText w:val="2"/>
      <w:numFmt w:val="bullet"/>
      <w:start w:val="1"/>
    </w:lvl>
  </w:abstractNum>
  <w:abstractNum w:abstractNumId="5">
    <w:nsid w:val="2D517796"/>
    <w:multiLevelType w:val="hybridMultilevel"/>
    <w:lvl w:ilvl="0">
      <w:lvlJc w:val="left"/>
      <w:lvlText w:val="1"/>
      <w:numFmt w:val="bullet"/>
      <w:start w:val="1"/>
    </w:lvl>
  </w:abstractNum>
  <w:abstractNum w:abstractNumId="6">
    <w:nsid w:val="580BD78F"/>
    <w:multiLevelType w:val="hybridMultilevel"/>
    <w:lvl w:ilvl="0">
      <w:lvlJc w:val="left"/>
      <w:lvlText w:val="2"/>
      <w:numFmt w:val="bullet"/>
      <w:start w:val="1"/>
    </w:lvl>
  </w:abstractNum>
  <w:abstractNum w:abstractNumId="7">
    <w:nsid w:val="153EA438"/>
    <w:multiLevelType w:val="hybridMultilevel"/>
    <w:lvl w:ilvl="0">
      <w:lvlJc w:val="left"/>
      <w:lvlText w:val="1"/>
      <w:numFmt w:val="bullet"/>
      <w:start w:val="1"/>
    </w:lvl>
  </w:abstractNum>
  <w:abstractNum w:abstractNumId="8">
    <w:nsid w:val="3855585C"/>
    <w:multiLevelType w:val="hybridMultilevel"/>
    <w:lvl w:ilvl="0">
      <w:lvlJc w:val="left"/>
      <w:lvlText w:val="2"/>
      <w:numFmt w:val="bullet"/>
      <w:start w:val="1"/>
    </w:lvl>
  </w:abstractNum>
  <w:abstractNum w:abstractNumId="9">
    <w:nsid w:val="70A64E2A"/>
    <w:multiLevelType w:val="hybridMultilevel"/>
    <w:lvl w:ilvl="0">
      <w:lvlJc w:val="left"/>
      <w:lvlText w:val="1"/>
      <w:numFmt w:val="bullet"/>
      <w:start w:val="1"/>
    </w:lvl>
  </w:abstractNum>
  <w:abstractNum w:abstractNumId="10">
    <w:nsid w:val="6A2342EC"/>
    <w:multiLevelType w:val="hybridMultilevel"/>
    <w:lvl w:ilvl="0">
      <w:lvlJc w:val="left"/>
      <w:lvlText w:val="2"/>
      <w:numFmt w:val="bullet"/>
      <w:start w:val="1"/>
    </w:lvl>
  </w:abstractNum>
  <w:abstractNum w:abstractNumId="11">
    <w:nsid w:val="2A487CB0"/>
    <w:multiLevelType w:val="hybridMultilevel"/>
    <w:lvl w:ilvl="0">
      <w:lvlJc w:val="left"/>
      <w:lvlText w:val="1"/>
      <w:numFmt w:val="bullet"/>
      <w:start w:val="1"/>
    </w:lvl>
  </w:abstractNum>
  <w:abstractNum w:abstractNumId="12">
    <w:nsid w:val="1D4ED43B"/>
    <w:multiLevelType w:val="hybridMultilevel"/>
    <w:lvl w:ilvl="0">
      <w:lvlJc w:val="left"/>
      <w:lvlText w:val="2"/>
      <w:numFmt w:val="bullet"/>
      <w:start w:val="1"/>
    </w:lvl>
  </w:abstractNum>
  <w:abstractNum w:abstractNumId="13">
    <w:nsid w:val="725A06FB"/>
    <w:multiLevelType w:val="hybridMultilevel"/>
    <w:lvl w:ilvl="0">
      <w:lvlJc w:val="left"/>
      <w:lvlText w:val="1"/>
      <w:numFmt w:val="bullet"/>
      <w:start w:val="1"/>
    </w:lvl>
  </w:abstractNum>
  <w:abstractNum w:abstractNumId="14">
    <w:nsid w:val="2CD89A32"/>
    <w:multiLevelType w:val="hybridMultilevel"/>
    <w:lvl w:ilvl="0">
      <w:lvlJc w:val="left"/>
      <w:lvlText w:val="2"/>
      <w:numFmt w:val="bullet"/>
      <w:start w:val="1"/>
    </w:lvl>
  </w:abstractNum>
  <w:abstractNum w:abstractNumId="15">
    <w:nsid w:val="57E4CCAF"/>
    <w:multiLevelType w:val="hybridMultilevel"/>
    <w:lvl w:ilvl="0">
      <w:lvlJc w:val="left"/>
      <w:lvlText w:val="1"/>
      <w:numFmt w:val="bullet"/>
      <w:start w:val="1"/>
    </w:lvl>
  </w:abstractNum>
  <w:abstractNum w:abstractNumId="16">
    <w:nsid w:val="7A6D8D3C"/>
    <w:multiLevelType w:val="hybridMultilevel"/>
    <w:lvl w:ilvl="0">
      <w:lvlJc w:val="left"/>
      <w:lvlText w:val="4"/>
      <w:numFmt w:val="bullet"/>
      <w:start w:val="1"/>
    </w:lvl>
  </w:abstractNum>
  <w:abstractNum w:abstractNumId="17">
    <w:nsid w:val="4B588F54"/>
    <w:multiLevelType w:val="hybridMultilevel"/>
    <w:lvl w:ilvl="0">
      <w:lvlJc w:val="left"/>
      <w:lvlText w:val="1"/>
      <w:numFmt w:val="bullet"/>
      <w:start w:val="1"/>
    </w:lvl>
  </w:abstractNum>
  <w:abstractNum w:abstractNumId="18">
    <w:nsid w:val="542289EC"/>
    <w:multiLevelType w:val="hybridMultilevel"/>
    <w:lvl w:ilvl="0">
      <w:lvlJc w:val="left"/>
      <w:lvlText w:val="2"/>
      <w:numFmt w:val="bullet"/>
      <w:start w:val="1"/>
    </w:lvl>
  </w:abstractNum>
  <w:abstractNum w:abstractNumId="19">
    <w:nsid w:val="6DE91B18"/>
    <w:multiLevelType w:val="hybridMultilevel"/>
    <w:lvl w:ilvl="0">
      <w:lvlJc w:val="left"/>
      <w:lvlText w:val="1"/>
      <w:numFmt w:val="bullet"/>
      <w:start w:val="1"/>
    </w:lvl>
  </w:abstractNum>
  <w:abstractNum w:abstractNumId="20">
    <w:nsid w:val="38437FDB"/>
    <w:multiLevelType w:val="hybridMultilevel"/>
    <w:lvl w:ilvl="0">
      <w:lvlJc w:val="left"/>
      <w:lvlText w:val="2"/>
      <w:numFmt w:val="bullet"/>
      <w:start w:val="1"/>
    </w:lvl>
  </w:abstractNum>
  <w:abstractNum w:abstractNumId="21">
    <w:nsid w:val="7644A45C"/>
    <w:multiLevelType w:val="hybridMultilevel"/>
    <w:lvl w:ilvl="0">
      <w:lvlJc w:val="left"/>
      <w:lvlText w:val="1"/>
      <w:numFmt w:val="bullet"/>
      <w:start w:val="1"/>
    </w:lvl>
  </w:abstractNum>
  <w:abstractNum w:abstractNumId="22">
    <w:nsid w:val="32FFF902"/>
    <w:multiLevelType w:val="hybridMultilevel"/>
    <w:lvl w:ilvl="0">
      <w:lvlJc w:val="left"/>
      <w:lvlText w:val="(%1)"/>
      <w:numFmt w:val="lowerLetter"/>
      <w:start w:val="1"/>
    </w:lvl>
  </w:abstractNum>
  <w:abstractNum w:abstractNumId="23">
    <w:nsid w:val="684A481A"/>
    <w:multiLevelType w:val="hybridMultilevel"/>
    <w:lvl w:ilvl="0">
      <w:lvlJc w:val="left"/>
      <w:lvlText w:val="(%1)"/>
      <w:numFmt w:val="lowerLetter"/>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lowerLetter"/>
      <w:start w:val="1"/>
    </w:lvl>
  </w:abstractNum>
  <w:abstractNum w:abstractNumId="26">
    <w:nsid w:val="3DC240FB"/>
    <w:multiLevelType w:val="hybridMultilevel"/>
    <w:lvl w:ilvl="0">
      <w:lvlJc w:val="left"/>
      <w:lvlText w:val="(%1)"/>
      <w:numFmt w:val="lowerLetter"/>
      <w:start w:val="2"/>
    </w:lvl>
  </w:abstractNum>
  <w:abstractNum w:abstractNumId="27">
    <w:nsid w:val="1BA026FA"/>
    <w:multiLevelType w:val="hybridMultilevel"/>
    <w:lvl w:ilvl="0">
      <w:lvlJc w:val="left"/>
      <w:lvlText w:val="3"/>
      <w:numFmt w:val="bullet"/>
      <w:start w:val="1"/>
    </w:lvl>
    <w:lvl w:ilvl="1">
      <w:lvlJc w:val="left"/>
      <w:lvlText w:val="(%2)"/>
      <w:numFmt w:val="lowerLetter"/>
      <w:start w:val="1"/>
    </w:lvl>
  </w:abstractNum>
  <w:abstractNum w:abstractNumId="28">
    <w:nsid w:val="79A1DEAA"/>
    <w:multiLevelType w:val="hybridMultilevel"/>
    <w:lvl w:ilvl="0">
      <w:lvlJc w:val="left"/>
      <w:lvlText w:val="4"/>
      <w:numFmt w:val="bullet"/>
      <w:start w:val="1"/>
    </w:lvl>
    <w:lvl w:ilvl="1">
      <w:lvlJc w:val="left"/>
      <w:lvlText w:val="(%2)"/>
      <w:numFmt w:val="lowerLetter"/>
      <w:start w:val="1"/>
    </w:lvl>
  </w:abstractNum>
  <w:abstractNum w:abstractNumId="29">
    <w:nsid w:val="75C6C33A"/>
    <w:multiLevelType w:val="hybridMultilevel"/>
    <w:lvl w:ilvl="0">
      <w:lvlJc w:val="left"/>
      <w:lvlText w:val="%1"/>
      <w:numFmt w:val="decimal"/>
      <w:start w:val="10"/>
    </w:lvl>
    <w:lvl w:ilvl="1">
      <w:lvlJc w:val="left"/>
      <w:lvlText w:val="(%2)"/>
      <w:numFmt w:val="lowerLetter"/>
      <w:start w:val="1"/>
    </w:lvl>
  </w:abstractNum>
  <w:abstractNum w:abstractNumId="30">
    <w:nsid w:val="12E685FB"/>
    <w:multiLevelType w:val="hybridMultilevel"/>
    <w:lvl w:ilvl="0">
      <w:lvlJc w:val="left"/>
      <w:lvlText w:val="%1"/>
      <w:numFmt w:val="decimal"/>
      <w:start w:val="101"/>
    </w:lvl>
  </w:abstractNum>
  <w:abstractNum w:abstractNumId="31">
    <w:nsid w:val="70C6A529"/>
    <w:multiLevelType w:val="hybridMultilevel"/>
    <w:lvl w:ilvl="0">
      <w:lvlJc w:val="left"/>
      <w:lvlText w:val="%1"/>
      <w:numFmt w:val="decimal"/>
      <w:start w:val="104"/>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lvl w:ilvl="1">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lvl w:ilvl="1">
      <w:lvlJc w:val="left"/>
      <w:lvlText w:val="-"/>
      <w:numFmt w:val="bullet"/>
      <w:start w:val="1"/>
    </w:lvl>
  </w:abstractNum>
  <w:abstractNum w:abstractNumId="52">
    <w:nsid w:val="579BE4F1"/>
    <w:multiLevelType w:val="hybridMultilevel"/>
    <w:lvl w:ilvl="0">
      <w:lvlJc w:val="left"/>
      <w:lvlText w:val="%1."/>
      <w:numFmt w:val="upperLetter"/>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upperLetter"/>
      <w:start w:val="2"/>
    </w:lvl>
  </w:abstractNum>
  <w:abstractNum w:abstractNumId="56">
    <w:nsid w:val="25A70BF7"/>
    <w:multiLevelType w:val="hybridMultilevel"/>
    <w:lvl w:ilvl="0">
      <w:lvlJc w:val="left"/>
      <w:lvlText w:val="%1."/>
      <w:numFmt w:val="upperLetter"/>
      <w:start w:val="3"/>
    </w:lvl>
  </w:abstractNum>
  <w:abstractNum w:abstractNumId="57">
    <w:nsid w:val="1DBABF00"/>
    <w:multiLevelType w:val="hybridMultilevel"/>
    <w:lvl w:ilvl="0">
      <w:lvlJc w:val="left"/>
      <w:lvlText w:val="%1."/>
      <w:numFmt w:val="upperLetter"/>
      <w:start w:val="4"/>
    </w:lvl>
  </w:abstractNum>
  <w:abstractNum w:abstractNumId="58">
    <w:nsid w:val="4AD084E9"/>
    <w:multiLevelType w:val="hybridMultilevel"/>
    <w:lvl w:ilvl="0">
      <w:lvlJc w:val="left"/>
      <w:lvlText w:val="%1."/>
      <w:numFmt w:val="upperLetter"/>
      <w:start w:val="5"/>
    </w:lvl>
  </w:abstractNum>
  <w:abstractNum w:abstractNumId="59">
    <w:nsid w:val="1F48EAA1"/>
    <w:multiLevelType w:val="hybridMultilevel"/>
    <w:lvl w:ilvl="0">
      <w:lvlJc w:val="left"/>
      <w:lvlText w:val="%1."/>
      <w:numFmt w:val="upperLetter"/>
      <w:start w:val="6"/>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1."/>
      <w:numFmt w:val="upperLetter"/>
      <w:start w:val="7"/>
    </w:lvl>
  </w:abstractNum>
  <w:abstractNum w:abstractNumId="62">
    <w:nsid w:val="100F8FCA"/>
    <w:multiLevelType w:val="hybridMultilevel"/>
    <w:lvl w:ilvl="0">
      <w:lvlJc w:val="left"/>
      <w:lvlText w:val="%1."/>
      <w:numFmt w:val="upperLetter"/>
      <w:start w:val="8"/>
    </w:lvl>
  </w:abstractNum>
  <w:abstractNum w:abstractNumId="63">
    <w:nsid w:val="6590700B"/>
    <w:multiLevelType w:val="hybridMultilevel"/>
    <w:lvl w:ilvl="0">
      <w:lvlJc w:val="left"/>
      <w:lvlText w:val="%1."/>
      <w:numFmt w:val="upperLetter"/>
      <w:start w:val="9"/>
    </w:lvl>
  </w:abstractNum>
  <w:abstractNum w:abstractNumId="64">
    <w:nsid w:val="15014ACB"/>
    <w:multiLevelType w:val="hybridMultilevel"/>
    <w:lvl w:ilvl="0">
      <w:lvlJc w:val="left"/>
      <w:lvlText w:val="%1."/>
      <w:numFmt w:val="upperLetter"/>
      <w:start w:val="10"/>
    </w:lvl>
  </w:abstractNum>
  <w:abstractNum w:abstractNumId="65">
    <w:nsid w:val="5F5E7FD0"/>
    <w:multiLevelType w:val="hybridMultilevel"/>
    <w:lvl w:ilvl="0">
      <w:lvlJc w:val="left"/>
      <w:lvlText w:val="%1."/>
      <w:numFmt w:val="upperLetter"/>
      <w:start w:val="11"/>
    </w:lvl>
  </w:abstractNum>
  <w:abstractNum w:abstractNumId="66">
    <w:nsid w:val="98A3148"/>
    <w:multiLevelType w:val="hybridMultilevel"/>
    <w:lvl w:ilvl="0">
      <w:lvlJc w:val="left"/>
      <w:lvlText w:val="%1."/>
      <w:numFmt w:val="upperLetter"/>
      <w:start w:val="12"/>
    </w:lvl>
  </w:abstractNum>
  <w:abstractNum w:abstractNumId="67">
    <w:nsid w:val="799D0247"/>
    <w:multiLevelType w:val="hybridMultilevel"/>
    <w:lvl w:ilvl="0">
      <w:lvlJc w:val="left"/>
      <w:lvlText w:val="%1."/>
      <w:numFmt w:val="upperLetter"/>
      <w:start w:val="13"/>
    </w:lvl>
  </w:abstractNum>
  <w:abstractNum w:abstractNumId="68">
    <w:nsid w:val="6B94764"/>
    <w:multiLevelType w:val="hybridMultilevel"/>
    <w:lvl w:ilvl="0">
      <w:lvlJc w:val="left"/>
      <w:lvlText w:val="%1."/>
      <w:numFmt w:val="upperLetter"/>
      <w:start w:val="14"/>
    </w:lvl>
  </w:abstractNum>
  <w:abstractNum w:abstractNumId="69">
    <w:nsid w:val="42C296BD"/>
    <w:multiLevelType w:val="hybridMultilevel"/>
    <w:lvl w:ilvl="0">
      <w:lvlJc w:val="left"/>
      <w:lvlText w:val="%1."/>
      <w:numFmt w:val="upperLetter"/>
      <w:start w:val="15"/>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jpe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50" Type="http://schemas.openxmlformats.org/officeDocument/2006/relationships/hyperlink" Target="https://www.sec.gov/Archives/edgar/data/912767/000091276717000010/ufpi-20170425ex310598b54.htm" TargetMode="External"/><Relationship Id="rId51" Type="http://schemas.openxmlformats.org/officeDocument/2006/relationships/hyperlink" Target="http://www.sec.gov/Archives/edgar/data/912767/000091276717000007/ufpi-20161231xexhibit3b.htm" TargetMode="External"/><Relationship Id="rId52" Type="http://schemas.openxmlformats.org/officeDocument/2006/relationships/hyperlink" Target="http://www.sec.gov/Archives/edgar/data/912767/000095012311016476/c12957exv10wf.htm" TargetMode="External"/><Relationship Id="rId53" Type="http://schemas.openxmlformats.org/officeDocument/2006/relationships/hyperlink" Target="http://www.sec.gov/Archives/edgar/data/912767/000114036112015431/ex10g.htm" TargetMode="External"/><Relationship Id="rId54" Type="http://schemas.openxmlformats.org/officeDocument/2006/relationships/hyperlink" Target="http://www.sec.gov/Archives/edgar/data/912767/000114036112015431/ex10h.htm" TargetMode="External"/><Relationship Id="rId55" Type="http://schemas.openxmlformats.org/officeDocument/2006/relationships/hyperlink" Target="http://www.sec.gov/Archives/edgar/data/912767/000114036114040661/ex10_1.htm" TargetMode="External"/><Relationship Id="rId56" Type="http://schemas.openxmlformats.org/officeDocument/2006/relationships/hyperlink" Target="http://www.sec.gov/Archives/edgar/data/912767/000114036112051611/ex10_k.htm" TargetMode="External"/><Relationship Id="rId57" Type="http://schemas.openxmlformats.org/officeDocument/2006/relationships/hyperlink" Target="http://www.sec.gov/Archives/edgar/data/912767/000155837019001176/ufpi-20181229ex10k2733c1.htm" TargetMode="External"/><Relationship Id="rId58" Type="http://schemas.openxmlformats.org/officeDocument/2006/relationships/hyperlink" Target="http://www.sec.gov/Archives/edgar/data/912767/000114036115008949/ex10_l.htm" TargetMode="External"/><Relationship Id="rId59" Type="http://schemas.openxmlformats.org/officeDocument/2006/relationships/hyperlink" Target="http://www.sec.gov/Archives/edgar/data/912767/000091276717000007/ufpi-20161231xexhibit10m.htm" TargetMode="External"/><Relationship Id="rId60" Type="http://schemas.openxmlformats.org/officeDocument/2006/relationships/hyperlink" Target="http://www.sec.gov/Archives/edgar/data/912767/000114036112013332/formdef14a.htm" TargetMode="External"/><Relationship Id="rId61" Type="http://schemas.openxmlformats.org/officeDocument/2006/relationships/hyperlink" Target="https://www.sec.gov/Archives/edgar/data/912767/000155837021002324/ufpi-20201226xex10dk.htm" TargetMode="External"/><Relationship Id="rId62" Type="http://schemas.openxmlformats.org/officeDocument/2006/relationships/hyperlink" Target="http://www.sec.gov/Archives/edgar/data/912767/000095012311016476/c12957exv14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2022-02-23T16:12:12Z</dcterms:created>
  <dcterms:modified xsi:type="dcterms:W3CDTF">2022-02-23T16:12:12Z</dcterms:modified>
</cp:coreProperties>
</file>